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Date of Report (Date of earliest event reported): April 23,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p>
      <w:pPr>
        <w:spacing w:after="0" w:line="286"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420"/>
          </w:cols>
          <w:pgMar w:left="240" w:top="314"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540"/>
          </w:cols>
          <w:pgMar w:left="240" w:top="314" w:right="1059" w:bottom="1440" w:gutter="0" w:footer="0" w:header="0"/>
          <w:type w:val="continuous"/>
        </w:sectPr>
      </w:pPr>
    </w:p>
    <w:p>
      <w:pPr>
        <w:spacing w:after="0" w:line="2" w:lineRule="exact"/>
        <w:rPr>
          <w:sz w:val="24"/>
          <w:szCs w:val="24"/>
          <w:color w:val="auto"/>
        </w:rPr>
      </w:pPr>
    </w:p>
    <w:p>
      <w:pPr>
        <w:jc w:val="center"/>
        <w:ind w:right="98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8660" w:space="720"/>
            <w:col w:w="1220"/>
          </w:cols>
          <w:pgMar w:left="240" w:top="314" w:right="1059" w:bottom="1440" w:gutter="0" w:footer="0" w:header="0"/>
          <w:type w:val="continuous"/>
        </w:sectPr>
      </w:pPr>
    </w:p>
    <w:p>
      <w:pPr>
        <w:ind w:left="220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320"/>
          </w:cols>
          <w:pgMar w:left="240" w:top="31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00"/>
          </w:cols>
          <w:pgMar w:left="240" w:top="314" w:right="1059" w:bottom="1440" w:gutter="0" w:footer="0" w:header="0"/>
          <w:type w:val="continuous"/>
        </w:sectPr>
      </w:pP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23, 2012, Wynn Macau, Limited (“WML”), an indirect subsidiary of Wynn Resorts, Limited (the “Registrant”) with ordinary shares of its common stock listed on The Stock Exchange of Hong Kong Limited, filed its annual report in respect of the year ended December 31, 2011 (the “Annual Report”) with The Stock Exchange of Hong Kong Limited. The Registrant owns approximately 72.3% of WML’s ordinary shares of common stock. The Annual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Exhibit</w:t>
      </w:r>
    </w:p>
    <w:p>
      <w:pPr>
        <w:ind w:left="480"/>
        <w:spacing w:after="0"/>
        <w:tabs>
          <w:tab w:leader="none" w:pos="14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ind w:left="460"/>
        <w:spacing w:after="0"/>
        <w:tabs>
          <w:tab w:leader="none" w:pos="14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Annual Report of Wynn Macau, Limited.</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169545</wp:posOffset>
            </wp:positionV>
            <wp:extent cx="5488305" cy="7452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8305" cy="745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FFFFFF"/>
        </w:rPr>
        <w:t>2011 Annual Report</w:t>
      </w:r>
    </w:p>
    <w:p>
      <w:pPr>
        <w:spacing w:after="0" w:line="187" w:lineRule="auto"/>
        <w:rPr>
          <w:sz w:val="20"/>
          <w:szCs w:val="20"/>
          <w:color w:val="auto"/>
        </w:rPr>
      </w:pPr>
      <w:r>
        <w:rPr>
          <w:rFonts w:ascii="Arial" w:cs="Arial" w:eastAsia="Arial" w:hAnsi="Arial"/>
          <w:sz w:val="9"/>
          <w:szCs w:val="9"/>
          <w:color w:val="FFFFFF"/>
        </w:rPr>
        <w:t>Wynn Macau, Limited</w:t>
      </w:r>
    </w:p>
    <w:p>
      <w:pPr>
        <w:spacing w:after="0"/>
        <w:rPr>
          <w:sz w:val="20"/>
          <w:szCs w:val="20"/>
          <w:color w:val="auto"/>
        </w:rPr>
      </w:pPr>
      <w:r>
        <w:rPr>
          <w:rFonts w:ascii="Arial" w:cs="Arial" w:eastAsia="Arial" w:hAnsi="Arial"/>
          <w:sz w:val="3"/>
          <w:szCs w:val="3"/>
          <w:color w:val="FFFFFF"/>
        </w:rPr>
        <w:t>Stock(incorporatedCode:1128inthe Cayman Islands with limited liability)</w:t>
      </w:r>
    </w:p>
    <w:p>
      <w:pPr>
        <w:spacing w:after="0" w:line="5"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FFFFFF"/>
        </w:rPr>
        <w:t>*</w:t>
      </w:r>
      <w:r>
        <w:rPr>
          <w:sz w:val="20"/>
          <w:szCs w:val="20"/>
          <w:color w:val="auto"/>
        </w:rPr>
        <w:tab/>
      </w:r>
      <w:r>
        <w:rPr>
          <w:rFonts w:ascii="Arial" w:cs="Arial" w:eastAsia="Arial" w:hAnsi="Arial"/>
          <w:sz w:val="14"/>
          <w:szCs w:val="14"/>
          <w:color w:val="FFFFFF"/>
        </w:rPr>
        <w:t>for identification purposes only</w:t>
      </w:r>
    </w:p>
    <w:p>
      <w:pPr>
        <w:sectPr>
          <w:pgSz w:w="11900" w:h="16838" w:orient="portrait"/>
          <w:cols w:equalWidth="0" w:num="1">
            <w:col w:w="11420"/>
          </w:cols>
          <w:pgMar w:left="240" w:top="12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09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80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880" w:val="left"/>
        </w:tabs>
        <w:rPr>
          <w:sz w:val="20"/>
          <w:szCs w:val="20"/>
          <w:color w:val="auto"/>
        </w:rPr>
      </w:pPr>
      <w:r>
        <w:rPr>
          <w:rFonts w:ascii="Arial" w:cs="Arial" w:eastAsia="Arial" w:hAnsi="Arial"/>
          <w:sz w:val="27"/>
          <w:szCs w:val="27"/>
          <w:color w:val="FFFFFF"/>
          <w:vertAlign w:val="superscript"/>
        </w:rPr>
        <w:t>Contents</w:t>
      </w:r>
      <w:r>
        <w:rPr>
          <w:rFonts w:ascii="Arial" w:cs="Arial" w:eastAsia="Arial" w:hAnsi="Arial"/>
          <w:sz w:val="14"/>
          <w:szCs w:val="14"/>
          <w:color w:val="FFFFFF"/>
        </w:rPr>
        <w:t>2</w:t>
      </w:r>
      <w:r>
        <w:rPr>
          <w:sz w:val="20"/>
          <w:szCs w:val="20"/>
          <w:color w:val="auto"/>
        </w:rPr>
        <w:tab/>
      </w:r>
      <w:r>
        <w:rPr>
          <w:rFonts w:ascii="Arial" w:cs="Arial" w:eastAsia="Arial" w:hAnsi="Arial"/>
          <w:sz w:val="12"/>
          <w:szCs w:val="12"/>
          <w:color w:val="FFFFFF"/>
        </w:rPr>
        <w:t>Corporate Information</w:t>
      </w:r>
    </w:p>
    <w:p>
      <w:pPr>
        <w:ind w:left="900" w:hanging="446"/>
        <w:spacing w:after="0" w:line="221" w:lineRule="auto"/>
        <w:tabs>
          <w:tab w:leader="none" w:pos="900" w:val="left"/>
        </w:tabs>
        <w:numPr>
          <w:ilvl w:val="0"/>
          <w:numId w:val="3"/>
        </w:numPr>
        <w:rPr>
          <w:rFonts w:ascii="Arial" w:cs="Arial" w:eastAsia="Arial" w:hAnsi="Arial"/>
          <w:sz w:val="14"/>
          <w:szCs w:val="14"/>
          <w:color w:val="FFFFFF"/>
        </w:rPr>
      </w:pPr>
      <w:r>
        <w:rPr>
          <w:rFonts w:ascii="Arial" w:cs="Arial" w:eastAsia="Arial" w:hAnsi="Arial"/>
          <w:sz w:val="14"/>
          <w:szCs w:val="14"/>
          <w:color w:val="FFFFFF"/>
        </w:rPr>
        <w:t>Highlights</w:t>
      </w:r>
    </w:p>
    <w:p>
      <w:pPr>
        <w:ind w:left="900" w:hanging="446"/>
        <w:spacing w:after="0"/>
        <w:tabs>
          <w:tab w:leader="none" w:pos="900" w:val="left"/>
        </w:tabs>
        <w:numPr>
          <w:ilvl w:val="0"/>
          <w:numId w:val="4"/>
        </w:numPr>
        <w:rPr>
          <w:rFonts w:ascii="Arial" w:cs="Arial" w:eastAsia="Arial" w:hAnsi="Arial"/>
          <w:sz w:val="12"/>
          <w:szCs w:val="12"/>
          <w:color w:val="FFFFFF"/>
        </w:rPr>
      </w:pPr>
      <w:r>
        <w:rPr>
          <w:rFonts w:ascii="Arial" w:cs="Arial" w:eastAsia="Arial" w:hAnsi="Arial"/>
          <w:sz w:val="12"/>
          <w:szCs w:val="12"/>
          <w:color w:val="FFFFFF"/>
        </w:rPr>
        <w:t>Management Discussion and Analysis</w:t>
      </w:r>
    </w:p>
    <w:p>
      <w:pPr>
        <w:spacing w:after="0" w:line="10" w:lineRule="exact"/>
        <w:rPr>
          <w:rFonts w:ascii="Arial" w:cs="Arial" w:eastAsia="Arial" w:hAnsi="Arial"/>
          <w:sz w:val="12"/>
          <w:szCs w:val="12"/>
          <w:color w:val="FFFFFF"/>
        </w:rPr>
      </w:pPr>
    </w:p>
    <w:p>
      <w:pPr>
        <w:ind w:left="460"/>
        <w:spacing w:after="0"/>
        <w:rPr>
          <w:rFonts w:ascii="Arial" w:cs="Arial" w:eastAsia="Arial" w:hAnsi="Arial"/>
          <w:sz w:val="12"/>
          <w:szCs w:val="12"/>
          <w:color w:val="FFFFFF"/>
        </w:rPr>
      </w:pPr>
      <w:r>
        <w:rPr>
          <w:rFonts w:ascii="Arial" w:cs="Arial" w:eastAsia="Arial" w:hAnsi="Arial"/>
          <w:sz w:val="14"/>
          <w:szCs w:val="14"/>
          <w:color w:val="FFFFFF"/>
        </w:rPr>
        <w:t>27</w:t>
      </w:r>
      <w:r>
        <w:rPr>
          <w:rFonts w:ascii="Arial" w:cs="Arial" w:eastAsia="Arial" w:hAnsi="Arial"/>
          <w:sz w:val="12"/>
          <w:szCs w:val="12"/>
          <w:color w:val="FFFFFF"/>
        </w:rPr>
        <w:t>Directors and Senior Management</w:t>
      </w:r>
    </w:p>
    <w:p>
      <w:pPr>
        <w:ind w:left="460"/>
        <w:spacing w:after="0"/>
        <w:rPr>
          <w:rFonts w:ascii="Arial" w:cs="Arial" w:eastAsia="Arial" w:hAnsi="Arial"/>
          <w:sz w:val="12"/>
          <w:szCs w:val="12"/>
          <w:color w:val="FFFFFF"/>
        </w:rPr>
      </w:pPr>
      <w:r>
        <w:rPr>
          <w:rFonts w:ascii="Arial" w:cs="Arial" w:eastAsia="Arial" w:hAnsi="Arial"/>
          <w:sz w:val="14"/>
          <w:szCs w:val="14"/>
          <w:color w:val="FFFFFF"/>
        </w:rPr>
        <w:t>36</w:t>
      </w:r>
      <w:r>
        <w:rPr>
          <w:rFonts w:ascii="Arial" w:cs="Arial" w:eastAsia="Arial" w:hAnsi="Arial"/>
          <w:sz w:val="12"/>
          <w:szCs w:val="12"/>
          <w:color w:val="FFFFFF"/>
        </w:rPr>
        <w:t>Report of the Directors</w:t>
      </w:r>
    </w:p>
    <w:p>
      <w:pPr>
        <w:ind w:left="460"/>
        <w:spacing w:after="0"/>
        <w:rPr>
          <w:rFonts w:ascii="Arial" w:cs="Arial" w:eastAsia="Arial" w:hAnsi="Arial"/>
          <w:sz w:val="12"/>
          <w:szCs w:val="12"/>
          <w:color w:val="FFFFFF"/>
        </w:rPr>
      </w:pPr>
      <w:r>
        <w:rPr>
          <w:rFonts w:ascii="Arial" w:cs="Arial" w:eastAsia="Arial" w:hAnsi="Arial"/>
          <w:sz w:val="14"/>
          <w:szCs w:val="14"/>
          <w:color w:val="FFFFFF"/>
        </w:rPr>
        <w:t>59</w:t>
      </w:r>
      <w:r>
        <w:rPr>
          <w:rFonts w:ascii="Arial" w:cs="Arial" w:eastAsia="Arial" w:hAnsi="Arial"/>
          <w:sz w:val="12"/>
          <w:szCs w:val="12"/>
          <w:color w:val="FFFFFF"/>
        </w:rPr>
        <w:t>Corporate Governance Report</w:t>
      </w:r>
    </w:p>
    <w:p>
      <w:pPr>
        <w:ind w:left="460"/>
        <w:spacing w:after="0"/>
        <w:rPr>
          <w:rFonts w:ascii="Arial" w:cs="Arial" w:eastAsia="Arial" w:hAnsi="Arial"/>
          <w:sz w:val="12"/>
          <w:szCs w:val="12"/>
          <w:color w:val="FFFFFF"/>
        </w:rPr>
      </w:pPr>
      <w:r>
        <w:rPr>
          <w:rFonts w:ascii="Arial" w:cs="Arial" w:eastAsia="Arial" w:hAnsi="Arial"/>
          <w:sz w:val="14"/>
          <w:szCs w:val="14"/>
          <w:color w:val="FFFFFF"/>
        </w:rPr>
        <w:t>71</w:t>
      </w:r>
      <w:r>
        <w:rPr>
          <w:rFonts w:ascii="Arial" w:cs="Arial" w:eastAsia="Arial" w:hAnsi="Arial"/>
          <w:sz w:val="12"/>
          <w:szCs w:val="12"/>
          <w:color w:val="FFFFFF"/>
        </w:rPr>
        <w:t>Independent Auditors’ Report</w:t>
      </w:r>
    </w:p>
    <w:p>
      <w:pPr>
        <w:ind w:left="460"/>
        <w:spacing w:after="0"/>
        <w:rPr>
          <w:rFonts w:ascii="Arial" w:cs="Arial" w:eastAsia="Arial" w:hAnsi="Arial"/>
          <w:sz w:val="12"/>
          <w:szCs w:val="12"/>
          <w:color w:val="FFFFFF"/>
        </w:rPr>
      </w:pPr>
      <w:r>
        <w:rPr>
          <w:rFonts w:ascii="Arial" w:cs="Arial" w:eastAsia="Arial" w:hAnsi="Arial"/>
          <w:sz w:val="14"/>
          <w:szCs w:val="14"/>
          <w:color w:val="FFFFFF"/>
        </w:rPr>
        <w:t>73</w:t>
      </w:r>
      <w:r>
        <w:rPr>
          <w:rFonts w:ascii="Arial" w:cs="Arial" w:eastAsia="Arial" w:hAnsi="Arial"/>
          <w:sz w:val="11"/>
          <w:szCs w:val="11"/>
          <w:color w:val="FFFFFF"/>
        </w:rPr>
        <w:t>Financial Statements</w:t>
      </w:r>
    </w:p>
    <w:p>
      <w:pPr>
        <w:ind w:left="460"/>
        <w:spacing w:after="0" w:line="221" w:lineRule="auto"/>
        <w:rPr>
          <w:rFonts w:ascii="Arial" w:cs="Arial" w:eastAsia="Arial" w:hAnsi="Arial"/>
          <w:sz w:val="12"/>
          <w:szCs w:val="12"/>
          <w:color w:val="FFFFFF"/>
        </w:rPr>
      </w:pPr>
      <w:r>
        <w:rPr>
          <w:rFonts w:ascii="Arial" w:cs="Arial" w:eastAsia="Arial" w:hAnsi="Arial"/>
          <w:sz w:val="14"/>
          <w:szCs w:val="14"/>
          <w:color w:val="FFFFFF"/>
        </w:rPr>
        <w:t>161    Financial Summary</w:t>
      </w:r>
    </w:p>
    <w:p>
      <w:pPr>
        <w:ind w:left="460"/>
        <w:spacing w:after="0" w:line="221" w:lineRule="auto"/>
        <w:rPr>
          <w:rFonts w:ascii="Arial" w:cs="Arial" w:eastAsia="Arial" w:hAnsi="Arial"/>
          <w:sz w:val="12"/>
          <w:szCs w:val="12"/>
          <w:color w:val="FFFFFF"/>
        </w:rPr>
      </w:pPr>
      <w:r>
        <w:rPr>
          <w:rFonts w:ascii="Arial" w:cs="Arial" w:eastAsia="Arial" w:hAnsi="Arial"/>
          <w:sz w:val="14"/>
          <w:szCs w:val="14"/>
          <w:color w:val="FFFFFF"/>
        </w:rPr>
        <w:t>162    Definitions</w:t>
      </w:r>
    </w:p>
    <w:p>
      <w:pPr>
        <w:ind w:left="460"/>
        <w:spacing w:after="0"/>
        <w:rPr>
          <w:rFonts w:ascii="Arial" w:cs="Arial" w:eastAsia="Arial" w:hAnsi="Arial"/>
          <w:sz w:val="12"/>
          <w:szCs w:val="12"/>
          <w:color w:val="FFFFFF"/>
        </w:rPr>
      </w:pPr>
      <w:r>
        <w:rPr>
          <w:rFonts w:ascii="Arial" w:cs="Arial" w:eastAsia="Arial" w:hAnsi="Arial"/>
          <w:sz w:val="14"/>
          <w:szCs w:val="14"/>
          <w:color w:val="FFFFFF"/>
        </w:rPr>
        <w:t>167    Glossary</w:t>
      </w:r>
    </w:p>
    <w:p>
      <w:pPr>
        <w:sectPr>
          <w:pgSz w:w="11900" w:h="16838" w:orient="portrait"/>
          <w:cols w:equalWidth="0" w:num="1">
            <w:col w:w="10219"/>
          </w:cols>
          <w:pgMar w:left="2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2 Wynn Macau, Limited</w:t>
      </w:r>
    </w:p>
    <w:p>
      <w:pPr>
        <w:spacing w:after="0" w:line="187" w:lineRule="auto"/>
        <w:rPr>
          <w:sz w:val="20"/>
          <w:szCs w:val="20"/>
          <w:color w:val="auto"/>
        </w:rPr>
      </w:pPr>
      <w:r>
        <w:rPr>
          <w:rFonts w:ascii="Arial" w:cs="Arial" w:eastAsia="Arial" w:hAnsi="Arial"/>
          <w:sz w:val="9"/>
          <w:szCs w:val="9"/>
          <w:color w:val="FFFFFF"/>
        </w:rPr>
        <w:t>Corporate Information</w:t>
      </w:r>
    </w:p>
    <w:p>
      <w:pPr>
        <w:spacing w:after="0"/>
        <w:rPr>
          <w:sz w:val="20"/>
          <w:szCs w:val="20"/>
          <w:color w:val="auto"/>
        </w:rPr>
      </w:pPr>
      <w:r>
        <w:rPr>
          <w:rFonts w:ascii="Arial" w:cs="Arial" w:eastAsia="Arial" w:hAnsi="Arial"/>
          <w:sz w:val="3"/>
          <w:szCs w:val="3"/>
          <w:color w:val="FFFFFF"/>
        </w:rPr>
        <w:t>ExecutiveBOARDOFDirectorsDIRECTORS</w:t>
      </w:r>
    </w:p>
    <w:p>
      <w:pPr>
        <w:spacing w:after="0" w:line="194" w:lineRule="auto"/>
        <w:rPr>
          <w:sz w:val="20"/>
          <w:szCs w:val="20"/>
          <w:color w:val="auto"/>
        </w:rPr>
      </w:pPr>
      <w:r>
        <w:rPr>
          <w:rFonts w:ascii="Arial" w:cs="Arial" w:eastAsia="Arial" w:hAnsi="Arial"/>
          <w:sz w:val="5"/>
          <w:szCs w:val="5"/>
          <w:color w:val="FFFFFF"/>
          <w:vertAlign w:val="superscript"/>
        </w:rPr>
        <w:t>Mrs</w:t>
      </w:r>
      <w:r>
        <w:rPr>
          <w:rFonts w:ascii="Arial" w:cs="Arial" w:eastAsia="Arial" w:hAnsi="Arial"/>
          <w:sz w:val="3"/>
          <w:szCs w:val="3"/>
          <w:color w:val="FFFFFF"/>
        </w:rPr>
        <w:t>. Stephen A. Wynn (Chairman of the Board)</w:t>
      </w:r>
    </w:p>
    <w:p>
      <w:pPr>
        <w:ind w:left="180"/>
        <w:spacing w:after="0" w:line="188" w:lineRule="auto"/>
        <w:rPr>
          <w:sz w:val="20"/>
          <w:szCs w:val="20"/>
          <w:color w:val="auto"/>
        </w:rPr>
      </w:pPr>
      <w:r>
        <w:rPr>
          <w:rFonts w:ascii="Arial" w:cs="Arial" w:eastAsia="Arial" w:hAnsi="Arial"/>
          <w:sz w:val="9"/>
          <w:szCs w:val="9"/>
          <w:color w:val="FFFFFF"/>
        </w:rPr>
        <w:t>. Linda Chen</w:t>
      </w:r>
    </w:p>
    <w:p>
      <w:pPr>
        <w:spacing w:after="0"/>
        <w:rPr>
          <w:sz w:val="20"/>
          <w:szCs w:val="20"/>
          <w:color w:val="auto"/>
        </w:rPr>
      </w:pPr>
      <w:r>
        <w:rPr>
          <w:rFonts w:ascii="Arial" w:cs="Arial" w:eastAsia="Arial" w:hAnsi="Arial"/>
          <w:sz w:val="3"/>
          <w:szCs w:val="3"/>
          <w:color w:val="FFFFFF"/>
        </w:rPr>
        <w:t>Non.Ian-ExecutiveMichaelDirectorsCoughlan</w:t>
      </w:r>
    </w:p>
    <w:p>
      <w:pPr>
        <w:spacing w:after="0" w:line="194" w:lineRule="auto"/>
        <w:rPr>
          <w:sz w:val="20"/>
          <w:szCs w:val="20"/>
          <w:color w:val="auto"/>
        </w:rPr>
      </w:pPr>
      <w:r>
        <w:rPr>
          <w:rFonts w:ascii="Arial" w:cs="Arial" w:eastAsia="Arial" w:hAnsi="Arial"/>
          <w:sz w:val="3"/>
          <w:szCs w:val="3"/>
          <w:color w:val="FFFFFF"/>
        </w:rPr>
        <w:t>Mr. Kazuo</w:t>
      </w:r>
      <w:r>
        <w:rPr>
          <w:rFonts w:ascii="Arial" w:cs="Arial" w:eastAsia="Arial" w:hAnsi="Arial"/>
          <w:sz w:val="5"/>
          <w:szCs w:val="5"/>
          <w:color w:val="FFFFFF"/>
          <w:vertAlign w:val="subscript"/>
        </w:rPr>
        <w:t>Zeman,</w:t>
      </w:r>
      <w:r>
        <w:rPr>
          <w:rFonts w:ascii="Arial" w:cs="Arial" w:eastAsia="Arial" w:hAnsi="Arial"/>
          <w:sz w:val="3"/>
          <w:szCs w:val="3"/>
          <w:color w:val="FFFFFF"/>
        </w:rPr>
        <w:t>Okda* Mr. Marc D. Schorr</w:t>
      </w:r>
    </w:p>
    <w:p>
      <w:pPr>
        <w:spacing w:after="0"/>
        <w:tabs>
          <w:tab w:leader="none" w:pos="960" w:val="left"/>
        </w:tabs>
        <w:rPr>
          <w:sz w:val="20"/>
          <w:szCs w:val="20"/>
          <w:color w:val="auto"/>
        </w:rPr>
      </w:pPr>
      <w:r>
        <w:rPr>
          <w:rFonts w:ascii="Arial" w:cs="Arial" w:eastAsia="Arial" w:hAnsi="Arial"/>
          <w:sz w:val="3"/>
          <w:szCs w:val="3"/>
          <w:color w:val="FFFFFF"/>
        </w:rPr>
        <w:t>Dr. Allan</w:t>
      </w:r>
      <w:r>
        <w:rPr>
          <w:sz w:val="20"/>
          <w:szCs w:val="20"/>
          <w:color w:val="auto"/>
        </w:rPr>
        <w:tab/>
      </w:r>
      <w:r>
        <w:rPr>
          <w:rFonts w:ascii="Arial" w:cs="Arial" w:eastAsia="Arial" w:hAnsi="Arial"/>
          <w:sz w:val="3"/>
          <w:szCs w:val="3"/>
          <w:color w:val="FFFFFF"/>
        </w:rPr>
        <w:t>GBM, GBS, JP</w:t>
      </w:r>
    </w:p>
    <w:p>
      <w:pPr>
        <w:spacing w:after="0" w:line="194" w:lineRule="auto"/>
        <w:rPr>
          <w:sz w:val="20"/>
          <w:szCs w:val="20"/>
          <w:color w:val="auto"/>
        </w:rPr>
      </w:pPr>
      <w:r>
        <w:rPr>
          <w:rFonts w:ascii="Arial" w:cs="Arial" w:eastAsia="Arial" w:hAnsi="Arial"/>
          <w:sz w:val="5"/>
          <w:szCs w:val="5"/>
          <w:color w:val="FFFFFF"/>
        </w:rPr>
        <w:t>(Vice Chairman of the Board)</w:t>
      </w:r>
    </w:p>
    <w:p>
      <w:pPr>
        <w:spacing w:after="0"/>
        <w:rPr>
          <w:sz w:val="20"/>
          <w:szCs w:val="20"/>
          <w:color w:val="auto"/>
        </w:rPr>
      </w:pPr>
      <w:r>
        <w:rPr>
          <w:rFonts w:ascii="Arial" w:cs="Arial" w:eastAsia="Arial" w:hAnsi="Arial"/>
          <w:sz w:val="3"/>
          <w:szCs w:val="3"/>
          <w:color w:val="FFFFFF"/>
        </w:rPr>
        <w:t>Independent Non-Executive Directors</w:t>
      </w:r>
    </w:p>
    <w:p>
      <w:pPr>
        <w:spacing w:after="0" w:line="194" w:lineRule="auto"/>
        <w:rPr>
          <w:sz w:val="20"/>
          <w:szCs w:val="20"/>
          <w:color w:val="auto"/>
        </w:rPr>
      </w:pPr>
      <w:r>
        <w:rPr>
          <w:rFonts w:ascii="Arial" w:cs="Arial" w:eastAsia="Arial" w:hAnsi="Arial"/>
          <w:sz w:val="5"/>
          <w:szCs w:val="5"/>
          <w:color w:val="FFFFFF"/>
        </w:rPr>
        <w:t>Mr. Jeffrey Kin-fung Lam, GBS, JP Mr. Bruce Rockowitz Mr. Nicholas Sallnow-Smith</w:t>
      </w:r>
    </w:p>
    <w:p>
      <w:pPr>
        <w:spacing w:after="0"/>
        <w:rPr>
          <w:sz w:val="20"/>
          <w:szCs w:val="20"/>
          <w:color w:val="auto"/>
        </w:rPr>
      </w:pPr>
      <w:r>
        <w:rPr>
          <w:rFonts w:ascii="Arial" w:cs="Arial" w:eastAsia="Arial" w:hAnsi="Arial"/>
          <w:sz w:val="3"/>
          <w:szCs w:val="3"/>
          <w:color w:val="FFFFFF"/>
        </w:rPr>
        <w:t>AUDIT COMMITTEE</w:t>
      </w:r>
    </w:p>
    <w:p>
      <w:pPr>
        <w:spacing w:after="0" w:line="6" w:lineRule="exact"/>
        <w:rPr>
          <w:sz w:val="20"/>
          <w:szCs w:val="20"/>
          <w:color w:val="auto"/>
        </w:rPr>
      </w:pPr>
    </w:p>
    <w:p>
      <w:pPr>
        <w:ind w:right="4959"/>
        <w:spacing w:after="0" w:line="187" w:lineRule="auto"/>
        <w:rPr>
          <w:sz w:val="20"/>
          <w:szCs w:val="20"/>
          <w:color w:val="auto"/>
        </w:rPr>
      </w:pPr>
      <w:r>
        <w:rPr>
          <w:rFonts w:ascii="Arial" w:cs="Arial" w:eastAsia="Arial" w:hAnsi="Arial"/>
          <w:sz w:val="9"/>
          <w:szCs w:val="9"/>
          <w:color w:val="FFFFFF"/>
        </w:rPr>
        <w:t>Mr. Nicholas Sallnow-Smith (Chairman) Mr. Bruce Rockowitz Dr. Allan Zeman, GBM, GBS, JP REMUNERATION COMMITTEE</w:t>
      </w:r>
    </w:p>
    <w:p>
      <w:pPr>
        <w:ind w:right="3739"/>
        <w:spacing w:after="0" w:line="211" w:lineRule="auto"/>
        <w:rPr>
          <w:sz w:val="20"/>
          <w:szCs w:val="20"/>
          <w:color w:val="auto"/>
        </w:rPr>
      </w:pPr>
      <w:r>
        <w:rPr>
          <w:rFonts w:ascii="Arial" w:cs="Arial" w:eastAsia="Arial" w:hAnsi="Arial"/>
          <w:sz w:val="8"/>
          <w:szCs w:val="8"/>
          <w:color w:val="FFFFFF"/>
        </w:rPr>
        <w:t>Mr. Nicholas Sallnow-Smith (Chairman) Mr. Jeffrey Kin-fung Lam, GBS, JP Mr. Bruce Rockowitz Mr. Marc D. Schorr NOMINATION AND CORPORATE GOVERNANCE COMMITTEE</w:t>
      </w:r>
    </w:p>
    <w:p>
      <w:pPr>
        <w:ind w:right="4199"/>
        <w:spacing w:after="0"/>
        <w:rPr>
          <w:sz w:val="20"/>
          <w:szCs w:val="20"/>
          <w:color w:val="auto"/>
        </w:rPr>
      </w:pPr>
      <w:r>
        <w:rPr>
          <w:rFonts w:ascii="Arial" w:cs="Arial" w:eastAsia="Arial" w:hAnsi="Arial"/>
          <w:sz w:val="10"/>
          <w:szCs w:val="10"/>
          <w:color w:val="FFFFFF"/>
        </w:rPr>
        <w:t>Mr. Jeffrey Kin-fung Lam, GBS, JP (Chairman) Mr. Nicholas Sallnow-Smith Dr. Allan Zeman, GBM, GBS, JP COMPANY SECRETARY</w:t>
      </w:r>
    </w:p>
    <w:p>
      <w:pPr>
        <w:spacing w:after="0" w:line="182" w:lineRule="auto"/>
        <w:rPr>
          <w:sz w:val="20"/>
          <w:szCs w:val="20"/>
          <w:color w:val="auto"/>
        </w:rPr>
      </w:pPr>
      <w:r>
        <w:rPr>
          <w:rFonts w:ascii="Arial" w:cs="Arial" w:eastAsia="Arial" w:hAnsi="Arial"/>
          <w:sz w:val="10"/>
          <w:szCs w:val="10"/>
          <w:color w:val="FFFFFF"/>
        </w:rPr>
        <w:t>AUTHORIZEDMs.KwokYuChing,REPRESENTATIVESFCIS,FCS</w:t>
      </w:r>
    </w:p>
    <w:p>
      <w:pPr>
        <w:spacing w:after="0"/>
        <w:rPr>
          <w:sz w:val="20"/>
          <w:szCs w:val="20"/>
          <w:color w:val="auto"/>
        </w:rPr>
      </w:pPr>
      <w:r>
        <w:rPr>
          <w:rFonts w:ascii="Arial" w:cs="Arial" w:eastAsia="Arial" w:hAnsi="Arial"/>
          <w:sz w:val="3"/>
          <w:szCs w:val="3"/>
          <w:color w:val="FFFFFF"/>
        </w:rPr>
        <w:t>(Mrs.Dr.AllanSengZeman,SzeKaGBM,Mee, GBS,NataliaJPasMs.alternate)Kwok Yu Ching, FCIS, FCS</w:t>
      </w:r>
    </w:p>
    <w:p>
      <w:pPr>
        <w:spacing w:after="0" w:line="194" w:lineRule="auto"/>
        <w:rPr>
          <w:sz w:val="20"/>
          <w:szCs w:val="20"/>
          <w:color w:val="auto"/>
        </w:rPr>
      </w:pPr>
      <w:r>
        <w:rPr>
          <w:rFonts w:ascii="Arial" w:cs="Arial" w:eastAsia="Arial" w:hAnsi="Arial"/>
          <w:sz w:val="5"/>
          <w:szCs w:val="5"/>
          <w:color w:val="FFFFFF"/>
        </w:rPr>
        <w:t>AUDITORS</w:t>
      </w:r>
    </w:p>
    <w:p>
      <w:pPr>
        <w:spacing w:after="0"/>
        <w:rPr>
          <w:sz w:val="20"/>
          <w:szCs w:val="20"/>
          <w:color w:val="auto"/>
        </w:rPr>
      </w:pPr>
      <w:r>
        <w:rPr>
          <w:rFonts w:ascii="Arial" w:cs="Arial" w:eastAsia="Arial" w:hAnsi="Arial"/>
          <w:sz w:val="3"/>
          <w:szCs w:val="3"/>
          <w:color w:val="FFFFFF"/>
        </w:rPr>
        <w:t>Ernst &amp; Young</w:t>
      </w:r>
    </w:p>
    <w:p>
      <w:pPr>
        <w:spacing w:after="0" w:line="194" w:lineRule="auto"/>
        <w:rPr>
          <w:sz w:val="20"/>
          <w:szCs w:val="20"/>
          <w:color w:val="auto"/>
        </w:rPr>
      </w:pPr>
      <w:r>
        <w:rPr>
          <w:rFonts w:ascii="Arial" w:cs="Arial" w:eastAsia="Arial" w:hAnsi="Arial"/>
          <w:sz w:val="5"/>
          <w:szCs w:val="5"/>
          <w:color w:val="FFFFFF"/>
        </w:rPr>
        <w:t>Certifi ed Public Accountants</w:t>
      </w:r>
    </w:p>
    <w:p>
      <w:pPr>
        <w:spacing w:after="0"/>
        <w:rPr>
          <w:sz w:val="20"/>
          <w:szCs w:val="20"/>
          <w:color w:val="auto"/>
        </w:rPr>
      </w:pPr>
      <w:r>
        <w:rPr>
          <w:rFonts w:ascii="Arial" w:cs="Arial" w:eastAsia="Arial" w:hAnsi="Arial"/>
          <w:sz w:val="3"/>
          <w:szCs w:val="3"/>
          <w:color w:val="FFFFFF"/>
        </w:rPr>
        <w:t>LEGAL ADVISORS</w:t>
      </w:r>
    </w:p>
    <w:p>
      <w:pPr>
        <w:spacing w:after="0" w:line="181" w:lineRule="auto"/>
        <w:rPr>
          <w:sz w:val="20"/>
          <w:szCs w:val="20"/>
          <w:color w:val="auto"/>
        </w:rPr>
      </w:pPr>
      <w:r>
        <w:rPr>
          <w:rFonts w:ascii="Arial" w:cs="Arial" w:eastAsia="Arial" w:hAnsi="Arial"/>
          <w:sz w:val="10"/>
          <w:szCs w:val="10"/>
          <w:color w:val="FFFFFF"/>
        </w:rPr>
        <w:t>As to Hong Kong and U.S. laws:</w:t>
      </w:r>
    </w:p>
    <w:p>
      <w:pPr>
        <w:spacing w:after="0" w:line="188" w:lineRule="auto"/>
        <w:rPr>
          <w:sz w:val="20"/>
          <w:szCs w:val="20"/>
          <w:color w:val="auto"/>
        </w:rPr>
      </w:pPr>
      <w:r>
        <w:rPr>
          <w:rFonts w:ascii="Arial" w:cs="Arial" w:eastAsia="Arial" w:hAnsi="Arial"/>
          <w:sz w:val="9"/>
          <w:szCs w:val="9"/>
          <w:color w:val="FFFFFF"/>
        </w:rPr>
        <w:t>AsSkadden,toHongArps,KongSlate,law:Meagher &amp; Flom</w:t>
      </w:r>
    </w:p>
    <w:p>
      <w:pPr>
        <w:spacing w:after="0" w:line="212" w:lineRule="auto"/>
        <w:rPr>
          <w:sz w:val="20"/>
          <w:szCs w:val="20"/>
          <w:color w:val="auto"/>
        </w:rPr>
      </w:pPr>
      <w:r>
        <w:rPr>
          <w:rFonts w:ascii="Arial" w:cs="Arial" w:eastAsia="Arial" w:hAnsi="Arial"/>
          <w:sz w:val="4"/>
          <w:szCs w:val="4"/>
          <w:color w:val="FFFFFF"/>
          <w:vertAlign w:val="superscript"/>
        </w:rPr>
        <w:t>As</w:t>
      </w:r>
      <w:r>
        <w:rPr>
          <w:rFonts w:ascii="Arial" w:cs="Arial" w:eastAsia="Arial" w:hAnsi="Arial"/>
          <w:sz w:val="2"/>
          <w:szCs w:val="2"/>
          <w:color w:val="FFFFFF"/>
        </w:rPr>
        <w:t>Mayer</w:t>
      </w:r>
      <w:r>
        <w:rPr>
          <w:rFonts w:ascii="Arial" w:cs="Arial" w:eastAsia="Arial" w:hAnsi="Arial"/>
          <w:sz w:val="4"/>
          <w:szCs w:val="4"/>
          <w:color w:val="FFFFFF"/>
          <w:vertAlign w:val="subscript"/>
        </w:rPr>
        <w:t>lexandre</w:t>
      </w:r>
      <w:r>
        <w:rPr>
          <w:rFonts w:ascii="Arial" w:cs="Arial" w:eastAsia="Arial" w:hAnsi="Arial"/>
          <w:sz w:val="2"/>
          <w:szCs w:val="2"/>
          <w:color w:val="FFFFFF"/>
        </w:rPr>
        <w:t>toMacauBrownlaw:JSM</w:t>
      </w:r>
    </w:p>
    <w:p>
      <w:pPr>
        <w:ind w:left="600"/>
        <w:spacing w:after="0" w:line="188" w:lineRule="auto"/>
        <w:rPr>
          <w:sz w:val="20"/>
          <w:szCs w:val="20"/>
          <w:color w:val="auto"/>
        </w:rPr>
      </w:pPr>
      <w:r>
        <w:rPr>
          <w:rFonts w:ascii="Arial" w:cs="Arial" w:eastAsia="Arial" w:hAnsi="Arial"/>
          <w:sz w:val="7"/>
          <w:szCs w:val="7"/>
          <w:color w:val="FFFFFF"/>
        </w:rPr>
        <w:t>Correia</w:t>
      </w:r>
      <w:r>
        <w:rPr>
          <w:rFonts w:ascii="Arial" w:cs="Arial" w:eastAsia="Arial" w:hAnsi="Arial"/>
          <w:sz w:val="9"/>
          <w:szCs w:val="9"/>
          <w:color w:val="FFFFFF"/>
          <w:vertAlign w:val="subscript"/>
        </w:rPr>
        <w:t>Islands</w:t>
      </w:r>
      <w:r>
        <w:rPr>
          <w:rFonts w:ascii="Arial" w:cs="Arial" w:eastAsia="Arial" w:hAnsi="Arial"/>
          <w:sz w:val="7"/>
          <w:szCs w:val="7"/>
          <w:color w:val="FFFFFF"/>
        </w:rPr>
        <w:t>da Silva</w:t>
      </w:r>
    </w:p>
    <w:p>
      <w:pPr>
        <w:spacing w:after="0"/>
        <w:tabs>
          <w:tab w:leader="none" w:pos="1220" w:val="left"/>
        </w:tabs>
        <w:rPr>
          <w:sz w:val="20"/>
          <w:szCs w:val="20"/>
          <w:color w:val="auto"/>
        </w:rPr>
      </w:pPr>
      <w:r>
        <w:rPr>
          <w:rFonts w:ascii="Arial" w:cs="Arial" w:eastAsia="Arial" w:hAnsi="Arial"/>
          <w:sz w:val="3"/>
          <w:szCs w:val="3"/>
          <w:color w:val="FFFFFF"/>
        </w:rPr>
        <w:t>MaplestoCaymanandCalder</w:t>
      </w:r>
      <w:r>
        <w:rPr>
          <w:sz w:val="20"/>
          <w:szCs w:val="20"/>
          <w:color w:val="auto"/>
        </w:rPr>
        <w:tab/>
      </w:r>
      <w:r>
        <w:rPr>
          <w:rFonts w:ascii="Arial" w:cs="Arial" w:eastAsia="Arial" w:hAnsi="Arial"/>
          <w:sz w:val="3"/>
          <w:szCs w:val="3"/>
          <w:color w:val="FFFFFF"/>
        </w:rPr>
        <w:t>law:</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 Mr. Kazuo Okada ceased to be a member of our Board on 24 February 2012.</w:t>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3</w:t>
      </w:r>
    </w:p>
    <w:p>
      <w:pPr>
        <w:spacing w:after="0"/>
        <w:rPr>
          <w:sz w:val="20"/>
          <w:szCs w:val="20"/>
          <w:color w:val="auto"/>
        </w:rPr>
      </w:pPr>
      <w:r>
        <w:rPr>
          <w:rFonts w:ascii="Arial" w:cs="Arial" w:eastAsia="Arial" w:hAnsi="Arial"/>
          <w:sz w:val="3"/>
          <w:szCs w:val="3"/>
          <w:color w:val="FFFFFF"/>
        </w:rPr>
        <w:t>Corporate Information</w:t>
      </w:r>
    </w:p>
    <w:p>
      <w:pPr>
        <w:spacing w:after="0" w:line="194" w:lineRule="auto"/>
        <w:rPr>
          <w:sz w:val="20"/>
          <w:szCs w:val="20"/>
          <w:color w:val="auto"/>
        </w:rPr>
      </w:pPr>
      <w:r>
        <w:rPr>
          <w:rFonts w:ascii="Arial" w:cs="Arial" w:eastAsia="Arial" w:hAnsi="Arial"/>
          <w:sz w:val="5"/>
          <w:szCs w:val="5"/>
          <w:color w:val="FFFFFF"/>
        </w:rPr>
        <w:t>REGISTERED OFFICE</w:t>
      </w:r>
    </w:p>
    <w:p>
      <w:pPr>
        <w:spacing w:after="0"/>
        <w:rPr>
          <w:sz w:val="20"/>
          <w:szCs w:val="20"/>
          <w:color w:val="auto"/>
        </w:rPr>
      </w:pPr>
      <w:r>
        <w:rPr>
          <w:rFonts w:ascii="Arial" w:cs="Arial" w:eastAsia="Arial" w:hAnsi="Arial"/>
          <w:sz w:val="3"/>
          <w:szCs w:val="3"/>
          <w:color w:val="FFFFFF"/>
        </w:rPr>
        <w:t>P.O. Box 309 Ugland House Grand Cayman KY1-1104 Cayman Islands</w:t>
      </w:r>
    </w:p>
    <w:p>
      <w:pPr>
        <w:spacing w:after="0" w:line="194" w:lineRule="auto"/>
        <w:rPr>
          <w:sz w:val="20"/>
          <w:szCs w:val="20"/>
          <w:color w:val="auto"/>
        </w:rPr>
      </w:pPr>
      <w:r>
        <w:rPr>
          <w:rFonts w:ascii="Arial" w:cs="Arial" w:eastAsia="Arial" w:hAnsi="Arial"/>
          <w:sz w:val="5"/>
          <w:szCs w:val="5"/>
          <w:color w:val="FFFFFF"/>
        </w:rPr>
        <w:t>HEADQUARTERS IN MACAU</w:t>
      </w:r>
    </w:p>
    <w:p>
      <w:pPr>
        <w:spacing w:after="0" w:line="188" w:lineRule="auto"/>
        <w:rPr>
          <w:sz w:val="20"/>
          <w:szCs w:val="20"/>
          <w:color w:val="auto"/>
        </w:rPr>
      </w:pPr>
      <w:r>
        <w:rPr>
          <w:rFonts w:ascii="Arial" w:cs="Arial" w:eastAsia="Arial" w:hAnsi="Arial"/>
          <w:sz w:val="9"/>
          <w:szCs w:val="9"/>
          <w:color w:val="FFFFFF"/>
        </w:rPr>
        <w:t>Rua Cidade de Sintra NAPE, Macau SAR</w:t>
      </w:r>
    </w:p>
    <w:p>
      <w:pPr>
        <w:spacing w:after="0"/>
        <w:rPr>
          <w:sz w:val="20"/>
          <w:szCs w:val="20"/>
          <w:color w:val="auto"/>
        </w:rPr>
      </w:pPr>
      <w:r>
        <w:rPr>
          <w:rFonts w:ascii="Arial" w:cs="Arial" w:eastAsia="Arial" w:hAnsi="Arial"/>
          <w:sz w:val="3"/>
          <w:szCs w:val="3"/>
          <w:color w:val="FFFFFF"/>
        </w:rPr>
        <w:t>LevelPRINCIPAL28,ThreePLACEPacifiOFcPlaceBUSINESS IN HONG KONG</w:t>
      </w:r>
    </w:p>
    <w:p>
      <w:pPr>
        <w:spacing w:after="0" w:line="181" w:lineRule="auto"/>
        <w:rPr>
          <w:sz w:val="20"/>
          <w:szCs w:val="20"/>
          <w:color w:val="auto"/>
        </w:rPr>
      </w:pPr>
      <w:r>
        <w:rPr>
          <w:rFonts w:ascii="Arial" w:cs="Arial" w:eastAsia="Arial" w:hAnsi="Arial"/>
          <w:sz w:val="10"/>
          <w:szCs w:val="10"/>
          <w:color w:val="FFFFFF"/>
        </w:rPr>
        <w:t>1 Queen’s Road East Hong Kong</w:t>
      </w:r>
    </w:p>
    <w:p>
      <w:pPr>
        <w:spacing w:after="0" w:line="188" w:lineRule="auto"/>
        <w:rPr>
          <w:sz w:val="20"/>
          <w:szCs w:val="20"/>
          <w:color w:val="auto"/>
        </w:rPr>
      </w:pPr>
      <w:r>
        <w:rPr>
          <w:rFonts w:ascii="Arial" w:cs="Arial" w:eastAsia="Arial" w:hAnsi="Arial"/>
          <w:sz w:val="9"/>
          <w:szCs w:val="9"/>
          <w:color w:val="FFFFFF"/>
        </w:rPr>
        <w:t>ApplebyPRINCIPALTrustSHARE(Cayman)REGISTRARLimited AND TRANSFER OFFICE</w:t>
      </w:r>
    </w:p>
    <w:p>
      <w:pPr>
        <w:spacing w:after="0" w:line="188" w:lineRule="auto"/>
        <w:rPr>
          <w:sz w:val="20"/>
          <w:szCs w:val="20"/>
          <w:color w:val="auto"/>
        </w:rPr>
      </w:pPr>
      <w:r>
        <w:rPr>
          <w:rFonts w:ascii="Arial" w:cs="Arial" w:eastAsia="Arial" w:hAnsi="Arial"/>
          <w:sz w:val="9"/>
          <w:szCs w:val="9"/>
          <w:color w:val="FFFFFF"/>
        </w:rPr>
        <w:t>ComputershareHONGKONG SHAREHongKongREGISTRARInvestorServices Limited</w:t>
      </w:r>
    </w:p>
    <w:p>
      <w:pPr>
        <w:spacing w:after="0"/>
        <w:rPr>
          <w:sz w:val="20"/>
          <w:szCs w:val="20"/>
          <w:color w:val="auto"/>
        </w:rPr>
      </w:pPr>
      <w:r>
        <w:rPr>
          <w:rFonts w:ascii="Arial" w:cs="Arial" w:eastAsia="Arial" w:hAnsi="Arial"/>
          <w:sz w:val="3"/>
          <w:szCs w:val="3"/>
          <w:color w:val="FFFFFF"/>
        </w:rPr>
        <w:t>1128STOCK CODE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COMPANY WEBSITE www.wynnmacaulimited.com</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Highlights4WynnMacau, Limited</w:t>
      </w:r>
    </w:p>
    <w:p>
      <w:pPr>
        <w:spacing w:after="0" w:line="211" w:lineRule="auto"/>
        <w:rPr>
          <w:sz w:val="20"/>
          <w:szCs w:val="20"/>
          <w:color w:val="auto"/>
        </w:rPr>
      </w:pPr>
      <w:r>
        <w:rPr>
          <w:rFonts w:ascii="Arial" w:cs="Arial" w:eastAsia="Arial" w:hAnsi="Arial"/>
          <w:sz w:val="4"/>
          <w:szCs w:val="4"/>
          <w:color w:val="FFFFFF"/>
          <w:vertAlign w:val="superscript"/>
        </w:rPr>
        <w:t>For</w:t>
      </w:r>
    </w:p>
    <w:p>
      <w:pPr>
        <w:ind w:left="80"/>
        <w:spacing w:after="0"/>
        <w:rPr>
          <w:sz w:val="20"/>
          <w:szCs w:val="20"/>
          <w:color w:val="auto"/>
        </w:rPr>
      </w:pPr>
      <w:r>
        <w:rPr>
          <w:rFonts w:ascii="Arial" w:cs="Arial" w:eastAsia="Arial" w:hAnsi="Arial"/>
          <w:sz w:val="3"/>
          <w:szCs w:val="3"/>
          <w:color w:val="FFFFFF"/>
        </w:rPr>
        <w:t>INANCIALtheyearendedHIGHLIGHTS</w:t>
      </w:r>
    </w:p>
    <w:p>
      <w:pPr>
        <w:spacing w:after="0" w:line="194" w:lineRule="auto"/>
        <w:rPr>
          <w:sz w:val="20"/>
          <w:szCs w:val="20"/>
          <w:color w:val="auto"/>
        </w:rPr>
      </w:pPr>
      <w:r>
        <w:rPr>
          <w:rFonts w:ascii="Arial" w:cs="Arial" w:eastAsia="Arial" w:hAnsi="Arial"/>
          <w:sz w:val="5"/>
          <w:szCs w:val="5"/>
          <w:color w:val="FFFFFF"/>
        </w:rPr>
        <w:t>31 December</w:t>
      </w:r>
    </w:p>
    <w:p>
      <w:pPr>
        <w:spacing w:after="0" w:line="188" w:lineRule="auto"/>
        <w:rPr>
          <w:sz w:val="20"/>
          <w:szCs w:val="20"/>
          <w:color w:val="auto"/>
        </w:rPr>
      </w:pPr>
      <w:r>
        <w:rPr>
          <w:rFonts w:ascii="Arial" w:cs="Arial" w:eastAsia="Arial" w:hAnsi="Arial"/>
          <w:sz w:val="9"/>
          <w:szCs w:val="9"/>
          <w:color w:val="FFFFFF"/>
        </w:rPr>
        <w:t>2011 2010</w:t>
      </w:r>
    </w:p>
    <w:p>
      <w:pPr>
        <w:spacing w:after="0" w:line="187" w:lineRule="auto"/>
        <w:rPr>
          <w:sz w:val="20"/>
          <w:szCs w:val="20"/>
          <w:color w:val="auto"/>
        </w:rPr>
      </w:pPr>
      <w:r>
        <w:rPr>
          <w:rFonts w:ascii="Arial" w:cs="Arial" w:eastAsia="Arial" w:hAnsi="Arial"/>
          <w:sz w:val="9"/>
          <w:szCs w:val="9"/>
          <w:color w:val="FFFFFF"/>
        </w:rPr>
        <w:t>(inHKthousands,$HK$</w:t>
      </w:r>
    </w:p>
    <w:p>
      <w:pPr>
        <w:spacing w:after="0"/>
        <w:rPr>
          <w:sz w:val="20"/>
          <w:szCs w:val="20"/>
          <w:color w:val="auto"/>
        </w:rPr>
      </w:pPr>
      <w:r>
        <w:rPr>
          <w:rFonts w:ascii="Arial" w:cs="Arial" w:eastAsia="Arial" w:hAnsi="Arial"/>
          <w:sz w:val="3"/>
          <w:szCs w:val="3"/>
          <w:color w:val="FFFFFF"/>
        </w:rPr>
        <w:t>orexceptotherwisepersharestated)amounts</w:t>
      </w:r>
    </w:p>
    <w:p>
      <w:pPr>
        <w:spacing w:after="0" w:line="181" w:lineRule="auto"/>
        <w:rPr>
          <w:sz w:val="20"/>
          <w:szCs w:val="20"/>
          <w:color w:val="auto"/>
        </w:rPr>
      </w:pPr>
      <w:r>
        <w:rPr>
          <w:rFonts w:ascii="Arial" w:cs="Arial" w:eastAsia="Arial" w:hAnsi="Arial"/>
          <w:sz w:val="10"/>
          <w:szCs w:val="10"/>
          <w:color w:val="FFFFFF"/>
        </w:rPr>
        <w:t>Casino revenues 27,755,965 21,057,676</w:t>
      </w:r>
    </w:p>
    <w:p>
      <w:pPr>
        <w:spacing w:after="0" w:line="188" w:lineRule="auto"/>
        <w:rPr>
          <w:sz w:val="20"/>
          <w:szCs w:val="20"/>
          <w:color w:val="auto"/>
        </w:rPr>
      </w:pPr>
      <w:r>
        <w:rPr>
          <w:rFonts w:ascii="Arial" w:cs="Arial" w:eastAsia="Arial" w:hAnsi="Arial"/>
          <w:sz w:val="9"/>
          <w:szCs w:val="9"/>
          <w:color w:val="FFFFFF"/>
        </w:rPr>
        <w:t>EBITDAOtherrevenues7,951,2861,742,1275,876,1341,381,263</w:t>
      </w:r>
    </w:p>
    <w:p>
      <w:pPr>
        <w:spacing w:after="0" w:line="188" w:lineRule="auto"/>
        <w:rPr>
          <w:sz w:val="20"/>
          <w:szCs w:val="20"/>
          <w:color w:val="auto"/>
        </w:rPr>
      </w:pPr>
      <w:r>
        <w:rPr>
          <w:rFonts w:ascii="Arial" w:cs="Arial" w:eastAsia="Arial" w:hAnsi="Arial"/>
          <w:sz w:val="7"/>
          <w:szCs w:val="7"/>
          <w:color w:val="FFFFFF"/>
        </w:rPr>
        <w:t>EarningsProfitattributableperShareto—ownersbasic and5,921,013diluted</w:t>
      </w:r>
      <w:r>
        <w:rPr>
          <w:rFonts w:ascii="Arial" w:cs="Arial" w:eastAsia="Arial" w:hAnsi="Arial"/>
          <w:sz w:val="9"/>
          <w:szCs w:val="9"/>
          <w:color w:val="FFFFFF"/>
          <w:vertAlign w:val="subscript"/>
        </w:rPr>
        <w:t>4,422,010</w:t>
      </w:r>
      <w:r>
        <w:rPr>
          <w:rFonts w:ascii="Arial" w:cs="Arial" w:eastAsia="Arial" w:hAnsi="Arial"/>
          <w:sz w:val="7"/>
          <w:szCs w:val="7"/>
          <w:color w:val="FFFFFF"/>
        </w:rPr>
        <w:t>(HK$).14 0.85</w:t>
      </w:r>
    </w:p>
    <w:p>
      <w:pPr>
        <w:spacing w:after="0" w:line="188" w:lineRule="auto"/>
        <w:rPr>
          <w:sz w:val="20"/>
          <w:szCs w:val="20"/>
          <w:color w:val="auto"/>
        </w:rPr>
      </w:pPr>
      <w:r>
        <w:rPr>
          <w:rFonts w:ascii="Arial" w:cs="Arial" w:eastAsia="Arial" w:hAnsi="Arial"/>
          <w:sz w:val="9"/>
          <w:szCs w:val="9"/>
          <w:color w:val="FFFFFF"/>
        </w:rPr>
        <w:t>AnnualKEYSHAREHOLDERgeneralmeeting JuneDATES2012FOR 2012</w:t>
      </w:r>
    </w:p>
    <w:p>
      <w:pPr>
        <w:spacing w:after="0"/>
        <w:rPr>
          <w:sz w:val="20"/>
          <w:szCs w:val="20"/>
          <w:color w:val="auto"/>
        </w:rPr>
      </w:pPr>
      <w:r>
        <w:rPr>
          <w:rFonts w:ascii="Arial" w:cs="Arial" w:eastAsia="Arial" w:hAnsi="Arial"/>
          <w:sz w:val="10"/>
          <w:szCs w:val="10"/>
          <w:color w:val="FFFFFF"/>
          <w:vertAlign w:val="subscript"/>
        </w:rPr>
        <w:t>Release of interim report</w:t>
      </w:r>
      <w:r>
        <w:rPr>
          <w:rFonts w:ascii="Arial" w:cs="Arial" w:eastAsia="Arial" w:hAnsi="Arial"/>
          <w:sz w:val="7"/>
          <w:szCs w:val="7"/>
          <w:color w:val="FFFFFF"/>
        </w:rPr>
        <w:t>sults inin respectrespect ofof thethe sixsix monthsmonths endingending 3030 JuneJune 20122012 SeptemberAugust20122012</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Arial" w:cs="Arial" w:eastAsia="Arial" w:hAnsi="Arial"/>
                <w:sz w:val="14"/>
                <w:szCs w:val="14"/>
                <w:color w:val="FFFFFF"/>
              </w:rPr>
              <w:t>Annual Report 2011 5</w:t>
            </w:r>
          </w:p>
        </w:tc>
        <w:tc>
          <w:tcPr>
            <w:tcW w:w="38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5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20"/>
                <w:szCs w:val="20"/>
                <w:color w:val="auto"/>
              </w:rPr>
            </w:pPr>
            <w:r>
              <w:rPr>
                <w:rFonts w:ascii="Arial" w:cs="Arial" w:eastAsia="Arial" w:hAnsi="Arial"/>
                <w:sz w:val="3"/>
                <w:szCs w:val="3"/>
                <w:color w:val="FFFFFF"/>
              </w:rPr>
              <w:t>OVERVIEW</w:t>
            </w:r>
          </w:p>
        </w:tc>
        <w:tc>
          <w:tcPr>
            <w:tcW w:w="3820" w:type="dxa"/>
            <w:vAlign w:val="bottom"/>
          </w:tcPr>
          <w:p>
            <w:pPr>
              <w:spacing w:after="0"/>
              <w:rPr>
                <w:sz w:val="3"/>
                <w:szCs w:val="3"/>
                <w:color w:val="auto"/>
              </w:rPr>
            </w:pPr>
          </w:p>
        </w:tc>
        <w:tc>
          <w:tcPr>
            <w:tcW w:w="572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Macau peninsula. In December 2007 and November 2009, Wynn Macau completed expansions, adding</w:t>
            </w: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Wynn Macau opened to the public on 6 September 2006 at the center of casino activities on the</w:t>
            </w:r>
          </w:p>
        </w:tc>
        <w:tc>
          <w:tcPr>
            <w:tcW w:w="5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3"/>
          </w:tcPr>
          <w:p>
            <w:pPr>
              <w:spacing w:after="0"/>
              <w:rPr>
                <w:sz w:val="20"/>
                <w:szCs w:val="20"/>
                <w:color w:val="auto"/>
              </w:rPr>
            </w:pPr>
            <w:r>
              <w:rPr>
                <w:rFonts w:ascii="Arial" w:cs="Arial" w:eastAsia="Arial" w:hAnsi="Arial"/>
                <w:sz w:val="3"/>
                <w:szCs w:val="3"/>
                <w:color w:val="FFFFFF"/>
              </w:rPr>
              <w:t>more gaming space and additional food and beverage and retail amenities. Encore at Wynn Macau,urbanfurther expansion of Wynn Macau that added a fully integrated resort hotel, opened on 21 April 2010.</w:t>
            </w: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Our Macau resort complex features:</w:t>
            </w:r>
          </w:p>
        </w:tc>
        <w:tc>
          <w:tcPr>
            <w:tcW w:w="5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 Approximately 265,000 square feet of casino space, offering 24-hour gaming and a full range of</w:t>
            </w:r>
          </w:p>
        </w:tc>
        <w:tc>
          <w:tcPr>
            <w:tcW w:w="5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20"/>
                <w:szCs w:val="20"/>
                <w:color w:val="auto"/>
              </w:rPr>
            </w:pPr>
            <w:r>
              <w:rPr>
                <w:rFonts w:ascii="Arial" w:cs="Arial" w:eastAsia="Arial" w:hAnsi="Arial"/>
                <w:sz w:val="3"/>
                <w:szCs w:val="3"/>
                <w:color w:val="FFFFFF"/>
              </w:rPr>
              <w:t>games, including private</w:t>
            </w:r>
          </w:p>
        </w:tc>
        <w:tc>
          <w:tcPr>
            <w:tcW w:w="3820" w:type="dxa"/>
            <w:vAlign w:val="bottom"/>
          </w:tcPr>
          <w:p>
            <w:pPr>
              <w:ind w:left="240"/>
              <w:spacing w:after="0"/>
              <w:rPr>
                <w:sz w:val="20"/>
                <w:szCs w:val="20"/>
                <w:color w:val="auto"/>
              </w:rPr>
            </w:pPr>
            <w:r>
              <w:rPr>
                <w:rFonts w:ascii="Arial" w:cs="Arial" w:eastAsia="Arial" w:hAnsi="Arial"/>
                <w:sz w:val="3"/>
                <w:szCs w:val="3"/>
                <w:color w:val="FFFFFF"/>
              </w:rPr>
              <w:t>salons, sky casinos and a poker pit;</w:t>
            </w:r>
          </w:p>
        </w:tc>
        <w:tc>
          <w:tcPr>
            <w:tcW w:w="5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00" w:type="dxa"/>
            <w:vAlign w:val="bottom"/>
            <w:gridSpan w:val="2"/>
          </w:tcPr>
          <w:p>
            <w:pPr>
              <w:ind w:left="80"/>
              <w:spacing w:after="0"/>
              <w:rPr>
                <w:sz w:val="20"/>
                <w:szCs w:val="20"/>
                <w:color w:val="auto"/>
              </w:rPr>
            </w:pPr>
            <w:r>
              <w:rPr>
                <w:rFonts w:ascii="Arial" w:cs="Arial" w:eastAsia="Arial" w:hAnsi="Arial"/>
                <w:sz w:val="3"/>
                <w:szCs w:val="3"/>
                <w:color w:val="FFFFFF"/>
              </w:rPr>
              <w:t>Two luxury hotel towersgamingwith total of 1,008 spacious rooms and suites;</w:t>
            </w:r>
          </w:p>
        </w:tc>
        <w:tc>
          <w:tcPr>
            <w:tcW w:w="5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00" w:type="dxa"/>
            <w:vAlign w:val="bottom"/>
            <w:gridSpan w:val="2"/>
          </w:tcPr>
          <w:p>
            <w:pPr>
              <w:ind w:left="80"/>
              <w:spacing w:after="0"/>
              <w:rPr>
                <w:sz w:val="20"/>
                <w:szCs w:val="20"/>
                <w:color w:val="auto"/>
              </w:rPr>
            </w:pPr>
            <w:r>
              <w:rPr>
                <w:rFonts w:ascii="Arial" w:cs="Arial" w:eastAsia="Arial" w:hAnsi="Arial"/>
                <w:sz w:val="3"/>
                <w:szCs w:val="3"/>
                <w:color w:val="FFFFFF"/>
              </w:rPr>
              <w:t>Casual and fine dining in eight restaurants;</w:t>
            </w:r>
          </w:p>
        </w:tc>
        <w:tc>
          <w:tcPr>
            <w:tcW w:w="5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 Approximately 54,200 square feet of high-end, brand-name retail shopping, including stores</w:t>
            </w:r>
          </w:p>
        </w:tc>
        <w:tc>
          <w:tcPr>
            <w:tcW w:w="5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and boutiques such as Bvlgari, Cartier, Chanel, Dior, Dunhill, Ermenegildo Zegna, Ferrari,</w:t>
            </w:r>
          </w:p>
        </w:tc>
        <w:tc>
          <w:tcPr>
            <w:tcW w:w="5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20"/>
                <w:szCs w:val="20"/>
                <w:color w:val="auto"/>
              </w:rPr>
            </w:pPr>
            <w:r>
              <w:rPr>
                <w:rFonts w:ascii="Arial" w:cs="Arial" w:eastAsia="Arial" w:hAnsi="Arial"/>
                <w:sz w:val="3"/>
                <w:szCs w:val="3"/>
                <w:color w:val="FFFFFF"/>
              </w:rPr>
              <w:t>Giorgio Armani,</w:t>
            </w:r>
          </w:p>
        </w:tc>
        <w:tc>
          <w:tcPr>
            <w:tcW w:w="3820" w:type="dxa"/>
            <w:vAlign w:val="bottom"/>
          </w:tcPr>
          <w:p>
            <w:pPr>
              <w:ind w:left="240"/>
              <w:spacing w:after="0"/>
              <w:rPr>
                <w:sz w:val="20"/>
                <w:szCs w:val="20"/>
                <w:color w:val="auto"/>
              </w:rPr>
            </w:pPr>
            <w:r>
              <w:rPr>
                <w:rFonts w:ascii="Arial" w:cs="Arial" w:eastAsia="Arial" w:hAnsi="Arial"/>
                <w:sz w:val="3"/>
                <w:szCs w:val="3"/>
                <w:color w:val="FFFFFF"/>
              </w:rPr>
              <w:t>Hugo Boss, Jaeger LeCoultre, Louis Vuitton, Miu Miu, Piaget,</w:t>
            </w:r>
          </w:p>
        </w:tc>
        <w:tc>
          <w:tcPr>
            <w:tcW w:w="5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Prada, Rolex, TiffanyGucci,TudorHermes,Vacheron Constantin, Van Cleef &amp; Arpels, Versace, Vertu, and</w:t>
            </w:r>
          </w:p>
        </w:tc>
        <w:tc>
          <w:tcPr>
            <w:tcW w:w="5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580" w:type="dxa"/>
            <w:vAlign w:val="bottom"/>
          </w:tcPr>
          <w:p>
            <w:pPr>
              <w:spacing w:after="0"/>
              <w:rPr>
                <w:sz w:val="20"/>
                <w:szCs w:val="20"/>
                <w:color w:val="auto"/>
              </w:rPr>
            </w:pPr>
            <w:r>
              <w:rPr>
                <w:rFonts w:ascii="Arial" w:cs="Arial" w:eastAsia="Arial" w:hAnsi="Arial"/>
                <w:sz w:val="3"/>
                <w:szCs w:val="3"/>
                <w:color w:val="FFFFFF"/>
              </w:rPr>
              <w:t>others;</w:t>
            </w:r>
          </w:p>
        </w:tc>
        <w:tc>
          <w:tcPr>
            <w:tcW w:w="38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perscript"/>
        </w:rPr>
        <w:t>•</w:t>
      </w:r>
    </w:p>
    <w:p>
      <w:pPr>
        <w:ind w:left="80"/>
        <w:spacing w:after="0" w:line="181" w:lineRule="auto"/>
        <w:rPr>
          <w:sz w:val="20"/>
          <w:szCs w:val="20"/>
          <w:color w:val="auto"/>
        </w:rPr>
      </w:pPr>
      <w:r>
        <w:rPr>
          <w:rFonts w:ascii="Arial" w:cs="Arial" w:eastAsia="Arial" w:hAnsi="Arial"/>
          <w:sz w:val="14"/>
          <w:szCs w:val="14"/>
          <w:color w:val="FFFFFF"/>
        </w:rPr>
        <w:t>LoungesRecreationandandmeetingleisurefacilities.facilities, including two health clubs and spas, a salon, a pool; and</w:t>
      </w:r>
    </w:p>
    <w:p>
      <w:pPr>
        <w:spacing w:after="0"/>
        <w:rPr>
          <w:sz w:val="20"/>
          <w:szCs w:val="20"/>
          <w:color w:val="auto"/>
        </w:rPr>
      </w:pPr>
      <w:r>
        <w:rPr>
          <w:rFonts w:ascii="Arial" w:cs="Arial" w:eastAsia="Arial" w:hAnsi="Arial"/>
          <w:sz w:val="3"/>
          <w:szCs w:val="3"/>
          <w:color w:val="FFFFFF"/>
        </w:rPr>
        <w:t>2011 2010</w:t>
      </w:r>
    </w:p>
    <w:p>
      <w:pPr>
        <w:spacing w:after="0" w:line="194" w:lineRule="auto"/>
        <w:rPr>
          <w:sz w:val="20"/>
          <w:szCs w:val="20"/>
          <w:color w:val="auto"/>
        </w:rPr>
      </w:pPr>
      <w:r>
        <w:rPr>
          <w:rFonts w:ascii="Arial" w:cs="Arial" w:eastAsia="Arial" w:hAnsi="Arial"/>
          <w:sz w:val="5"/>
          <w:szCs w:val="5"/>
          <w:color w:val="FFFFFF"/>
        </w:rPr>
        <w:t>VIP table games 295 238</w:t>
      </w:r>
    </w:p>
    <w:p>
      <w:pPr>
        <w:spacing w:after="0"/>
        <w:rPr>
          <w:sz w:val="20"/>
          <w:szCs w:val="20"/>
          <w:color w:val="auto"/>
        </w:rPr>
      </w:pPr>
      <w:r>
        <w:rPr>
          <w:rFonts w:ascii="Arial" w:cs="Arial" w:eastAsia="Arial" w:hAnsi="Arial"/>
          <w:sz w:val="3"/>
          <w:szCs w:val="3"/>
          <w:color w:val="FFFFFF"/>
        </w:rPr>
        <w:t>Mass market table games 195 225</w:t>
      </w:r>
    </w:p>
    <w:p>
      <w:pPr>
        <w:spacing w:after="0" w:line="194" w:lineRule="auto"/>
        <w:rPr>
          <w:sz w:val="20"/>
          <w:szCs w:val="20"/>
          <w:color w:val="auto"/>
        </w:rPr>
      </w:pPr>
      <w:r>
        <w:rPr>
          <w:rFonts w:ascii="Arial" w:cs="Arial" w:eastAsia="Arial" w:hAnsi="Arial"/>
          <w:sz w:val="5"/>
          <w:szCs w:val="5"/>
          <w:color w:val="FFFFFF"/>
        </w:rPr>
        <w:t>Slot machines 930 1,013</w:t>
      </w:r>
    </w:p>
    <w:p>
      <w:pPr>
        <w:spacing w:after="0" w:line="188" w:lineRule="auto"/>
        <w:rPr>
          <w:sz w:val="20"/>
          <w:szCs w:val="20"/>
          <w:color w:val="auto"/>
        </w:rPr>
      </w:pPr>
      <w:r>
        <w:rPr>
          <w:rFonts w:ascii="Arial" w:cs="Arial" w:eastAsia="Arial" w:hAnsi="Arial"/>
          <w:sz w:val="9"/>
          <w:szCs w:val="9"/>
          <w:color w:val="FFFFFF"/>
        </w:rPr>
        <w:t>Poker tables 11 11</w:t>
      </w:r>
    </w:p>
    <w:p>
      <w:pPr>
        <w:spacing w:after="0"/>
        <w:rPr>
          <w:sz w:val="20"/>
          <w:szCs w:val="20"/>
          <w:color w:val="auto"/>
        </w:rPr>
      </w:pPr>
      <w:r>
        <w:rPr>
          <w:rFonts w:ascii="Arial" w:cs="Arial" w:eastAsia="Arial" w:hAnsi="Arial"/>
          <w:sz w:val="14"/>
          <w:szCs w:val="14"/>
          <w:color w:val="FFFFFF"/>
        </w:rPr>
        <w:t>andInresponsewillcontinuetoour toevaluationmakeenhancementsofouroperationsandrefinementsandthefeedbacktoour resortfrom ourcomplex.guests, we have been,</w:t>
      </w:r>
    </w:p>
    <w:p>
      <w:pPr>
        <w:sectPr>
          <w:pgSz w:w="11900" w:h="16838" w:orient="portrait"/>
          <w:cols w:equalWidth="0" w:num="1">
            <w:col w:w="11120"/>
          </w:cols>
          <w:pgMar w:left="240" w:top="1440" w:right="5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Arial" w:cs="Arial" w:eastAsia="Arial" w:hAnsi="Arial"/>
                <w:sz w:val="14"/>
                <w:szCs w:val="14"/>
                <w:color w:val="FFFFFF"/>
              </w:rPr>
              <w:t>Wynn Macau, Limited</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41"/>
        </w:trPr>
        <w:tc>
          <w:tcPr>
            <w:tcW w:w="324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1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940" w:type="dxa"/>
            <w:vAlign w:val="bottom"/>
          </w:tcPr>
          <w:p>
            <w:pPr>
              <w:spacing w:after="0"/>
              <w:rPr>
                <w:sz w:val="3"/>
                <w:szCs w:val="3"/>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Cotai Development</w:t>
            </w:r>
          </w:p>
        </w:tc>
        <w:tc>
          <w:tcPr>
            <w:tcW w:w="15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940" w:type="dxa"/>
            <w:vAlign w:val="bottom"/>
          </w:tcPr>
          <w:p>
            <w:pPr>
              <w:spacing w:after="0"/>
              <w:rPr>
                <w:sz w:val="3"/>
                <w:szCs w:val="3"/>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In September 2011, the Group formally accepted the terms and conditions of a draft land concession contract from the Macau government for approximately 51 acres of land in the Cotai area of Macau (the</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“Cotai Land”). In December 2011, we paid the initial deposit of MOP500 million (approximately HK$485.4 million) pursuant to this draft land concession contract. We will also need to make eight additional</w:t>
            </w: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semi-  nual payments in the</w:t>
            </w:r>
          </w:p>
        </w:tc>
        <w:tc>
          <w:tcPr>
            <w:tcW w:w="9700" w:type="dxa"/>
            <w:vAlign w:val="bottom"/>
            <w:gridSpan w:val="5"/>
          </w:tcPr>
          <w:p>
            <w:pPr>
              <w:jc w:val="right"/>
              <w:ind w:right="443"/>
              <w:spacing w:after="0"/>
              <w:rPr>
                <w:sz w:val="20"/>
                <w:szCs w:val="20"/>
                <w:color w:val="auto"/>
              </w:rPr>
            </w:pPr>
            <w:r>
              <w:rPr>
                <w:rFonts w:ascii="Arial" w:cs="Arial" w:eastAsia="Arial" w:hAnsi="Arial"/>
                <w:sz w:val="3"/>
                <w:szCs w:val="3"/>
                <w:color w:val="FFFFFF"/>
              </w:rPr>
              <w:t>of MOP130.9 million (approximately HK$127.1 million) each, which includes 5% interest as required by the Macau government. The fi rst of the eight semi-annual</w:t>
            </w:r>
          </w:p>
        </w:tc>
      </w:tr>
      <w:tr>
        <w:trPr>
          <w:trHeight w:val="41"/>
        </w:trPr>
        <w:tc>
          <w:tcPr>
            <w:tcW w:w="4540" w:type="dxa"/>
            <w:vAlign w:val="bottom"/>
            <w:gridSpan w:val="3"/>
          </w:tcPr>
          <w:p>
            <w:pPr>
              <w:spacing w:after="0"/>
              <w:rPr>
                <w:sz w:val="20"/>
                <w:szCs w:val="20"/>
                <w:color w:val="auto"/>
              </w:rPr>
            </w:pPr>
            <w:r>
              <w:rPr>
                <w:rFonts w:ascii="Arial" w:cs="Arial" w:eastAsia="Arial" w:hAnsi="Arial"/>
                <w:sz w:val="3"/>
                <w:szCs w:val="3"/>
                <w:color w:val="FFFFFF"/>
              </w:rPr>
              <w:t>payments is due six months framountthe date the Cotai Land concession is published</w:t>
            </w:r>
          </w:p>
        </w:tc>
        <w:tc>
          <w:tcPr>
            <w:tcW w:w="2280" w:type="dxa"/>
            <w:vAlign w:val="bottom"/>
          </w:tcPr>
          <w:p>
            <w:pPr>
              <w:ind w:left="40"/>
              <w:spacing w:after="0"/>
              <w:rPr>
                <w:sz w:val="20"/>
                <w:szCs w:val="20"/>
                <w:color w:val="auto"/>
              </w:rPr>
            </w:pPr>
            <w:r>
              <w:rPr>
                <w:rFonts w:ascii="Arial" w:cs="Arial" w:eastAsia="Arial" w:hAnsi="Arial"/>
                <w:sz w:val="3"/>
                <w:szCs w:val="3"/>
                <w:color w:val="FFFFFF"/>
              </w:rPr>
              <w:t>the offi cial gazette of Macau. Following</w:t>
            </w:r>
          </w:p>
        </w:tc>
        <w:tc>
          <w:tcPr>
            <w:tcW w:w="620" w:type="dxa"/>
            <w:vAlign w:val="bottom"/>
          </w:tcPr>
          <w:p>
            <w:pPr>
              <w:spacing w:after="0"/>
              <w:rPr>
                <w:sz w:val="3"/>
                <w:szCs w:val="3"/>
                <w:color w:val="auto"/>
              </w:rPr>
            </w:pPr>
          </w:p>
        </w:tc>
        <w:tc>
          <w:tcPr>
            <w:tcW w:w="3940" w:type="dxa"/>
            <w:vAlign w:val="bottom"/>
          </w:tcPr>
          <w:p>
            <w:pPr>
              <w:jc w:val="right"/>
              <w:spacing w:after="0"/>
              <w:rPr>
                <w:sz w:val="20"/>
                <w:szCs w:val="20"/>
                <w:color w:val="auto"/>
              </w:rPr>
            </w:pPr>
            <w:r>
              <w:rPr>
                <w:rFonts w:ascii="Arial" w:cs="Arial" w:eastAsia="Arial" w:hAnsi="Arial"/>
                <w:sz w:val="3"/>
                <w:szCs w:val="3"/>
                <w:color w:val="FFFFFF"/>
              </w:rPr>
              <w:t>approval, we anticipate constructing a full scale integrated resort on this</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land containing  casino, approximately 2,000 hotel suites, convention, retail, entertainment and food and beverage offerings. governmentWcontinue working to fi nalize the project scope, timeline and budget.</w:t>
            </w: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Cotai Land Contract</w:t>
            </w:r>
          </w:p>
        </w:tc>
        <w:tc>
          <w:tcPr>
            <w:tcW w:w="15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940" w:type="dxa"/>
            <w:vAlign w:val="bottom"/>
          </w:tcPr>
          <w:p>
            <w:pPr>
              <w:spacing w:after="0"/>
              <w:rPr>
                <w:sz w:val="3"/>
                <w:szCs w:val="3"/>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On 1 August 2008, Palo Real Estate Company Limited and certain affi liates of our Company entered into an agreement with an unrelated third party that is not a connected person of the Group to make a one-</w:t>
            </w:r>
          </w:p>
        </w:tc>
      </w:tr>
      <w:tr>
        <w:trPr>
          <w:trHeight w:val="41"/>
        </w:trPr>
        <w:tc>
          <w:tcPr>
            <w:tcW w:w="6820" w:type="dxa"/>
            <w:vAlign w:val="bottom"/>
            <w:gridSpan w:val="4"/>
          </w:tcPr>
          <w:p>
            <w:pPr>
              <w:spacing w:after="0"/>
              <w:rPr>
                <w:sz w:val="20"/>
                <w:szCs w:val="20"/>
                <w:color w:val="auto"/>
              </w:rPr>
            </w:pPr>
            <w:r>
              <w:rPr>
                <w:rFonts w:ascii="Arial" w:cs="Arial" w:eastAsia="Arial" w:hAnsi="Arial"/>
                <w:sz w:val="3"/>
                <w:szCs w:val="3"/>
                <w:color w:val="FFFFFF"/>
              </w:rPr>
              <w:t>time payment in the amount of US$50 million (approximately HK$389 million) in consideration of the latter’s</w:t>
            </w:r>
          </w:p>
        </w:tc>
        <w:tc>
          <w:tcPr>
            <w:tcW w:w="4560" w:type="dxa"/>
            <w:vAlign w:val="bottom"/>
            <w:gridSpan w:val="2"/>
          </w:tcPr>
          <w:p>
            <w:pPr>
              <w:jc w:val="right"/>
              <w:ind w:right="523"/>
              <w:spacing w:after="0"/>
              <w:rPr>
                <w:sz w:val="20"/>
                <w:szCs w:val="20"/>
                <w:color w:val="auto"/>
              </w:rPr>
            </w:pPr>
            <w:r>
              <w:rPr>
                <w:rFonts w:ascii="Arial" w:cs="Arial" w:eastAsia="Arial" w:hAnsi="Arial"/>
                <w:sz w:val="3"/>
                <w:szCs w:val="3"/>
                <w:color w:val="FFFFFF"/>
              </w:rPr>
              <w:t>of certain rights in and to any future development on the Cotai Land. This</w:t>
            </w:r>
          </w:p>
        </w:tc>
      </w:tr>
      <w:tr>
        <w:trPr>
          <w:trHeight w:val="41"/>
        </w:trPr>
        <w:tc>
          <w:tcPr>
            <w:tcW w:w="11380" w:type="dxa"/>
            <w:vAlign w:val="bottom"/>
            <w:gridSpan w:val="6"/>
          </w:tcPr>
          <w:p>
            <w:pPr>
              <w:jc w:val="right"/>
              <w:spacing w:after="0"/>
              <w:rPr>
                <w:sz w:val="20"/>
                <w:szCs w:val="20"/>
                <w:color w:val="auto"/>
              </w:rPr>
            </w:pPr>
            <w:r>
              <w:rPr>
                <w:rFonts w:ascii="Arial" w:cs="Arial" w:eastAsia="Arial" w:hAnsi="Arial"/>
                <w:sz w:val="3"/>
                <w:szCs w:val="3"/>
                <w:color w:val="FFFFFF"/>
              </w:rPr>
              <w:t>greement provides that the payment be made within 15 days after the publication date of the Cotai land contractrelinquishmenttheofficial gazette of Macau. Palo Real Estate Company Limited has accrued this payment as</w:t>
            </w:r>
          </w:p>
        </w:tc>
      </w:tr>
      <w:tr>
        <w:trPr>
          <w:trHeight w:val="41"/>
        </w:trPr>
        <w:tc>
          <w:tcPr>
            <w:tcW w:w="4540" w:type="dxa"/>
            <w:vAlign w:val="bottom"/>
            <w:gridSpan w:val="3"/>
          </w:tcPr>
          <w:p>
            <w:pPr>
              <w:spacing w:after="0"/>
              <w:rPr>
                <w:sz w:val="20"/>
                <w:szCs w:val="20"/>
                <w:color w:val="auto"/>
              </w:rPr>
            </w:pPr>
            <w:r>
              <w:rPr>
                <w:rFonts w:ascii="Arial" w:cs="Arial" w:eastAsia="Arial" w:hAnsi="Arial"/>
                <w:sz w:val="3"/>
                <w:szCs w:val="3"/>
                <w:color w:val="FFFFFF"/>
              </w:rPr>
              <w:t>a current liability included in other accrued liabilities as of 31 December 2011.</w:t>
            </w:r>
          </w:p>
        </w:tc>
        <w:tc>
          <w:tcPr>
            <w:tcW w:w="2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940" w:type="dxa"/>
            <w:vAlign w:val="bottom"/>
          </w:tcPr>
          <w:p>
            <w:pPr>
              <w:spacing w:after="0"/>
              <w:rPr>
                <w:sz w:val="3"/>
                <w:szCs w:val="3"/>
                <w:color w:val="auto"/>
              </w:rPr>
            </w:pPr>
          </w:p>
        </w:tc>
      </w:tr>
      <w:tr>
        <w:trPr>
          <w:trHeight w:val="81"/>
        </w:trPr>
        <w:tc>
          <w:tcPr>
            <w:tcW w:w="11380" w:type="dxa"/>
            <w:vAlign w:val="bottom"/>
            <w:gridSpan w:val="6"/>
          </w:tcPr>
          <w:p>
            <w:pPr>
              <w:spacing w:after="0" w:line="81" w:lineRule="exact"/>
              <w:rPr>
                <w:sz w:val="20"/>
                <w:szCs w:val="20"/>
                <w:color w:val="auto"/>
              </w:rPr>
            </w:pPr>
            <w:r>
              <w:rPr>
                <w:rFonts w:ascii="Arial" w:cs="Arial" w:eastAsia="Arial" w:hAnsi="Arial"/>
                <w:sz w:val="9"/>
                <w:szCs w:val="9"/>
                <w:color w:val="FFFFFF"/>
              </w:rPr>
              <w:t>Macau, which was a territory under Portuguese administration for approximately 450 years, was transferred from Portuguese to Chinese political control in December 1999. Macau is governed as a special</w:t>
            </w: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administrative region of</w:t>
            </w:r>
          </w:p>
        </w:tc>
        <w:tc>
          <w:tcPr>
            <w:tcW w:w="2860" w:type="dxa"/>
            <w:vAlign w:val="bottom"/>
            <w:gridSpan w:val="2"/>
          </w:tcPr>
          <w:p>
            <w:pPr>
              <w:ind w:left="20"/>
              <w:spacing w:after="0"/>
              <w:rPr>
                <w:sz w:val="20"/>
                <w:szCs w:val="20"/>
                <w:color w:val="auto"/>
              </w:rPr>
            </w:pPr>
            <w:r>
              <w:rPr>
                <w:rFonts w:ascii="Arial" w:cs="Arial" w:eastAsia="Arial" w:hAnsi="Arial"/>
                <w:sz w:val="3"/>
                <w:szCs w:val="3"/>
                <w:color w:val="FFFFFF"/>
              </w:rPr>
              <w:t>and is located approximately 37 miles southwest of,</w:t>
            </w:r>
          </w:p>
        </w:tc>
        <w:tc>
          <w:tcPr>
            <w:tcW w:w="6840" w:type="dxa"/>
            <w:vAlign w:val="bottom"/>
            <w:gridSpan w:val="3"/>
          </w:tcPr>
          <w:p>
            <w:pPr>
              <w:jc w:val="right"/>
              <w:ind w:right="123"/>
              <w:spacing w:after="0"/>
              <w:rPr>
                <w:sz w:val="20"/>
                <w:szCs w:val="20"/>
                <w:color w:val="auto"/>
              </w:rPr>
            </w:pPr>
            <w:r>
              <w:rPr>
                <w:rFonts w:ascii="Arial" w:cs="Arial" w:eastAsia="Arial" w:hAnsi="Arial"/>
                <w:sz w:val="3"/>
                <w:szCs w:val="3"/>
                <w:color w:val="FFFFFF"/>
              </w:rPr>
              <w:t>approximately one hour away via ferry from, Hong Kong. Macau, which has been a casino destination for more than 40</w:t>
            </w: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years, consists principallyChinaof</w:t>
            </w:r>
          </w:p>
        </w:tc>
        <w:tc>
          <w:tcPr>
            <w:tcW w:w="9700" w:type="dxa"/>
            <w:vAlign w:val="bottom"/>
            <w:gridSpan w:val="5"/>
          </w:tcPr>
          <w:p>
            <w:pPr>
              <w:jc w:val="right"/>
              <w:ind w:right="123"/>
              <w:spacing w:after="0"/>
              <w:rPr>
                <w:sz w:val="20"/>
                <w:szCs w:val="20"/>
                <w:color w:val="auto"/>
              </w:rPr>
            </w:pPr>
            <w:r>
              <w:rPr>
                <w:rFonts w:ascii="Arial" w:cs="Arial" w:eastAsia="Arial" w:hAnsi="Arial"/>
                <w:sz w:val="3"/>
                <w:szCs w:val="3"/>
                <w:color w:val="FFFFFF"/>
              </w:rPr>
              <w:t>peninsula on mainl nd China, and two neighboring islands, Taipa and Coloane. We believe that Macau is located in one of the world’s largest concentrations of potential gaming</w:t>
            </w:r>
          </w:p>
        </w:tc>
      </w:tr>
      <w:tr>
        <w:trPr>
          <w:trHeight w:val="41"/>
        </w:trPr>
        <w:tc>
          <w:tcPr>
            <w:tcW w:w="3240" w:type="dxa"/>
            <w:vAlign w:val="bottom"/>
            <w:gridSpan w:val="2"/>
          </w:tcPr>
          <w:p>
            <w:pPr>
              <w:spacing w:after="0"/>
              <w:rPr>
                <w:sz w:val="20"/>
                <w:szCs w:val="20"/>
                <w:color w:val="auto"/>
              </w:rPr>
            </w:pPr>
            <w:r>
              <w:rPr>
                <w:rFonts w:ascii="Arial" w:cs="Arial" w:eastAsia="Arial" w:hAnsi="Arial"/>
                <w:sz w:val="3"/>
                <w:szCs w:val="3"/>
                <w:color w:val="FFFFFF"/>
              </w:rPr>
              <w:t>customers. According to Macau Statistical Information,</w:t>
            </w:r>
          </w:p>
        </w:tc>
        <w:tc>
          <w:tcPr>
            <w:tcW w:w="4200" w:type="dxa"/>
            <w:vAlign w:val="bottom"/>
            <w:gridSpan w:val="3"/>
          </w:tcPr>
          <w:p>
            <w:pPr>
              <w:ind w:left="240"/>
              <w:spacing w:after="0"/>
              <w:rPr>
                <w:sz w:val="20"/>
                <w:szCs w:val="20"/>
                <w:color w:val="auto"/>
              </w:rPr>
            </w:pPr>
            <w:r>
              <w:rPr>
                <w:rFonts w:ascii="Arial" w:cs="Arial" w:eastAsia="Arial" w:hAnsi="Arial"/>
                <w:sz w:val="3"/>
                <w:szCs w:val="3"/>
                <w:color w:val="FFFFFF"/>
              </w:rPr>
              <w:t>in Macau generated approximately HK$260.1 billion in gaming revenue</w:t>
            </w:r>
          </w:p>
        </w:tc>
        <w:tc>
          <w:tcPr>
            <w:tcW w:w="3940" w:type="dxa"/>
            <w:vAlign w:val="bottom"/>
          </w:tcPr>
          <w:p>
            <w:pPr>
              <w:jc w:val="right"/>
              <w:ind w:right="83"/>
              <w:spacing w:after="0"/>
              <w:rPr>
                <w:sz w:val="20"/>
                <w:szCs w:val="20"/>
                <w:color w:val="auto"/>
              </w:rPr>
            </w:pPr>
            <w:r>
              <w:rPr>
                <w:rFonts w:ascii="Arial" w:cs="Arial" w:eastAsia="Arial" w:hAnsi="Arial"/>
                <w:sz w:val="3"/>
                <w:szCs w:val="3"/>
                <w:color w:val="FFFFFF"/>
              </w:rPr>
              <w:t>the year ended 31 December 2011, an increase of approximately</w:t>
            </w:r>
          </w:p>
        </w:tc>
      </w:tr>
      <w:tr>
        <w:trPr>
          <w:trHeight w:val="0"/>
        </w:trPr>
        <w:tc>
          <w:tcPr>
            <w:tcW w:w="6820" w:type="dxa"/>
            <w:vAlign w:val="bottom"/>
            <w:gridSpan w:val="4"/>
          </w:tcPr>
          <w:p>
            <w:pPr>
              <w:spacing w:after="0" w:line="80" w:lineRule="exact"/>
              <w:rPr>
                <w:sz w:val="20"/>
                <w:szCs w:val="20"/>
                <w:color w:val="auto"/>
              </w:rPr>
            </w:pPr>
            <w:r>
              <w:rPr>
                <w:rFonts w:ascii="Arial" w:cs="Arial" w:eastAsia="Arial" w:hAnsi="Arial"/>
                <w:sz w:val="9"/>
                <w:szCs w:val="9"/>
                <w:color w:val="FFFFFF"/>
              </w:rPr>
              <w:t>42.2% over the approximate HK$182.9 billion generatedcasinostheyear ended 31 December 2010, making Macau the largest</w:t>
            </w:r>
          </w:p>
        </w:tc>
        <w:tc>
          <w:tcPr>
            <w:tcW w:w="4560" w:type="dxa"/>
            <w:vAlign w:val="bottom"/>
            <w:gridSpan w:val="2"/>
          </w:tcPr>
          <w:p>
            <w:pPr>
              <w:jc w:val="right"/>
              <w:ind w:right="3223"/>
              <w:spacing w:after="0" w:line="80" w:lineRule="exact"/>
              <w:rPr>
                <w:sz w:val="20"/>
                <w:szCs w:val="20"/>
                <w:color w:val="auto"/>
              </w:rPr>
            </w:pPr>
            <w:r>
              <w:rPr>
                <w:rFonts w:ascii="Arial" w:cs="Arial" w:eastAsia="Arial" w:hAnsi="Arial"/>
                <w:sz w:val="9"/>
                <w:szCs w:val="9"/>
                <w:color w:val="FFFFFF"/>
              </w:rPr>
              <w:t>marketduringthe world.</w:t>
            </w:r>
          </w:p>
        </w:tc>
      </w:tr>
    </w:tbl>
    <w:p>
      <w:pPr>
        <w:spacing w:after="0" w:line="25" w:lineRule="auto"/>
        <w:rPr>
          <w:sz w:val="20"/>
          <w:szCs w:val="20"/>
          <w:color w:val="auto"/>
        </w:rPr>
      </w:pPr>
      <w:r>
        <w:rPr>
          <w:rFonts w:ascii="Arial" w:cs="Arial" w:eastAsia="Arial" w:hAnsi="Arial"/>
          <w:sz w:val="1"/>
          <w:szCs w:val="1"/>
          <w:color w:val="FFFFFF"/>
        </w:rPr>
        <w:t>Macau’</w:t>
      </w:r>
      <w:r>
        <w:rPr>
          <w:rFonts w:ascii="Arial" w:cs="Arial" w:eastAsia="Arial" w:hAnsi="Arial"/>
          <w:sz w:val="1"/>
          <w:szCs w:val="1"/>
          <w:color w:val="FFFFFF"/>
          <w:vertAlign w:val="superscript"/>
        </w:rPr>
        <w:t>years</w:t>
      </w:r>
      <w:r>
        <w:rPr>
          <w:rFonts w:ascii="Arial" w:cs="Arial" w:eastAsia="Arial" w:hAnsi="Arial"/>
          <w:sz w:val="1"/>
          <w:szCs w:val="1"/>
          <w:color w:val="FFFFFF"/>
        </w:rPr>
        <w:t>gaming market is primarily dependent on tourists. Tourist arrivals in 2011 were 28 million compared to 25 milliongaming2010. The Macau market has experienced tremendous growth in capacity in the last</w:t>
      </w:r>
    </w:p>
    <w:p>
      <w:pPr>
        <w:spacing w:after="0"/>
        <w:tabs>
          <w:tab w:leader="none" w:pos="500" w:val="left"/>
        </w:tabs>
        <w:rPr>
          <w:sz w:val="20"/>
          <w:szCs w:val="20"/>
          <w:color w:val="auto"/>
        </w:rPr>
      </w:pPr>
      <w:r>
        <w:rPr>
          <w:rFonts w:ascii="Arial" w:cs="Arial" w:eastAsia="Arial" w:hAnsi="Arial"/>
          <w:sz w:val="14"/>
          <w:szCs w:val="14"/>
          <w:color w:val="FFFFFF"/>
        </w:rPr>
        <w:t>few</w:t>
      </w:r>
      <w:r>
        <w:rPr>
          <w:sz w:val="20"/>
          <w:szCs w:val="20"/>
          <w:color w:val="auto"/>
        </w:rPr>
        <w:tab/>
      </w:r>
      <w:r>
        <w:rPr>
          <w:rFonts w:ascii="Arial" w:cs="Arial" w:eastAsia="Arial" w:hAnsi="Arial"/>
          <w:sz w:val="14"/>
          <w:szCs w:val="14"/>
          <w:color w:val="FFFFFF"/>
        </w:rPr>
        <w:t>. As at 31 December 2011, there were 22,356 hotel rooms and 5,302 table games in Macau, compared to 12,978 hotel rooms and 2,762 table games as at 31 December 2006.</w:t>
      </w:r>
    </w:p>
    <w:p>
      <w:pPr>
        <w:sectPr>
          <w:pgSz w:w="11900" w:h="16838" w:orient="portrait"/>
          <w:cols w:equalWidth="0" w:num="1">
            <w:col w:w="11380"/>
          </w:cols>
          <w:pgMar w:left="240" w:top="1440" w:right="2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7</w:t>
      </w:r>
    </w:p>
    <w:p>
      <w:pPr>
        <w:spacing w:after="0" w:line="187" w:lineRule="auto"/>
        <w:rPr>
          <w:sz w:val="20"/>
          <w:szCs w:val="20"/>
          <w:color w:val="auto"/>
        </w:rPr>
      </w:pPr>
      <w:r>
        <w:rPr>
          <w:rFonts w:ascii="Arial" w:cs="Arial" w:eastAsia="Arial" w:hAnsi="Arial"/>
          <w:sz w:val="9"/>
          <w:szCs w:val="9"/>
          <w:color w:val="FFFFFF"/>
        </w:rPr>
        <w:t>FACTORSManagementAFFECTINGDiscussionandOURAnalysisRESULTS OF OPERATIONS AND FINANCIAL CONDITION</w:t>
      </w:r>
    </w:p>
    <w:p>
      <w:pPr>
        <w:ind w:right="300"/>
        <w:spacing w:after="0"/>
        <w:rPr>
          <w:sz w:val="20"/>
          <w:szCs w:val="20"/>
          <w:color w:val="auto"/>
        </w:rPr>
      </w:pPr>
      <w:r>
        <w:rPr>
          <w:rFonts w:ascii="Arial" w:cs="Arial" w:eastAsia="Arial" w:hAnsi="Arial"/>
          <w:sz w:val="8"/>
          <w:szCs w:val="8"/>
          <w:color w:val="FFFFFF"/>
        </w:rPr>
        <w:t>Theourismlevtedls of tourism and overall gaming activities in Macau are keyyearsdrivers of our business. Both the Macau gaming market and visitation to Macau have grown signifi cantly in the last few years. We have benefi from the travelingrisevisitation to Macau over the past several .</w:t>
      </w:r>
    </w:p>
    <w:p>
      <w:pPr>
        <w:spacing w:after="0" w:line="30"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ServiceGaming MonthlycustomersBulletin of Statistics,toMacau typicallyapproximatelycome 89%from ofnearbyvisitorsdestinationstoMacau inforAsiathe yearincludingendedmainland31DecemberChina,2011HongwereKong,fromTaiwan,mainlandSouthChina,KoreaHongandKongSingapore.andTaiwan.According to the Macau Statistics and Census Tourism levels in Macau are affectedmainlandbynumber of factors, all of which are beyond our control. Key factors affecting tourism levels Macau may include, among others:</w:t>
      </w:r>
    </w:p>
    <w:p>
      <w:pPr>
        <w:ind w:left="80"/>
        <w:spacing w:after="0"/>
        <w:rPr>
          <w:sz w:val="20"/>
          <w:szCs w:val="20"/>
          <w:color w:val="auto"/>
        </w:rPr>
      </w:pPr>
      <w:r>
        <w:rPr>
          <w:rFonts w:ascii="Arial" w:cs="Arial" w:eastAsia="Arial" w:hAnsi="Arial"/>
          <w:sz w:val="3"/>
          <w:szCs w:val="3"/>
          <w:color w:val="FFFFFF"/>
        </w:rPr>
        <w:t>VariousPrevailingcountries’economicpoliciesconditionstheinissuance ofChinatravelandvisasAsia;that may be in place from time to time and could affect travel to Macau;</w:t>
      </w:r>
    </w:p>
    <w:p>
      <w:pPr>
        <w:ind w:left="80"/>
        <w:spacing w:after="0" w:line="194" w:lineRule="auto"/>
        <w:rPr>
          <w:sz w:val="20"/>
          <w:szCs w:val="20"/>
          <w:color w:val="auto"/>
        </w:rPr>
      </w:pPr>
      <w:r>
        <w:rPr>
          <w:rFonts w:ascii="Arial" w:cs="Arial" w:eastAsia="Arial" w:hAnsi="Arial"/>
          <w:sz w:val="3"/>
          <w:szCs w:val="3"/>
          <w:color w:val="FFFFFF"/>
        </w:rPr>
        <w:t>Competition from other</w:t>
      </w:r>
      <w:r>
        <w:rPr>
          <w:rFonts w:ascii="Arial" w:cs="Arial" w:eastAsia="Arial" w:hAnsi="Arial"/>
          <w:sz w:val="5"/>
          <w:szCs w:val="5"/>
          <w:color w:val="FFFFFF"/>
          <w:vertAlign w:val="subscript"/>
        </w:rPr>
        <w:t>government</w:t>
      </w:r>
      <w:r>
        <w:rPr>
          <w:rFonts w:ascii="Arial" w:cs="Arial" w:eastAsia="Arial" w:hAnsi="Arial"/>
          <w:sz w:val="3"/>
          <w:szCs w:val="3"/>
          <w:color w:val="FFFFFF"/>
        </w:rPr>
        <w:t>destinaions which offer gaming and leisure activities;</w:t>
      </w:r>
    </w:p>
    <w:p>
      <w:pPr>
        <w:ind w:left="80"/>
        <w:spacing w:after="0"/>
        <w:tabs>
          <w:tab w:leader="none" w:pos="1840" w:val="left"/>
        </w:tabs>
        <w:rPr>
          <w:sz w:val="20"/>
          <w:szCs w:val="20"/>
          <w:color w:val="auto"/>
        </w:rPr>
      </w:pPr>
      <w:r>
        <w:rPr>
          <w:rFonts w:ascii="Arial" w:cs="Arial" w:eastAsia="Arial" w:hAnsi="Arial"/>
          <w:sz w:val="3"/>
          <w:szCs w:val="3"/>
          <w:color w:val="FFFFFF"/>
        </w:rPr>
        <w:t>Possible changes to</w:t>
      </w:r>
      <w:r>
        <w:rPr>
          <w:sz w:val="20"/>
          <w:szCs w:val="20"/>
          <w:color w:val="auto"/>
        </w:rPr>
        <w:tab/>
      </w:r>
      <w:r>
        <w:rPr>
          <w:rFonts w:ascii="Arial" w:cs="Arial" w:eastAsia="Arial" w:hAnsi="Arial"/>
          <w:sz w:val="3"/>
          <w:szCs w:val="3"/>
          <w:color w:val="FFFFFF"/>
        </w:rPr>
        <w:t>restrictions on currency conversion or the ability to export currency from mainland China or other countries;</w:t>
      </w:r>
    </w:p>
    <w:p>
      <w:pPr>
        <w:spacing w:after="0" w:line="194" w:lineRule="auto"/>
        <w:rPr>
          <w:sz w:val="20"/>
          <w:szCs w:val="20"/>
          <w:color w:val="auto"/>
        </w:rPr>
      </w:pPr>
      <w:r>
        <w:rPr>
          <w:rFonts w:ascii="Arial" w:cs="Arial" w:eastAsia="Arial" w:hAnsi="Arial"/>
          <w:sz w:val="5"/>
          <w:szCs w:val="5"/>
          <w:color w:val="FFFFFF"/>
          <w:vertAlign w:val="superscript"/>
        </w:rPr>
        <w:t>•</w:t>
      </w:r>
    </w:p>
    <w:p>
      <w:pPr>
        <w:ind w:left="80"/>
        <w:spacing w:after="0"/>
        <w:rPr>
          <w:sz w:val="20"/>
          <w:szCs w:val="20"/>
          <w:color w:val="auto"/>
        </w:rPr>
      </w:pPr>
      <w:r>
        <w:rPr>
          <w:rFonts w:ascii="Arial" w:cs="Arial" w:eastAsia="Arial" w:hAnsi="Arial"/>
          <w:sz w:val="3"/>
          <w:szCs w:val="3"/>
          <w:color w:val="FFFFFF"/>
        </w:rPr>
        <w:t>PossibleOccurrenceoutbreaksofnaturalof infectiousdisastersanddisease.disruption of travel; and</w:t>
      </w:r>
    </w:p>
    <w:p>
      <w:pPr>
        <w:spacing w:after="0" w:line="194" w:lineRule="auto"/>
        <w:rPr>
          <w:sz w:val="20"/>
          <w:szCs w:val="20"/>
          <w:color w:val="auto"/>
        </w:rPr>
      </w:pPr>
      <w:r>
        <w:rPr>
          <w:rFonts w:ascii="Arial" w:cs="Arial" w:eastAsia="Arial" w:hAnsi="Arial"/>
          <w:sz w:val="5"/>
          <w:szCs w:val="5"/>
          <w:color w:val="FFFFFF"/>
        </w:rPr>
        <w:t>Economic and Operating Environment</w:t>
      </w:r>
    </w:p>
    <w:p>
      <w:pPr>
        <w:spacing w:after="0" w:line="211" w:lineRule="auto"/>
        <w:rPr>
          <w:sz w:val="20"/>
          <w:szCs w:val="20"/>
          <w:color w:val="auto"/>
        </w:rPr>
      </w:pPr>
      <w:r>
        <w:rPr>
          <w:rFonts w:ascii="Arial" w:cs="Arial" w:eastAsia="Arial" w:hAnsi="Arial"/>
          <w:sz w:val="2"/>
          <w:szCs w:val="2"/>
          <w:color w:val="FFFFFF"/>
        </w:rPr>
        <w:t>Our operating environment remained stable in 2011. However, economic conditions can have</w:t>
      </w:r>
      <w:r>
        <w:rPr>
          <w:rFonts w:ascii="Arial" w:cs="Arial" w:eastAsia="Arial" w:hAnsi="Arial"/>
          <w:sz w:val="4"/>
          <w:szCs w:val="4"/>
          <w:color w:val="FFFFFF"/>
          <w:vertAlign w:val="subscript"/>
        </w:rPr>
        <w:t>Macau</w:t>
      </w:r>
      <w:r>
        <w:rPr>
          <w:rFonts w:ascii="Arial" w:cs="Arial" w:eastAsia="Arial" w:hAnsi="Arial"/>
          <w:sz w:val="2"/>
          <w:szCs w:val="2"/>
          <w:color w:val="FFFFFF"/>
        </w:rPr>
        <w:t>signifi cant impact on our business. A number of factors, including a slowdown</w:t>
      </w:r>
      <w:r>
        <w:rPr>
          <w:rFonts w:ascii="Arial" w:cs="Arial" w:eastAsia="Arial" w:hAnsi="Arial"/>
          <w:sz w:val="4"/>
          <w:szCs w:val="4"/>
          <w:color w:val="FFFFFF"/>
          <w:vertAlign w:val="subscript"/>
        </w:rPr>
        <w:t>industry</w:t>
      </w:r>
      <w:r>
        <w:rPr>
          <w:rFonts w:ascii="Arial" w:cs="Arial" w:eastAsia="Arial" w:hAnsi="Arial"/>
          <w:sz w:val="2"/>
          <w:szCs w:val="2"/>
          <w:color w:val="FFFFFF"/>
        </w:rPr>
        <w:t>the global economy, contracting</w:t>
      </w:r>
    </w:p>
    <w:p>
      <w:pPr>
        <w:spacing w:after="0"/>
        <w:tabs>
          <w:tab w:leader="none" w:pos="5320" w:val="left"/>
          <w:tab w:leader="none" w:pos="9800" w:val="left"/>
        </w:tabs>
        <w:rPr>
          <w:sz w:val="20"/>
          <w:szCs w:val="20"/>
          <w:color w:val="auto"/>
        </w:rPr>
      </w:pPr>
      <w:r>
        <w:rPr>
          <w:rFonts w:ascii="Arial" w:cs="Arial" w:eastAsia="Arial" w:hAnsi="Arial"/>
          <w:sz w:val="14"/>
          <w:szCs w:val="14"/>
          <w:color w:val="FFFFFF"/>
        </w:rPr>
        <w:t>credit markets, reduced consumer spending, various countries’ policies that affect travel to</w:t>
      </w:r>
      <w:r>
        <w:rPr>
          <w:sz w:val="20"/>
          <w:szCs w:val="20"/>
          <w:color w:val="auto"/>
        </w:rPr>
        <w:tab/>
      </w:r>
      <w:r>
        <w:rPr>
          <w:rFonts w:ascii="Arial" w:cs="Arial" w:eastAsia="Arial" w:hAnsi="Arial"/>
          <w:sz w:val="14"/>
          <w:szCs w:val="14"/>
          <w:color w:val="FFFFFF"/>
        </w:rPr>
        <w:t>and any outbreak of infectious diseases can negatively impact the gaming</w:t>
      </w:r>
      <w:r>
        <w:rPr>
          <w:sz w:val="20"/>
          <w:szCs w:val="20"/>
          <w:color w:val="auto"/>
        </w:rPr>
        <w:tab/>
      </w:r>
      <w:r>
        <w:rPr>
          <w:rFonts w:ascii="Arial" w:cs="Arial" w:eastAsia="Arial" w:hAnsi="Arial"/>
          <w:sz w:val="12"/>
          <w:szCs w:val="12"/>
          <w:color w:val="FFFFFF"/>
        </w:rPr>
        <w:t>in Macau and our business.</w:t>
      </w:r>
    </w:p>
    <w:p>
      <w:pPr>
        <w:sectPr>
          <w:pgSz w:w="11900" w:h="16838" w:orient="portrait"/>
          <w:cols w:equalWidth="0" w:num="1">
            <w:col w:w="11420"/>
          </w:cols>
          <w:pgMar w:left="240" w:top="144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20"/>
                <w:szCs w:val="20"/>
                <w:color w:val="auto"/>
              </w:rPr>
            </w:pPr>
            <w:r>
              <w:rPr>
                <w:rFonts w:ascii="Arial" w:cs="Arial" w:eastAsia="Arial" w:hAnsi="Arial"/>
                <w:sz w:val="14"/>
                <w:szCs w:val="14"/>
                <w:color w:val="FFFFFF"/>
              </w:rPr>
              <w:t>8 Wynn Macau, Limited</w:t>
            </w:r>
          </w:p>
        </w:tc>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24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4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tcPr>
          <w:p>
            <w:pPr>
              <w:spacing w:after="0"/>
              <w:rPr>
                <w:sz w:val="20"/>
                <w:szCs w:val="20"/>
                <w:color w:val="auto"/>
              </w:rPr>
            </w:pPr>
            <w:r>
              <w:rPr>
                <w:rFonts w:ascii="Arial" w:cs="Arial" w:eastAsia="Arial" w:hAnsi="Arial"/>
                <w:sz w:val="3"/>
                <w:szCs w:val="3"/>
                <w:color w:val="FFFFFF"/>
              </w:rPr>
              <w:t>Competition</w:t>
            </w:r>
          </w:p>
        </w:tc>
        <w:tc>
          <w:tcPr>
            <w:tcW w:w="6140" w:type="dxa"/>
            <w:vAlign w:val="bottom"/>
            <w:gridSpan w:val="3"/>
            <w:vMerge w:val="restart"/>
          </w:tcPr>
          <w:p>
            <w:pPr>
              <w:ind w:left="100"/>
              <w:spacing w:after="0" w:line="81" w:lineRule="exact"/>
              <w:rPr>
                <w:sz w:val="20"/>
                <w:szCs w:val="20"/>
                <w:color w:val="auto"/>
              </w:rPr>
            </w:pPr>
            <w:r>
              <w:rPr>
                <w:rFonts w:ascii="Arial" w:cs="Arial" w:eastAsia="Arial" w:hAnsi="Arial"/>
                <w:sz w:val="9"/>
                <w:szCs w:val="9"/>
                <w:color w:val="FFFFFF"/>
              </w:rPr>
              <w:t>in the number of casino properties in Macau. Currently, there are six gaming operators in Macau, including</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20"/>
                <w:szCs w:val="20"/>
                <w:color w:val="auto"/>
              </w:rPr>
            </w:pPr>
            <w:r>
              <w:rPr>
                <w:rFonts w:ascii="Arial" w:cs="Arial" w:eastAsia="Arial" w:hAnsi="Arial"/>
                <w:sz w:val="3"/>
                <w:szCs w:val="3"/>
                <w:color w:val="FFFFFF"/>
              </w:rPr>
              <w:t>Since the liberalization of M cau’s gaming industry in 2002, there has been a signifi cant</w:t>
            </w:r>
          </w:p>
        </w:tc>
        <w:tc>
          <w:tcPr>
            <w:tcW w:w="61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WRM. The three concessionaires are WRM, SJM, and Galaxy which opened Galaxy Macau,increasemajor resort in the Cotai area, on 15 May 2011. The three subconcessionaires are Melco Crown, MGM Macau, and</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Venetian Macau. As at 31 December 2011, there were approximately 34 casinos in Macau, including 20 operated by SJM. Each of the current six operators has operating casinos and expansion plans announced</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20"/>
                <w:szCs w:val="20"/>
                <w:color w:val="auto"/>
              </w:rPr>
            </w:pPr>
            <w:r>
              <w:rPr>
                <w:rFonts w:ascii="Arial" w:cs="Arial" w:eastAsia="Arial" w:hAnsi="Arial"/>
                <w:sz w:val="3"/>
                <w:szCs w:val="3"/>
                <w:color w:val="FFFFFF"/>
              </w:rPr>
              <w:t>or underway.</w:t>
            </w:r>
          </w:p>
        </w:tc>
        <w:tc>
          <w:tcPr>
            <w:tcW w:w="6140" w:type="dxa"/>
            <w:vAlign w:val="bottom"/>
            <w:gridSpan w:val="3"/>
            <w:vMerge w:val="restart"/>
          </w:tcPr>
          <w:p>
            <w:pPr>
              <w:ind w:left="100"/>
              <w:spacing w:after="0" w:line="81" w:lineRule="exact"/>
              <w:rPr>
                <w:sz w:val="20"/>
                <w:szCs w:val="20"/>
                <w:color w:val="auto"/>
              </w:rPr>
            </w:pPr>
            <w:r>
              <w:rPr>
                <w:rFonts w:ascii="Arial" w:cs="Arial" w:eastAsia="Arial" w:hAnsi="Arial"/>
                <w:sz w:val="9"/>
                <w:szCs w:val="9"/>
                <w:color w:val="FFFFFF"/>
              </w:rPr>
              <w:t>Resorts World Sentosa and Marina Bay Sands which opened in February and April 2010, respectively, in</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20"/>
                <w:szCs w:val="20"/>
                <w:color w:val="auto"/>
              </w:rPr>
            </w:pPr>
            <w:r>
              <w:rPr>
                <w:rFonts w:ascii="Arial" w:cs="Arial" w:eastAsia="Arial" w:hAnsi="Arial"/>
                <w:sz w:val="3"/>
                <w:szCs w:val="3"/>
                <w:color w:val="FFFFFF"/>
              </w:rPr>
              <w:t>Wynn Macau also faces competition from casinos primarily located in other areas of Asia, such</w:t>
            </w:r>
          </w:p>
        </w:tc>
        <w:tc>
          <w:tcPr>
            <w:tcW w:w="61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80" w:type="dxa"/>
            <w:vAlign w:val="bottom"/>
            <w:gridSpan w:val="2"/>
          </w:tcPr>
          <w:p>
            <w:pPr>
              <w:spacing w:after="0"/>
              <w:rPr>
                <w:sz w:val="20"/>
                <w:szCs w:val="20"/>
                <w:color w:val="auto"/>
              </w:rPr>
            </w:pPr>
            <w:r>
              <w:rPr>
                <w:rFonts w:ascii="Arial" w:cs="Arial" w:eastAsia="Arial" w:hAnsi="Arial"/>
                <w:sz w:val="3"/>
                <w:szCs w:val="3"/>
                <w:color w:val="FFFFFF"/>
              </w:rPr>
              <w:t>Singapore and Genting Highlands Resort located outside of Kuala Lumpur, Malaysia as well as casinos</w:t>
            </w:r>
          </w:p>
        </w:tc>
        <w:tc>
          <w:tcPr>
            <w:tcW w:w="5700" w:type="dxa"/>
            <w:vAlign w:val="bottom"/>
            <w:gridSpan w:val="2"/>
          </w:tcPr>
          <w:p>
            <w:pPr>
              <w:ind w:left="80"/>
              <w:spacing w:after="0"/>
              <w:rPr>
                <w:sz w:val="20"/>
                <w:szCs w:val="20"/>
                <w:color w:val="auto"/>
              </w:rPr>
            </w:pPr>
            <w:r>
              <w:rPr>
                <w:rFonts w:ascii="Arial" w:cs="Arial" w:eastAsia="Arial" w:hAnsi="Arial"/>
                <w:sz w:val="3"/>
                <w:szCs w:val="3"/>
                <w:color w:val="FFFFFF"/>
              </w:rPr>
              <w:t>the Philippines. Wynn Macau also encounters competition from other major gaming centers located</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around the world, including Australia and Las Vegas, cruise ships in Asia that offer gaming, and other casinos throughout Asia. Further, if current efforts to legalize gaming in other Asian countries are</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20"/>
                <w:szCs w:val="20"/>
                <w:color w:val="auto"/>
              </w:rPr>
            </w:pPr>
            <w:r>
              <w:rPr>
                <w:rFonts w:ascii="Arial" w:cs="Arial" w:eastAsia="Arial" w:hAnsi="Arial"/>
                <w:sz w:val="3"/>
                <w:szCs w:val="3"/>
                <w:color w:val="FFFFFF"/>
              </w:rPr>
              <w:t>successful, Wynn Macau will face additional regional competition.</w:t>
            </w:r>
          </w:p>
        </w:tc>
        <w:tc>
          <w:tcPr>
            <w:tcW w:w="4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tcPr>
          <w:p>
            <w:pPr>
              <w:spacing w:after="0"/>
              <w:rPr>
                <w:sz w:val="20"/>
                <w:szCs w:val="20"/>
                <w:color w:val="auto"/>
              </w:rPr>
            </w:pPr>
            <w:r>
              <w:rPr>
                <w:rFonts w:ascii="Arial" w:cs="Arial" w:eastAsia="Arial" w:hAnsi="Arial"/>
                <w:sz w:val="3"/>
                <w:szCs w:val="3"/>
                <w:color w:val="FFFFFF"/>
              </w:rPr>
              <w:t>Gaming Promoters</w:t>
            </w:r>
          </w:p>
        </w:tc>
        <w:tc>
          <w:tcPr>
            <w:tcW w:w="4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A signifi cant amount of our casino play is brought   us by gaming promoters. Gaming promoters have historically played  critical role in the Macau gaming market and are important to our casino business.</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Gaming promoters introduce premium VIP players to Wynn Macau and often assist those clients with their travel and entertainment arrangements. In addition, gaming promoters often grant credit to their</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players. In exchange for their services, Wynn Macau generally pays the gaming promoters a percentage of the gross gaming win generated by each gaming promoter. Approximately 80% of these commissions</w:t>
            </w:r>
          </w:p>
        </w:tc>
        <w:tc>
          <w:tcPr>
            <w:tcW w:w="0" w:type="dxa"/>
            <w:vAlign w:val="bottom"/>
          </w:tcPr>
          <w:p>
            <w:pPr>
              <w:spacing w:after="0"/>
              <w:rPr>
                <w:sz w:val="1"/>
                <w:szCs w:val="1"/>
                <w:color w:val="auto"/>
              </w:rPr>
            </w:pPr>
          </w:p>
        </w:tc>
      </w:tr>
      <w:tr>
        <w:trPr>
          <w:trHeight w:val="0"/>
        </w:trPr>
        <w:tc>
          <w:tcPr>
            <w:tcW w:w="7520" w:type="dxa"/>
            <w:vAlign w:val="bottom"/>
            <w:gridSpan w:val="3"/>
          </w:tcPr>
          <w:p>
            <w:pPr>
              <w:spacing w:after="0" w:line="80" w:lineRule="exact"/>
              <w:rPr>
                <w:sz w:val="20"/>
                <w:szCs w:val="20"/>
                <w:color w:val="auto"/>
              </w:rPr>
            </w:pPr>
            <w:r>
              <w:rPr>
                <w:rFonts w:ascii="Arial" w:cs="Arial" w:eastAsia="Arial" w:hAnsi="Arial"/>
                <w:sz w:val="9"/>
                <w:szCs w:val="9"/>
                <w:color w:val="FFFFFF"/>
              </w:rPr>
              <w:t>are netted against casino revenues, because such commissions approximate the amount of the commission returned to the VIP players by</w:t>
            </w:r>
          </w:p>
        </w:tc>
        <w:tc>
          <w:tcPr>
            <w:tcW w:w="3860" w:type="dxa"/>
            <w:vAlign w:val="bottom"/>
          </w:tcPr>
          <w:p>
            <w:pPr>
              <w:ind w:left="120"/>
              <w:spacing w:after="0" w:line="80" w:lineRule="exact"/>
              <w:rPr>
                <w:sz w:val="20"/>
                <w:szCs w:val="20"/>
                <w:color w:val="auto"/>
              </w:rPr>
            </w:pPr>
            <w:r>
              <w:rPr>
                <w:rFonts w:ascii="Arial" w:cs="Arial" w:eastAsia="Arial" w:hAnsi="Arial"/>
                <w:sz w:val="9"/>
                <w:szCs w:val="9"/>
                <w:color w:val="FFFFFF"/>
              </w:rPr>
              <w:t>gaming promoters, and approximately 20% of these commissions are</w:t>
            </w:r>
          </w:p>
        </w:tc>
        <w:tc>
          <w:tcPr>
            <w:tcW w:w="0" w:type="dxa"/>
            <w:vAlign w:val="bottom"/>
          </w:tcPr>
          <w:p>
            <w:pPr>
              <w:spacing w:after="0" w:line="20" w:lineRule="exact"/>
              <w:rPr>
                <w:sz w:val="1"/>
                <w:szCs w:val="1"/>
                <w:color w:val="auto"/>
              </w:rPr>
            </w:pPr>
          </w:p>
        </w:tc>
      </w:tr>
    </w:tbl>
    <w:p>
      <w:pPr>
        <w:ind w:right="320"/>
        <w:spacing w:after="0"/>
        <w:rPr>
          <w:sz w:val="20"/>
          <w:szCs w:val="20"/>
          <w:color w:val="auto"/>
        </w:rPr>
      </w:pPr>
      <w:r>
        <w:rPr>
          <w:rFonts w:ascii="Arial" w:cs="Arial" w:eastAsia="Arial" w:hAnsi="Arial"/>
          <w:sz w:val="3"/>
          <w:szCs w:val="3"/>
          <w:color w:val="FFFFFF"/>
        </w:rPr>
        <w:t>included in other operating expenses, which approximate the amount of the commission ultimately retained by the gaming promoters for their compensation. The total amount of commissions paid to these promoters and netted against casino revenues were HK$8.1 billion and HK$5.8 billion for the years ended 31 December 2011 and 2010, respectively. Commissions increased 38.8% for the year ended</w:t>
      </w:r>
    </w:p>
    <w:p>
      <w:pPr>
        <w:spacing w:after="0" w:line="199" w:lineRule="auto"/>
        <w:rPr>
          <w:sz w:val="20"/>
          <w:szCs w:val="20"/>
          <w:color w:val="auto"/>
        </w:rPr>
      </w:pPr>
      <w:r>
        <w:rPr>
          <w:rFonts w:ascii="Arial" w:cs="Arial" w:eastAsia="Arial" w:hAnsi="Arial"/>
          <w:sz w:val="5"/>
          <w:szCs w:val="5"/>
          <w:color w:val="FFFFFF"/>
          <w:vertAlign w:val="subscript"/>
        </w:rPr>
        <w:t>31 December</w:t>
      </w:r>
      <w:r>
        <w:rPr>
          <w:rFonts w:ascii="Arial" w:cs="Arial" w:eastAsia="Arial" w:hAnsi="Arial"/>
          <w:sz w:val="3"/>
          <w:szCs w:val="3"/>
          <w:color w:val="FFFFFF"/>
        </w:rPr>
        <w:t xml:space="preserve"> </w:t>
      </w:r>
      <w:r>
        <w:rPr>
          <w:rFonts w:ascii="Arial" w:cs="Arial" w:eastAsia="Arial" w:hAnsi="Arial"/>
          <w:sz w:val="5"/>
          <w:szCs w:val="5"/>
          <w:color w:val="FFFFFF"/>
          <w:vertAlign w:val="subscript"/>
        </w:rPr>
        <w:t>2010,</w:t>
      </w:r>
      <w:r>
        <w:rPr>
          <w:rFonts w:ascii="Arial" w:cs="Arial" w:eastAsia="Arial" w:hAnsi="Arial"/>
          <w:sz w:val="3"/>
          <w:szCs w:val="3"/>
          <w:color w:val="FFFFFF"/>
        </w:rPr>
        <w:t>compared to the year ended</w:t>
      </w:r>
    </w:p>
    <w:p>
      <w:pPr>
        <w:ind w:right="220" w:firstLine="1095"/>
        <w:spacing w:after="0" w:line="190" w:lineRule="auto"/>
        <w:rPr>
          <w:sz w:val="20"/>
          <w:szCs w:val="20"/>
          <w:color w:val="auto"/>
        </w:rPr>
      </w:pPr>
      <w:r>
        <w:rPr>
          <w:rFonts w:ascii="Arial" w:cs="Arial" w:eastAsia="Arial" w:hAnsi="Arial"/>
          <w:sz w:val="11"/>
          <w:szCs w:val="11"/>
          <w:color w:val="FFFFFF"/>
        </w:rPr>
        <w:t>due to increased volumes of play generated by gaming promoters and the addition of fi ve new gaming promoters. Additionally, gaming promoters each receive a monthly complimentary allowance based on a percentage of the turnover their clients generate.</w:t>
      </w:r>
    </w:p>
    <w:p>
      <w:pPr>
        <w:sectPr>
          <w:pgSz w:w="11900" w:h="16838" w:orient="portrait"/>
          <w:cols w:equalWidth="0" w:num="1">
            <w:col w:w="11380"/>
          </w:cols>
          <w:pgMar w:left="240" w:top="1440" w:right="2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FFFFFF"/>
                <w:w w:val="93"/>
              </w:rPr>
              <w:t>Annual Report 2011 9</w:t>
            </w:r>
          </w:p>
        </w:tc>
        <w:tc>
          <w:tcPr>
            <w:tcW w:w="2560" w:type="dxa"/>
            <w:vAlign w:val="bottom"/>
            <w:vMerge w:val="restart"/>
          </w:tcPr>
          <w:p>
            <w:pPr>
              <w:ind w:left="80"/>
              <w:spacing w:after="0"/>
              <w:rPr>
                <w:sz w:val="20"/>
                <w:szCs w:val="20"/>
                <w:color w:val="auto"/>
              </w:rPr>
            </w:pPr>
            <w:r>
              <w:rPr>
                <w:rFonts w:ascii="Arial" w:cs="Arial" w:eastAsia="Arial" w:hAnsi="Arial"/>
                <w:sz w:val="14"/>
                <w:szCs w:val="14"/>
                <w:color w:val="FFFFFF"/>
              </w:rPr>
              <w:t>and Analysis</w:t>
            </w: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Management</w:t>
            </w:r>
          </w:p>
        </w:tc>
        <w:tc>
          <w:tcPr>
            <w:tcW w:w="25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The al owanceDiscussionavailable for room, food and beverage and other products and services for discretionary use with clients. We typically advance commissions to gaming promoters at the beginning of each month</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to facilitate their working capital requirements. These advances are provided to a gaming promoter and are offset by the commissions earned by such gaming promoter during the applicable month. The</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aggregate amounts of exposure to our gaming promoters, which is the difference between commissions advanced to each individual gaming promoter, and the commissions payable to each such gaming</w:t>
            </w:r>
          </w:p>
        </w:tc>
        <w:tc>
          <w:tcPr>
            <w:tcW w:w="0" w:type="dxa"/>
            <w:vAlign w:val="bottom"/>
          </w:tcPr>
          <w:p>
            <w:pPr>
              <w:spacing w:after="0"/>
              <w:rPr>
                <w:sz w:val="1"/>
                <w:szCs w:val="1"/>
                <w:color w:val="auto"/>
              </w:rPr>
            </w:pPr>
          </w:p>
        </w:tc>
      </w:tr>
      <w:tr>
        <w:trPr>
          <w:trHeight w:val="41"/>
        </w:trPr>
        <w:tc>
          <w:tcPr>
            <w:tcW w:w="3860" w:type="dxa"/>
            <w:vAlign w:val="bottom"/>
            <w:gridSpan w:val="2"/>
          </w:tcPr>
          <w:p>
            <w:pPr>
              <w:ind w:left="500"/>
              <w:spacing w:after="0"/>
              <w:rPr>
                <w:sz w:val="20"/>
                <w:szCs w:val="20"/>
                <w:color w:val="auto"/>
              </w:rPr>
            </w:pPr>
            <w:r>
              <w:rPr>
                <w:rFonts w:ascii="Arial" w:cs="Arial" w:eastAsia="Arial" w:hAnsi="Arial"/>
                <w:sz w:val="3"/>
                <w:szCs w:val="3"/>
                <w:color w:val="FFFFFF"/>
              </w:rPr>
              <w:t>, were HK$367.1 million and HK$246.3 million as at 31</w:t>
            </w:r>
          </w:p>
        </w:tc>
        <w:tc>
          <w:tcPr>
            <w:tcW w:w="1440" w:type="dxa"/>
            <w:vAlign w:val="bottom"/>
          </w:tcPr>
          <w:p>
            <w:pPr>
              <w:ind w:left="320"/>
              <w:spacing w:after="0"/>
              <w:rPr>
                <w:sz w:val="20"/>
                <w:szCs w:val="20"/>
                <w:color w:val="auto"/>
              </w:rPr>
            </w:pPr>
            <w:r>
              <w:rPr>
                <w:rFonts w:ascii="Arial" w:cs="Arial" w:eastAsia="Arial" w:hAnsi="Arial"/>
                <w:sz w:val="3"/>
                <w:szCs w:val="3"/>
                <w:color w:val="FFFFFF"/>
              </w:rPr>
              <w:t>2011 and 2010, res</w:t>
            </w:r>
          </w:p>
        </w:tc>
        <w:tc>
          <w:tcPr>
            <w:tcW w:w="6100" w:type="dxa"/>
            <w:vAlign w:val="bottom"/>
            <w:gridSpan w:val="4"/>
          </w:tcPr>
          <w:p>
            <w:pPr>
              <w:jc w:val="right"/>
              <w:ind w:right="163"/>
              <w:spacing w:after="0"/>
              <w:rPr>
                <w:sz w:val="20"/>
                <w:szCs w:val="20"/>
                <w:color w:val="auto"/>
              </w:rPr>
            </w:pPr>
            <w:r>
              <w:rPr>
                <w:rFonts w:ascii="Arial" w:cs="Arial" w:eastAsia="Arial" w:hAnsi="Arial"/>
                <w:sz w:val="3"/>
                <w:szCs w:val="3"/>
                <w:color w:val="FFFFFF"/>
              </w:rPr>
              <w:t>ctively. These outstanding commissions were cleared no later than the fi fth day of the succeeding month and</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priomotertothe advancement of any further funds to a gaming promoter.DecemberWbelieve we have developed strong relationships with our gaming promoters. Our commission percentages have remained stable</w:t>
            </w: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throughout our operating history.</w:t>
            </w:r>
          </w:p>
        </w:tc>
        <w:tc>
          <w:tcPr>
            <w:tcW w:w="14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ind w:left="540"/>
              <w:spacing w:after="0"/>
              <w:rPr>
                <w:sz w:val="20"/>
                <w:szCs w:val="20"/>
                <w:color w:val="auto"/>
              </w:rPr>
            </w:pPr>
            <w:r>
              <w:rPr>
                <w:rFonts w:ascii="Arial" w:cs="Arial" w:eastAsia="Arial" w:hAnsi="Arial"/>
                <w:sz w:val="3"/>
                <w:szCs w:val="3"/>
                <w:color w:val="FFFFFF"/>
              </w:rPr>
              <w:t>Credit Play</w:t>
            </w:r>
          </w:p>
        </w:tc>
        <w:tc>
          <w:tcPr>
            <w:tcW w:w="25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960" w:type="dxa"/>
            <w:vAlign w:val="bottom"/>
            <w:gridSpan w:val="2"/>
            <w:vMerge w:val="restart"/>
          </w:tcPr>
          <w:p>
            <w:pPr>
              <w:jc w:val="right"/>
              <w:ind w:right="23"/>
              <w:spacing w:after="0" w:line="81" w:lineRule="exact"/>
              <w:rPr>
                <w:sz w:val="20"/>
                <w:szCs w:val="20"/>
                <w:color w:val="auto"/>
              </w:rPr>
            </w:pPr>
            <w:r>
              <w:rPr>
                <w:rFonts w:ascii="Arial" w:cs="Arial" w:eastAsia="Arial" w:hAnsi="Arial"/>
                <w:sz w:val="9"/>
                <w:szCs w:val="9"/>
                <w:color w:val="FFFFFF"/>
              </w:rPr>
              <w:t>follow a series of credit procedures and require from</w:t>
            </w:r>
          </w:p>
        </w:tc>
        <w:tc>
          <w:tcPr>
            <w:tcW w:w="0" w:type="dxa"/>
            <w:vAlign w:val="bottom"/>
          </w:tcPr>
          <w:p>
            <w:pPr>
              <w:spacing w:after="0"/>
              <w:rPr>
                <w:sz w:val="1"/>
                <w:szCs w:val="1"/>
                <w:color w:val="auto"/>
              </w:rPr>
            </w:pPr>
          </w:p>
        </w:tc>
      </w:tr>
      <w:tr>
        <w:trPr>
          <w:trHeight w:val="41"/>
        </w:trPr>
        <w:tc>
          <w:tcPr>
            <w:tcW w:w="8440" w:type="dxa"/>
            <w:vAlign w:val="bottom"/>
            <w:gridSpan w:val="5"/>
          </w:tcPr>
          <w:p>
            <w:pPr>
              <w:spacing w:after="0"/>
              <w:rPr>
                <w:sz w:val="20"/>
                <w:szCs w:val="20"/>
                <w:color w:val="auto"/>
              </w:rPr>
            </w:pPr>
            <w:r>
              <w:rPr>
                <w:rFonts w:ascii="Arial" w:cs="Arial" w:eastAsia="Arial" w:hAnsi="Arial"/>
                <w:sz w:val="3"/>
                <w:szCs w:val="3"/>
                <w:color w:val="FFFFFF"/>
              </w:rPr>
              <w:t>PremiumWselectively extend credit to players contingent upon our marketing team’s knowledge of the players, their fi nancial background and payment history. W</w:t>
            </w:r>
          </w:p>
        </w:tc>
        <w:tc>
          <w:tcPr>
            <w:tcW w:w="2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each credit recipient various signed documents that are intended to ensure among other things that, if permitted by applicable law, the debt can be legally enforced in the jurisdiction where the player resides. In</w:t>
            </w:r>
          </w:p>
        </w:tc>
        <w:tc>
          <w:tcPr>
            <w:tcW w:w="0" w:type="dxa"/>
            <w:vAlign w:val="bottom"/>
          </w:tcPr>
          <w:p>
            <w:pPr>
              <w:spacing w:after="0"/>
              <w:rPr>
                <w:sz w:val="1"/>
                <w:szCs w:val="1"/>
                <w:color w:val="auto"/>
              </w:rPr>
            </w:pPr>
          </w:p>
        </w:tc>
      </w:tr>
      <w:tr>
        <w:trPr>
          <w:trHeight w:val="41"/>
        </w:trPr>
        <w:tc>
          <w:tcPr>
            <w:tcW w:w="8440" w:type="dxa"/>
            <w:vAlign w:val="bottom"/>
            <w:gridSpan w:val="5"/>
          </w:tcPr>
          <w:p>
            <w:pPr>
              <w:spacing w:after="0"/>
              <w:rPr>
                <w:sz w:val="20"/>
                <w:szCs w:val="20"/>
                <w:color w:val="auto"/>
              </w:rPr>
            </w:pPr>
            <w:r>
              <w:rPr>
                <w:rFonts w:ascii="Arial" w:cs="Arial" w:eastAsia="Arial" w:hAnsi="Arial"/>
                <w:sz w:val="3"/>
                <w:szCs w:val="3"/>
                <w:color w:val="FFFFFF"/>
              </w:rPr>
              <w:t>the event the player does not reside in a jurisdiction where gaming debts are legally enforceable, we often can assert jurisdiction over assets the player</w:t>
            </w:r>
          </w:p>
        </w:tc>
        <w:tc>
          <w:tcPr>
            <w:tcW w:w="280" w:type="dxa"/>
            <w:vAlign w:val="bottom"/>
          </w:tcPr>
          <w:p>
            <w:pPr>
              <w:spacing w:after="0"/>
              <w:rPr>
                <w:sz w:val="3"/>
                <w:szCs w:val="3"/>
                <w:color w:val="auto"/>
              </w:rPr>
            </w:pPr>
          </w:p>
        </w:tc>
        <w:tc>
          <w:tcPr>
            <w:tcW w:w="2680" w:type="dxa"/>
            <w:vAlign w:val="bottom"/>
          </w:tcPr>
          <w:p>
            <w:pPr>
              <w:jc w:val="right"/>
              <w:ind w:right="543"/>
              <w:spacing w:after="0"/>
              <w:rPr>
                <w:sz w:val="20"/>
                <w:szCs w:val="20"/>
                <w:color w:val="auto"/>
              </w:rPr>
            </w:pPr>
            <w:r>
              <w:rPr>
                <w:rFonts w:ascii="Arial" w:cs="Arial" w:eastAsia="Arial" w:hAnsi="Arial"/>
                <w:sz w:val="3"/>
                <w:szCs w:val="3"/>
                <w:color w:val="FFFFFF"/>
              </w:rPr>
              <w:t>in jurisdictions where gaming debts are</w:t>
            </w:r>
          </w:p>
        </w:tc>
        <w:tc>
          <w:tcPr>
            <w:tcW w:w="0" w:type="dxa"/>
            <w:vAlign w:val="bottom"/>
          </w:tcPr>
          <w:p>
            <w:pPr>
              <w:spacing w:after="0"/>
              <w:rPr>
                <w:sz w:val="1"/>
                <w:szCs w:val="1"/>
                <w:color w:val="auto"/>
              </w:rPr>
            </w:pPr>
          </w:p>
        </w:tc>
      </w:tr>
      <w:tr>
        <w:trPr>
          <w:trHeight w:val="41"/>
        </w:trPr>
        <w:tc>
          <w:tcPr>
            <w:tcW w:w="8720" w:type="dxa"/>
            <w:vAlign w:val="bottom"/>
            <w:gridSpan w:val="6"/>
          </w:tcPr>
          <w:p>
            <w:pPr>
              <w:spacing w:after="0"/>
              <w:rPr>
                <w:sz w:val="20"/>
                <w:szCs w:val="20"/>
                <w:color w:val="auto"/>
              </w:rPr>
            </w:pPr>
            <w:r>
              <w:rPr>
                <w:rFonts w:ascii="Arial" w:cs="Arial" w:eastAsia="Arial" w:hAnsi="Arial"/>
                <w:sz w:val="3"/>
                <w:szCs w:val="3"/>
                <w:color w:val="FFFFFF"/>
              </w:rPr>
              <w:t>recognized. In addition, we typically require  check in the amount of the applicable credit line from credit players, collateralizing the credit we grant tomaintainsplayer.</w:t>
            </w: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Number and Mix of Table Games and Slot Machines</w:t>
            </w:r>
          </w:p>
        </w:tc>
        <w:tc>
          <w:tcPr>
            <w:tcW w:w="14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The mix of VIP table games, mass table games and slot machines in operation at our resort changes from time to time as a result of marketing and operating strategies in response to changing market demand and</w:t>
            </w:r>
          </w:p>
        </w:tc>
        <w:tc>
          <w:tcPr>
            <w:tcW w:w="0" w:type="dxa"/>
            <w:vAlign w:val="bottom"/>
          </w:tcPr>
          <w:p>
            <w:pPr>
              <w:spacing w:after="0"/>
              <w:rPr>
                <w:sz w:val="1"/>
                <w:szCs w:val="1"/>
                <w:color w:val="auto"/>
              </w:rPr>
            </w:pP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industry competition. The shift in the mix of our games will affect casino profi tability.</w:t>
            </w: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ind w:left="100"/>
              <w:spacing w:after="0"/>
              <w:rPr>
                <w:sz w:val="20"/>
                <w:szCs w:val="20"/>
                <w:color w:val="auto"/>
              </w:rPr>
            </w:pPr>
            <w:r>
              <w:rPr>
                <w:rFonts w:ascii="Arial" w:cs="Arial" w:eastAsia="Arial" w:hAnsi="Arial"/>
                <w:sz w:val="3"/>
                <w:szCs w:val="3"/>
                <w:color w:val="FFFFFF"/>
              </w:rPr>
              <w:t>DJUSTED EBITDA</w:t>
            </w:r>
          </w:p>
        </w:tc>
        <w:tc>
          <w:tcPr>
            <w:tcW w:w="25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960" w:type="dxa"/>
            <w:vAlign w:val="bottom"/>
            <w:gridSpan w:val="2"/>
            <w:vMerge w:val="restart"/>
          </w:tcPr>
          <w:p>
            <w:pPr>
              <w:jc w:val="right"/>
              <w:ind w:right="43"/>
              <w:spacing w:after="0" w:line="81" w:lineRule="exact"/>
              <w:rPr>
                <w:sz w:val="20"/>
                <w:szCs w:val="20"/>
                <w:color w:val="auto"/>
              </w:rPr>
            </w:pPr>
            <w:r>
              <w:rPr>
                <w:rFonts w:ascii="Arial" w:cs="Arial" w:eastAsia="Arial" w:hAnsi="Arial"/>
                <w:sz w:val="9"/>
                <w:szCs w:val="9"/>
                <w:color w:val="FFFFFF"/>
              </w:rPr>
              <w:t>and other non-operating income/ (expense). Adjusted</w:t>
            </w:r>
          </w:p>
        </w:tc>
        <w:tc>
          <w:tcPr>
            <w:tcW w:w="0" w:type="dxa"/>
            <w:vAlign w:val="bottom"/>
          </w:tcPr>
          <w:p>
            <w:pPr>
              <w:spacing w:after="0"/>
              <w:rPr>
                <w:sz w:val="1"/>
                <w:szCs w:val="1"/>
                <w:color w:val="auto"/>
              </w:rPr>
            </w:pPr>
          </w:p>
        </w:tc>
      </w:tr>
      <w:tr>
        <w:trPr>
          <w:trHeight w:val="41"/>
        </w:trPr>
        <w:tc>
          <w:tcPr>
            <w:tcW w:w="8440" w:type="dxa"/>
            <w:vAlign w:val="bottom"/>
            <w:gridSpan w:val="5"/>
          </w:tcPr>
          <w:p>
            <w:pPr>
              <w:spacing w:after="0"/>
              <w:rPr>
                <w:sz w:val="20"/>
                <w:szCs w:val="20"/>
                <w:color w:val="auto"/>
              </w:rPr>
            </w:pPr>
            <w:r>
              <w:rPr>
                <w:rFonts w:ascii="Arial" w:cs="Arial" w:eastAsia="Arial" w:hAnsi="Arial"/>
                <w:sz w:val="3"/>
                <w:szCs w:val="3"/>
                <w:color w:val="FFFFFF"/>
              </w:rPr>
              <w:t>Adjusted EBITDA is earnings before fi nance costs, taxes, depreciation, amortization, pre-opening costs, property charges and other share-based</w:t>
            </w:r>
          </w:p>
        </w:tc>
        <w:tc>
          <w:tcPr>
            <w:tcW w:w="2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00" w:type="dxa"/>
            <w:vAlign w:val="bottom"/>
            <w:gridSpan w:val="3"/>
          </w:tcPr>
          <w:p>
            <w:pPr>
              <w:ind w:left="540"/>
              <w:spacing w:after="0"/>
              <w:rPr>
                <w:sz w:val="20"/>
                <w:szCs w:val="20"/>
                <w:color w:val="auto"/>
              </w:rPr>
            </w:pPr>
            <w:r>
              <w:rPr>
                <w:rFonts w:ascii="Arial" w:cs="Arial" w:eastAsia="Arial" w:hAnsi="Arial"/>
                <w:sz w:val="3"/>
                <w:szCs w:val="3"/>
                <w:color w:val="FFFFFF"/>
              </w:rPr>
              <w:t>is presented exclusively as a supplemental disclosure because our Directors believe that</w:t>
            </w:r>
          </w:p>
        </w:tc>
        <w:tc>
          <w:tcPr>
            <w:tcW w:w="6100" w:type="dxa"/>
            <w:vAlign w:val="bottom"/>
            <w:gridSpan w:val="4"/>
          </w:tcPr>
          <w:p>
            <w:pPr>
              <w:jc w:val="right"/>
              <w:ind w:right="83"/>
              <w:spacing w:after="0"/>
              <w:rPr>
                <w:sz w:val="20"/>
                <w:szCs w:val="20"/>
                <w:color w:val="auto"/>
              </w:rPr>
            </w:pPr>
            <w:r>
              <w:rPr>
                <w:rFonts w:ascii="Arial" w:cs="Arial" w:eastAsia="Arial" w:hAnsi="Arial"/>
                <w:sz w:val="3"/>
                <w:szCs w:val="3"/>
                <w:color w:val="FFFFFF"/>
              </w:rPr>
              <w:t>is widely used to measure the performance, andpayments,asbasis for valuation, of gaming companies. Our Adjusted</w:t>
            </w:r>
          </w:p>
        </w:tc>
        <w:tc>
          <w:tcPr>
            <w:tcW w:w="0" w:type="dxa"/>
            <w:vAlign w:val="bottom"/>
          </w:tcPr>
          <w:p>
            <w:pPr>
              <w:spacing w:after="0"/>
              <w:rPr>
                <w:sz w:val="1"/>
                <w:szCs w:val="1"/>
                <w:color w:val="auto"/>
              </w:rPr>
            </w:pPr>
          </w:p>
        </w:tc>
      </w:tr>
      <w:tr>
        <w:trPr>
          <w:trHeight w:val="41"/>
        </w:trPr>
        <w:tc>
          <w:tcPr>
            <w:tcW w:w="6880" w:type="dxa"/>
            <w:vAlign w:val="bottom"/>
            <w:gridSpan w:val="4"/>
          </w:tcPr>
          <w:p>
            <w:pPr>
              <w:spacing w:after="0"/>
              <w:rPr>
                <w:sz w:val="20"/>
                <w:szCs w:val="20"/>
                <w:color w:val="auto"/>
              </w:rPr>
            </w:pPr>
            <w:r>
              <w:rPr>
                <w:rFonts w:ascii="Arial" w:cs="Arial" w:eastAsia="Arial" w:hAnsi="Arial"/>
                <w:sz w:val="3"/>
                <w:szCs w:val="3"/>
                <w:color w:val="FFFFFF"/>
              </w:rPr>
              <w:t>EBITDA presented herein also differs from the Adjusted EBITDA presented by Wynn Resorts, Limited for its Macau</w:t>
            </w:r>
          </w:p>
        </w:tc>
        <w:tc>
          <w:tcPr>
            <w:tcW w:w="4520" w:type="dxa"/>
            <w:vAlign w:val="bottom"/>
            <w:gridSpan w:val="3"/>
          </w:tcPr>
          <w:p>
            <w:pPr>
              <w:jc w:val="right"/>
              <w:ind w:right="543"/>
              <w:spacing w:after="0"/>
              <w:rPr>
                <w:sz w:val="20"/>
                <w:szCs w:val="20"/>
                <w:color w:val="auto"/>
              </w:rPr>
            </w:pPr>
            <w:r>
              <w:rPr>
                <w:rFonts w:ascii="Arial" w:cs="Arial" w:eastAsia="Arial" w:hAnsi="Arial"/>
                <w:sz w:val="3"/>
                <w:szCs w:val="3"/>
                <w:color w:val="FFFFFF"/>
              </w:rPr>
              <w:t>in its fi lings with the SEC, primarily due to the inclusion of royalty fees,</w:t>
            </w:r>
          </w:p>
        </w:tc>
        <w:tc>
          <w:tcPr>
            <w:tcW w:w="0" w:type="dxa"/>
            <w:vAlign w:val="bottom"/>
          </w:tcPr>
          <w:p>
            <w:pPr>
              <w:spacing w:after="0"/>
              <w:rPr>
                <w:sz w:val="1"/>
                <w:szCs w:val="1"/>
                <w:color w:val="auto"/>
              </w:rPr>
            </w:pPr>
          </w:p>
        </w:tc>
      </w:tr>
      <w:tr>
        <w:trPr>
          <w:trHeight w:val="213"/>
        </w:trPr>
        <w:tc>
          <w:tcPr>
            <w:tcW w:w="6880" w:type="dxa"/>
            <w:vAlign w:val="bottom"/>
            <w:gridSpan w:val="4"/>
          </w:tcPr>
          <w:p>
            <w:pPr>
              <w:spacing w:after="0"/>
              <w:rPr>
                <w:sz w:val="20"/>
                <w:szCs w:val="20"/>
                <w:color w:val="auto"/>
              </w:rPr>
            </w:pPr>
            <w:r>
              <w:rPr>
                <w:rFonts w:ascii="Arial" w:cs="Arial" w:eastAsia="Arial" w:hAnsi="Arial"/>
                <w:sz w:val="14"/>
                <w:szCs w:val="14"/>
                <w:color w:val="FFFFFF"/>
                <w:w w:val="83"/>
              </w:rPr>
              <w:t>adjustments for IFRS differences with U.S. GAAP, corporate support and other support services in arriving at operatingsegmentprofi.</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FFFFFF"/>
        </w:rPr>
        <w:t xml:space="preserve">Management10WynnMacau,DiscussionLimitedand </w:t>
      </w:r>
      <w:r>
        <w:rPr>
          <w:rFonts w:ascii="Arial" w:cs="Arial" w:eastAsia="Arial" w:hAnsi="Arial"/>
          <w:sz w:val="27"/>
          <w:szCs w:val="27"/>
          <w:color w:val="FFFFFF"/>
          <w:vertAlign w:val="subscript"/>
        </w:rPr>
        <w:t>Analysis</w:t>
      </w:r>
    </w:p>
    <w:p>
      <w:pPr>
        <w:spacing w:after="0" w:line="187" w:lineRule="auto"/>
        <w:rPr>
          <w:sz w:val="20"/>
          <w:szCs w:val="20"/>
          <w:color w:val="auto"/>
        </w:rPr>
      </w:pPr>
      <w:r>
        <w:rPr>
          <w:rFonts w:ascii="Arial" w:cs="Arial" w:eastAsia="Arial" w:hAnsi="Arial"/>
          <w:sz w:val="9"/>
          <w:szCs w:val="9"/>
          <w:color w:val="FFFFFF"/>
        </w:rPr>
        <w:t>The following table sets forth quantitative reconciliation of Adjusted EBITDA to its most directly comparable IFRS measurement, operating profi t, for the years ended 31 December 2011 and 2010. For the year ended</w:t>
      </w:r>
    </w:p>
    <w:p>
      <w:pPr>
        <w:spacing w:after="0"/>
        <w:rPr>
          <w:sz w:val="20"/>
          <w:szCs w:val="20"/>
          <w:color w:val="auto"/>
        </w:rPr>
      </w:pPr>
      <w:r>
        <w:rPr>
          <w:rFonts w:ascii="Arial" w:cs="Arial" w:eastAsia="Arial" w:hAnsi="Arial"/>
          <w:sz w:val="3"/>
          <w:szCs w:val="3"/>
          <w:color w:val="FFFFFF"/>
        </w:rPr>
        <w:t>31 December</w:t>
      </w:r>
    </w:p>
    <w:p>
      <w:pPr>
        <w:spacing w:after="0" w:line="181" w:lineRule="auto"/>
        <w:rPr>
          <w:sz w:val="20"/>
          <w:szCs w:val="20"/>
          <w:color w:val="auto"/>
        </w:rPr>
      </w:pPr>
      <w:r>
        <w:rPr>
          <w:rFonts w:ascii="Arial" w:cs="Arial" w:eastAsia="Arial" w:hAnsi="Arial"/>
          <w:sz w:val="10"/>
          <w:szCs w:val="10"/>
          <w:color w:val="FFFFFF"/>
        </w:rPr>
        <w:t>2011 2010</w:t>
      </w:r>
    </w:p>
    <w:p>
      <w:pPr>
        <w:spacing w:after="0" w:line="188" w:lineRule="auto"/>
        <w:rPr>
          <w:sz w:val="20"/>
          <w:szCs w:val="20"/>
          <w:color w:val="auto"/>
        </w:rPr>
      </w:pPr>
      <w:r>
        <w:rPr>
          <w:rFonts w:ascii="Arial" w:cs="Arial" w:eastAsia="Arial" w:hAnsi="Arial"/>
          <w:sz w:val="9"/>
          <w:szCs w:val="9"/>
          <w:color w:val="FFFFFF"/>
        </w:rPr>
        <w:t>(inHKthousands)$HK$</w:t>
      </w:r>
    </w:p>
    <w:p>
      <w:pPr>
        <w:spacing w:after="0" w:line="188" w:lineRule="auto"/>
        <w:rPr>
          <w:sz w:val="20"/>
          <w:szCs w:val="20"/>
          <w:color w:val="auto"/>
        </w:rPr>
      </w:pPr>
      <w:r>
        <w:rPr>
          <w:rFonts w:ascii="Arial" w:cs="Arial" w:eastAsia="Arial" w:hAnsi="Arial"/>
          <w:sz w:val="9"/>
          <w:szCs w:val="9"/>
          <w:color w:val="FFFFFF"/>
        </w:rPr>
        <w:t>AddOperating profit 5,982,291 4,696,933</w:t>
      </w:r>
    </w:p>
    <w:p>
      <w:pPr>
        <w:spacing w:after="0" w:line="188" w:lineRule="auto"/>
        <w:rPr>
          <w:sz w:val="20"/>
          <w:szCs w:val="20"/>
          <w:color w:val="auto"/>
        </w:rPr>
      </w:pPr>
      <w:r>
        <w:rPr>
          <w:rFonts w:ascii="Arial" w:cs="Arial" w:eastAsia="Arial" w:hAnsi="Arial"/>
          <w:sz w:val="9"/>
          <w:szCs w:val="9"/>
          <w:color w:val="FFFFFF"/>
          <w:vertAlign w:val="subscript"/>
        </w:rPr>
        <w:t>PropertyDepreciation</w:t>
      </w:r>
      <w:r>
        <w:rPr>
          <w:rFonts w:ascii="Arial" w:cs="Arial" w:eastAsia="Arial" w:hAnsi="Arial"/>
          <w:sz w:val="7"/>
          <w:szCs w:val="7"/>
          <w:color w:val="FFFFFF"/>
        </w:rPr>
        <w:t>-openingcosts(1)andamortization—54,5711,016,421 989,516</w:t>
      </w:r>
    </w:p>
    <w:p>
      <w:pPr>
        <w:spacing w:after="0" w:line="188" w:lineRule="auto"/>
        <w:rPr>
          <w:sz w:val="20"/>
          <w:szCs w:val="20"/>
          <w:color w:val="auto"/>
        </w:rPr>
      </w:pPr>
      <w:r>
        <w:rPr>
          <w:rFonts w:ascii="Arial" w:cs="Arial" w:eastAsia="Arial" w:hAnsi="Arial"/>
          <w:sz w:val="9"/>
          <w:szCs w:val="9"/>
          <w:color w:val="FFFFFF"/>
        </w:rPr>
        <w:t>Share-basedchargespaymentsandother49,196865,85346,61347,009</w:t>
      </w:r>
    </w:p>
    <w:p>
      <w:pPr>
        <w:spacing w:after="0"/>
        <w:rPr>
          <w:sz w:val="20"/>
          <w:szCs w:val="20"/>
          <w:color w:val="auto"/>
        </w:rPr>
      </w:pPr>
      <w:r>
        <w:rPr>
          <w:rFonts w:ascii="Arial" w:cs="Arial" w:eastAsia="Arial" w:hAnsi="Arial"/>
          <w:sz w:val="3"/>
          <w:szCs w:val="3"/>
          <w:color w:val="FFFFFF"/>
        </w:rPr>
        <w:t>AdjustedWynnMacau,EBITDALimited7,951,286corporate5,876,134expenses 37,525 41,492</w:t>
      </w:r>
    </w:p>
    <w:p>
      <w:pPr>
        <w:spacing w:after="0" w:line="194" w:lineRule="auto"/>
        <w:rPr>
          <w:sz w:val="20"/>
          <w:szCs w:val="20"/>
          <w:color w:val="auto"/>
        </w:rPr>
      </w:pPr>
      <w:r>
        <w:rPr>
          <w:rFonts w:ascii="Arial" w:cs="Arial" w:eastAsia="Arial" w:hAnsi="Arial"/>
          <w:sz w:val="5"/>
          <w:szCs w:val="5"/>
          <w:color w:val="FFFFFF"/>
        </w:rPr>
        <w:t>Note:</w:t>
      </w:r>
    </w:p>
    <w:p>
      <w:pPr>
        <w:spacing w:after="0"/>
        <w:rPr>
          <w:sz w:val="20"/>
          <w:szCs w:val="20"/>
          <w:color w:val="auto"/>
        </w:rPr>
      </w:pPr>
      <w:r>
        <w:rPr>
          <w:rFonts w:ascii="Arial" w:cs="Arial" w:eastAsia="Arial" w:hAnsi="Arial"/>
          <w:sz w:val="14"/>
          <w:szCs w:val="14"/>
          <w:color w:val="FFFFFF"/>
        </w:rPr>
        <w:t>(1) Pre-opening costs for the year 2010 primarily consisted of payroll attributable to staff engaged in the start-up operations of Encore which opened on 21 April 2010.</w:t>
      </w:r>
    </w:p>
    <w:p>
      <w:pPr>
        <w:sectPr>
          <w:pgSz w:w="11900" w:h="16838" w:orient="portrait"/>
          <w:cols w:equalWidth="0" w:num="1">
            <w:col w:w="10780"/>
          </w:cols>
          <w:pgMar w:left="240" w:top="1440" w:right="8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11</w:t>
      </w:r>
    </w:p>
    <w:p>
      <w:pPr>
        <w:spacing w:after="0" w:line="211" w:lineRule="auto"/>
        <w:rPr>
          <w:sz w:val="20"/>
          <w:szCs w:val="20"/>
          <w:color w:val="auto"/>
        </w:rPr>
      </w:pPr>
      <w:r>
        <w:rPr>
          <w:rFonts w:ascii="Arial" w:cs="Arial" w:eastAsia="Arial" w:hAnsi="Arial"/>
          <w:sz w:val="2"/>
          <w:szCs w:val="2"/>
          <w:color w:val="FFFFFF"/>
        </w:rPr>
        <w:t xml:space="preserve">Management Discussion and </w:t>
      </w:r>
      <w:r>
        <w:rPr>
          <w:rFonts w:ascii="Arial" w:cs="Arial" w:eastAsia="Arial" w:hAnsi="Arial"/>
          <w:sz w:val="4"/>
          <w:szCs w:val="4"/>
          <w:color w:val="FFFFFF"/>
          <w:vertAlign w:val="subscript"/>
        </w:rPr>
        <w:t>Analysis</w:t>
      </w:r>
    </w:p>
    <w:p>
      <w:pPr>
        <w:spacing w:after="0" w:line="187" w:lineRule="auto"/>
        <w:rPr>
          <w:sz w:val="20"/>
          <w:szCs w:val="20"/>
          <w:color w:val="auto"/>
        </w:rPr>
      </w:pPr>
      <w:r>
        <w:rPr>
          <w:rFonts w:ascii="Arial" w:cs="Arial" w:eastAsia="Arial" w:hAnsi="Arial"/>
          <w:sz w:val="9"/>
          <w:szCs w:val="9"/>
          <w:color w:val="FFFFFF"/>
        </w:rPr>
        <w:t>The following table sets forth quantitative reconciliation of Adjusted EBITDA to its most directly comparable IFRS measurement, operating profi t, for the years ended 31 December 2011 and 2010. For the year ended</w:t>
      </w:r>
    </w:p>
    <w:p>
      <w:pPr>
        <w:spacing w:after="0"/>
        <w:rPr>
          <w:sz w:val="20"/>
          <w:szCs w:val="20"/>
          <w:color w:val="auto"/>
        </w:rPr>
      </w:pPr>
      <w:r>
        <w:rPr>
          <w:rFonts w:ascii="Arial" w:cs="Arial" w:eastAsia="Arial" w:hAnsi="Arial"/>
          <w:sz w:val="3"/>
          <w:szCs w:val="3"/>
          <w:color w:val="FFFFFF"/>
        </w:rPr>
        <w:t>31 December</w:t>
      </w:r>
    </w:p>
    <w:p>
      <w:pPr>
        <w:spacing w:after="0" w:line="181" w:lineRule="auto"/>
        <w:rPr>
          <w:sz w:val="20"/>
          <w:szCs w:val="20"/>
          <w:color w:val="auto"/>
        </w:rPr>
      </w:pPr>
      <w:r>
        <w:rPr>
          <w:rFonts w:ascii="Arial" w:cs="Arial" w:eastAsia="Arial" w:hAnsi="Arial"/>
          <w:sz w:val="10"/>
          <w:szCs w:val="10"/>
          <w:color w:val="FFFFFF"/>
        </w:rPr>
        <w:t>2011 2010</w:t>
      </w:r>
    </w:p>
    <w:p>
      <w:pPr>
        <w:spacing w:after="0" w:line="188" w:lineRule="auto"/>
        <w:rPr>
          <w:sz w:val="20"/>
          <w:szCs w:val="20"/>
          <w:color w:val="auto"/>
        </w:rPr>
      </w:pPr>
      <w:r>
        <w:rPr>
          <w:rFonts w:ascii="Arial" w:cs="Arial" w:eastAsia="Arial" w:hAnsi="Arial"/>
          <w:sz w:val="9"/>
          <w:szCs w:val="9"/>
          <w:color w:val="FFFFFF"/>
        </w:rPr>
        <w:t>(inHKthousands)$HK$</w:t>
      </w:r>
    </w:p>
    <w:p>
      <w:pPr>
        <w:spacing w:after="0" w:line="188" w:lineRule="auto"/>
        <w:rPr>
          <w:sz w:val="20"/>
          <w:szCs w:val="20"/>
          <w:color w:val="auto"/>
        </w:rPr>
      </w:pPr>
      <w:r>
        <w:rPr>
          <w:rFonts w:ascii="Arial" w:cs="Arial" w:eastAsia="Arial" w:hAnsi="Arial"/>
          <w:sz w:val="9"/>
          <w:szCs w:val="9"/>
          <w:color w:val="FFFFFF"/>
        </w:rPr>
        <w:t>AddOperating profit 5,982,291 4,696,933</w:t>
      </w:r>
    </w:p>
    <w:p>
      <w:pPr>
        <w:spacing w:after="0" w:line="188" w:lineRule="auto"/>
        <w:rPr>
          <w:sz w:val="20"/>
          <w:szCs w:val="20"/>
          <w:color w:val="auto"/>
        </w:rPr>
      </w:pPr>
      <w:r>
        <w:rPr>
          <w:rFonts w:ascii="Arial" w:cs="Arial" w:eastAsia="Arial" w:hAnsi="Arial"/>
          <w:sz w:val="9"/>
          <w:szCs w:val="9"/>
          <w:color w:val="FFFFFF"/>
          <w:vertAlign w:val="subscript"/>
        </w:rPr>
        <w:t>PropertyDepreciation</w:t>
      </w:r>
      <w:r>
        <w:rPr>
          <w:rFonts w:ascii="Arial" w:cs="Arial" w:eastAsia="Arial" w:hAnsi="Arial"/>
          <w:sz w:val="7"/>
          <w:szCs w:val="7"/>
          <w:color w:val="FFFFFF"/>
        </w:rPr>
        <w:t>-openingcosts(1)andamortization—54,5711,016,421 989,516</w:t>
      </w:r>
    </w:p>
    <w:p>
      <w:pPr>
        <w:spacing w:after="0"/>
        <w:rPr>
          <w:sz w:val="20"/>
          <w:szCs w:val="20"/>
          <w:color w:val="auto"/>
        </w:rPr>
      </w:pPr>
      <w:r>
        <w:rPr>
          <w:rFonts w:ascii="Arial" w:cs="Arial" w:eastAsia="Arial" w:hAnsi="Arial"/>
          <w:sz w:val="3"/>
          <w:szCs w:val="3"/>
          <w:color w:val="FFFFFF"/>
        </w:rPr>
        <w:t>Share-basedchargespaymentsandother49,196865,85346,61347,009</w:t>
      </w:r>
    </w:p>
    <w:p>
      <w:pPr>
        <w:spacing w:after="0" w:line="181" w:lineRule="auto"/>
        <w:rPr>
          <w:sz w:val="20"/>
          <w:szCs w:val="20"/>
          <w:color w:val="auto"/>
        </w:rPr>
      </w:pPr>
      <w:r>
        <w:rPr>
          <w:rFonts w:ascii="Arial" w:cs="Arial" w:eastAsia="Arial" w:hAnsi="Arial"/>
          <w:sz w:val="10"/>
          <w:szCs w:val="10"/>
          <w:color w:val="FFFFFF"/>
        </w:rPr>
        <w:t>Wynn Macau, Limited corporate expenses 37,525 41,492</w:t>
      </w:r>
    </w:p>
    <w:p>
      <w:pPr>
        <w:spacing w:after="0" w:line="188" w:lineRule="auto"/>
        <w:rPr>
          <w:sz w:val="20"/>
          <w:szCs w:val="20"/>
          <w:color w:val="auto"/>
        </w:rPr>
      </w:pPr>
      <w:r>
        <w:rPr>
          <w:rFonts w:ascii="Arial" w:cs="Arial" w:eastAsia="Arial" w:hAnsi="Arial"/>
          <w:sz w:val="9"/>
          <w:szCs w:val="9"/>
          <w:color w:val="FFFFFF"/>
        </w:rPr>
        <w:t>ManagementAdjustedEBITDADiscussion7,951,286and Analysis5,876,134</w:t>
      </w:r>
    </w:p>
    <w:p>
      <w:pPr>
        <w:spacing w:after="0" w:line="188" w:lineRule="auto"/>
        <w:rPr>
          <w:sz w:val="20"/>
          <w:szCs w:val="20"/>
          <w:color w:val="auto"/>
        </w:rPr>
      </w:pPr>
      <w:r>
        <w:rPr>
          <w:rFonts w:ascii="Arial" w:cs="Arial" w:eastAsia="Arial" w:hAnsi="Arial"/>
          <w:sz w:val="9"/>
          <w:szCs w:val="9"/>
          <w:color w:val="FFFFFF"/>
        </w:rPr>
        <w:t>SummaryREVIEW OFBreakdownHISTORICALTable OPERATING RESULTS</w:t>
      </w:r>
    </w:p>
    <w:p>
      <w:pPr>
        <w:spacing w:after="0"/>
        <w:rPr>
          <w:sz w:val="20"/>
          <w:szCs w:val="20"/>
          <w:color w:val="auto"/>
        </w:rPr>
      </w:pPr>
      <w:r>
        <w:rPr>
          <w:rFonts w:ascii="Arial" w:cs="Arial" w:eastAsia="Arial" w:hAnsi="Arial"/>
          <w:sz w:val="3"/>
          <w:szCs w:val="3"/>
          <w:color w:val="FFFFFF"/>
        </w:rPr>
        <w:t>ForThe thefollowingyearendedtable presents certain selected statement of comprehensive income line items and certain other data.</w:t>
      </w:r>
    </w:p>
    <w:p>
      <w:pPr>
        <w:spacing w:after="0" w:line="194" w:lineRule="auto"/>
        <w:rPr>
          <w:sz w:val="20"/>
          <w:szCs w:val="20"/>
          <w:color w:val="auto"/>
        </w:rPr>
      </w:pPr>
      <w:r>
        <w:rPr>
          <w:rFonts w:ascii="Arial" w:cs="Arial" w:eastAsia="Arial" w:hAnsi="Arial"/>
          <w:sz w:val="5"/>
          <w:szCs w:val="5"/>
          <w:color w:val="FFFFFF"/>
        </w:rPr>
        <w:t>31 December</w:t>
      </w:r>
    </w:p>
    <w:p>
      <w:pPr>
        <w:spacing w:after="0" w:line="181" w:lineRule="auto"/>
        <w:rPr>
          <w:sz w:val="20"/>
          <w:szCs w:val="20"/>
          <w:color w:val="auto"/>
        </w:rPr>
      </w:pPr>
      <w:r>
        <w:rPr>
          <w:rFonts w:ascii="Arial" w:cs="Arial" w:eastAsia="Arial" w:hAnsi="Arial"/>
          <w:sz w:val="14"/>
          <w:szCs w:val="14"/>
          <w:color w:val="FFFFFF"/>
        </w:rPr>
        <w:t>2011HK$ HK2010$</w:t>
      </w:r>
    </w:p>
    <w:p>
      <w:pPr>
        <w:spacing w:after="0" w:line="188" w:lineRule="auto"/>
        <w:rPr>
          <w:sz w:val="20"/>
          <w:szCs w:val="20"/>
          <w:color w:val="auto"/>
        </w:rPr>
      </w:pPr>
      <w:r>
        <w:rPr>
          <w:rFonts w:ascii="Arial" w:cs="Arial" w:eastAsia="Arial" w:hAnsi="Arial"/>
          <w:sz w:val="9"/>
          <w:szCs w:val="9"/>
          <w:color w:val="FFFFFF"/>
        </w:rPr>
        <w:t>except(inthousands,foraverages,</w:t>
      </w:r>
    </w:p>
    <w:p>
      <w:pPr>
        <w:spacing w:after="0" w:line="188" w:lineRule="auto"/>
        <w:rPr>
          <w:sz w:val="20"/>
          <w:szCs w:val="20"/>
          <w:color w:val="auto"/>
        </w:rPr>
      </w:pPr>
      <w:r>
        <w:rPr>
          <w:rFonts w:ascii="Arial" w:cs="Arial" w:eastAsia="Arial" w:hAnsi="Arial"/>
          <w:sz w:val="9"/>
          <w:szCs w:val="9"/>
          <w:color w:val="FFFFFF"/>
        </w:rPr>
        <w:t>ofdailytableswinandfiguresslot andmachines)number</w:t>
      </w:r>
    </w:p>
    <w:p>
      <w:pPr>
        <w:spacing w:after="0" w:line="188" w:lineRule="auto"/>
        <w:rPr>
          <w:sz w:val="20"/>
          <w:szCs w:val="20"/>
          <w:color w:val="auto"/>
        </w:rPr>
      </w:pPr>
      <w:r>
        <w:rPr>
          <w:rFonts w:ascii="Arial" w:cs="Arial" w:eastAsia="Arial" w:hAnsi="Arial"/>
          <w:sz w:val="9"/>
          <w:szCs w:val="9"/>
          <w:color w:val="FFFFFF"/>
        </w:rPr>
        <w:t>Rooms(2)Totalcasino140,464revenues(1)143,75927,755,965 21,057,676</w:t>
      </w:r>
    </w:p>
    <w:p>
      <w:pPr>
        <w:spacing w:after="0" w:line="188" w:lineRule="auto"/>
        <w:rPr>
          <w:sz w:val="20"/>
          <w:szCs w:val="20"/>
          <w:color w:val="auto"/>
        </w:rPr>
      </w:pPr>
      <w:r>
        <w:rPr>
          <w:rFonts w:ascii="Arial" w:cs="Arial" w:eastAsia="Arial" w:hAnsi="Arial"/>
          <w:sz w:val="9"/>
          <w:szCs w:val="9"/>
          <w:color w:val="FFFFFF"/>
        </w:rPr>
        <w:t>RetailFoodandandbeverage(2)other(2)1,413,506188,1571,071,588165,916</w:t>
      </w:r>
    </w:p>
    <w:p>
      <w:pPr>
        <w:spacing w:after="0" w:line="188" w:lineRule="auto"/>
        <w:rPr>
          <w:sz w:val="20"/>
          <w:szCs w:val="20"/>
          <w:color w:val="auto"/>
        </w:rPr>
      </w:pPr>
      <w:r>
        <w:rPr>
          <w:rFonts w:ascii="Arial" w:cs="Arial" w:eastAsia="Arial" w:hAnsi="Arial"/>
          <w:sz w:val="9"/>
          <w:szCs w:val="9"/>
          <w:color w:val="FFFFFF"/>
          <w:vertAlign w:val="superscript"/>
        </w:rPr>
        <w:t>VIP</w:t>
      </w:r>
      <w:r>
        <w:rPr>
          <w:rFonts w:ascii="Arial" w:cs="Arial" w:eastAsia="Arial" w:hAnsi="Arial"/>
          <w:sz w:val="7"/>
          <w:szCs w:val="7"/>
          <w:color w:val="FFFFFF"/>
        </w:rPr>
        <w:t>Totaltableoperatinggamesrevenuesturnover29,498,092958,373,80122,438,939709,051,343</w:t>
      </w:r>
    </w:p>
    <w:p>
      <w:pPr>
        <w:spacing w:after="0" w:line="187" w:lineRule="auto"/>
        <w:rPr>
          <w:sz w:val="20"/>
          <w:szCs w:val="20"/>
          <w:color w:val="auto"/>
        </w:rPr>
      </w:pPr>
      <w:r>
        <w:rPr>
          <w:rFonts w:ascii="Arial" w:cs="Arial" w:eastAsia="Arial" w:hAnsi="Arial"/>
          <w:sz w:val="9"/>
          <w:szCs w:val="9"/>
          <w:color w:val="FFFFFF"/>
          <w:vertAlign w:val="subscript"/>
        </w:rPr>
        <w:t>Mass</w:t>
      </w:r>
      <w:r>
        <w:rPr>
          <w:rFonts w:ascii="Arial" w:cs="Arial" w:eastAsia="Arial" w:hAnsi="Arial"/>
          <w:sz w:val="7"/>
          <w:szCs w:val="7"/>
          <w:color w:val="FFFFFF"/>
        </w:rPr>
        <w:t>gross</w:t>
      </w:r>
      <w:r>
        <w:rPr>
          <w:rFonts w:ascii="Arial" w:cs="Arial" w:eastAsia="Arial" w:hAnsi="Arial"/>
          <w:sz w:val="9"/>
          <w:szCs w:val="9"/>
          <w:color w:val="FFFFFF"/>
          <w:vertAlign w:val="subscript"/>
        </w:rPr>
        <w:t>market</w:t>
      </w:r>
      <w:r>
        <w:rPr>
          <w:rFonts w:ascii="Arial" w:cs="Arial" w:eastAsia="Arial" w:hAnsi="Arial"/>
          <w:sz w:val="7"/>
          <w:szCs w:val="7"/>
          <w:color w:val="FFFFFF"/>
        </w:rPr>
        <w:t>tabletablegamesgameswin(1)drop28,055,55821,559,01921,306,73818,213,674</w:t>
      </w:r>
    </w:p>
    <w:p>
      <w:pPr>
        <w:spacing w:after="0" w:line="213" w:lineRule="auto"/>
        <w:rPr>
          <w:sz w:val="20"/>
          <w:szCs w:val="20"/>
          <w:color w:val="auto"/>
        </w:rPr>
      </w:pPr>
      <w:r>
        <w:rPr>
          <w:rFonts w:ascii="Arial" w:cs="Arial" w:eastAsia="Arial" w:hAnsi="Arial"/>
          <w:sz w:val="4"/>
          <w:szCs w:val="4"/>
          <w:color w:val="FFFFFF"/>
          <w:vertAlign w:val="subscript"/>
        </w:rPr>
        <w:t>Slot machine</w:t>
      </w:r>
      <w:r>
        <w:rPr>
          <w:rFonts w:ascii="Arial" w:cs="Arial" w:eastAsia="Arial" w:hAnsi="Arial"/>
          <w:sz w:val="2"/>
          <w:szCs w:val="2"/>
          <w:color w:val="FFFFFF"/>
        </w:rPr>
        <w:t xml:space="preserve"> grosshandletable42,044,263gameswin(1)32,681,2736,132,171 4,291,627</w:t>
      </w:r>
    </w:p>
    <w:p>
      <w:pPr>
        <w:spacing w:after="0" w:line="181" w:lineRule="auto"/>
        <w:rPr>
          <w:sz w:val="20"/>
          <w:szCs w:val="20"/>
          <w:color w:val="auto"/>
        </w:rPr>
      </w:pPr>
      <w:r>
        <w:rPr>
          <w:rFonts w:ascii="Arial" w:cs="Arial" w:eastAsia="Arial" w:hAnsi="Arial"/>
          <w:sz w:val="14"/>
          <w:szCs w:val="14"/>
          <w:color w:val="FFFFFF"/>
        </w:rPr>
        <w:t>Average numberwin(1)ofgaming2,157,439tables(3)1,697,278481 439</w:t>
      </w:r>
    </w:p>
    <w:p>
      <w:pPr>
        <w:spacing w:after="0" w:line="212" w:lineRule="auto"/>
        <w:rPr>
          <w:sz w:val="20"/>
          <w:szCs w:val="20"/>
          <w:color w:val="auto"/>
        </w:rPr>
      </w:pPr>
      <w:r>
        <w:rPr>
          <w:rFonts w:ascii="Arial" w:cs="Arial" w:eastAsia="Arial" w:hAnsi="Arial"/>
          <w:sz w:val="4"/>
          <w:szCs w:val="4"/>
          <w:color w:val="FFFFFF"/>
          <w:vertAlign w:val="subscript"/>
        </w:rPr>
        <w:t>Average</w:t>
      </w:r>
      <w:r>
        <w:rPr>
          <w:rFonts w:ascii="Arial" w:cs="Arial" w:eastAsia="Arial" w:hAnsi="Arial"/>
          <w:sz w:val="2"/>
          <w:szCs w:val="2"/>
          <w:color w:val="FFFFFF"/>
        </w:rPr>
        <w:t>Dailygrossnumberwinperof slots(3)gaming 999table(4)1,167194,862 159,755</w:t>
      </w:r>
    </w:p>
    <w:p>
      <w:pPr>
        <w:ind w:left="480"/>
        <w:spacing w:after="0"/>
        <w:rPr>
          <w:sz w:val="20"/>
          <w:szCs w:val="20"/>
          <w:color w:val="auto"/>
        </w:rPr>
      </w:pPr>
      <w:r>
        <w:rPr>
          <w:rFonts w:ascii="Arial" w:cs="Arial" w:eastAsia="Arial" w:hAnsi="Arial"/>
          <w:sz w:val="14"/>
          <w:szCs w:val="14"/>
          <w:color w:val="FFFFFF"/>
        </w:rPr>
        <w:t>daily win per slot(4) 5,916 3,985</w:t>
      </w:r>
    </w:p>
    <w:p>
      <w:pPr>
        <w:sectPr>
          <w:pgSz w:w="11900" w:h="16838" w:orient="portrait"/>
          <w:cols w:equalWidth="0" w:num="1">
            <w:col w:w="10780"/>
          </w:cols>
          <w:pgMar w:left="240" w:top="1440" w:right="8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2"/>
          </w:tcPr>
          <w:p>
            <w:pPr>
              <w:spacing w:after="0"/>
              <w:rPr>
                <w:sz w:val="20"/>
                <w:szCs w:val="20"/>
                <w:color w:val="auto"/>
              </w:rPr>
            </w:pPr>
            <w:r>
              <w:rPr>
                <w:rFonts w:ascii="Arial" w:cs="Arial" w:eastAsia="Arial" w:hAnsi="Arial"/>
                <w:sz w:val="14"/>
                <w:szCs w:val="14"/>
                <w:color w:val="FFFFFF"/>
              </w:rPr>
              <w:t>12 Wynn Macau, Limited</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Notes:</w:t>
            </w:r>
          </w:p>
        </w:tc>
        <w:tc>
          <w:tcPr>
            <w:tcW w:w="1068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(1) Total casino revenues do not equal the sum of “VIP gross table games win,” “mass market gross table games win” and “slot machine win” because gross table games win is calculated before commissions and</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discounts, and only recorded as revenues after the relevant commissions and discounts have been deducted. The following table presents a reconciliation of the sum of “VIP gross table games win,” “mass market</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gross table games win” and “slot machine win” to total casino revenues.</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For the year ended</w:t>
            </w: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31 December</w:t>
            </w:r>
          </w:p>
        </w:tc>
        <w:tc>
          <w:tcPr>
            <w:tcW w:w="10680" w:type="dxa"/>
            <w:vAlign w:val="bottom"/>
          </w:tcPr>
          <w:p>
            <w:pPr>
              <w:spacing w:after="0"/>
              <w:rPr>
                <w:sz w:val="3"/>
                <w:szCs w:val="3"/>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2011 2010</w:t>
            </w:r>
          </w:p>
        </w:tc>
        <w:tc>
          <w:tcPr>
            <w:tcW w:w="10680" w:type="dxa"/>
            <w:vAlign w:val="bottom"/>
          </w:tcPr>
          <w:p>
            <w:pPr>
              <w:spacing w:after="0"/>
              <w:rPr>
                <w:sz w:val="3"/>
                <w:szCs w:val="3"/>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HK$ HK$</w:t>
            </w:r>
          </w:p>
        </w:tc>
        <w:tc>
          <w:tcPr>
            <w:tcW w:w="1068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(in thousands)</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VIP gross table games win 28,055,558 21,306,738</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Mass market gross table games win 6,132,171 4,291,627</w:t>
            </w: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Slot machi</w:t>
            </w:r>
          </w:p>
        </w:tc>
        <w:tc>
          <w:tcPr>
            <w:tcW w:w="10680" w:type="dxa"/>
            <w:vAlign w:val="bottom"/>
          </w:tcPr>
          <w:p>
            <w:pPr>
              <w:ind w:left="20"/>
              <w:spacing w:after="0"/>
              <w:rPr>
                <w:sz w:val="20"/>
                <w:szCs w:val="20"/>
                <w:color w:val="auto"/>
              </w:rPr>
            </w:pPr>
            <w:r>
              <w:rPr>
                <w:rFonts w:ascii="Arial" w:cs="Arial" w:eastAsia="Arial" w:hAnsi="Arial"/>
                <w:sz w:val="3"/>
                <w:szCs w:val="3"/>
                <w:color w:val="FFFFFF"/>
              </w:rPr>
              <w:t>win 2,157,439 1,697,278</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Poker revenues 125,260 98,881</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Commissions and discounts (8,714,463) (6,336,848)</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Total casino revenues 27,755,965 21,057,676</w:t>
            </w:r>
          </w:p>
        </w:tc>
      </w:tr>
      <w:tr>
        <w:trPr>
          <w:trHeight w:val="0"/>
        </w:trPr>
        <w:tc>
          <w:tcPr>
            <w:tcW w:w="740" w:type="dxa"/>
            <w:vAlign w:val="bottom"/>
          </w:tcPr>
          <w:p>
            <w:pPr>
              <w:spacing w:after="0" w:line="80" w:lineRule="exact"/>
              <w:rPr>
                <w:sz w:val="20"/>
                <w:szCs w:val="20"/>
                <w:color w:val="auto"/>
              </w:rPr>
            </w:pPr>
            <w:r>
              <w:rPr>
                <w:rFonts w:ascii="Arial" w:cs="Arial" w:eastAsia="Arial" w:hAnsi="Arial"/>
                <w:sz w:val="9"/>
                <w:szCs w:val="9"/>
                <w:color w:val="FFFFFF"/>
              </w:rPr>
              <w:t>(2)</w:t>
            </w:r>
          </w:p>
        </w:tc>
        <w:tc>
          <w:tcPr>
            <w:tcW w:w="10680" w:type="dxa"/>
            <w:vAlign w:val="bottom"/>
          </w:tcPr>
          <w:p>
            <w:pPr>
              <w:ind w:left="160"/>
              <w:spacing w:after="0" w:line="80" w:lineRule="exact"/>
              <w:rPr>
                <w:sz w:val="20"/>
                <w:szCs w:val="20"/>
                <w:color w:val="auto"/>
              </w:rPr>
            </w:pPr>
            <w:r>
              <w:rPr>
                <w:rFonts w:ascii="Arial" w:cs="Arial" w:eastAsia="Arial" w:hAnsi="Arial"/>
                <w:sz w:val="9"/>
                <w:szCs w:val="9"/>
                <w:color w:val="FFFFFF"/>
              </w:rPr>
              <w:t>allowances are excluded from revenues in the accompanying consolidated statement of comprehensive income prepared in accordance with IFRS. Management also evaluates non-casino</w:t>
            </w:r>
          </w:p>
        </w:tc>
      </w:tr>
    </w:tbl>
    <w:p>
      <w:pPr>
        <w:spacing w:after="0" w:line="25" w:lineRule="auto"/>
        <w:rPr>
          <w:sz w:val="20"/>
          <w:szCs w:val="20"/>
          <w:color w:val="auto"/>
        </w:rPr>
      </w:pPr>
      <w:r>
        <w:rPr>
          <w:rFonts w:ascii="Arial" w:cs="Arial" w:eastAsia="Arial" w:hAnsi="Arial"/>
          <w:sz w:val="1"/>
          <w:szCs w:val="1"/>
          <w:color w:val="FFFFFF"/>
        </w:rPr>
        <w:t>revenuesPromotionalanadjusted basis.</w:t>
      </w:r>
    </w:p>
    <w:p>
      <w:pPr>
        <w:ind w:right="220"/>
        <w:spacing w:after="0" w:line="190" w:lineRule="auto"/>
        <w:rPr>
          <w:sz w:val="20"/>
          <w:szCs w:val="20"/>
          <w:color w:val="auto"/>
        </w:rPr>
      </w:pPr>
      <w:r>
        <w:rPr>
          <w:rFonts w:ascii="Arial" w:cs="Arial" w:eastAsia="Arial" w:hAnsi="Arial"/>
          <w:sz w:val="11"/>
          <w:szCs w:val="11"/>
          <w:color w:val="FFFFFF"/>
        </w:rPr>
        <w:t>The following table presents a reconciliation of net non-casino revenues as reported in our consolidated statement of comprehensive income to gross non-casino revenues calculated on the adjusted basis. The adjusted non-casino revenues as presented below are used for management reporting purposes and are not representative of revenues as determined under IAS 18.</w:t>
      </w:r>
    </w:p>
    <w:p>
      <w:pPr>
        <w:sectPr>
          <w:pgSz w:w="11900" w:h="16838" w:orient="portrait"/>
          <w:cols w:equalWidth="0" w:num="1">
            <w:col w:w="11420"/>
          </w:cols>
          <w:pgMar w:left="240" w:top="1440"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13</w:t>
      </w:r>
    </w:p>
    <w:p>
      <w:pPr>
        <w:spacing w:after="0"/>
        <w:rPr>
          <w:sz w:val="20"/>
          <w:szCs w:val="20"/>
          <w:color w:val="auto"/>
        </w:rPr>
      </w:pPr>
      <w:r>
        <w:rPr>
          <w:rFonts w:ascii="Arial" w:cs="Arial" w:eastAsia="Arial" w:hAnsi="Arial"/>
          <w:sz w:val="3"/>
          <w:szCs w:val="3"/>
          <w:color w:val="FFFFFF"/>
        </w:rPr>
        <w:t>ForManagementtheyearendedDiscussion and Analysis</w:t>
      </w:r>
    </w:p>
    <w:p>
      <w:pPr>
        <w:spacing w:after="0" w:line="194" w:lineRule="auto"/>
        <w:rPr>
          <w:sz w:val="20"/>
          <w:szCs w:val="20"/>
          <w:color w:val="auto"/>
        </w:rPr>
      </w:pPr>
      <w:r>
        <w:rPr>
          <w:rFonts w:ascii="Arial" w:cs="Arial" w:eastAsia="Arial" w:hAnsi="Arial"/>
          <w:sz w:val="5"/>
          <w:szCs w:val="5"/>
          <w:color w:val="FFFFFF"/>
        </w:rPr>
        <w:t>31 December</w:t>
      </w:r>
    </w:p>
    <w:p>
      <w:pPr>
        <w:spacing w:after="0" w:line="188" w:lineRule="auto"/>
        <w:rPr>
          <w:sz w:val="20"/>
          <w:szCs w:val="20"/>
          <w:color w:val="auto"/>
        </w:rPr>
      </w:pPr>
      <w:r>
        <w:rPr>
          <w:rFonts w:ascii="Arial" w:cs="Arial" w:eastAsia="Arial" w:hAnsi="Arial"/>
          <w:sz w:val="9"/>
          <w:szCs w:val="9"/>
          <w:color w:val="FFFFFF"/>
        </w:rPr>
        <w:t>2011 2010</w:t>
      </w:r>
    </w:p>
    <w:p>
      <w:pPr>
        <w:spacing w:after="0" w:line="187" w:lineRule="auto"/>
        <w:rPr>
          <w:sz w:val="20"/>
          <w:szCs w:val="20"/>
          <w:color w:val="auto"/>
        </w:rPr>
      </w:pPr>
      <w:r>
        <w:rPr>
          <w:rFonts w:ascii="Arial" w:cs="Arial" w:eastAsia="Arial" w:hAnsi="Arial"/>
          <w:sz w:val="9"/>
          <w:szCs w:val="9"/>
          <w:color w:val="FFFFFF"/>
        </w:rPr>
        <w:t>(inHKthousands)$HK$</w:t>
      </w:r>
    </w:p>
    <w:p>
      <w:pPr>
        <w:spacing w:after="0"/>
        <w:rPr>
          <w:sz w:val="20"/>
          <w:szCs w:val="20"/>
          <w:color w:val="auto"/>
        </w:rPr>
      </w:pPr>
      <w:r>
        <w:rPr>
          <w:rFonts w:ascii="Arial" w:cs="Arial" w:eastAsia="Arial" w:hAnsi="Arial"/>
          <w:sz w:val="3"/>
          <w:szCs w:val="3"/>
          <w:color w:val="FFFFFF"/>
        </w:rPr>
        <w:t>Room revenues 140,464 143,759</w:t>
      </w:r>
    </w:p>
    <w:p>
      <w:pPr>
        <w:spacing w:after="0" w:line="181" w:lineRule="auto"/>
        <w:rPr>
          <w:sz w:val="20"/>
          <w:szCs w:val="20"/>
          <w:color w:val="auto"/>
        </w:rPr>
      </w:pPr>
      <w:r>
        <w:rPr>
          <w:rFonts w:ascii="Arial" w:cs="Arial" w:eastAsia="Arial" w:hAnsi="Arial"/>
          <w:sz w:val="10"/>
          <w:szCs w:val="10"/>
          <w:color w:val="FFFFFF"/>
        </w:rPr>
        <w:t>AdjustedPromotionalroomallowancesrevenues 778,438918,902 570,021713,780</w:t>
      </w:r>
    </w:p>
    <w:p>
      <w:pPr>
        <w:spacing w:after="0"/>
        <w:rPr>
          <w:sz w:val="20"/>
          <w:szCs w:val="20"/>
          <w:color w:val="auto"/>
        </w:rPr>
      </w:pPr>
      <w:r>
        <w:rPr>
          <w:rFonts w:ascii="Arial" w:cs="Arial" w:eastAsia="Arial" w:hAnsi="Arial"/>
          <w:sz w:val="3"/>
          <w:szCs w:val="3"/>
          <w:color w:val="FFFFFF"/>
        </w:rPr>
        <w:t>PromotionalFoodandbeverageallowancesrevenues536,053188,157384,573165,916</w:t>
      </w:r>
    </w:p>
    <w:p>
      <w:pPr>
        <w:spacing w:after="0" w:line="181" w:lineRule="auto"/>
        <w:rPr>
          <w:sz w:val="20"/>
          <w:szCs w:val="20"/>
          <w:color w:val="auto"/>
        </w:rPr>
      </w:pPr>
      <w:r>
        <w:rPr>
          <w:rFonts w:ascii="Arial" w:cs="Arial" w:eastAsia="Arial" w:hAnsi="Arial"/>
          <w:sz w:val="10"/>
          <w:szCs w:val="10"/>
          <w:color w:val="FFFFFF"/>
        </w:rPr>
        <w:t>Adjusted food and beverage revenues 724,210 550,489</w:t>
      </w:r>
    </w:p>
    <w:p>
      <w:pPr>
        <w:spacing w:after="0" w:line="213" w:lineRule="auto"/>
        <w:rPr>
          <w:sz w:val="20"/>
          <w:szCs w:val="20"/>
          <w:color w:val="auto"/>
        </w:rPr>
      </w:pPr>
      <w:r>
        <w:rPr>
          <w:rFonts w:ascii="Arial" w:cs="Arial" w:eastAsia="Arial" w:hAnsi="Arial"/>
          <w:sz w:val="2"/>
          <w:szCs w:val="2"/>
          <w:color w:val="FFFFFF"/>
        </w:rPr>
        <w:t>PromotionalRetailand</w:t>
      </w:r>
      <w:r>
        <w:rPr>
          <w:rFonts w:ascii="Arial" w:cs="Arial" w:eastAsia="Arial" w:hAnsi="Arial"/>
          <w:sz w:val="4"/>
          <w:szCs w:val="4"/>
          <w:color w:val="FFFFFF"/>
          <w:vertAlign w:val="superscript"/>
        </w:rPr>
        <w:t>retail</w:t>
      </w:r>
      <w:r>
        <w:rPr>
          <w:rFonts w:ascii="Arial" w:cs="Arial" w:eastAsia="Arial" w:hAnsi="Arial"/>
          <w:sz w:val="2"/>
          <w:szCs w:val="2"/>
          <w:color w:val="FFFFFF"/>
        </w:rPr>
        <w:t>otherlowancesrevenues37,4861,413,50622,2711,071,588</w:t>
      </w:r>
    </w:p>
    <w:p>
      <w:pPr>
        <w:spacing w:after="0"/>
        <w:tabs>
          <w:tab w:leader="none" w:pos="820" w:val="left"/>
        </w:tabs>
        <w:rPr>
          <w:sz w:val="20"/>
          <w:szCs w:val="20"/>
          <w:color w:val="auto"/>
        </w:rPr>
      </w:pPr>
      <w:r>
        <w:rPr>
          <w:rFonts w:ascii="Arial" w:cs="Arial" w:eastAsia="Arial" w:hAnsi="Arial"/>
          <w:sz w:val="3"/>
          <w:szCs w:val="3"/>
          <w:color w:val="FFFFFF"/>
        </w:rPr>
        <w:t>Adjusted</w:t>
      </w:r>
      <w:r>
        <w:rPr>
          <w:sz w:val="20"/>
          <w:szCs w:val="20"/>
          <w:color w:val="auto"/>
        </w:rPr>
        <w:tab/>
      </w:r>
      <w:r>
        <w:rPr>
          <w:rFonts w:ascii="Arial" w:cs="Arial" w:eastAsia="Arial" w:hAnsi="Arial"/>
          <w:sz w:val="3"/>
          <w:szCs w:val="3"/>
          <w:color w:val="FFFFFF"/>
        </w:rPr>
        <w:t>and other revenues 1,450,992 1,093,859</w:t>
      </w:r>
    </w:p>
    <w:p>
      <w:pPr>
        <w:spacing w:after="0" w:line="6" w:lineRule="exact"/>
        <w:rPr>
          <w:sz w:val="20"/>
          <w:szCs w:val="20"/>
          <w:color w:val="auto"/>
        </w:rPr>
      </w:pPr>
    </w:p>
    <w:p>
      <w:pPr>
        <w:ind w:left="200" w:right="260" w:hanging="190"/>
        <w:spacing w:after="0"/>
        <w:rPr>
          <w:sz w:val="20"/>
          <w:szCs w:val="20"/>
          <w:color w:val="auto"/>
        </w:rPr>
      </w:pPr>
      <w:r>
        <w:rPr>
          <w:rFonts w:ascii="Arial" w:cs="Arial" w:eastAsia="Arial" w:hAnsi="Arial"/>
          <w:sz w:val="7"/>
          <w:szCs w:val="7"/>
          <w:color w:val="FFFFFF"/>
          <w:vertAlign w:val="superscript"/>
        </w:rPr>
        <w:t>(4)</w:t>
      </w:r>
      <w:r>
        <w:rPr>
          <w:rFonts w:ascii="Arial" w:cs="Arial" w:eastAsia="Arial" w:hAnsi="Arial"/>
          <w:sz w:val="6"/>
          <w:szCs w:val="6"/>
          <w:color w:val="FFFFFF"/>
        </w:rPr>
        <w:t>3) For purposes of this table, we calculate average number of gaming tables and average number of slots as the average numbers of gaming tables and slot machines in service on each day in the year. Daily gross win per gaming table and daily win per slot are presented in this table on the basis of the average number of gaming tables and average number of slots, respectively, over the number of days</w:t>
      </w:r>
    </w:p>
    <w:p>
      <w:pPr>
        <w:spacing w:after="0" w:line="1" w:lineRule="exact"/>
        <w:rPr>
          <w:sz w:val="20"/>
          <w:szCs w:val="20"/>
          <w:color w:val="auto"/>
        </w:rPr>
      </w:pPr>
    </w:p>
    <w:p>
      <w:pPr>
        <w:spacing w:after="0"/>
        <w:rPr>
          <w:sz w:val="20"/>
          <w:szCs w:val="20"/>
          <w:color w:val="auto"/>
        </w:rPr>
      </w:pPr>
      <w:r>
        <w:rPr>
          <w:rFonts w:ascii="Arial" w:cs="Arial" w:eastAsia="Arial" w:hAnsi="Arial"/>
          <w:sz w:val="6"/>
          <w:szCs w:val="6"/>
          <w:color w:val="FFFFFF"/>
        </w:rPr>
        <w:t>Wynn Macau and Encore were open in the applicable year. In addition, the total table games win fi gures used herein do not correspond to casino revenues fi gures in our fi nancial statements, because fi gures in our fi nancial statements are calculated net of commissions and discounts and the total table games win herein is calculated before commissions and discounts.</w:t>
      </w:r>
    </w:p>
    <w:p>
      <w:pPr>
        <w:spacing w:after="0" w:line="182" w:lineRule="auto"/>
        <w:rPr>
          <w:sz w:val="20"/>
          <w:szCs w:val="20"/>
          <w:color w:val="auto"/>
        </w:rPr>
      </w:pPr>
      <w:r>
        <w:rPr>
          <w:rFonts w:ascii="Arial" w:cs="Arial" w:eastAsia="Arial" w:hAnsi="Arial"/>
          <w:sz w:val="6"/>
          <w:szCs w:val="6"/>
          <w:color w:val="FFFFFF"/>
        </w:rPr>
        <w:t>Discussion of Results of Operations</w:t>
      </w:r>
    </w:p>
    <w:p>
      <w:pPr>
        <w:spacing w:after="0"/>
        <w:rPr>
          <w:sz w:val="20"/>
          <w:szCs w:val="20"/>
          <w:color w:val="auto"/>
        </w:rPr>
      </w:pPr>
      <w:r>
        <w:rPr>
          <w:rFonts w:ascii="Arial" w:cs="Arial" w:eastAsia="Arial" w:hAnsi="Arial"/>
          <w:sz w:val="3"/>
          <w:szCs w:val="3"/>
          <w:color w:val="FFFFFF"/>
        </w:rPr>
        <w:t>Financial results for the year ended 31 December 2011 compared to fi nancial results for the year ended 31 December 2010</w:t>
      </w:r>
    </w:p>
    <w:p>
      <w:pPr>
        <w:spacing w:after="0" w:line="6" w:lineRule="exact"/>
        <w:rPr>
          <w:sz w:val="20"/>
          <w:szCs w:val="20"/>
          <w:color w:val="auto"/>
        </w:rPr>
      </w:pPr>
    </w:p>
    <w:p>
      <w:pPr>
        <w:ind w:right="260"/>
        <w:spacing w:after="0" w:line="190" w:lineRule="auto"/>
        <w:rPr>
          <w:sz w:val="20"/>
          <w:szCs w:val="20"/>
          <w:color w:val="auto"/>
        </w:rPr>
      </w:pPr>
      <w:r>
        <w:rPr>
          <w:rFonts w:ascii="Arial" w:cs="Arial" w:eastAsia="Arial" w:hAnsi="Arial"/>
          <w:sz w:val="11"/>
          <w:szCs w:val="11"/>
          <w:color w:val="FFFFFF"/>
        </w:rPr>
        <w:t>Our results of operations for the periods presented are not comparable as the year ended 31 December 2011 include the operations of Encore for the full year whereas the year ended 31 December 2010 only included the operations of Encore from its opening on 21 April 2010.</w:t>
      </w:r>
    </w:p>
    <w:p>
      <w:pPr>
        <w:sectPr>
          <w:pgSz w:w="11900" w:h="16838" w:orient="portrait"/>
          <w:cols w:equalWidth="0" w:num="1">
            <w:col w:w="11380"/>
          </w:cols>
          <w:pgMar w:left="240" w:top="1440" w:right="2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tcPr>
          <w:p>
            <w:pPr>
              <w:spacing w:after="0"/>
              <w:rPr>
                <w:sz w:val="20"/>
                <w:szCs w:val="20"/>
                <w:color w:val="auto"/>
              </w:rPr>
            </w:pPr>
            <w:r>
              <w:rPr>
                <w:rFonts w:ascii="Arial" w:cs="Arial" w:eastAsia="Arial" w:hAnsi="Arial"/>
                <w:sz w:val="14"/>
                <w:szCs w:val="14"/>
                <w:color w:val="FFFFFF"/>
              </w:rPr>
              <w:t>14 Wynn Macau, Limited</w:t>
            </w:r>
          </w:p>
        </w:tc>
        <w:tc>
          <w:tcPr>
            <w:tcW w:w="2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72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23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Operating Revenues</w:t>
            </w:r>
          </w:p>
        </w:tc>
        <w:tc>
          <w:tcPr>
            <w:tcW w:w="26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Total operating revenues increased by 31.5% from HK$22.4 billion in 2010 to HK$29.5 billion in 2011. We believe this increase was due to a combination of factors, including increased visitation and overall</w:t>
            </w:r>
          </w:p>
        </w:tc>
        <w:tc>
          <w:tcPr>
            <w:tcW w:w="0" w:type="dxa"/>
            <w:vAlign w:val="bottom"/>
          </w:tcPr>
          <w:p>
            <w:pPr>
              <w:spacing w:after="0"/>
              <w:rPr>
                <w:sz w:val="1"/>
                <w:szCs w:val="1"/>
                <w:color w:val="auto"/>
              </w:rPr>
            </w:pP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gaming volumes in Macau during 2011 as well as the full year results of Encore.</w:t>
            </w: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 w:type="dxa"/>
            <w:vAlign w:val="bottom"/>
          </w:tcPr>
          <w:p>
            <w:pPr>
              <w:ind w:left="420"/>
              <w:spacing w:after="0"/>
              <w:rPr>
                <w:sz w:val="20"/>
                <w:szCs w:val="20"/>
                <w:color w:val="auto"/>
              </w:rPr>
            </w:pPr>
            <w:r>
              <w:rPr>
                <w:rFonts w:ascii="Arial" w:cs="Arial" w:eastAsia="Arial" w:hAnsi="Arial"/>
                <w:sz w:val="3"/>
                <w:szCs w:val="3"/>
                <w:color w:val="FFFFFF"/>
              </w:rPr>
              <w:t>Revenues</w:t>
            </w:r>
          </w:p>
        </w:tc>
        <w:tc>
          <w:tcPr>
            <w:tcW w:w="26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Casino revenues increased by 31.8%, from HK$21.1 billion (93.8% of total operating revenues) in 2010 to HK$27.8 billion (94.1% of total operating revenues) in 2011. The components and reasons are as</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follows:</w:t>
            </w:r>
          </w:p>
        </w:tc>
        <w:tc>
          <w:tcPr>
            <w:tcW w:w="2600" w:type="dxa"/>
            <w:vAlign w:val="bottom"/>
          </w:tcPr>
          <w:p>
            <w:pPr>
              <w:spacing w:after="0"/>
              <w:rPr>
                <w:sz w:val="3"/>
                <w:szCs w:val="3"/>
                <w:color w:val="auto"/>
              </w:rPr>
            </w:pPr>
          </w:p>
        </w:tc>
        <w:tc>
          <w:tcPr>
            <w:tcW w:w="7680" w:type="dxa"/>
            <w:vAlign w:val="bottom"/>
            <w:gridSpan w:val="2"/>
            <w:vMerge w:val="restart"/>
          </w:tcPr>
          <w:p>
            <w:pPr>
              <w:spacing w:after="0" w:line="81" w:lineRule="exact"/>
              <w:rPr>
                <w:sz w:val="20"/>
                <w:szCs w:val="20"/>
                <w:color w:val="auto"/>
              </w:rPr>
            </w:pPr>
            <w:r>
              <w:rPr>
                <w:rFonts w:ascii="Arial" w:cs="Arial" w:eastAsia="Arial" w:hAnsi="Arial"/>
                <w:sz w:val="9"/>
                <w:szCs w:val="9"/>
                <w:color w:val="FFFFFF"/>
              </w:rPr>
              <w:t>by 31.7%, from HK$21.3 billion in 2010 to HK$28.1 billion in 2011. VIP table games turnover increased by 35.2%, from HK$709.1 billion</w:t>
            </w:r>
          </w:p>
        </w:tc>
        <w:tc>
          <w:tcPr>
            <w:tcW w:w="0" w:type="dxa"/>
            <w:vAlign w:val="bottom"/>
          </w:tcPr>
          <w:p>
            <w:pPr>
              <w:spacing w:after="0"/>
              <w:rPr>
                <w:sz w:val="1"/>
                <w:szCs w:val="1"/>
                <w:color w:val="auto"/>
              </w:rPr>
            </w:pPr>
          </w:p>
        </w:tc>
      </w:tr>
      <w:tr>
        <w:trPr>
          <w:trHeight w:val="41"/>
        </w:trPr>
        <w:tc>
          <w:tcPr>
            <w:tcW w:w="3720" w:type="dxa"/>
            <w:vAlign w:val="bottom"/>
            <w:gridSpan w:val="2"/>
          </w:tcPr>
          <w:p>
            <w:pPr>
              <w:spacing w:after="0"/>
              <w:rPr>
                <w:sz w:val="20"/>
                <w:szCs w:val="20"/>
                <w:color w:val="auto"/>
              </w:rPr>
            </w:pPr>
            <w:r>
              <w:rPr>
                <w:rFonts w:ascii="Arial" w:cs="Arial" w:eastAsia="Arial" w:hAnsi="Arial"/>
                <w:sz w:val="3"/>
                <w:szCs w:val="3"/>
                <w:color w:val="FFFFFF"/>
              </w:rPr>
              <w:t>VIP casino gaming operations. VIP gross table games win</w:t>
            </w:r>
          </w:p>
        </w:tc>
        <w:tc>
          <w:tcPr>
            <w:tcW w:w="7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20" w:type="dxa"/>
            <w:vAlign w:val="bottom"/>
            <w:gridSpan w:val="2"/>
          </w:tcPr>
          <w:p>
            <w:pPr>
              <w:ind w:left="140"/>
              <w:spacing w:after="0"/>
              <w:rPr>
                <w:sz w:val="20"/>
                <w:szCs w:val="20"/>
                <w:color w:val="auto"/>
              </w:rPr>
            </w:pPr>
            <w:r>
              <w:rPr>
                <w:rFonts w:ascii="Arial" w:cs="Arial" w:eastAsia="Arial" w:hAnsi="Arial"/>
                <w:sz w:val="3"/>
                <w:szCs w:val="3"/>
                <w:color w:val="FFFFFF"/>
              </w:rPr>
              <w:t>2010 to HK$958.4 billion in 2011. VIP gross table gamesincreasedwin</w:t>
            </w:r>
          </w:p>
        </w:tc>
        <w:tc>
          <w:tcPr>
            <w:tcW w:w="7680" w:type="dxa"/>
            <w:vAlign w:val="bottom"/>
            <w:gridSpan w:val="2"/>
          </w:tcPr>
          <w:p>
            <w:pPr>
              <w:ind w:left="40"/>
              <w:spacing w:after="0"/>
              <w:rPr>
                <w:sz w:val="20"/>
                <w:szCs w:val="20"/>
                <w:color w:val="auto"/>
              </w:rPr>
            </w:pPr>
            <w:r>
              <w:rPr>
                <w:rFonts w:ascii="Arial" w:cs="Arial" w:eastAsia="Arial" w:hAnsi="Arial"/>
                <w:sz w:val="3"/>
                <w:szCs w:val="3"/>
                <w:color w:val="FFFFFF"/>
              </w:rPr>
              <w:t>percentage of turnover (calculated before discounts and commissions) decreased from 3.0% in 2010 to 2.9%   2011 (win percentages are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within the expected range of 2.7% to 3.0%). On 21 April 2010, we added 37 VIP tables with the opening of Encore which helped drive some of the growth in our VIP segment during the year ended</w:t>
            </w:r>
          </w:p>
        </w:tc>
        <w:tc>
          <w:tcPr>
            <w:tcW w:w="0" w:type="dxa"/>
            <w:vAlign w:val="bottom"/>
          </w:tcPr>
          <w:p>
            <w:pPr>
              <w:spacing w:after="0"/>
              <w:rPr>
                <w:sz w:val="1"/>
                <w:szCs w:val="1"/>
                <w:color w:val="auto"/>
              </w:rPr>
            </w:pPr>
          </w:p>
        </w:tc>
      </w:tr>
      <w:tr>
        <w:trPr>
          <w:trHeight w:val="41"/>
        </w:trPr>
        <w:tc>
          <w:tcPr>
            <w:tcW w:w="3720" w:type="dxa"/>
            <w:vAlign w:val="bottom"/>
            <w:gridSpan w:val="2"/>
          </w:tcPr>
          <w:p>
            <w:pPr>
              <w:spacing w:after="0"/>
              <w:rPr>
                <w:sz w:val="20"/>
                <w:szCs w:val="20"/>
                <w:color w:val="auto"/>
              </w:rPr>
            </w:pPr>
            <w:r>
              <w:rPr>
                <w:rFonts w:ascii="Arial" w:cs="Arial" w:eastAsia="Arial" w:hAnsi="Arial"/>
                <w:sz w:val="3"/>
                <w:szCs w:val="3"/>
                <w:color w:val="FFFFFF"/>
              </w:rPr>
              <w:t>31 December 2011 compared to the prior year.</w:t>
            </w:r>
          </w:p>
        </w:tc>
        <w:tc>
          <w:tcPr>
            <w:tcW w:w="23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Mass market</w:t>
            </w:r>
          </w:p>
        </w:tc>
        <w:tc>
          <w:tcPr>
            <w:tcW w:w="10280" w:type="dxa"/>
            <w:vAlign w:val="bottom"/>
            <w:gridSpan w:val="3"/>
          </w:tcPr>
          <w:p>
            <w:pPr>
              <w:spacing w:after="0"/>
              <w:rPr>
                <w:sz w:val="20"/>
                <w:szCs w:val="20"/>
                <w:color w:val="auto"/>
              </w:rPr>
            </w:pPr>
            <w:r>
              <w:rPr>
                <w:rFonts w:ascii="Arial" w:cs="Arial" w:eastAsia="Arial" w:hAnsi="Arial"/>
                <w:sz w:val="3"/>
                <w:szCs w:val="3"/>
                <w:color w:val="FFFFFF"/>
              </w:rPr>
              <w:t>gaming operations. Mass market gross table games win increased by 42.9%, from HK$4.3 billion in 2010 to HK$6.1 billion in 201 . Mass market table games drop increased by 18.4%, from</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HK$18.2 billioncasino2010 to HK$21.  billion in 2011. The mass market gross table games win percentage (calculated before discounts) was 23.6% in 2010 compared to 28.4% in 2011, which was higher than the</w:t>
            </w:r>
          </w:p>
        </w:tc>
        <w:tc>
          <w:tcPr>
            <w:tcW w:w="0" w:type="dxa"/>
            <w:vAlign w:val="bottom"/>
          </w:tcPr>
          <w:p>
            <w:pPr>
              <w:spacing w:after="0"/>
              <w:rPr>
                <w:sz w:val="1"/>
                <w:szCs w:val="1"/>
                <w:color w:val="auto"/>
              </w:rPr>
            </w:pP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expected win percentage range of 26% to 28%. We have increased our expected mass market range to 26% to</w:t>
            </w:r>
          </w:p>
        </w:tc>
        <w:tc>
          <w:tcPr>
            <w:tcW w:w="5300" w:type="dxa"/>
            <w:vAlign w:val="bottom"/>
          </w:tcPr>
          <w:p>
            <w:pPr>
              <w:ind w:left="140"/>
              <w:spacing w:after="0"/>
              <w:rPr>
                <w:sz w:val="20"/>
                <w:szCs w:val="20"/>
                <w:color w:val="auto"/>
              </w:rPr>
            </w:pPr>
            <w:r>
              <w:rPr>
                <w:rFonts w:ascii="Arial" w:cs="Arial" w:eastAsia="Arial" w:hAnsi="Arial"/>
                <w:sz w:val="3"/>
                <w:szCs w:val="3"/>
                <w:color w:val="FFFFFF"/>
              </w:rPr>
              <w:t>based on our experience since the opening of Encore.</w:t>
            </w:r>
          </w:p>
        </w:tc>
        <w:tc>
          <w:tcPr>
            <w:tcW w:w="0" w:type="dxa"/>
            <w:vAlign w:val="bottom"/>
          </w:tcPr>
          <w:p>
            <w:pPr>
              <w:spacing w:after="0"/>
              <w:rPr>
                <w:sz w:val="1"/>
                <w:szCs w:val="1"/>
                <w:color w:val="auto"/>
              </w:rPr>
            </w:pPr>
          </w:p>
        </w:tc>
      </w:tr>
      <w:tr>
        <w:trPr>
          <w:trHeight w:val="0"/>
        </w:trPr>
        <w:tc>
          <w:tcPr>
            <w:tcW w:w="1120" w:type="dxa"/>
            <w:vAlign w:val="bottom"/>
          </w:tcPr>
          <w:p>
            <w:pPr>
              <w:spacing w:after="0" w:line="80" w:lineRule="exact"/>
              <w:rPr>
                <w:sz w:val="20"/>
                <w:szCs w:val="20"/>
                <w:color w:val="auto"/>
              </w:rPr>
            </w:pPr>
            <w:r>
              <w:rPr>
                <w:rFonts w:ascii="Arial" w:cs="Arial" w:eastAsia="Arial" w:hAnsi="Arial"/>
                <w:sz w:val="9"/>
                <w:szCs w:val="9"/>
                <w:color w:val="FFFFFF"/>
              </w:rPr>
              <w:t>Slot machine</w:t>
            </w:r>
          </w:p>
        </w:tc>
        <w:tc>
          <w:tcPr>
            <w:tcW w:w="10280" w:type="dxa"/>
            <w:vAlign w:val="bottom"/>
            <w:gridSpan w:val="3"/>
          </w:tcPr>
          <w:p>
            <w:pPr>
              <w:ind w:left="60"/>
              <w:spacing w:after="0" w:line="80" w:lineRule="exact"/>
              <w:rPr>
                <w:sz w:val="20"/>
                <w:szCs w:val="20"/>
                <w:color w:val="auto"/>
              </w:rPr>
            </w:pPr>
            <w:r>
              <w:rPr>
                <w:rFonts w:ascii="Arial" w:cs="Arial" w:eastAsia="Arial" w:hAnsi="Arial"/>
                <w:sz w:val="9"/>
                <w:szCs w:val="9"/>
                <w:color w:val="FFFFFF"/>
              </w:rPr>
              <w:t>operations. Slot machine win increased by 27.1% from HK$1.7 billion in 2010 to HK$2.28%billion in 2011. Slot machine handle increased by 28.6%, from HK$32.7 billion in 2010 to</w:t>
            </w:r>
          </w:p>
        </w:tc>
        <w:tc>
          <w:tcPr>
            <w:tcW w:w="0" w:type="dxa"/>
            <w:vAlign w:val="bottom"/>
          </w:tcPr>
          <w:p>
            <w:pPr>
              <w:spacing w:after="0" w:line="20" w:lineRule="exact"/>
              <w:rPr>
                <w:sz w:val="1"/>
                <w:szCs w:val="1"/>
                <w:color w:val="auto"/>
              </w:rPr>
            </w:pPr>
          </w:p>
        </w:tc>
      </w:tr>
    </w:tbl>
    <w:p>
      <w:pPr>
        <w:ind w:right="60"/>
        <w:spacing w:after="0"/>
        <w:rPr>
          <w:sz w:val="20"/>
          <w:szCs w:val="20"/>
          <w:color w:val="auto"/>
        </w:rPr>
      </w:pPr>
      <w:r>
        <w:rPr>
          <w:rFonts w:ascii="Arial" w:cs="Arial" w:eastAsia="Arial" w:hAnsi="Arial"/>
          <w:sz w:val="9"/>
          <w:szCs w:val="9"/>
          <w:color w:val="FFFFFF"/>
        </w:rPr>
        <w:t>HK$42.0 billiongaming2011. The increases resulted primarily from increased visitation to our resort and the full year results of Encore. Consequently, total gross slot win increased and slot machine win per unit per day increased by 48.5% from HK$3,985 in 2010 to HK$5,916 in 2011.</w:t>
      </w:r>
    </w:p>
    <w:p>
      <w:pPr>
        <w:sectPr>
          <w:pgSz w:w="11900" w:h="16838" w:orient="portrait"/>
          <w:cols w:equalWidth="0" w:num="1">
            <w:col w:w="11400"/>
          </w:cols>
          <w:pgMar w:left="240" w:top="1440" w:right="2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20"/>
                <w:szCs w:val="20"/>
                <w:color w:val="auto"/>
              </w:rPr>
            </w:pPr>
            <w:r>
              <w:rPr>
                <w:rFonts w:ascii="Arial" w:cs="Arial" w:eastAsia="Arial" w:hAnsi="Arial"/>
                <w:sz w:val="14"/>
                <w:szCs w:val="14"/>
                <w:color w:val="FFFFFF"/>
              </w:rPr>
              <w:t>Annual Report 2011 15</w:t>
            </w:r>
          </w:p>
        </w:tc>
        <w:tc>
          <w:tcPr>
            <w:tcW w:w="29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2960" w:type="dxa"/>
            <w:vAlign w:val="bottom"/>
          </w:tcPr>
          <w:p>
            <w:pPr>
              <w:spacing w:after="0"/>
              <w:rPr>
                <w:sz w:val="3"/>
                <w:szCs w:val="3"/>
                <w:color w:val="auto"/>
              </w:rPr>
            </w:pPr>
          </w:p>
        </w:tc>
        <w:tc>
          <w:tcPr>
            <w:tcW w:w="5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tcPr>
          <w:p>
            <w:pPr>
              <w:ind w:left="100"/>
              <w:spacing w:after="0"/>
              <w:rPr>
                <w:sz w:val="20"/>
                <w:szCs w:val="20"/>
                <w:color w:val="auto"/>
              </w:rPr>
            </w:pPr>
            <w:r>
              <w:rPr>
                <w:rFonts w:ascii="Arial" w:cs="Arial" w:eastAsia="Arial" w:hAnsi="Arial"/>
                <w:sz w:val="3"/>
                <w:szCs w:val="3"/>
                <w:color w:val="FFFFFF"/>
              </w:rPr>
              <w:t>on-casino Revenues</w:t>
            </w:r>
          </w:p>
        </w:tc>
        <w:tc>
          <w:tcPr>
            <w:tcW w:w="2960" w:type="dxa"/>
            <w:vAlign w:val="bottom"/>
          </w:tcPr>
          <w:p>
            <w:pPr>
              <w:spacing w:after="0"/>
              <w:rPr>
                <w:sz w:val="3"/>
                <w:szCs w:val="3"/>
                <w:color w:val="auto"/>
              </w:rPr>
            </w:pPr>
          </w:p>
        </w:tc>
        <w:tc>
          <w:tcPr>
            <w:tcW w:w="5660" w:type="dxa"/>
            <w:vAlign w:val="bottom"/>
            <w:vMerge w:val="restart"/>
          </w:tcPr>
          <w:p>
            <w:pPr>
              <w:ind w:left="120"/>
              <w:spacing w:after="0" w:line="81" w:lineRule="exact"/>
              <w:rPr>
                <w:sz w:val="20"/>
                <w:szCs w:val="20"/>
                <w:color w:val="auto"/>
              </w:rPr>
            </w:pPr>
            <w:r>
              <w:rPr>
                <w:rFonts w:ascii="Arial" w:cs="Arial" w:eastAsia="Arial" w:hAnsi="Arial"/>
                <w:sz w:val="9"/>
                <w:szCs w:val="9"/>
                <w:color w:val="FFFFFF"/>
              </w:rPr>
              <w:t>from HK$1,381.3 million (6.2% of total operating revenues) in 2010 to HK$1,742.1 million (5.9% of</w:t>
            </w:r>
          </w:p>
        </w:tc>
        <w:tc>
          <w:tcPr>
            <w:tcW w:w="0" w:type="dxa"/>
            <w:vAlign w:val="bottom"/>
          </w:tcPr>
          <w:p>
            <w:pPr>
              <w:spacing w:after="0"/>
              <w:rPr>
                <w:sz w:val="1"/>
                <w:szCs w:val="1"/>
                <w:color w:val="auto"/>
              </w:rPr>
            </w:pPr>
          </w:p>
        </w:tc>
      </w:tr>
      <w:tr>
        <w:trPr>
          <w:trHeight w:val="41"/>
        </w:trPr>
        <w:tc>
          <w:tcPr>
            <w:tcW w:w="5680" w:type="dxa"/>
            <w:vAlign w:val="bottom"/>
            <w:gridSpan w:val="2"/>
          </w:tcPr>
          <w:p>
            <w:pPr>
              <w:spacing w:after="0"/>
              <w:rPr>
                <w:sz w:val="20"/>
                <w:szCs w:val="20"/>
                <w:color w:val="auto"/>
              </w:rPr>
            </w:pPr>
            <w:r>
              <w:rPr>
                <w:rFonts w:ascii="Arial" w:cs="Arial" w:eastAsia="Arial" w:hAnsi="Arial"/>
                <w:sz w:val="3"/>
                <w:szCs w:val="3"/>
                <w:color w:val="FFFFFF"/>
              </w:rPr>
              <w:t>Net non-casino revenues, which include room, food and beverage and retail revenues, increased by 26.</w:t>
            </w:r>
          </w:p>
        </w:tc>
        <w:tc>
          <w:tcPr>
            <w:tcW w:w="5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total operating revenu s) in 2011. The increase in revenues was largely due to stronger retail sales in 2011%,and the full year results of Encore.</w:t>
            </w:r>
          </w:p>
        </w:tc>
        <w:tc>
          <w:tcPr>
            <w:tcW w:w="0" w:type="dxa"/>
            <w:vAlign w:val="bottom"/>
          </w:tcPr>
          <w:p>
            <w:pPr>
              <w:spacing w:after="0"/>
              <w:rPr>
                <w:sz w:val="1"/>
                <w:szCs w:val="1"/>
                <w:color w:val="auto"/>
              </w:rPr>
            </w:pPr>
          </w:p>
        </w:tc>
      </w:tr>
      <w:tr>
        <w:trPr>
          <w:trHeight w:val="0"/>
        </w:trPr>
        <w:tc>
          <w:tcPr>
            <w:tcW w:w="2720" w:type="dxa"/>
            <w:vAlign w:val="bottom"/>
          </w:tcPr>
          <w:p>
            <w:pPr>
              <w:spacing w:after="0" w:line="80" w:lineRule="exact"/>
              <w:rPr>
                <w:sz w:val="20"/>
                <w:szCs w:val="20"/>
                <w:color w:val="auto"/>
              </w:rPr>
            </w:pPr>
            <w:r>
              <w:rPr>
                <w:rFonts w:ascii="Arial" w:cs="Arial" w:eastAsia="Arial" w:hAnsi="Arial"/>
                <w:sz w:val="9"/>
                <w:szCs w:val="9"/>
                <w:color w:val="FFFFFF"/>
              </w:rPr>
              <w:t>Rooms. Our oom revenues, which exclude</w:t>
            </w:r>
          </w:p>
        </w:tc>
        <w:tc>
          <w:tcPr>
            <w:tcW w:w="8620" w:type="dxa"/>
            <w:vAlign w:val="bottom"/>
            <w:gridSpan w:val="2"/>
          </w:tcPr>
          <w:p>
            <w:pPr>
              <w:ind w:left="360"/>
              <w:spacing w:after="0" w:line="80" w:lineRule="exact"/>
              <w:rPr>
                <w:sz w:val="20"/>
                <w:szCs w:val="20"/>
                <w:color w:val="auto"/>
              </w:rPr>
            </w:pPr>
            <w:r>
              <w:rPr>
                <w:rFonts w:ascii="Arial" w:cs="Arial" w:eastAsia="Arial" w:hAnsi="Arial"/>
                <w:sz w:val="9"/>
                <w:szCs w:val="9"/>
                <w:color w:val="FFFFFF"/>
              </w:rPr>
              <w:t>allowances in our consolidated statement of comprehensive income, decreased by 2.3% from HK$143.8 million in 2010   HK$140.5 million in 2011. A</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higher proportion of our rooms were providedpromotionalcomplimentary basis</w:t>
      </w:r>
      <w:r>
        <w:rPr>
          <w:rFonts w:ascii="Arial" w:cs="Arial" w:eastAsia="Arial" w:hAnsi="Arial"/>
          <w:sz w:val="1"/>
          <w:szCs w:val="1"/>
          <w:color w:val="FFFFFF"/>
          <w:vertAlign w:val="subscript"/>
        </w:rPr>
        <w:t>include</w:t>
      </w:r>
      <w:r>
        <w:rPr>
          <w:rFonts w:ascii="Arial" w:cs="Arial" w:eastAsia="Arial" w:hAnsi="Arial"/>
          <w:sz w:val="1"/>
          <w:szCs w:val="1"/>
          <w:color w:val="FFFFFF"/>
        </w:rPr>
        <w:t>2011 as compared to 2010 to meet increased demand from VIP clients and high-limit mass market customers.</w:t>
      </w:r>
    </w:p>
    <w:p>
      <w:pPr>
        <w:spacing w:after="0"/>
        <w:rPr>
          <w:sz w:val="20"/>
          <w:szCs w:val="20"/>
          <w:color w:val="auto"/>
        </w:rPr>
      </w:pPr>
      <w:r>
        <w:rPr>
          <w:rFonts w:ascii="Arial" w:cs="Arial" w:eastAsia="Arial" w:hAnsi="Arial"/>
          <w:sz w:val="10"/>
          <w:szCs w:val="10"/>
          <w:color w:val="FFFFFF"/>
        </w:rPr>
        <w:t>Management also evaluates room revenues on an adjusted basis which promotional allowances. Adjusted room revenues including promotional allowances increased by 28.7% from HK$713.8 million in 2010 to HK$918.9 million in 2011.</w:t>
      </w:r>
    </w:p>
    <w:p>
      <w:pPr>
        <w:spacing w:after="0" w:line="196" w:lineRule="auto"/>
        <w:rPr>
          <w:sz w:val="20"/>
          <w:szCs w:val="20"/>
          <w:color w:val="auto"/>
        </w:rPr>
      </w:pPr>
      <w:r>
        <w:rPr>
          <w:rFonts w:ascii="Arial" w:cs="Arial" w:eastAsia="Arial" w:hAnsi="Arial"/>
          <w:sz w:val="5"/>
          <w:szCs w:val="5"/>
          <w:color w:val="FFFFFF"/>
        </w:rPr>
        <w:t>AdjustedThefollowingroomtablerevenuespresentsinformationadditional information about our adjusted room revenues (which include promotional allowances):</w:t>
      </w:r>
    </w:p>
    <w:p>
      <w:pPr>
        <w:spacing w:after="0" w:line="188" w:lineRule="auto"/>
        <w:rPr>
          <w:sz w:val="20"/>
          <w:szCs w:val="20"/>
          <w:color w:val="auto"/>
        </w:rPr>
      </w:pPr>
      <w:r>
        <w:rPr>
          <w:rFonts w:ascii="Arial" w:cs="Arial" w:eastAsia="Arial" w:hAnsi="Arial"/>
          <w:sz w:val="9"/>
          <w:szCs w:val="9"/>
          <w:color w:val="FFFFFF"/>
        </w:rPr>
        <w:t>For the year ended</w:t>
      </w:r>
    </w:p>
    <w:p>
      <w:pPr>
        <w:spacing w:after="0"/>
        <w:rPr>
          <w:sz w:val="20"/>
          <w:szCs w:val="20"/>
          <w:color w:val="auto"/>
        </w:rPr>
      </w:pPr>
      <w:r>
        <w:rPr>
          <w:rFonts w:ascii="Arial" w:cs="Arial" w:eastAsia="Arial" w:hAnsi="Arial"/>
          <w:sz w:val="3"/>
          <w:szCs w:val="3"/>
          <w:color w:val="FFFFFF"/>
        </w:rPr>
        <w:t>201131December2010</w:t>
      </w:r>
    </w:p>
    <w:p>
      <w:pPr>
        <w:spacing w:after="0" w:line="181" w:lineRule="auto"/>
        <w:rPr>
          <w:sz w:val="20"/>
          <w:szCs w:val="20"/>
          <w:color w:val="auto"/>
        </w:rPr>
      </w:pPr>
      <w:r>
        <w:rPr>
          <w:rFonts w:ascii="Arial" w:cs="Arial" w:eastAsia="Arial" w:hAnsi="Arial"/>
          <w:sz w:val="10"/>
          <w:szCs w:val="10"/>
          <w:color w:val="FFFFFF"/>
        </w:rPr>
        <w:t>Adjusted Average Daily Rate (includes promotional allowances</w:t>
      </w:r>
    </w:p>
    <w:p>
      <w:pPr>
        <w:spacing w:after="0"/>
        <w:rPr>
          <w:sz w:val="20"/>
          <w:szCs w:val="20"/>
          <w:color w:val="auto"/>
        </w:rPr>
      </w:pPr>
      <w:r>
        <w:rPr>
          <w:rFonts w:ascii="Arial" w:cs="Arial" w:eastAsia="Arial" w:hAnsi="Arial"/>
          <w:sz w:val="3"/>
          <w:szCs w:val="3"/>
          <w:color w:val="FFFFFF"/>
        </w:rPr>
        <w:t>OccupancyofHK$2,08491.8%in201187.8%and HK$1,812 in 2010) HK$2,450 HK$2,261</w:t>
      </w:r>
    </w:p>
    <w:p>
      <w:pPr>
        <w:spacing w:after="0" w:line="194" w:lineRule="auto"/>
        <w:rPr>
          <w:sz w:val="20"/>
          <w:szCs w:val="20"/>
          <w:color w:val="auto"/>
        </w:rPr>
      </w:pPr>
      <w:r>
        <w:rPr>
          <w:rFonts w:ascii="Arial" w:cs="Arial" w:eastAsia="Arial" w:hAnsi="Arial"/>
          <w:sz w:val="5"/>
          <w:szCs w:val="5"/>
          <w:color w:val="FFFFFF"/>
        </w:rPr>
        <w:t>Adjusted REVPAR (includes promotional allowances</w:t>
      </w:r>
    </w:p>
    <w:p>
      <w:pPr>
        <w:spacing w:after="0"/>
        <w:rPr>
          <w:sz w:val="20"/>
          <w:szCs w:val="20"/>
          <w:color w:val="auto"/>
        </w:rPr>
      </w:pPr>
      <w:r>
        <w:rPr>
          <w:rFonts w:ascii="Arial" w:cs="Arial" w:eastAsia="Arial" w:hAnsi="Arial"/>
          <w:sz w:val="3"/>
          <w:szCs w:val="3"/>
          <w:color w:val="FFFFFF"/>
        </w:rPr>
        <w:t>of HK$1,913 in 2011 and HK$1,591 in 2010) HK$2,249 HK$1,986</w:t>
      </w:r>
    </w:p>
    <w:p>
      <w:pPr>
        <w:spacing w:after="0" w:line="194" w:lineRule="auto"/>
        <w:rPr>
          <w:sz w:val="20"/>
          <w:szCs w:val="20"/>
          <w:color w:val="auto"/>
        </w:rPr>
      </w:pPr>
      <w:r>
        <w:rPr>
          <w:rFonts w:ascii="Arial" w:cs="Arial" w:eastAsia="Arial" w:hAnsi="Arial"/>
          <w:sz w:val="3"/>
          <w:szCs w:val="3"/>
          <w:color w:val="FFFFFF"/>
        </w:rPr>
        <w:t>Food and beverage. Food and beverage revenues, which exclude promotional allowances</w:t>
      </w:r>
      <w:r>
        <w:rPr>
          <w:rFonts w:ascii="Arial" w:cs="Arial" w:eastAsia="Arial" w:hAnsi="Arial"/>
          <w:sz w:val="5"/>
          <w:szCs w:val="5"/>
          <w:color w:val="FFFFFF"/>
          <w:vertAlign w:val="superscript"/>
        </w:rPr>
        <w:t>opening</w:t>
      </w:r>
      <w:r>
        <w:rPr>
          <w:rFonts w:ascii="Arial" w:cs="Arial" w:eastAsia="Arial" w:hAnsi="Arial"/>
          <w:sz w:val="3"/>
          <w:szCs w:val="3"/>
          <w:color w:val="FFFFFF"/>
        </w:rPr>
        <w:t>our consolidated statement of comprehensive income, totaled HK$188.2 million in 2011, a 13.4% increase from 2010</w:t>
      </w:r>
    </w:p>
    <w:p>
      <w:pPr>
        <w:spacing w:after="0"/>
        <w:tabs>
          <w:tab w:leader="none" w:pos="5140" w:val="left"/>
        </w:tabs>
        <w:rPr>
          <w:sz w:val="20"/>
          <w:szCs w:val="20"/>
          <w:color w:val="auto"/>
        </w:rPr>
      </w:pPr>
      <w:r>
        <w:rPr>
          <w:rFonts w:ascii="Arial" w:cs="Arial" w:eastAsia="Arial" w:hAnsi="Arial"/>
          <w:sz w:val="14"/>
          <w:szCs w:val="14"/>
          <w:color w:val="FFFFFF"/>
        </w:rPr>
        <w:t>revenues of HK$165.9 million. The increase refl ects higher business volumes and the</w:t>
      </w:r>
      <w:r>
        <w:rPr>
          <w:sz w:val="20"/>
          <w:szCs w:val="20"/>
          <w:color w:val="auto"/>
        </w:rPr>
        <w:tab/>
      </w:r>
      <w:r>
        <w:rPr>
          <w:rFonts w:ascii="Arial" w:cs="Arial" w:eastAsia="Arial" w:hAnsi="Arial"/>
          <w:sz w:val="12"/>
          <w:szCs w:val="12"/>
          <w:color w:val="FFFFFF"/>
        </w:rPr>
        <w:t>of Encore in April 2010.</w:t>
      </w:r>
    </w:p>
    <w:p>
      <w:pPr>
        <w:sectPr>
          <w:pgSz w:w="11900" w:h="16838" w:orient="portrait"/>
          <w:cols w:equalWidth="0" w:num="1">
            <w:col w:w="11380"/>
          </w:cols>
          <w:pgMar w:left="240" w:top="1440" w:right="27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20"/>
                <w:szCs w:val="20"/>
                <w:color w:val="auto"/>
              </w:rPr>
            </w:pPr>
            <w:r>
              <w:rPr>
                <w:rFonts w:ascii="Arial" w:cs="Arial" w:eastAsia="Arial" w:hAnsi="Arial"/>
                <w:sz w:val="14"/>
                <w:szCs w:val="14"/>
                <w:color w:val="FFFFFF"/>
                <w:w w:val="93"/>
              </w:rPr>
              <w:t>16 Wynn Macau, Limited</w:t>
            </w:r>
          </w:p>
        </w:tc>
        <w:tc>
          <w:tcPr>
            <w:tcW w:w="6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ind w:left="740"/>
              <w:spacing w:after="0"/>
              <w:rPr>
                <w:sz w:val="20"/>
                <w:szCs w:val="20"/>
                <w:color w:val="auto"/>
              </w:rPr>
            </w:pPr>
            <w:r>
              <w:rPr>
                <w:rFonts w:ascii="Arial" w:cs="Arial" w:eastAsia="Arial" w:hAnsi="Arial"/>
                <w:sz w:val="3"/>
                <w:szCs w:val="3"/>
                <w:color w:val="FFFFFF"/>
              </w:rPr>
              <w:t>Discussion and Analysis</w:t>
            </w:r>
          </w:p>
        </w:tc>
        <w:tc>
          <w:tcPr>
            <w:tcW w:w="630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60" w:type="dxa"/>
            <w:vAlign w:val="bottom"/>
          </w:tcPr>
          <w:p>
            <w:pPr>
              <w:spacing w:after="0"/>
              <w:rPr>
                <w:sz w:val="20"/>
                <w:szCs w:val="20"/>
                <w:color w:val="auto"/>
              </w:rPr>
            </w:pPr>
            <w:r>
              <w:rPr>
                <w:rFonts w:ascii="Arial" w:cs="Arial" w:eastAsia="Arial" w:hAnsi="Arial"/>
                <w:sz w:val="3"/>
                <w:szCs w:val="3"/>
                <w:color w:val="FFFFFF"/>
              </w:rPr>
              <w:t>Management also</w:t>
            </w:r>
          </w:p>
        </w:tc>
        <w:tc>
          <w:tcPr>
            <w:tcW w:w="9940" w:type="dxa"/>
            <w:vAlign w:val="bottom"/>
            <w:gridSpan w:val="3"/>
          </w:tcPr>
          <w:p>
            <w:pPr>
              <w:ind w:left="80"/>
              <w:spacing w:after="0"/>
              <w:rPr>
                <w:sz w:val="20"/>
                <w:szCs w:val="20"/>
                <w:color w:val="auto"/>
              </w:rPr>
            </w:pPr>
            <w:r>
              <w:rPr>
                <w:rFonts w:ascii="Arial" w:cs="Arial" w:eastAsia="Arial" w:hAnsi="Arial"/>
                <w:sz w:val="3"/>
                <w:szCs w:val="3"/>
                <w:color w:val="FFFFFF"/>
              </w:rPr>
              <w:t>food and beverage revenues on an adjusted basis including promotional allowances. Food and beverage revenues   2011 adjusted to include these promotional allowances were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HK$724.2 million,evaluates31.6% increase from 2010 adjusted revenues of HK$550.5 million refl ecting the increase in business volumes and the opening of Encore in April 2010.</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Retail and other. Our retail and other revenues, which exclude promotional allowances in our consolidated statement of comprehensive income, increased by 31.9%, from HK$1,071.6 million in 2010 to</w:t>
            </w:r>
          </w:p>
        </w:tc>
        <w:tc>
          <w:tcPr>
            <w:tcW w:w="0" w:type="dxa"/>
            <w:vAlign w:val="bottom"/>
          </w:tcPr>
          <w:p>
            <w:pPr>
              <w:spacing w:after="0"/>
              <w:rPr>
                <w:sz w:val="1"/>
                <w:szCs w:val="1"/>
                <w:color w:val="auto"/>
              </w:rPr>
            </w:pPr>
          </w:p>
        </w:tc>
      </w:tr>
      <w:tr>
        <w:trPr>
          <w:trHeight w:val="41"/>
        </w:trPr>
        <w:tc>
          <w:tcPr>
            <w:tcW w:w="8380" w:type="dxa"/>
            <w:vAlign w:val="bottom"/>
            <w:gridSpan w:val="3"/>
          </w:tcPr>
          <w:p>
            <w:pPr>
              <w:spacing w:after="0"/>
              <w:rPr>
                <w:sz w:val="20"/>
                <w:szCs w:val="20"/>
                <w:color w:val="auto"/>
              </w:rPr>
            </w:pPr>
            <w:r>
              <w:rPr>
                <w:rFonts w:ascii="Arial" w:cs="Arial" w:eastAsia="Arial" w:hAnsi="Arial"/>
                <w:sz w:val="3"/>
                <w:szCs w:val="3"/>
                <w:color w:val="FFFFFF"/>
              </w:rPr>
              <w:t>HK$1,413.5 million in 2011. The increase was due primarily to increased same-store sales and the addition of new outlets.</w:t>
            </w: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Management also evaluates retail and other revenues on an adjusted basis which includes promotional allowances. Adjusted retail and other revenues including promotional allowances increased by 32.6% from</w:t>
            </w:r>
          </w:p>
        </w:tc>
        <w:tc>
          <w:tcPr>
            <w:tcW w:w="0" w:type="dxa"/>
            <w:vAlign w:val="bottom"/>
          </w:tcPr>
          <w:p>
            <w:pPr>
              <w:spacing w:after="0"/>
              <w:rPr>
                <w:sz w:val="1"/>
                <w:szCs w:val="1"/>
                <w:color w:val="auto"/>
              </w:rPr>
            </w:pPr>
          </w:p>
        </w:tc>
      </w:tr>
      <w:tr>
        <w:trPr>
          <w:trHeight w:val="41"/>
        </w:trPr>
        <w:tc>
          <w:tcPr>
            <w:tcW w:w="8380" w:type="dxa"/>
            <w:vAlign w:val="bottom"/>
            <w:gridSpan w:val="3"/>
          </w:tcPr>
          <w:p>
            <w:pPr>
              <w:spacing w:after="0"/>
              <w:rPr>
                <w:sz w:val="20"/>
                <w:szCs w:val="20"/>
                <w:color w:val="auto"/>
              </w:rPr>
            </w:pPr>
            <w:r>
              <w:rPr>
                <w:rFonts w:ascii="Arial" w:cs="Arial" w:eastAsia="Arial" w:hAnsi="Arial"/>
                <w:sz w:val="3"/>
                <w:szCs w:val="3"/>
                <w:color w:val="FFFFFF"/>
              </w:rPr>
              <w:t>HK$1,093.9 million in 2010 to HK$1,451.0 million in 2011, refl ecting the increased same-store sales and the new outlets.</w:t>
            </w: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Operating Costs and Expenses</w:t>
            </w:r>
          </w:p>
        </w:tc>
        <w:tc>
          <w:tcPr>
            <w:tcW w:w="6300" w:type="dxa"/>
            <w:vAlign w:val="bottom"/>
            <w:vMerge w:val="restart"/>
          </w:tcPr>
          <w:p>
            <w:pPr>
              <w:ind w:left="20"/>
              <w:spacing w:after="0"/>
              <w:rPr>
                <w:sz w:val="20"/>
                <w:szCs w:val="20"/>
                <w:color w:val="auto"/>
              </w:rPr>
            </w:pPr>
            <w:r>
              <w:rPr>
                <w:rFonts w:ascii="Arial" w:cs="Arial" w:eastAsia="Arial" w:hAnsi="Arial"/>
                <w:sz w:val="3"/>
                <w:szCs w:val="3"/>
                <w:color w:val="FFFFFF"/>
              </w:rPr>
              <w:t>taxes and premiums increased by 32.9%, from HK$10.8 billion in 2010 to HK$14.4 billion in 2011. This increase</w:t>
            </w:r>
          </w:p>
        </w:tc>
        <w:tc>
          <w:tcPr>
            <w:tcW w:w="3020" w:type="dxa"/>
            <w:vAlign w:val="bottom"/>
            <w:vMerge w:val="restart"/>
          </w:tcPr>
          <w:p>
            <w:pPr>
              <w:ind w:left="140"/>
              <w:spacing w:after="0"/>
              <w:rPr>
                <w:sz w:val="20"/>
                <w:szCs w:val="20"/>
                <w:color w:val="auto"/>
              </w:rPr>
            </w:pPr>
            <w:r>
              <w:rPr>
                <w:rFonts w:ascii="Arial" w:cs="Arial" w:eastAsia="Arial" w:hAnsi="Arial"/>
                <w:sz w:val="3"/>
                <w:szCs w:val="3"/>
                <w:color w:val="FFFFFF"/>
              </w:rPr>
              <w:t>due to increased gross gaming win in 2011 compared</w:t>
            </w:r>
          </w:p>
        </w:tc>
        <w:tc>
          <w:tcPr>
            <w:tcW w:w="0" w:type="dxa"/>
            <w:vAlign w:val="bottom"/>
          </w:tcPr>
          <w:p>
            <w:pPr>
              <w:spacing w:after="0"/>
              <w:rPr>
                <w:sz w:val="1"/>
                <w:szCs w:val="1"/>
                <w:color w:val="auto"/>
              </w:rPr>
            </w:pPr>
          </w:p>
        </w:tc>
      </w:tr>
      <w:tr>
        <w:trPr>
          <w:trHeight w:val="0"/>
        </w:trPr>
        <w:tc>
          <w:tcPr>
            <w:tcW w:w="2080" w:type="dxa"/>
            <w:vAlign w:val="bottom"/>
            <w:gridSpan w:val="2"/>
          </w:tcPr>
          <w:p>
            <w:pPr>
              <w:spacing w:after="0" w:line="80" w:lineRule="exact"/>
              <w:rPr>
                <w:sz w:val="20"/>
                <w:szCs w:val="20"/>
                <w:color w:val="auto"/>
              </w:rPr>
            </w:pPr>
            <w:r>
              <w:rPr>
                <w:rFonts w:ascii="Arial" w:cs="Arial" w:eastAsia="Arial" w:hAnsi="Arial"/>
                <w:sz w:val="9"/>
                <w:szCs w:val="9"/>
                <w:color w:val="FFFFFF"/>
              </w:rPr>
              <w:t>Gaming taxes and premiums.</w:t>
            </w:r>
          </w:p>
        </w:tc>
        <w:tc>
          <w:tcPr>
            <w:tcW w:w="6300" w:type="dxa"/>
            <w:vAlign w:val="bottom"/>
            <w:vMerge w:val="continue"/>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80"/>
        <w:spacing w:after="0" w:line="197" w:lineRule="auto"/>
        <w:rPr>
          <w:sz w:val="20"/>
          <w:szCs w:val="20"/>
          <w:color w:val="auto"/>
        </w:rPr>
      </w:pPr>
      <w:r>
        <w:rPr>
          <w:rFonts w:ascii="Arial" w:cs="Arial" w:eastAsia="Arial" w:hAnsi="Arial"/>
          <w:sz w:val="6"/>
          <w:szCs w:val="6"/>
          <w:color w:val="FFFFFF"/>
        </w:rPr>
        <w:t>to 2010. Wynn Macau is subjectGamingto35% gaming tax on gross gaming win. In addition, Wynn Macau is also required to pay 4% of its gross gaming win wascontributions for public development and social facilitiesStafcosts</w:t>
      </w:r>
      <w:r>
        <w:rPr>
          <w:rFonts w:ascii="Arial" w:cs="Arial" w:eastAsia="Arial" w:hAnsi="Arial"/>
          <w:sz w:val="7"/>
          <w:szCs w:val="7"/>
          <w:color w:val="FFFFFF"/>
          <w:vertAlign w:val="superscript"/>
        </w:rPr>
        <w:t>.</w:t>
      </w:r>
      <w:r>
        <w:rPr>
          <w:rFonts w:ascii="Arial" w:cs="Arial" w:eastAsia="Arial" w:hAnsi="Arial"/>
          <w:sz w:val="6"/>
          <w:szCs w:val="6"/>
          <w:color w:val="FFFFFF"/>
        </w:rPr>
        <w:t>. Staff costs increased by 13.5%, from HK$1.8 billion in 2010 to HK$2.1 billion in 2011. The increase was primarily due to the hiring of additional staff for Encore which had a full year operations in 2011.</w:t>
      </w:r>
    </w:p>
    <w:p>
      <w:pPr>
        <w:spacing w:after="0" w:line="211" w:lineRule="auto"/>
        <w:rPr>
          <w:sz w:val="20"/>
          <w:szCs w:val="20"/>
          <w:color w:val="auto"/>
        </w:rPr>
      </w:pPr>
      <w:r>
        <w:rPr>
          <w:rFonts w:ascii="Arial" w:cs="Arial" w:eastAsia="Arial" w:hAnsi="Arial"/>
          <w:sz w:val="2"/>
          <w:szCs w:val="2"/>
          <w:color w:val="FFFFFF"/>
        </w:rPr>
        <w:t>Other oper</w:t>
      </w:r>
      <w:r>
        <w:rPr>
          <w:rFonts w:ascii="Arial" w:cs="Arial" w:eastAsia="Arial" w:hAnsi="Arial"/>
          <w:sz w:val="4"/>
          <w:szCs w:val="4"/>
          <w:color w:val="FFFFFF"/>
          <w:vertAlign w:val="subscript"/>
        </w:rPr>
        <w:t>related</w:t>
      </w:r>
      <w:r>
        <w:rPr>
          <w:rFonts w:ascii="Arial" w:cs="Arial" w:eastAsia="Arial" w:hAnsi="Arial"/>
          <w:sz w:val="2"/>
          <w:szCs w:val="2"/>
          <w:color w:val="FFFFFF"/>
        </w:rPr>
        <w:t>ing expenses. Other operating expenses increased by 27.8%, from HK$4.1 billion in 2010 to HK$5.2 billion in 2011. The increase in other operating costs was primarily due to increased business</w:t>
      </w:r>
    </w:p>
    <w:p>
      <w:pPr>
        <w:spacing w:after="0"/>
        <w:tabs>
          <w:tab w:leader="none" w:pos="820" w:val="left"/>
        </w:tabs>
        <w:rPr>
          <w:sz w:val="20"/>
          <w:szCs w:val="20"/>
          <w:color w:val="auto"/>
        </w:rPr>
      </w:pPr>
      <w:r>
        <w:rPr>
          <w:rFonts w:ascii="Arial" w:cs="Arial" w:eastAsia="Arial" w:hAnsi="Arial"/>
          <w:sz w:val="3"/>
          <w:szCs w:val="3"/>
          <w:color w:val="FFFFFF"/>
        </w:rPr>
        <w:t>volume</w:t>
      </w:r>
      <w:r>
        <w:rPr>
          <w:sz w:val="20"/>
          <w:szCs w:val="20"/>
          <w:color w:val="auto"/>
        </w:rPr>
        <w:tab/>
      </w:r>
      <w:r>
        <w:rPr>
          <w:rFonts w:ascii="Arial" w:cs="Arial" w:eastAsia="Arial" w:hAnsi="Arial"/>
          <w:sz w:val="3"/>
          <w:szCs w:val="3"/>
          <w:color w:val="FFFFFF"/>
        </w:rPr>
        <w:t>expenses such as gaming promoters’ commissions, cost of sales and royalty fees.</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Depreciation and amortization. Depreciation and amortization increased by 2.7% from HK$989.5 million in 2010 to HK$1,016.4 million in 2011. This increase was primarily due to the impact of assets placed in service with the opening of Encore in April 2010 offset by the decrease in depreciation expense due to assets with a 5-year life being fully depreciated as of September 2011.</w:t>
      </w:r>
    </w:p>
    <w:p>
      <w:pPr>
        <w:sectPr>
          <w:pgSz w:w="11900" w:h="16838" w:orient="portrait"/>
          <w:cols w:equalWidth="0" w:num="1">
            <w:col w:w="11400"/>
          </w:cols>
          <w:pgMar w:left="240" w:top="1440" w:right="2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Arial" w:cs="Arial" w:eastAsia="Arial" w:hAnsi="Arial"/>
                <w:sz w:val="14"/>
                <w:szCs w:val="14"/>
                <w:color w:val="FFFFFF"/>
              </w:rPr>
              <w:t>Annual Report 2011 17</w:t>
            </w:r>
          </w:p>
        </w:tc>
        <w:tc>
          <w:tcPr>
            <w:tcW w:w="14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52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788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from HK$47.0 million in 2010 to HK$865.9 million in 2011. Included in property charges and other for the year ended 31 December 2011 is a</w:t>
            </w:r>
          </w:p>
        </w:tc>
        <w:tc>
          <w:tcPr>
            <w:tcW w:w="0" w:type="dxa"/>
            <w:vAlign w:val="bottom"/>
          </w:tcPr>
          <w:p>
            <w:pPr>
              <w:spacing w:after="0"/>
              <w:rPr>
                <w:sz w:val="1"/>
                <w:szCs w:val="1"/>
                <w:color w:val="auto"/>
              </w:rPr>
            </w:pPr>
          </w:p>
        </w:tc>
      </w:tr>
      <w:tr>
        <w:trPr>
          <w:trHeight w:val="41"/>
        </w:trPr>
        <w:tc>
          <w:tcPr>
            <w:tcW w:w="3520" w:type="dxa"/>
            <w:vAlign w:val="bottom"/>
            <w:gridSpan w:val="2"/>
          </w:tcPr>
          <w:p>
            <w:pPr>
              <w:spacing w:after="0"/>
              <w:rPr>
                <w:sz w:val="20"/>
                <w:szCs w:val="20"/>
                <w:color w:val="auto"/>
              </w:rPr>
            </w:pPr>
            <w:r>
              <w:rPr>
                <w:rFonts w:ascii="Arial" w:cs="Arial" w:eastAsia="Arial" w:hAnsi="Arial"/>
                <w:sz w:val="3"/>
                <w:szCs w:val="3"/>
                <w:color w:val="FFFFFF"/>
              </w:rPr>
              <w:t>Property charges and other. Property charges and other</w:t>
            </w:r>
          </w:p>
        </w:tc>
        <w:tc>
          <w:tcPr>
            <w:tcW w:w="7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20" w:type="dxa"/>
            <w:vAlign w:val="bottom"/>
            <w:gridSpan w:val="2"/>
          </w:tcPr>
          <w:p>
            <w:pPr>
              <w:spacing w:after="0"/>
              <w:rPr>
                <w:sz w:val="20"/>
                <w:szCs w:val="20"/>
                <w:color w:val="auto"/>
              </w:rPr>
            </w:pPr>
            <w:r>
              <w:rPr>
                <w:rFonts w:ascii="Arial" w:cs="Arial" w:eastAsia="Arial" w:hAnsi="Arial"/>
                <w:sz w:val="3"/>
                <w:szCs w:val="3"/>
                <w:color w:val="FFFFFF"/>
              </w:rPr>
              <w:t>charge of HK$831.  million refl ecting the present valueincreasedof</w:t>
            </w:r>
          </w:p>
        </w:tc>
        <w:tc>
          <w:tcPr>
            <w:tcW w:w="7880" w:type="dxa"/>
            <w:vAlign w:val="bottom"/>
            <w:gridSpan w:val="2"/>
          </w:tcPr>
          <w:p>
            <w:pPr>
              <w:ind w:left="400"/>
              <w:spacing w:after="0"/>
              <w:rPr>
                <w:sz w:val="20"/>
                <w:szCs w:val="20"/>
                <w:color w:val="auto"/>
              </w:rPr>
            </w:pPr>
            <w:r>
              <w:rPr>
                <w:rFonts w:ascii="Arial" w:cs="Arial" w:eastAsia="Arial" w:hAnsi="Arial"/>
                <w:sz w:val="3"/>
                <w:szCs w:val="3"/>
                <w:color w:val="FFFFFF"/>
              </w:rPr>
              <w:t>contribution made by WRM to the University of Macau Development Foundation. This contribution consists of  MOP200.0 million</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(approximately HK$194.2 million) payment made in May 2011,charitableandcommitment for additional donations of MOP80.0 million (approximately HK$77.7 million) each year for the calendar years 2012 through</w:t>
            </w:r>
          </w:p>
        </w:tc>
        <w:tc>
          <w:tcPr>
            <w:tcW w:w="0" w:type="dxa"/>
            <w:vAlign w:val="bottom"/>
          </w:tcPr>
          <w:p>
            <w:pPr>
              <w:spacing w:after="0"/>
              <w:rPr>
                <w:sz w:val="1"/>
                <w:szCs w:val="1"/>
                <w:color w:val="auto"/>
              </w:rPr>
            </w:pPr>
          </w:p>
        </w:tc>
      </w:tr>
      <w:tr>
        <w:trPr>
          <w:trHeight w:val="41"/>
        </w:trPr>
        <w:tc>
          <w:tcPr>
            <w:tcW w:w="1080" w:type="dxa"/>
            <w:vAlign w:val="bottom"/>
          </w:tcPr>
          <w:p>
            <w:pPr>
              <w:spacing w:after="0"/>
              <w:rPr>
                <w:sz w:val="20"/>
                <w:szCs w:val="20"/>
                <w:color w:val="auto"/>
              </w:rPr>
            </w:pPr>
            <w:r>
              <w:rPr>
                <w:rFonts w:ascii="Arial" w:cs="Arial" w:eastAsia="Arial" w:hAnsi="Arial"/>
                <w:sz w:val="3"/>
                <w:szCs w:val="3"/>
                <w:color w:val="FFFFFF"/>
              </w:rPr>
              <w:t>2022 inclusive, for</w:t>
            </w:r>
          </w:p>
        </w:tc>
        <w:tc>
          <w:tcPr>
            <w:tcW w:w="10320" w:type="dxa"/>
            <w:vAlign w:val="bottom"/>
            <w:gridSpan w:val="3"/>
          </w:tcPr>
          <w:p>
            <w:pPr>
              <w:ind w:left="80"/>
              <w:spacing w:after="0"/>
              <w:rPr>
                <w:sz w:val="20"/>
                <w:szCs w:val="20"/>
                <w:color w:val="auto"/>
              </w:rPr>
            </w:pPr>
            <w:r>
              <w:rPr>
                <w:rFonts w:ascii="Arial" w:cs="Arial" w:eastAsia="Arial" w:hAnsi="Arial"/>
                <w:sz w:val="3"/>
                <w:szCs w:val="3"/>
                <w:color w:val="FFFFFF"/>
              </w:rPr>
              <w:t>total of MOP1,080.0 million (approximately HK$1,048.5 million). The amount refl ected in our accompanying consolidated statement of comprehensive income has been discounted using</w:t>
            </w:r>
          </w:p>
        </w:tc>
        <w:tc>
          <w:tcPr>
            <w:tcW w:w="0" w:type="dxa"/>
            <w:vAlign w:val="bottom"/>
          </w:tcPr>
          <w:p>
            <w:pPr>
              <w:spacing w:after="0"/>
              <w:rPr>
                <w:sz w:val="1"/>
                <w:szCs w:val="1"/>
                <w:color w:val="auto"/>
              </w:rPr>
            </w:pPr>
          </w:p>
        </w:tc>
      </w:tr>
      <w:tr>
        <w:trPr>
          <w:trHeight w:val="41"/>
        </w:trPr>
        <w:tc>
          <w:tcPr>
            <w:tcW w:w="1080" w:type="dxa"/>
            <w:vAlign w:val="bottom"/>
          </w:tcPr>
          <w:p>
            <w:pPr>
              <w:ind w:left="80"/>
              <w:spacing w:after="0"/>
              <w:rPr>
                <w:sz w:val="20"/>
                <w:szCs w:val="20"/>
                <w:color w:val="auto"/>
              </w:rPr>
            </w:pPr>
            <w:r>
              <w:rPr>
                <w:rFonts w:ascii="Arial" w:cs="Arial" w:eastAsia="Arial" w:hAnsi="Arial"/>
                <w:sz w:val="3"/>
                <w:szCs w:val="3"/>
                <w:color w:val="FFFFFF"/>
              </w:rPr>
              <w:t>ur current</w:t>
            </w:r>
          </w:p>
        </w:tc>
        <w:tc>
          <w:tcPr>
            <w:tcW w:w="2440" w:type="dxa"/>
            <w:vAlign w:val="bottom"/>
          </w:tcPr>
          <w:p>
            <w:pPr>
              <w:ind w:left="100"/>
              <w:spacing w:after="0"/>
              <w:rPr>
                <w:sz w:val="20"/>
                <w:szCs w:val="20"/>
                <w:color w:val="auto"/>
              </w:rPr>
            </w:pPr>
            <w:r>
              <w:rPr>
                <w:rFonts w:ascii="Arial" w:cs="Arial" w:eastAsia="Arial" w:hAnsi="Arial"/>
                <w:sz w:val="3"/>
                <w:szCs w:val="3"/>
                <w:color w:val="FFFFFF"/>
              </w:rPr>
              <w:t>borrowing rate over the time period of the</w:t>
            </w:r>
          </w:p>
        </w:tc>
        <w:tc>
          <w:tcPr>
            <w:tcW w:w="7880" w:type="dxa"/>
            <w:vAlign w:val="bottom"/>
            <w:gridSpan w:val="2"/>
          </w:tcPr>
          <w:p>
            <w:pPr>
              <w:ind w:left="560"/>
              <w:spacing w:after="0"/>
              <w:rPr>
                <w:sz w:val="20"/>
                <w:szCs w:val="20"/>
                <w:color w:val="auto"/>
              </w:rPr>
            </w:pPr>
            <w:r>
              <w:rPr>
                <w:rFonts w:ascii="Arial" w:cs="Arial" w:eastAsia="Arial" w:hAnsi="Arial"/>
                <w:sz w:val="3"/>
                <w:szCs w:val="3"/>
                <w:color w:val="FFFFFF"/>
              </w:rPr>
              <w:t>committed payments. Other charges in each period represent gain/ loss on the sale of equipment as well as costs related to assets retired</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or abandonedestimatedasresult of renovating certain assets of Wynn Macauremainingresponse to customer preferences and changes in market demand.</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As  result of the foregoing, total operating costs and expenses increased by 32.5%, from HK$17.7 billion in 2010 to HK$23.5 billion in 2011.</w:t>
            </w:r>
          </w:p>
        </w:tc>
        <w:tc>
          <w:tcPr>
            <w:tcW w:w="0" w:type="dxa"/>
            <w:vAlign w:val="bottom"/>
          </w:tcPr>
          <w:p>
            <w:pPr>
              <w:spacing w:after="0"/>
              <w:rPr>
                <w:sz w:val="1"/>
                <w:szCs w:val="1"/>
                <w:color w:val="auto"/>
              </w:rPr>
            </w:pPr>
          </w:p>
        </w:tc>
      </w:tr>
      <w:tr>
        <w:trPr>
          <w:trHeight w:val="41"/>
        </w:trPr>
        <w:tc>
          <w:tcPr>
            <w:tcW w:w="1080" w:type="dxa"/>
            <w:vAlign w:val="bottom"/>
          </w:tcPr>
          <w:p>
            <w:pPr>
              <w:ind w:left="460"/>
              <w:spacing w:after="0"/>
              <w:rPr>
                <w:sz w:val="20"/>
                <w:szCs w:val="20"/>
                <w:color w:val="auto"/>
              </w:rPr>
            </w:pPr>
            <w:r>
              <w:rPr>
                <w:rFonts w:ascii="Arial" w:cs="Arial" w:eastAsia="Arial" w:hAnsi="Arial"/>
                <w:sz w:val="3"/>
                <w:szCs w:val="3"/>
                <w:color w:val="FFFFFF"/>
              </w:rPr>
              <w:t>Revenues</w:t>
            </w:r>
          </w:p>
        </w:tc>
        <w:tc>
          <w:tcPr>
            <w:tcW w:w="2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Finance revenues increased from HK$2.0 million in 2010 to HK$49.1 million in 2011. During 2011 and 2010, our short-term investment strategy has been to preserve capital while retaining suffi cient liquidity.</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While we have recently invested in certain corporate debt securities which contributed to the increase in interest income, the majority of our short-term investments are primarily in time deposits with a maturity</w:t>
            </w:r>
          </w:p>
        </w:tc>
        <w:tc>
          <w:tcPr>
            <w:tcW w:w="0" w:type="dxa"/>
            <w:vAlign w:val="bottom"/>
          </w:tcPr>
          <w:p>
            <w:pPr>
              <w:spacing w:after="0"/>
              <w:rPr>
                <w:sz w:val="1"/>
                <w:szCs w:val="1"/>
                <w:color w:val="auto"/>
              </w:rPr>
            </w:pPr>
          </w:p>
        </w:tc>
      </w:tr>
      <w:tr>
        <w:trPr>
          <w:trHeight w:val="41"/>
        </w:trPr>
        <w:tc>
          <w:tcPr>
            <w:tcW w:w="3520" w:type="dxa"/>
            <w:vAlign w:val="bottom"/>
            <w:gridSpan w:val="2"/>
          </w:tcPr>
          <w:p>
            <w:pPr>
              <w:spacing w:after="0"/>
              <w:rPr>
                <w:sz w:val="20"/>
                <w:szCs w:val="20"/>
                <w:color w:val="auto"/>
              </w:rPr>
            </w:pPr>
            <w:r>
              <w:rPr>
                <w:rFonts w:ascii="Arial" w:cs="Arial" w:eastAsia="Arial" w:hAnsi="Arial"/>
                <w:sz w:val="3"/>
                <w:szCs w:val="3"/>
                <w:color w:val="FFFFFF"/>
              </w:rPr>
              <w:t>of three months or less.</w:t>
            </w:r>
          </w:p>
        </w:tc>
        <w:tc>
          <w:tcPr>
            <w:tcW w:w="14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tcPr>
          <w:p>
            <w:pPr>
              <w:ind w:left="460"/>
              <w:spacing w:after="0"/>
              <w:rPr>
                <w:sz w:val="20"/>
                <w:szCs w:val="20"/>
                <w:color w:val="auto"/>
              </w:rPr>
            </w:pPr>
            <w:r>
              <w:rPr>
                <w:rFonts w:ascii="Arial" w:cs="Arial" w:eastAsia="Arial" w:hAnsi="Arial"/>
                <w:sz w:val="3"/>
                <w:szCs w:val="3"/>
                <w:color w:val="FFFFFF"/>
              </w:rPr>
              <w:t>Costs</w:t>
            </w:r>
          </w:p>
        </w:tc>
        <w:tc>
          <w:tcPr>
            <w:tcW w:w="2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420" w:type="dxa"/>
            <w:vAlign w:val="bottom"/>
            <w:vMerge w:val="restart"/>
          </w:tcPr>
          <w:p>
            <w:pPr>
              <w:ind w:left="120"/>
              <w:spacing w:after="0"/>
              <w:rPr>
                <w:sz w:val="20"/>
                <w:szCs w:val="20"/>
                <w:color w:val="auto"/>
              </w:rPr>
            </w:pPr>
            <w:r>
              <w:rPr>
                <w:rFonts w:ascii="Arial" w:cs="Arial" w:eastAsia="Arial" w:hAnsi="Arial"/>
                <w:sz w:val="3"/>
                <w:szCs w:val="3"/>
                <w:color w:val="FFFFFF"/>
              </w:rPr>
              <w:t>1. Finance costs increased in 2011 primarily due to the reduction in capitalized interest offset by the reduction in</w:t>
            </w:r>
          </w:p>
        </w:tc>
        <w:tc>
          <w:tcPr>
            <w:tcW w:w="0" w:type="dxa"/>
            <w:vAlign w:val="bottom"/>
          </w:tcPr>
          <w:p>
            <w:pPr>
              <w:spacing w:after="0"/>
              <w:rPr>
                <w:sz w:val="1"/>
                <w:szCs w:val="1"/>
                <w:color w:val="auto"/>
              </w:rPr>
            </w:pPr>
          </w:p>
        </w:tc>
      </w:tr>
      <w:tr>
        <w:trPr>
          <w:trHeight w:val="0"/>
        </w:trPr>
        <w:tc>
          <w:tcPr>
            <w:tcW w:w="4980" w:type="dxa"/>
            <w:vAlign w:val="bottom"/>
            <w:gridSpan w:val="3"/>
          </w:tcPr>
          <w:p>
            <w:pPr>
              <w:spacing w:after="0" w:line="80" w:lineRule="exact"/>
              <w:rPr>
                <w:sz w:val="20"/>
                <w:szCs w:val="20"/>
                <w:color w:val="auto"/>
              </w:rPr>
            </w:pPr>
            <w:r>
              <w:rPr>
                <w:rFonts w:ascii="Arial" w:cs="Arial" w:eastAsia="Arial" w:hAnsi="Arial"/>
                <w:sz w:val="9"/>
                <w:szCs w:val="9"/>
                <w:color w:val="FFFFFF"/>
              </w:rPr>
              <w:t>Finance costs increased by 1.5%, from HK$255.5 million in 2010 to HK$259.4 million in</w:t>
            </w:r>
          </w:p>
        </w:tc>
        <w:tc>
          <w:tcPr>
            <w:tcW w:w="6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900"/>
        <w:spacing w:after="0" w:line="25" w:lineRule="auto"/>
        <w:rPr>
          <w:sz w:val="20"/>
          <w:szCs w:val="20"/>
          <w:color w:val="auto"/>
        </w:rPr>
      </w:pPr>
      <w:r>
        <w:rPr>
          <w:rFonts w:ascii="Arial" w:cs="Arial" w:eastAsia="Arial" w:hAnsi="Arial"/>
          <w:sz w:val="1"/>
          <w:szCs w:val="1"/>
          <w:color w:val="FFFFFF"/>
        </w:rPr>
        <w:t>201</w:t>
      </w:r>
    </w:p>
    <w:p>
      <w:pPr>
        <w:spacing w:after="0" w:line="211" w:lineRule="auto"/>
        <w:rPr>
          <w:sz w:val="20"/>
          <w:szCs w:val="20"/>
          <w:color w:val="auto"/>
        </w:rPr>
      </w:pPr>
      <w:r>
        <w:rPr>
          <w:rFonts w:ascii="Arial" w:cs="Arial" w:eastAsia="Arial" w:hAnsi="Arial"/>
          <w:sz w:val="2"/>
          <w:szCs w:val="2"/>
          <w:color w:val="FFFFFF"/>
        </w:rPr>
        <w:t>amoun</w:t>
      </w:r>
      <w:r>
        <w:rPr>
          <w:rFonts w:ascii="Arial" w:cs="Arial" w:eastAsia="Arial" w:hAnsi="Arial"/>
          <w:sz w:val="4"/>
          <w:szCs w:val="4"/>
          <w:color w:val="FFFFFF"/>
          <w:vertAlign w:val="subscript"/>
        </w:rPr>
        <w:t>Interest</w:t>
      </w:r>
      <w:r>
        <w:rPr>
          <w:rFonts w:ascii="Arial" w:cs="Arial" w:eastAsia="Arial" w:hAnsi="Arial"/>
          <w:sz w:val="2"/>
          <w:szCs w:val="2"/>
          <w:color w:val="FFFFFF"/>
        </w:rPr>
        <w:t>sRateoutstandingSwaps under the Wynn Macau Credit Facility and lower interest rates in 201  compared to 2010.</w:t>
      </w:r>
    </w:p>
    <w:p>
      <w:pPr>
        <w:ind w:right="140"/>
        <w:spacing w:after="0"/>
        <w:rPr>
          <w:sz w:val="20"/>
          <w:szCs w:val="20"/>
          <w:color w:val="auto"/>
        </w:rPr>
      </w:pPr>
      <w:r>
        <w:rPr>
          <w:rFonts w:ascii="Arial" w:cs="Arial" w:eastAsia="Arial" w:hAnsi="Arial"/>
          <w:sz w:val="11"/>
          <w:szCs w:val="11"/>
          <w:color w:val="FFFFFF"/>
        </w:rPr>
        <w:t>As required under the terms of our various credit facilities, we have entered into agreements which swap a portion of the interest on our loans from fl oating to fi xed rates. These transactions do not qualify for hedge accounting.</w:t>
      </w:r>
    </w:p>
    <w:p>
      <w:pPr>
        <w:sectPr>
          <w:pgSz w:w="11900" w:h="16838" w:orient="portrait"/>
          <w:cols w:equalWidth="0" w:num="1">
            <w:col w:w="11400"/>
          </w:cols>
          <w:pgMar w:left="240" w:top="1440" w:right="2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tcPr>
          <w:p>
            <w:pPr>
              <w:spacing w:after="0"/>
              <w:rPr>
                <w:sz w:val="20"/>
                <w:szCs w:val="20"/>
                <w:color w:val="auto"/>
              </w:rPr>
            </w:pPr>
            <w:r>
              <w:rPr>
                <w:rFonts w:ascii="Arial" w:cs="Arial" w:eastAsia="Arial" w:hAnsi="Arial"/>
                <w:sz w:val="14"/>
                <w:szCs w:val="14"/>
                <w:color w:val="FFFFFF"/>
              </w:rPr>
              <w:t>18 Wynn Macau, Limited</w:t>
            </w:r>
          </w:p>
        </w:tc>
        <w:tc>
          <w:tcPr>
            <w:tcW w:w="9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2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928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rate swaps are recorded as an increase or decrease in swap fair value during each year. We recorded a gain of HK$80.4 million for 2011 resulting from the increase in the</w:t>
            </w:r>
          </w:p>
        </w:tc>
        <w:tc>
          <w:tcPr>
            <w:tcW w:w="0" w:type="dxa"/>
            <w:vAlign w:val="bottom"/>
          </w:tcPr>
          <w:p>
            <w:pPr>
              <w:spacing w:after="0"/>
              <w:rPr>
                <w:sz w:val="1"/>
                <w:szCs w:val="1"/>
                <w:color w:val="auto"/>
              </w:rPr>
            </w:pPr>
          </w:p>
        </w:tc>
      </w:tr>
      <w:tr>
        <w:trPr>
          <w:trHeight w:val="41"/>
        </w:trPr>
        <w:tc>
          <w:tcPr>
            <w:tcW w:w="2120" w:type="dxa"/>
            <w:vAlign w:val="bottom"/>
            <w:gridSpan w:val="2"/>
          </w:tcPr>
          <w:p>
            <w:pPr>
              <w:spacing w:after="0"/>
              <w:rPr>
                <w:sz w:val="20"/>
                <w:szCs w:val="20"/>
                <w:color w:val="auto"/>
              </w:rPr>
            </w:pPr>
            <w:r>
              <w:rPr>
                <w:rFonts w:ascii="Arial" w:cs="Arial" w:eastAsia="Arial" w:hAnsi="Arial"/>
                <w:sz w:val="3"/>
                <w:szCs w:val="3"/>
                <w:color w:val="FFFFFF"/>
              </w:rPr>
              <w:t>Changes in the fair value of our</w:t>
            </w:r>
          </w:p>
        </w:tc>
        <w:tc>
          <w:tcPr>
            <w:tcW w:w="9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fair value of our interest rate swapsinterest2011. We recorded a gain of HK$26.5 million in 2010 resulting from the increase in the fair value of our interest rate swaps in 2010.</w:t>
            </w:r>
          </w:p>
        </w:tc>
        <w:tc>
          <w:tcPr>
            <w:tcW w:w="0" w:type="dxa"/>
            <w:vAlign w:val="bottom"/>
          </w:tcPr>
          <w:p>
            <w:pPr>
              <w:spacing w:after="0"/>
              <w:rPr>
                <w:sz w:val="1"/>
                <w:szCs w:val="1"/>
                <w:color w:val="auto"/>
              </w:rPr>
            </w:pPr>
          </w:p>
        </w:tc>
      </w:tr>
      <w:tr>
        <w:trPr>
          <w:trHeight w:val="41"/>
        </w:trPr>
        <w:tc>
          <w:tcPr>
            <w:tcW w:w="2120" w:type="dxa"/>
            <w:vAlign w:val="bottom"/>
            <w:gridSpan w:val="2"/>
          </w:tcPr>
          <w:p>
            <w:pPr>
              <w:ind w:left="120"/>
              <w:spacing w:after="0"/>
              <w:rPr>
                <w:sz w:val="20"/>
                <w:szCs w:val="20"/>
                <w:color w:val="auto"/>
              </w:rPr>
            </w:pPr>
            <w:r>
              <w:rPr>
                <w:rFonts w:ascii="Arial" w:cs="Arial" w:eastAsia="Arial" w:hAnsi="Arial"/>
                <w:sz w:val="3"/>
                <w:szCs w:val="3"/>
                <w:color w:val="FFFFFF"/>
              </w:rPr>
              <w:t>come Tax Expense</w:t>
            </w:r>
          </w:p>
        </w:tc>
        <w:tc>
          <w:tcPr>
            <w:tcW w:w="9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In 2011, our income tax benefi  was HK$26.8 million compared to an income tax expense of HK$44.1 million in 2010. Our current income tax benefi t for 2011 primarily relates to the reversal of HK$41.8</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million reserve previously established for potential tax assessments for years 2006 and before, which has closed and income tax expense of HK$15.0 million for our subsidiaries owning WRM’s shares under the</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WRM Shareholder Dividend Tax Agreement. Our 2010 current income tax expense primarily relates to income tax expense recorded by WRM to increase tax reserves for possible unfavorable tax outcomes and</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income tax expense  f our su sidiaries owning WRM’s shares under the WRM Shareholder Dividend Tax Agreement. Our 2010 deferred income tax provision primarily results from WRM derecognizing certain</w:t>
            </w:r>
          </w:p>
        </w:tc>
        <w:tc>
          <w:tcPr>
            <w:tcW w:w="0" w:type="dxa"/>
            <w:vAlign w:val="bottom"/>
          </w:tcPr>
          <w:p>
            <w:pPr>
              <w:spacing w:after="0"/>
              <w:rPr>
                <w:sz w:val="1"/>
                <w:szCs w:val="1"/>
                <w:color w:val="auto"/>
              </w:rPr>
            </w:pP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deferred</w:t>
            </w:r>
          </w:p>
        </w:tc>
        <w:tc>
          <w:tcPr>
            <w:tcW w:w="10820" w:type="dxa"/>
            <w:vAlign w:val="bottom"/>
            <w:gridSpan w:val="2"/>
          </w:tcPr>
          <w:p>
            <w:pPr>
              <w:ind w:left="120"/>
              <w:spacing w:after="0"/>
              <w:rPr>
                <w:sz w:val="20"/>
                <w:szCs w:val="20"/>
                <w:color w:val="auto"/>
              </w:rPr>
            </w:pPr>
            <w:r>
              <w:rPr>
                <w:rFonts w:ascii="Arial" w:cs="Arial" w:eastAsia="Arial" w:hAnsi="Arial"/>
                <w:sz w:val="3"/>
                <w:szCs w:val="3"/>
                <w:color w:val="FFFFFF"/>
              </w:rPr>
              <w:t>assets no longer believed realizable.</w:t>
            </w:r>
          </w:p>
        </w:tc>
        <w:tc>
          <w:tcPr>
            <w:tcW w:w="0" w:type="dxa"/>
            <w:vAlign w:val="bottom"/>
          </w:tcPr>
          <w:p>
            <w:pPr>
              <w:spacing w:after="0"/>
              <w:rPr>
                <w:sz w:val="1"/>
                <w:szCs w:val="1"/>
                <w:color w:val="auto"/>
              </w:rPr>
            </w:pPr>
          </w:p>
        </w:tc>
      </w:tr>
      <w:tr>
        <w:trPr>
          <w:trHeight w:val="0"/>
        </w:trPr>
        <w:tc>
          <w:tcPr>
            <w:tcW w:w="2120" w:type="dxa"/>
            <w:vAlign w:val="bottom"/>
            <w:gridSpan w:val="2"/>
          </w:tcPr>
          <w:p>
            <w:pPr>
              <w:spacing w:after="0" w:line="80" w:lineRule="exact"/>
              <w:rPr>
                <w:sz w:val="20"/>
                <w:szCs w:val="20"/>
                <w:color w:val="auto"/>
              </w:rPr>
            </w:pPr>
            <w:r>
              <w:rPr>
                <w:rFonts w:ascii="Arial" w:cs="Arial" w:eastAsia="Arial" w:hAnsi="Arial"/>
                <w:sz w:val="9"/>
                <w:szCs w:val="9"/>
                <w:color w:val="FFFFFF"/>
              </w:rPr>
              <w:t>Net ProfitaxAttributable to Owners</w:t>
            </w:r>
          </w:p>
        </w:tc>
        <w:tc>
          <w:tcPr>
            <w:tcW w:w="9280" w:type="dxa"/>
            <w:vAlign w:val="bottom"/>
          </w:tcPr>
          <w:p>
            <w:pPr>
              <w:ind w:left="120"/>
              <w:spacing w:after="0" w:line="80" w:lineRule="exact"/>
              <w:rPr>
                <w:sz w:val="20"/>
                <w:szCs w:val="20"/>
                <w:color w:val="auto"/>
              </w:rPr>
            </w:pPr>
            <w:r>
              <w:rPr>
                <w:rFonts w:ascii="Arial" w:cs="Arial" w:eastAsia="Arial" w:hAnsi="Arial"/>
                <w:sz w:val="9"/>
                <w:szCs w:val="9"/>
                <w:color w:val="FFFFFF"/>
              </w:rPr>
              <w:t>Company</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As a result of the foregoing, net profi theattributable to owners of the Company increased by 33.9%, from HK$4.4 billion in 2010 to HK$5.9 billion in 2011.</w:t>
      </w:r>
    </w:p>
    <w:p>
      <w:pPr>
        <w:spacing w:after="0" w:line="199" w:lineRule="auto"/>
        <w:rPr>
          <w:sz w:val="20"/>
          <w:szCs w:val="20"/>
          <w:color w:val="auto"/>
        </w:rPr>
      </w:pPr>
      <w:r>
        <w:rPr>
          <w:rFonts w:ascii="Arial" w:cs="Arial" w:eastAsia="Arial" w:hAnsi="Arial"/>
          <w:sz w:val="5"/>
          <w:szCs w:val="5"/>
          <w:color w:val="FFFFFF"/>
        </w:rPr>
        <w:t>CapitalLIQUIDITYResourcesAND CAPITAL RESOURCES</w:t>
      </w:r>
    </w:p>
    <w:p>
      <w:pPr>
        <w:spacing w:after="0" w:line="211" w:lineRule="auto"/>
        <w:rPr>
          <w:sz w:val="20"/>
          <w:szCs w:val="20"/>
          <w:color w:val="auto"/>
        </w:rPr>
      </w:pPr>
      <w:r>
        <w:rPr>
          <w:rFonts w:ascii="Arial" w:cs="Arial" w:eastAsia="Arial" w:hAnsi="Arial"/>
          <w:sz w:val="2"/>
          <w:szCs w:val="2"/>
          <w:color w:val="FFFFFF"/>
        </w:rPr>
        <w:t>Since Wynn Macau opened in 2006, we have generally funded our working capital and recurring expenses as well as capital expenditures from cash fl ow from operations and cash</w:t>
      </w:r>
      <w:r>
        <w:rPr>
          <w:rFonts w:ascii="Arial" w:cs="Arial" w:eastAsia="Arial" w:hAnsi="Arial"/>
          <w:sz w:val="4"/>
          <w:szCs w:val="4"/>
          <w:color w:val="FFFFFF"/>
          <w:vertAlign w:val="subscript"/>
        </w:rPr>
        <w:t>addition,</w:t>
      </w:r>
      <w:r>
        <w:rPr>
          <w:rFonts w:ascii="Arial" w:cs="Arial" w:eastAsia="Arial" w:hAnsi="Arial"/>
          <w:sz w:val="2"/>
          <w:szCs w:val="2"/>
          <w:color w:val="FFFFFF"/>
        </w:rPr>
        <w:t>hand.</w:t>
      </w:r>
    </w:p>
    <w:p>
      <w:pPr>
        <w:ind w:right="200"/>
        <w:spacing w:after="0" w:line="187" w:lineRule="auto"/>
        <w:rPr>
          <w:sz w:val="20"/>
          <w:szCs w:val="20"/>
          <w:color w:val="auto"/>
        </w:rPr>
      </w:pPr>
      <w:r>
        <w:rPr>
          <w:rFonts w:ascii="Arial" w:cs="Arial" w:eastAsia="Arial" w:hAnsi="Arial"/>
          <w:sz w:val="9"/>
          <w:szCs w:val="9"/>
          <w:color w:val="FFFFFF"/>
        </w:rPr>
        <w:t>Our cash balances at 31 December 2011 were HK$5.2 billion. Such cash is available for operations, new development activities and enhancements to Wynn Macau and Encore. In as at 31 December 2011, we had HK$6.6 billion available to draw under the Wynn Macau Revolver.</w:t>
      </w:r>
    </w:p>
    <w:p>
      <w:pPr>
        <w:spacing w:after="0" w:line="213" w:lineRule="auto"/>
        <w:rPr>
          <w:sz w:val="20"/>
          <w:szCs w:val="20"/>
          <w:color w:val="auto"/>
        </w:rPr>
      </w:pPr>
      <w:r>
        <w:rPr>
          <w:rFonts w:ascii="Arial" w:cs="Arial" w:eastAsia="Arial" w:hAnsi="Arial"/>
          <w:sz w:val="2"/>
          <w:szCs w:val="2"/>
          <w:color w:val="FFFFFF"/>
        </w:rPr>
        <w:t>As at 31 December 2011, the Group had</w:t>
      </w:r>
      <w:r>
        <w:rPr>
          <w:rFonts w:ascii="Arial" w:cs="Arial" w:eastAsia="Arial" w:hAnsi="Arial"/>
          <w:sz w:val="4"/>
          <w:szCs w:val="4"/>
          <w:color w:val="FFFFFF"/>
          <w:vertAlign w:val="subscript"/>
        </w:rPr>
        <w:t>liabilities</w:t>
      </w:r>
      <w:r>
        <w:rPr>
          <w:rFonts w:ascii="Arial" w:cs="Arial" w:eastAsia="Arial" w:hAnsi="Arial"/>
          <w:sz w:val="2"/>
          <w:szCs w:val="2"/>
          <w:color w:val="FFFFFF"/>
        </w:rPr>
        <w:t>netcurrent liability position of HK$3,023.6 million. The Group expects it will generate positive cash fl ows in 2012 and will obtain or renew its bank loan facilities,</w:t>
      </w:r>
    </w:p>
    <w:p>
      <w:pPr>
        <w:ind w:right="1660"/>
        <w:spacing w:after="0" w:line="187" w:lineRule="auto"/>
        <w:rPr>
          <w:sz w:val="20"/>
          <w:szCs w:val="20"/>
          <w:color w:val="auto"/>
        </w:rPr>
      </w:pPr>
      <w:r>
        <w:rPr>
          <w:rFonts w:ascii="Arial" w:cs="Arial" w:eastAsia="Arial" w:hAnsi="Arial"/>
          <w:sz w:val="9"/>
          <w:szCs w:val="9"/>
          <w:color w:val="FFFFFF"/>
        </w:rPr>
        <w:t>wherever needed, to meet its fi nancial as and when they fall due. The Group believes it has suffi cient working capital to fi nance its operations and fi nancial obligations. Investments</w:t>
      </w:r>
    </w:p>
    <w:p>
      <w:pPr>
        <w:ind w:right="520"/>
        <w:spacing w:after="0" w:line="190" w:lineRule="auto"/>
        <w:rPr>
          <w:sz w:val="20"/>
          <w:szCs w:val="20"/>
          <w:color w:val="auto"/>
        </w:rPr>
      </w:pPr>
      <w:r>
        <w:rPr>
          <w:rFonts w:ascii="Arial" w:cs="Arial" w:eastAsia="Arial" w:hAnsi="Arial"/>
          <w:sz w:val="11"/>
          <w:szCs w:val="11"/>
          <w:color w:val="FFFFFF"/>
        </w:rPr>
        <w:t>As at 31 December 2011, the Group had net investments in Offshore RMB denominated debt securities with maturities of up to three years that amounted to Offshore RMB415.6 million (approximately HK$508.8 million) compared to nil at of 31 December 2010.</w:t>
      </w:r>
    </w:p>
    <w:p>
      <w:pPr>
        <w:sectPr>
          <w:pgSz w:w="11900" w:h="16838" w:orient="portrait"/>
          <w:cols w:equalWidth="0" w:num="1">
            <w:col w:w="11400"/>
          </w:cols>
          <w:pgMar w:left="240" w:top="1440" w:right="2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19</w:t>
      </w:r>
    </w:p>
    <w:p>
      <w:pPr>
        <w:spacing w:after="0"/>
        <w:rPr>
          <w:sz w:val="20"/>
          <w:szCs w:val="20"/>
          <w:color w:val="auto"/>
        </w:rPr>
      </w:pPr>
      <w:r>
        <w:rPr>
          <w:rFonts w:ascii="Arial" w:cs="Arial" w:eastAsia="Arial" w:hAnsi="Arial"/>
          <w:sz w:val="3"/>
          <w:szCs w:val="3"/>
          <w:color w:val="FFFFFF"/>
        </w:rPr>
        <w:t>GearingManagementRatioDiscussion and Analysis</w:t>
      </w:r>
    </w:p>
    <w:p>
      <w:pPr>
        <w:spacing w:after="0" w:line="6" w:lineRule="exact"/>
        <w:rPr>
          <w:sz w:val="20"/>
          <w:szCs w:val="20"/>
          <w:color w:val="auto"/>
        </w:rPr>
      </w:pPr>
    </w:p>
    <w:p>
      <w:pPr>
        <w:spacing w:after="0" w:line="181" w:lineRule="auto"/>
        <w:rPr>
          <w:sz w:val="20"/>
          <w:szCs w:val="20"/>
          <w:color w:val="auto"/>
        </w:rPr>
      </w:pPr>
      <w:r>
        <w:rPr>
          <w:rFonts w:ascii="Arial" w:cs="Arial" w:eastAsia="Arial" w:hAnsi="Arial"/>
          <w:sz w:val="9"/>
          <w:szCs w:val="9"/>
          <w:color w:val="FFFFFF"/>
        </w:rPr>
        <w:t xml:space="preserve">The gearing ratio is </w:t>
      </w:r>
      <w:r>
        <w:rPr>
          <w:rFonts w:ascii="Arial" w:cs="Arial" w:eastAsia="Arial" w:hAnsi="Arial"/>
          <w:sz w:val="14"/>
          <w:szCs w:val="14"/>
          <w:color w:val="FFFFFF"/>
          <w:vertAlign w:val="superscript"/>
        </w:rPr>
        <w:t>and</w:t>
      </w:r>
      <w:r>
        <w:rPr>
          <w:rFonts w:ascii="Arial" w:cs="Arial" w:eastAsia="Arial" w:hAnsi="Arial"/>
          <w:sz w:val="9"/>
          <w:szCs w:val="9"/>
          <w:color w:val="FFFFFF"/>
        </w:rPr>
        <w:t>key indicator of our Group’s capital structure. The gearing ratio is net debt divided by total capital plus net debt. The table below presents the calculation of our gearing ratio as at 31 December 2011 2010.</w:t>
      </w:r>
    </w:p>
    <w:p>
      <w:pPr>
        <w:spacing w:after="0" w:line="188" w:lineRule="auto"/>
        <w:rPr>
          <w:sz w:val="20"/>
          <w:szCs w:val="20"/>
          <w:color w:val="auto"/>
        </w:rPr>
      </w:pPr>
      <w:r>
        <w:rPr>
          <w:rFonts w:ascii="Arial" w:cs="Arial" w:eastAsia="Arial" w:hAnsi="Arial"/>
          <w:sz w:val="9"/>
          <w:szCs w:val="9"/>
          <w:color w:val="FFFFFF"/>
        </w:rPr>
        <w:t>2011Asat 201031December</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10"/>
          <w:szCs w:val="10"/>
          <w:color w:val="FFFFFF"/>
        </w:rPr>
        <w:t>except for percentages)</w:t>
      </w:r>
    </w:p>
    <w:p>
      <w:pPr>
        <w:spacing w:after="0"/>
        <w:rPr>
          <w:sz w:val="20"/>
          <w:szCs w:val="20"/>
          <w:color w:val="auto"/>
        </w:rPr>
      </w:pPr>
      <w:r>
        <w:rPr>
          <w:rFonts w:ascii="Arial" w:cs="Arial" w:eastAsia="Arial" w:hAnsi="Arial"/>
          <w:sz w:val="3"/>
          <w:szCs w:val="3"/>
          <w:color w:val="FFFFFF"/>
        </w:rPr>
        <w:t>AccountsInterest-bearingpayablebank1,050,345loans,net1,018,0164,803,466 4,949,703</w:t>
      </w:r>
    </w:p>
    <w:p>
      <w:pPr>
        <w:spacing w:after="0" w:line="181" w:lineRule="auto"/>
        <w:rPr>
          <w:sz w:val="20"/>
          <w:szCs w:val="20"/>
          <w:color w:val="auto"/>
        </w:rPr>
      </w:pPr>
      <w:r>
        <w:rPr>
          <w:rFonts w:ascii="Arial" w:cs="Arial" w:eastAsia="Arial" w:hAnsi="Arial"/>
          <w:sz w:val="10"/>
          <w:szCs w:val="10"/>
          <w:color w:val="FFFFFF"/>
        </w:rPr>
        <w:t>Land premium payable 911,433 —</w:t>
      </w:r>
    </w:p>
    <w:p>
      <w:pPr>
        <w:spacing w:after="0" w:line="188" w:lineRule="auto"/>
        <w:rPr>
          <w:sz w:val="20"/>
          <w:szCs w:val="20"/>
          <w:color w:val="auto"/>
        </w:rPr>
      </w:pPr>
      <w:r>
        <w:rPr>
          <w:rFonts w:ascii="Arial" w:cs="Arial" w:eastAsia="Arial" w:hAnsi="Arial"/>
          <w:sz w:val="9"/>
          <w:szCs w:val="9"/>
          <w:color w:val="FFFFFF"/>
        </w:rPr>
        <w:t>AmountsOtherpayablesduetoandrelatedaccrualscompanies6,236,877158,1883,665,441235,922</w:t>
      </w:r>
    </w:p>
    <w:p>
      <w:pPr>
        <w:spacing w:after="0"/>
        <w:rPr>
          <w:sz w:val="20"/>
          <w:szCs w:val="20"/>
          <w:color w:val="auto"/>
        </w:rPr>
      </w:pPr>
      <w:r>
        <w:rPr>
          <w:rFonts w:ascii="Arial" w:cs="Arial" w:eastAsia="Arial" w:hAnsi="Arial"/>
          <w:sz w:val="3"/>
          <w:szCs w:val="3"/>
          <w:color w:val="FFFFFF"/>
        </w:rPr>
        <w:t>Less:Other cashliabilities,andcashnet equivalentsofuncertain(5,156,725)taxposition(3,819,163)135,39623,794</w:t>
      </w:r>
    </w:p>
    <w:p>
      <w:pPr>
        <w:spacing w:after="0" w:line="181" w:lineRule="auto"/>
        <w:rPr>
          <w:sz w:val="20"/>
          <w:szCs w:val="20"/>
          <w:color w:val="auto"/>
        </w:rPr>
      </w:pPr>
      <w:r>
        <w:rPr>
          <w:rFonts w:ascii="Arial" w:cs="Arial" w:eastAsia="Arial" w:hAnsi="Arial"/>
          <w:sz w:val="10"/>
          <w:szCs w:val="10"/>
          <w:color w:val="FFFFFF"/>
        </w:rPr>
        <w:t>Net debt 8,138,980 6,073,713</w:t>
      </w:r>
    </w:p>
    <w:p>
      <w:pPr>
        <w:spacing w:after="0" w:line="188" w:lineRule="auto"/>
        <w:rPr>
          <w:sz w:val="20"/>
          <w:szCs w:val="20"/>
          <w:color w:val="auto"/>
        </w:rPr>
      </w:pPr>
      <w:r>
        <w:rPr>
          <w:rFonts w:ascii="Arial" w:cs="Arial" w:eastAsia="Arial" w:hAnsi="Arial"/>
          <w:sz w:val="9"/>
          <w:szCs w:val="9"/>
          <w:color w:val="FFFFFF"/>
        </w:rPr>
        <w:t>TotalEquitycapital4,028,4434,028,4434,297,0894,297,089</w:t>
      </w:r>
    </w:p>
    <w:p>
      <w:pPr>
        <w:spacing w:after="0"/>
        <w:rPr>
          <w:sz w:val="20"/>
          <w:szCs w:val="20"/>
          <w:color w:val="auto"/>
        </w:rPr>
      </w:pPr>
      <w:r>
        <w:rPr>
          <w:rFonts w:ascii="Arial" w:cs="Arial" w:eastAsia="Arial" w:hAnsi="Arial"/>
          <w:sz w:val="14"/>
          <w:szCs w:val="14"/>
          <w:color w:val="FFFFFF"/>
        </w:rPr>
        <w:t>GearingCapitalandrationet66.9%debt 12,167,42358.6% 10,370,802</w:t>
      </w:r>
    </w:p>
    <w:p>
      <w:pPr>
        <w:sectPr>
          <w:pgSz w:w="11900" w:h="16838" w:orient="portrait"/>
          <w:cols w:equalWidth="0" w:num="1">
            <w:col w:w="10820"/>
          </w:cols>
          <w:pgMar w:left="240" w:top="1440" w:right="8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20 Wynn Macau, Limited</w:t>
      </w:r>
    </w:p>
    <w:p>
      <w:pPr>
        <w:spacing w:after="0"/>
        <w:rPr>
          <w:sz w:val="20"/>
          <w:szCs w:val="20"/>
          <w:color w:val="auto"/>
        </w:rPr>
      </w:pPr>
      <w:r>
        <w:rPr>
          <w:rFonts w:ascii="Arial" w:cs="Arial" w:eastAsia="Arial" w:hAnsi="Arial"/>
          <w:sz w:val="3"/>
          <w:szCs w:val="3"/>
          <w:color w:val="FFFFFF"/>
        </w:rPr>
        <w:t>Management Discussion and Analysis</w:t>
      </w:r>
    </w:p>
    <w:p>
      <w:pPr>
        <w:spacing w:after="0" w:line="181" w:lineRule="auto"/>
        <w:rPr>
          <w:sz w:val="20"/>
          <w:szCs w:val="20"/>
          <w:color w:val="auto"/>
        </w:rPr>
      </w:pPr>
      <w:r>
        <w:rPr>
          <w:rFonts w:ascii="Arial" w:cs="Arial" w:eastAsia="Arial" w:hAnsi="Arial"/>
          <w:sz w:val="10"/>
          <w:szCs w:val="10"/>
          <w:color w:val="FFFFFF"/>
        </w:rPr>
        <w:t>Cash Flows</w:t>
      </w:r>
    </w:p>
    <w:p>
      <w:pPr>
        <w:spacing w:after="0"/>
        <w:rPr>
          <w:sz w:val="20"/>
          <w:szCs w:val="20"/>
          <w:color w:val="auto"/>
        </w:rPr>
      </w:pPr>
      <w:r>
        <w:rPr>
          <w:rFonts w:ascii="Arial" w:cs="Arial" w:eastAsia="Arial" w:hAnsi="Arial"/>
          <w:sz w:val="3"/>
          <w:szCs w:val="3"/>
          <w:color w:val="FFFFFF"/>
        </w:rPr>
        <w:t>ForThe thefollowingyearendedtable presents a summary of the Group’s cash fl ows for the years ended 31 December 2011 and 2010.</w:t>
      </w:r>
    </w:p>
    <w:p>
      <w:pPr>
        <w:spacing w:after="0" w:line="194" w:lineRule="auto"/>
        <w:rPr>
          <w:sz w:val="20"/>
          <w:szCs w:val="20"/>
          <w:color w:val="auto"/>
        </w:rPr>
      </w:pPr>
      <w:r>
        <w:rPr>
          <w:rFonts w:ascii="Arial" w:cs="Arial" w:eastAsia="Arial" w:hAnsi="Arial"/>
          <w:sz w:val="5"/>
          <w:szCs w:val="5"/>
          <w:color w:val="FFFFFF"/>
        </w:rPr>
        <w:t>31 December</w:t>
      </w:r>
    </w:p>
    <w:p>
      <w:pPr>
        <w:spacing w:after="0" w:line="188" w:lineRule="auto"/>
        <w:rPr>
          <w:sz w:val="20"/>
          <w:szCs w:val="20"/>
          <w:color w:val="auto"/>
        </w:rPr>
      </w:pPr>
      <w:r>
        <w:rPr>
          <w:rFonts w:ascii="Arial" w:cs="Arial" w:eastAsia="Arial" w:hAnsi="Arial"/>
          <w:sz w:val="9"/>
          <w:szCs w:val="9"/>
          <w:color w:val="FFFFFF"/>
        </w:rPr>
        <w:t>2010</w:t>
      </w:r>
    </w:p>
    <w:p>
      <w:pPr>
        <w:spacing w:after="0" w:line="187" w:lineRule="auto"/>
        <w:rPr>
          <w:sz w:val="20"/>
          <w:szCs w:val="20"/>
          <w:color w:val="auto"/>
        </w:rPr>
      </w:pPr>
      <w:r>
        <w:rPr>
          <w:rFonts w:ascii="Arial" w:cs="Arial" w:eastAsia="Arial" w:hAnsi="Arial"/>
          <w:sz w:val="9"/>
          <w:szCs w:val="9"/>
          <w:color w:val="FFFFFF"/>
        </w:rPr>
        <w:t>HK$</w:t>
      </w:r>
    </w:p>
    <w:p>
      <w:pPr>
        <w:spacing w:after="0"/>
        <w:rPr>
          <w:sz w:val="20"/>
          <w:szCs w:val="20"/>
          <w:color w:val="auto"/>
        </w:rPr>
      </w:pPr>
      <w:r>
        <w:rPr>
          <w:rFonts w:ascii="Arial" w:cs="Arial" w:eastAsia="Arial" w:hAnsi="Arial"/>
          <w:sz w:val="3"/>
          <w:szCs w:val="3"/>
          <w:color w:val="FFFFFF"/>
        </w:rPr>
        <w:t>(in millions)</w:t>
      </w:r>
    </w:p>
    <w:p>
      <w:pPr>
        <w:spacing w:after="0" w:line="194" w:lineRule="auto"/>
        <w:rPr>
          <w:sz w:val="20"/>
          <w:szCs w:val="20"/>
          <w:color w:val="auto"/>
        </w:rPr>
      </w:pPr>
      <w:r>
        <w:rPr>
          <w:rFonts w:ascii="Arial" w:cs="Arial" w:eastAsia="Arial" w:hAnsi="Arial"/>
          <w:sz w:val="5"/>
          <w:szCs w:val="5"/>
          <w:color w:val="FFFFFF"/>
        </w:rPr>
        <w:t>Net cash generated from operating activities</w:t>
      </w:r>
    </w:p>
    <w:p>
      <w:pPr>
        <w:spacing w:after="0" w:line="181" w:lineRule="auto"/>
        <w:rPr>
          <w:sz w:val="20"/>
          <w:szCs w:val="20"/>
          <w:color w:val="auto"/>
        </w:rPr>
      </w:pPr>
      <w:r>
        <w:rPr>
          <w:rFonts w:ascii="Arial" w:cs="Arial" w:eastAsia="Arial" w:hAnsi="Arial"/>
          <w:sz w:val="14"/>
          <w:szCs w:val="14"/>
          <w:color w:val="FFFFFF"/>
          <w:vertAlign w:val="superscript"/>
        </w:rPr>
        <w:t>9</w:t>
      </w:r>
      <w:r>
        <w:rPr>
          <w:rFonts w:ascii="Arial" w:cs="Arial" w:eastAsia="Arial" w:hAnsi="Arial"/>
          <w:sz w:val="9"/>
          <w:szCs w:val="9"/>
          <w:color w:val="FFFFFF"/>
        </w:rPr>
        <w:t>6,878</w:t>
      </w:r>
      <w:r>
        <w:rPr>
          <w:rFonts w:ascii="Arial" w:cs="Arial" w:eastAsia="Arial" w:hAnsi="Arial"/>
          <w:sz w:val="14"/>
          <w:szCs w:val="14"/>
          <w:color w:val="FFFFFF"/>
          <w:vertAlign w:val="superscript"/>
        </w:rPr>
        <w:t>417</w:t>
      </w:r>
      <w:r>
        <w:rPr>
          <w:rFonts w:ascii="Arial" w:cs="Arial" w:eastAsia="Arial" w:hAnsi="Arial"/>
          <w:sz w:val="9"/>
          <w:szCs w:val="9"/>
          <w:color w:val="FFFFFF"/>
        </w:rPr>
        <w:t>.1</w:t>
      </w:r>
    </w:p>
    <w:p>
      <w:pPr>
        <w:spacing w:after="0" w:line="181" w:lineRule="auto"/>
        <w:rPr>
          <w:sz w:val="20"/>
          <w:szCs w:val="20"/>
          <w:color w:val="auto"/>
        </w:rPr>
      </w:pPr>
      <w:r>
        <w:rPr>
          <w:rFonts w:ascii="Arial" w:cs="Arial" w:eastAsia="Arial" w:hAnsi="Arial"/>
          <w:sz w:val="9"/>
          <w:szCs w:val="9"/>
          <w:color w:val="FFFFFF"/>
        </w:rPr>
        <w:t>(1,015Net</w:t>
      </w:r>
      <w:r>
        <w:rPr>
          <w:rFonts w:ascii="Arial" w:cs="Arial" w:eastAsia="Arial" w:hAnsi="Arial"/>
          <w:sz w:val="14"/>
          <w:szCs w:val="14"/>
          <w:color w:val="FFFFFF"/>
          <w:vertAlign w:val="superscript"/>
        </w:rPr>
        <w:t>505</w:t>
      </w:r>
      <w:r>
        <w:rPr>
          <w:rFonts w:ascii="Arial" w:cs="Arial" w:eastAsia="Arial" w:hAnsi="Arial"/>
          <w:sz w:val="9"/>
          <w:szCs w:val="9"/>
          <w:color w:val="FFFFFF"/>
        </w:rPr>
        <w:t>cash.8)</w:t>
      </w:r>
      <w:r>
        <w:rPr>
          <w:rFonts w:ascii="Arial" w:cs="Arial" w:eastAsia="Arial" w:hAnsi="Arial"/>
          <w:sz w:val="14"/>
          <w:szCs w:val="14"/>
          <w:color w:val="FFFFFF"/>
          <w:vertAlign w:val="superscript"/>
        </w:rPr>
        <w:t>5)</w:t>
      </w:r>
      <w:r>
        <w:rPr>
          <w:rFonts w:ascii="Arial" w:cs="Arial" w:eastAsia="Arial" w:hAnsi="Arial"/>
          <w:sz w:val="9"/>
          <w:szCs w:val="9"/>
          <w:color w:val="FFFFFF"/>
        </w:rPr>
        <w:t xml:space="preserve"> used in investing activities</w:t>
      </w:r>
    </w:p>
    <w:p>
      <w:pPr>
        <w:spacing w:after="0" w:line="181" w:lineRule="auto"/>
        <w:rPr>
          <w:sz w:val="20"/>
          <w:szCs w:val="20"/>
          <w:color w:val="auto"/>
        </w:rPr>
      </w:pPr>
      <w:r>
        <w:rPr>
          <w:rFonts w:ascii="Arial" w:cs="Arial" w:eastAsia="Arial" w:hAnsi="Arial"/>
          <w:sz w:val="9"/>
          <w:szCs w:val="9"/>
          <w:color w:val="FFFFFF"/>
        </w:rPr>
        <w:t>(7,272Net</w:t>
      </w:r>
      <w:r>
        <w:rPr>
          <w:rFonts w:ascii="Arial" w:cs="Arial" w:eastAsia="Arial" w:hAnsi="Arial"/>
          <w:sz w:val="14"/>
          <w:szCs w:val="14"/>
          <w:color w:val="FFFFFF"/>
          <w:vertAlign w:val="superscript"/>
        </w:rPr>
        <w:t>6607</w:t>
      </w:r>
      <w:r>
        <w:rPr>
          <w:rFonts w:ascii="Arial" w:cs="Arial" w:eastAsia="Arial" w:hAnsi="Arial"/>
          <w:sz w:val="9"/>
          <w:szCs w:val="9"/>
          <w:color w:val="FFFFFF"/>
        </w:rPr>
        <w:t>cash.1)</w:t>
      </w:r>
      <w:r>
        <w:rPr>
          <w:rFonts w:ascii="Arial" w:cs="Arial" w:eastAsia="Arial" w:hAnsi="Arial"/>
          <w:sz w:val="14"/>
          <w:szCs w:val="14"/>
          <w:color w:val="FFFFFF"/>
          <w:vertAlign w:val="superscript"/>
        </w:rPr>
        <w:t>5)</w:t>
      </w:r>
      <w:r>
        <w:rPr>
          <w:rFonts w:ascii="Arial" w:cs="Arial" w:eastAsia="Arial" w:hAnsi="Arial"/>
          <w:sz w:val="9"/>
          <w:szCs w:val="9"/>
          <w:color w:val="FFFFFF"/>
        </w:rPr>
        <w:t xml:space="preserve"> used in financing activities</w:t>
      </w:r>
    </w:p>
    <w:p>
      <w:pPr>
        <w:spacing w:after="0"/>
        <w:rPr>
          <w:sz w:val="20"/>
          <w:szCs w:val="20"/>
          <w:color w:val="auto"/>
        </w:rPr>
      </w:pPr>
      <w:r>
        <w:rPr>
          <w:rFonts w:ascii="Arial" w:cs="Arial" w:eastAsia="Arial" w:hAnsi="Arial"/>
          <w:sz w:val="3"/>
          <w:szCs w:val="3"/>
          <w:color w:val="FFFFFF"/>
        </w:rPr>
        <w:t>1,304.Netincrease(decrease)1 in cash and cash equivalents</w:t>
      </w:r>
    </w:p>
    <w:p>
      <w:pPr>
        <w:spacing w:after="0" w:line="194" w:lineRule="auto"/>
        <w:rPr>
          <w:sz w:val="20"/>
          <w:szCs w:val="20"/>
          <w:color w:val="auto"/>
        </w:rPr>
      </w:pPr>
      <w:r>
        <w:rPr>
          <w:rFonts w:ascii="Arial" w:cs="Arial" w:eastAsia="Arial" w:hAnsi="Arial"/>
          <w:sz w:val="5"/>
          <w:szCs w:val="5"/>
          <w:color w:val="FFFFFF"/>
        </w:rPr>
        <w:t>(1,409.8)</w:t>
      </w:r>
    </w:p>
    <w:p>
      <w:pPr>
        <w:spacing w:after="0"/>
        <w:rPr>
          <w:sz w:val="20"/>
          <w:szCs w:val="20"/>
          <w:color w:val="auto"/>
        </w:rPr>
      </w:pPr>
      <w:r>
        <w:rPr>
          <w:rFonts w:ascii="Arial" w:cs="Arial" w:eastAsia="Arial" w:hAnsi="Arial"/>
          <w:sz w:val="3"/>
          <w:szCs w:val="3"/>
          <w:color w:val="FFFFFF"/>
        </w:rPr>
        <w:t>Cash and cash equivalents at beginning of year</w:t>
      </w:r>
    </w:p>
    <w:p>
      <w:pPr>
        <w:jc w:val="right"/>
        <w:ind w:right="10900"/>
        <w:spacing w:after="0" w:line="194" w:lineRule="auto"/>
        <w:rPr>
          <w:sz w:val="20"/>
          <w:szCs w:val="20"/>
          <w:color w:val="auto"/>
        </w:rPr>
      </w:pPr>
      <w:r>
        <w:rPr>
          <w:rFonts w:ascii="Arial" w:cs="Arial" w:eastAsia="Arial" w:hAnsi="Arial"/>
          <w:sz w:val="5"/>
          <w:szCs w:val="5"/>
          <w:color w:val="FFFFFF"/>
          <w:vertAlign w:val="superscript"/>
        </w:rPr>
        <w:t>3</w:t>
      </w:r>
      <w:r>
        <w:rPr>
          <w:rFonts w:ascii="Arial" w:cs="Arial" w:eastAsia="Arial" w:hAnsi="Arial"/>
          <w:sz w:val="3"/>
          <w:szCs w:val="3"/>
          <w:color w:val="FFFFFF"/>
        </w:rPr>
        <w:t>5,229</w:t>
      </w:r>
      <w:r>
        <w:rPr>
          <w:rFonts w:ascii="Arial" w:cs="Arial" w:eastAsia="Arial" w:hAnsi="Arial"/>
          <w:sz w:val="5"/>
          <w:szCs w:val="5"/>
          <w:color w:val="FFFFFF"/>
          <w:vertAlign w:val="superscript"/>
        </w:rPr>
        <w:t>819</w:t>
      </w:r>
      <w:r>
        <w:rPr>
          <w:rFonts w:ascii="Arial" w:cs="Arial" w:eastAsia="Arial" w:hAnsi="Arial"/>
          <w:sz w:val="3"/>
          <w:szCs w:val="3"/>
          <w:color w:val="FFFFFF"/>
        </w:rPr>
        <w:t>.</w:t>
      </w:r>
      <w:r>
        <w:rPr>
          <w:rFonts w:ascii="Arial" w:cs="Arial" w:eastAsia="Arial" w:hAnsi="Arial"/>
          <w:sz w:val="5"/>
          <w:szCs w:val="5"/>
          <w:color w:val="FFFFFF"/>
          <w:vertAlign w:val="superscript"/>
        </w:rPr>
        <w:t>1</w:t>
      </w:r>
    </w:p>
    <w:p>
      <w:pPr>
        <w:jc w:val="right"/>
        <w:ind w:right="10900"/>
        <w:spacing w:after="0" w:line="188" w:lineRule="auto"/>
        <w:rPr>
          <w:sz w:val="20"/>
          <w:szCs w:val="20"/>
          <w:color w:val="auto"/>
        </w:rPr>
      </w:pPr>
      <w:r>
        <w:rPr>
          <w:rFonts w:ascii="Arial" w:cs="Arial" w:eastAsia="Arial" w:hAnsi="Arial"/>
          <w:sz w:val="9"/>
          <w:szCs w:val="9"/>
          <w:color w:val="FFFFFF"/>
        </w:rPr>
        <w:t>0</w:t>
      </w:r>
    </w:p>
    <w:p>
      <w:pPr>
        <w:spacing w:after="0"/>
        <w:rPr>
          <w:sz w:val="20"/>
          <w:szCs w:val="20"/>
          <w:color w:val="auto"/>
        </w:rPr>
      </w:pPr>
      <w:r>
        <w:rPr>
          <w:rFonts w:ascii="Arial" w:cs="Arial" w:eastAsia="Arial" w:hAnsi="Arial"/>
          <w:sz w:val="3"/>
          <w:szCs w:val="3"/>
          <w:color w:val="FFFFFF"/>
        </w:rPr>
        <w:t>33.Effect5 of foreign exchange rate changes, net</w:t>
      </w:r>
    </w:p>
    <w:p>
      <w:pPr>
        <w:spacing w:after="0" w:line="194" w:lineRule="auto"/>
        <w:rPr>
          <w:sz w:val="20"/>
          <w:szCs w:val="20"/>
          <w:color w:val="auto"/>
        </w:rPr>
      </w:pPr>
      <w:r>
        <w:rPr>
          <w:rFonts w:ascii="Arial" w:cs="Arial" w:eastAsia="Arial" w:hAnsi="Arial"/>
          <w:sz w:val="5"/>
          <w:szCs w:val="5"/>
          <w:color w:val="FFFFFF"/>
        </w:rPr>
        <w:t>—</w:t>
      </w:r>
    </w:p>
    <w:p>
      <w:pPr>
        <w:spacing w:after="0"/>
        <w:rPr>
          <w:sz w:val="20"/>
          <w:szCs w:val="20"/>
          <w:color w:val="auto"/>
        </w:rPr>
      </w:pPr>
      <w:r>
        <w:rPr>
          <w:rFonts w:ascii="Arial" w:cs="Arial" w:eastAsia="Arial" w:hAnsi="Arial"/>
          <w:sz w:val="3"/>
          <w:szCs w:val="3"/>
          <w:color w:val="FFFFFF"/>
        </w:rPr>
        <w:t>Cash and cash equivalents at end of year</w:t>
      </w:r>
    </w:p>
    <w:p>
      <w:pPr>
        <w:jc w:val="right"/>
        <w:ind w:right="10900"/>
        <w:spacing w:after="0" w:line="194" w:lineRule="auto"/>
        <w:rPr>
          <w:sz w:val="20"/>
          <w:szCs w:val="20"/>
          <w:color w:val="auto"/>
        </w:rPr>
      </w:pPr>
      <w:r>
        <w:rPr>
          <w:rFonts w:ascii="Arial" w:cs="Arial" w:eastAsia="Arial" w:hAnsi="Arial"/>
          <w:sz w:val="5"/>
          <w:szCs w:val="5"/>
          <w:color w:val="FFFFFF"/>
          <w:vertAlign w:val="superscript"/>
        </w:rPr>
        <w:t>5</w:t>
      </w:r>
      <w:r>
        <w:rPr>
          <w:rFonts w:ascii="Arial" w:cs="Arial" w:eastAsia="Arial" w:hAnsi="Arial"/>
          <w:sz w:val="3"/>
          <w:szCs w:val="3"/>
          <w:color w:val="FFFFFF"/>
        </w:rPr>
        <w:t>3,819</w:t>
      </w:r>
      <w:r>
        <w:rPr>
          <w:rFonts w:ascii="Arial" w:cs="Arial" w:eastAsia="Arial" w:hAnsi="Arial"/>
          <w:sz w:val="5"/>
          <w:szCs w:val="5"/>
          <w:color w:val="FFFFFF"/>
          <w:vertAlign w:val="superscript"/>
        </w:rPr>
        <w:t>156</w:t>
      </w:r>
      <w:r>
        <w:rPr>
          <w:rFonts w:ascii="Arial" w:cs="Arial" w:eastAsia="Arial" w:hAnsi="Arial"/>
          <w:sz w:val="3"/>
          <w:szCs w:val="3"/>
          <w:color w:val="FFFFFF"/>
        </w:rPr>
        <w:t>.</w:t>
      </w:r>
      <w:r>
        <w:rPr>
          <w:rFonts w:ascii="Arial" w:cs="Arial" w:eastAsia="Arial" w:hAnsi="Arial"/>
          <w:sz w:val="5"/>
          <w:szCs w:val="5"/>
          <w:color w:val="FFFFFF"/>
          <w:vertAlign w:val="superscript"/>
        </w:rPr>
        <w:t>7</w:t>
      </w:r>
    </w:p>
    <w:p>
      <w:pPr>
        <w:jc w:val="right"/>
        <w:ind w:right="10900"/>
        <w:spacing w:after="0"/>
        <w:rPr>
          <w:sz w:val="20"/>
          <w:szCs w:val="20"/>
          <w:color w:val="auto"/>
        </w:rPr>
      </w:pPr>
      <w:r>
        <w:rPr>
          <w:rFonts w:ascii="Arial" w:cs="Arial" w:eastAsia="Arial" w:hAnsi="Arial"/>
          <w:sz w:val="3"/>
          <w:szCs w:val="3"/>
          <w:color w:val="FFFFFF"/>
        </w:rPr>
        <w:t>2</w:t>
      </w:r>
    </w:p>
    <w:p>
      <w:pPr>
        <w:spacing w:after="0" w:line="194" w:lineRule="auto"/>
        <w:rPr>
          <w:sz w:val="20"/>
          <w:szCs w:val="20"/>
          <w:color w:val="auto"/>
        </w:rPr>
      </w:pPr>
      <w:r>
        <w:rPr>
          <w:rFonts w:ascii="Arial" w:cs="Arial" w:eastAsia="Arial" w:hAnsi="Arial"/>
          <w:sz w:val="5"/>
          <w:szCs w:val="5"/>
          <w:color w:val="FFFFFF"/>
        </w:rPr>
        <w:t>Net cash generated from operating activities</w:t>
      </w:r>
    </w:p>
    <w:p>
      <w:pPr>
        <w:spacing w:after="0"/>
        <w:rPr>
          <w:sz w:val="20"/>
          <w:szCs w:val="20"/>
          <w:color w:val="auto"/>
        </w:rPr>
      </w:pPr>
      <w:r>
        <w:rPr>
          <w:rFonts w:ascii="Arial" w:cs="Arial" w:eastAsia="Arial" w:hAnsi="Arial"/>
          <w:sz w:val="7"/>
          <w:szCs w:val="7"/>
          <w:color w:val="FFFFFF"/>
        </w:rPr>
        <w:t>Our net cash generated from operating activities is primarily affected by operating profi t generated by our Macau Operations as a result of increased casino revenues, continued costs control, and benefi ts from changes in working capital. Net cash from operating activities was HK$9.4 billion in 2011 compared to HK$6.9 billion in 2010.</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Operating profi t was HK$6.0 billion in 2011 compared to HK$4.7 billion in 2010.</w:t>
      </w:r>
    </w:p>
    <w:p>
      <w:pPr>
        <w:spacing w:after="0" w:line="6" w:lineRule="exact"/>
        <w:rPr>
          <w:sz w:val="20"/>
          <w:szCs w:val="20"/>
          <w:color w:val="auto"/>
        </w:rPr>
      </w:pPr>
    </w:p>
    <w:p>
      <w:pPr>
        <w:ind w:right="40"/>
        <w:spacing w:after="0"/>
        <w:rPr>
          <w:sz w:val="20"/>
          <w:szCs w:val="20"/>
          <w:color w:val="auto"/>
        </w:rPr>
      </w:pPr>
      <w:r>
        <w:rPr>
          <w:rFonts w:ascii="Arial" w:cs="Arial" w:eastAsia="Arial" w:hAnsi="Arial"/>
          <w:sz w:val="6"/>
          <w:szCs w:val="6"/>
          <w:color w:val="FFFFFF"/>
        </w:rPr>
        <w:t xml:space="preserve">Net cash used in investing activities was HK$1.5 billion in 2011, compared to HK$1.0 billion in </w:t>
      </w:r>
      <w:r>
        <w:rPr>
          <w:rFonts w:ascii="Arial" w:cs="Arial" w:eastAsia="Arial" w:hAnsi="Arial"/>
          <w:sz w:val="7"/>
          <w:szCs w:val="7"/>
          <w:color w:val="FFFFFF"/>
          <w:vertAlign w:val="superscript"/>
        </w:rPr>
        <w:t>2010</w:t>
      </w:r>
      <w:r>
        <w:rPr>
          <w:rFonts w:ascii="Arial" w:cs="Arial" w:eastAsia="Arial" w:hAnsi="Arial"/>
          <w:sz w:val="6"/>
          <w:szCs w:val="6"/>
          <w:color w:val="FFFFFF"/>
        </w:rPr>
        <w:t>. Major expenditures made in 2011 included the purchase of debt securities denominated in Offshore RMB amoun</w:t>
      </w:r>
      <w:r>
        <w:rPr>
          <w:rFonts w:ascii="Arial" w:cs="Arial" w:eastAsia="Arial" w:hAnsi="Arial"/>
          <w:sz w:val="7"/>
          <w:szCs w:val="7"/>
          <w:color w:val="FFFFFF"/>
          <w:vertAlign w:val="subscript"/>
        </w:rPr>
        <w:t>renovation</w:t>
      </w:r>
      <w:r>
        <w:rPr>
          <w:rFonts w:ascii="Arial" w:cs="Arial" w:eastAsia="Arial" w:hAnsi="Arial"/>
          <w:sz w:val="6"/>
          <w:szCs w:val="6"/>
          <w:color w:val="FFFFFF"/>
        </w:rPr>
        <w:t>ng to HK$518.7 million, the down payment of HK$485.4 million made in December 201 with respect to the Cotai Land premium and capital expenditures of HK$445.3 million related primarily to</w:t>
      </w:r>
    </w:p>
    <w:p>
      <w:pPr>
        <w:spacing w:after="0" w:line="41" w:lineRule="exact"/>
        <w:rPr>
          <w:sz w:val="20"/>
          <w:szCs w:val="20"/>
          <w:color w:val="auto"/>
        </w:rPr>
      </w:pPr>
    </w:p>
    <w:p>
      <w:pPr>
        <w:ind w:left="620"/>
        <w:spacing w:after="0"/>
        <w:rPr>
          <w:sz w:val="20"/>
          <w:szCs w:val="20"/>
          <w:color w:val="auto"/>
        </w:rPr>
      </w:pPr>
      <w:r>
        <w:rPr>
          <w:rFonts w:ascii="Arial" w:cs="Arial" w:eastAsia="Arial" w:hAnsi="Arial"/>
          <w:sz w:val="12"/>
          <w:szCs w:val="12"/>
          <w:color w:val="FFFFFF"/>
        </w:rPr>
        <w:t>projects to enhance and refi ne the Macau Operations. In 2010, the major expenditure was the capital expenditures of HK$1.0 billion related primarily to the construction of Encore.</w:t>
      </w:r>
    </w:p>
    <w:p>
      <w:pPr>
        <w:sectPr>
          <w:pgSz w:w="11900" w:h="16838" w:orient="portrait"/>
          <w:cols w:equalWidth="0" w:num="1">
            <w:col w:w="11320"/>
          </w:cols>
          <w:pgMar w:left="240" w:top="1440"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21</w:t>
      </w:r>
    </w:p>
    <w:p>
      <w:pPr>
        <w:spacing w:after="0"/>
        <w:rPr>
          <w:sz w:val="20"/>
          <w:szCs w:val="20"/>
          <w:color w:val="auto"/>
        </w:rPr>
      </w:pPr>
      <w:r>
        <w:rPr>
          <w:rFonts w:ascii="Arial" w:cs="Arial" w:eastAsia="Arial" w:hAnsi="Arial"/>
          <w:sz w:val="3"/>
          <w:szCs w:val="3"/>
          <w:color w:val="FFFFFF"/>
        </w:rPr>
        <w:t>Management Discussion and Analysis</w:t>
      </w:r>
    </w:p>
    <w:p>
      <w:pPr>
        <w:spacing w:after="0" w:line="34" w:lineRule="exact"/>
        <w:rPr>
          <w:sz w:val="20"/>
          <w:szCs w:val="20"/>
          <w:color w:val="auto"/>
        </w:rPr>
      </w:pPr>
    </w:p>
    <w:p>
      <w:pPr>
        <w:ind w:right="260"/>
        <w:spacing w:after="0"/>
        <w:rPr>
          <w:sz w:val="20"/>
          <w:szCs w:val="20"/>
          <w:color w:val="auto"/>
        </w:rPr>
      </w:pPr>
      <w:r>
        <w:rPr>
          <w:rFonts w:ascii="Arial" w:cs="Arial" w:eastAsia="Arial" w:hAnsi="Arial"/>
          <w:sz w:val="6"/>
          <w:szCs w:val="6"/>
          <w:color w:val="FFFFFF"/>
        </w:rPr>
        <w:t>Net cash used in fi nancing activities was HK$6.6 billion during 2011 compared to HK$7.3 billion during 2010. The decrease was due to the HK$6.2 billion dividend payment made in 2011 compared to a combining effect from the HK$3.9 billion dividend payment and the HK$3.1 billion repayment net of borrowings under the Wynn Macau Credit Facilities made in 2010.</w:t>
      </w:r>
    </w:p>
    <w:p>
      <w:pPr>
        <w:spacing w:after="0" w:line="183" w:lineRule="auto"/>
        <w:rPr>
          <w:sz w:val="20"/>
          <w:szCs w:val="20"/>
          <w:color w:val="auto"/>
        </w:rPr>
      </w:pPr>
      <w:r>
        <w:rPr>
          <w:rFonts w:ascii="Arial" w:cs="Arial" w:eastAsia="Arial" w:hAnsi="Arial"/>
          <w:sz w:val="12"/>
          <w:szCs w:val="12"/>
          <w:color w:val="FFFFFF"/>
        </w:rPr>
        <w:t>Indebtedness</w:t>
      </w:r>
    </w:p>
    <w:p>
      <w:pPr>
        <w:spacing w:after="0" w:line="188" w:lineRule="auto"/>
        <w:rPr>
          <w:sz w:val="20"/>
          <w:szCs w:val="20"/>
          <w:color w:val="auto"/>
        </w:rPr>
      </w:pPr>
      <w:r>
        <w:rPr>
          <w:rFonts w:ascii="Arial" w:cs="Arial" w:eastAsia="Arial" w:hAnsi="Arial"/>
          <w:sz w:val="9"/>
          <w:szCs w:val="9"/>
          <w:color w:val="FFFFFF"/>
        </w:rPr>
        <w:t>IndebtednessThefollowinginformationtablepresents a summary of our indebtedness as at 31 December 2011 and 2010.</w:t>
      </w:r>
    </w:p>
    <w:p>
      <w:pPr>
        <w:spacing w:after="0" w:line="188" w:lineRule="auto"/>
        <w:rPr>
          <w:sz w:val="20"/>
          <w:szCs w:val="20"/>
          <w:color w:val="auto"/>
        </w:rPr>
      </w:pPr>
      <w:r>
        <w:rPr>
          <w:rFonts w:ascii="Arial" w:cs="Arial" w:eastAsia="Arial" w:hAnsi="Arial"/>
          <w:sz w:val="9"/>
          <w:szCs w:val="9"/>
          <w:color w:val="FFFFFF"/>
        </w:rPr>
        <w:t>2010Asat 31 December</w:t>
      </w:r>
    </w:p>
    <w:p>
      <w:pPr>
        <w:spacing w:after="0" w:line="188" w:lineRule="auto"/>
        <w:rPr>
          <w:sz w:val="20"/>
          <w:szCs w:val="20"/>
          <w:color w:val="auto"/>
        </w:rPr>
      </w:pPr>
      <w:r>
        <w:rPr>
          <w:rFonts w:ascii="Arial" w:cs="Arial" w:eastAsia="Arial" w:hAnsi="Arial"/>
          <w:sz w:val="9"/>
          <w:szCs w:val="9"/>
          <w:color w:val="FFFFFF"/>
        </w:rPr>
        <w:t>HK$</w:t>
      </w:r>
    </w:p>
    <w:p>
      <w:pPr>
        <w:spacing w:after="0"/>
        <w:rPr>
          <w:sz w:val="20"/>
          <w:szCs w:val="20"/>
          <w:color w:val="auto"/>
        </w:rPr>
      </w:pPr>
      <w:r>
        <w:rPr>
          <w:rFonts w:ascii="Arial" w:cs="Arial" w:eastAsia="Arial" w:hAnsi="Arial"/>
          <w:sz w:val="3"/>
          <w:szCs w:val="3"/>
          <w:color w:val="FFFFFF"/>
        </w:rPr>
        <w:t>(in thousands)</w:t>
      </w:r>
    </w:p>
    <w:p>
      <w:pPr>
        <w:spacing w:after="0" w:line="181" w:lineRule="auto"/>
        <w:rPr>
          <w:sz w:val="20"/>
          <w:szCs w:val="20"/>
          <w:color w:val="auto"/>
        </w:rPr>
      </w:pPr>
      <w:r>
        <w:rPr>
          <w:rFonts w:ascii="Arial" w:cs="Arial" w:eastAsia="Arial" w:hAnsi="Arial"/>
          <w:sz w:val="10"/>
          <w:szCs w:val="10"/>
          <w:color w:val="FFFFFF"/>
        </w:rPr>
        <w:t>Senior revolving credit facility</w:t>
      </w:r>
    </w:p>
    <w:p>
      <w:pPr>
        <w:spacing w:after="0" w:line="188" w:lineRule="auto"/>
        <w:rPr>
          <w:sz w:val="20"/>
          <w:szCs w:val="20"/>
          <w:color w:val="auto"/>
        </w:rPr>
      </w:pPr>
      <w:r>
        <w:rPr>
          <w:rFonts w:ascii="Arial" w:cs="Arial" w:eastAsia="Arial" w:hAnsi="Arial"/>
          <w:sz w:val="9"/>
          <w:szCs w:val="9"/>
          <w:color w:val="FFFFFF"/>
        </w:rPr>
        <w:t>779,5211,168,844</w:t>
      </w:r>
    </w:p>
    <w:p>
      <w:pPr>
        <w:spacing w:after="0" w:line="188" w:lineRule="auto"/>
        <w:rPr>
          <w:sz w:val="20"/>
          <w:szCs w:val="20"/>
          <w:color w:val="auto"/>
        </w:rPr>
      </w:pPr>
      <w:r>
        <w:rPr>
          <w:rFonts w:ascii="Arial" w:cs="Arial" w:eastAsia="Arial" w:hAnsi="Arial"/>
          <w:sz w:val="7"/>
          <w:szCs w:val="7"/>
          <w:color w:val="FFFFFF"/>
        </w:rPr>
        <w:t>4,287,283Senior</w:t>
      </w:r>
      <w:r>
        <w:rPr>
          <w:rFonts w:ascii="Arial" w:cs="Arial" w:eastAsia="Arial" w:hAnsi="Arial"/>
          <w:sz w:val="9"/>
          <w:szCs w:val="9"/>
          <w:color w:val="FFFFFF"/>
          <w:vertAlign w:val="superscript"/>
        </w:rPr>
        <w:t>708975</w:t>
      </w:r>
      <w:r>
        <w:rPr>
          <w:rFonts w:ascii="Arial" w:cs="Arial" w:eastAsia="Arial" w:hAnsi="Arial"/>
          <w:sz w:val="7"/>
          <w:szCs w:val="7"/>
          <w:color w:val="FFFFFF"/>
        </w:rPr>
        <w:t>term loan facility</w:t>
      </w:r>
    </w:p>
    <w:p>
      <w:pPr>
        <w:spacing w:after="0"/>
        <w:rPr>
          <w:sz w:val="20"/>
          <w:szCs w:val="20"/>
          <w:color w:val="auto"/>
        </w:rPr>
      </w:pPr>
      <w:r>
        <w:rPr>
          <w:rFonts w:ascii="Arial" w:cs="Arial" w:eastAsia="Arial" w:hAnsi="Arial"/>
          <w:sz w:val="3"/>
          <w:szCs w:val="3"/>
          <w:color w:val="FFFFFF"/>
        </w:rPr>
        <w:t>Total</w:t>
      </w:r>
    </w:p>
    <w:p>
      <w:pPr>
        <w:spacing w:after="0" w:line="181" w:lineRule="auto"/>
        <w:rPr>
          <w:sz w:val="20"/>
          <w:szCs w:val="20"/>
          <w:color w:val="auto"/>
        </w:rPr>
      </w:pPr>
      <w:r>
        <w:rPr>
          <w:rFonts w:ascii="Arial" w:cs="Arial" w:eastAsia="Arial" w:hAnsi="Arial"/>
          <w:sz w:val="7"/>
          <w:szCs w:val="7"/>
          <w:color w:val="FFFFFF"/>
        </w:rPr>
        <w:t>5,066,804</w:t>
      </w:r>
      <w:r>
        <w:rPr>
          <w:rFonts w:ascii="Arial" w:cs="Arial" w:eastAsia="Arial" w:hAnsi="Arial"/>
          <w:sz w:val="10"/>
          <w:szCs w:val="10"/>
          <w:color w:val="FFFFFF"/>
          <w:vertAlign w:val="superscript"/>
        </w:rPr>
        <w:t>87719</w:t>
      </w:r>
    </w:p>
    <w:p>
      <w:pPr>
        <w:ind w:right="460"/>
        <w:spacing w:after="0"/>
        <w:rPr>
          <w:sz w:val="20"/>
          <w:szCs w:val="20"/>
          <w:color w:val="auto"/>
        </w:rPr>
      </w:pPr>
      <w:r>
        <w:rPr>
          <w:rFonts w:ascii="Arial" w:cs="Arial" w:eastAsia="Arial" w:hAnsi="Arial"/>
          <w:sz w:val="8"/>
          <w:szCs w:val="8"/>
          <w:color w:val="FFFFFF"/>
        </w:rPr>
        <w:t>The Group had approximately HK$6.6 billion available to draw under the Wynn Macau Revolver as at 31 December 2011. Subsequent to year end, the remaining balance of the Wynn Macau Revolver amounting to approximately HK$1.2 billion was fully repaid by March 2012.</w:t>
      </w:r>
    </w:p>
    <w:p>
      <w:pPr>
        <w:spacing w:after="0" w:line="182" w:lineRule="auto"/>
        <w:rPr>
          <w:sz w:val="20"/>
          <w:szCs w:val="20"/>
          <w:color w:val="auto"/>
        </w:rPr>
      </w:pPr>
      <w:r>
        <w:rPr>
          <w:rFonts w:ascii="Arial" w:cs="Arial" w:eastAsia="Arial" w:hAnsi="Arial"/>
          <w:sz w:val="8"/>
          <w:szCs w:val="8"/>
          <w:color w:val="FFFFFF"/>
        </w:rPr>
        <w:t>OverviewWynnMacau Credit Facilities</w:t>
      </w:r>
    </w:p>
    <w:p>
      <w:pPr>
        <w:spacing w:after="0"/>
        <w:rPr>
          <w:sz w:val="20"/>
          <w:szCs w:val="20"/>
          <w:color w:val="auto"/>
        </w:rPr>
      </w:pPr>
      <w:r>
        <w:rPr>
          <w:rFonts w:ascii="Arial" w:cs="Arial" w:eastAsia="Arial" w:hAnsi="Arial"/>
          <w:sz w:val="6"/>
          <w:szCs w:val="6"/>
          <w:color w:val="FFFFFF"/>
        </w:rPr>
        <w:t xml:space="preserve">As at 31 December 2011, WRM’s credit facilities consisted of HK$12.1 billion in a combination of Hong Kong dollar and U.S. dollar facilities, including a HK$4.3 billion fully funded senior term loan facility </w:t>
      </w:r>
      <w:r>
        <w:rPr>
          <w:rFonts w:ascii="Arial" w:cs="Arial" w:eastAsia="Arial" w:hAnsi="Arial"/>
          <w:sz w:val="7"/>
          <w:szCs w:val="7"/>
          <w:color w:val="FFFFFF"/>
          <w:vertAlign w:val="subscript"/>
        </w:rPr>
        <w:t>corporate</w:t>
      </w:r>
      <w:r>
        <w:rPr>
          <w:rFonts w:ascii="Arial" w:cs="Arial" w:eastAsia="Arial" w:hAnsi="Arial"/>
          <w:sz w:val="6"/>
          <w:szCs w:val="6"/>
          <w:color w:val="FFFFFF"/>
        </w:rPr>
        <w:t>andHK$7.8 billion senior revolving credit facility. The facilities may be used for a variety of purposes, including further enhancements at our resort, investments in other projects in Macau and general</w:t>
      </w:r>
    </w:p>
    <w:p>
      <w:pPr>
        <w:ind w:left="560"/>
        <w:spacing w:after="0"/>
        <w:rPr>
          <w:sz w:val="20"/>
          <w:szCs w:val="20"/>
          <w:color w:val="auto"/>
        </w:rPr>
      </w:pPr>
      <w:r>
        <w:rPr>
          <w:rFonts w:ascii="Arial" w:cs="Arial" w:eastAsia="Arial" w:hAnsi="Arial"/>
          <w:sz w:val="14"/>
          <w:szCs w:val="14"/>
          <w:color w:val="FFFFFF"/>
        </w:rPr>
        <w:t>purposes.</w:t>
      </w:r>
    </w:p>
    <w:p>
      <w:pPr>
        <w:sectPr>
          <w:pgSz w:w="11900" w:h="16838" w:orient="portrait"/>
          <w:cols w:equalWidth="0" w:num="1">
            <w:col w:w="11280"/>
          </w:cols>
          <w:pgMar w:left="240" w:top="1440" w:right="3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Management</w:t>
      </w:r>
      <w:r>
        <w:rPr>
          <w:rFonts w:ascii="Arial" w:cs="Arial" w:eastAsia="Arial" w:hAnsi="Arial"/>
          <w:sz w:val="14"/>
          <w:szCs w:val="14"/>
          <w:color w:val="FFFFFF"/>
        </w:rPr>
        <w:t>22WynnMacau,DiscussionLimitedand Analysis</w:t>
      </w:r>
    </w:p>
    <w:p>
      <w:pPr>
        <w:spacing w:after="0"/>
        <w:rPr>
          <w:sz w:val="20"/>
          <w:szCs w:val="20"/>
          <w:color w:val="auto"/>
        </w:rPr>
      </w:pPr>
      <w:r>
        <w:rPr>
          <w:rFonts w:ascii="Arial" w:cs="Arial" w:eastAsia="Arial" w:hAnsi="Arial"/>
          <w:sz w:val="3"/>
          <w:szCs w:val="3"/>
          <w:color w:val="FFFFFF"/>
        </w:rPr>
        <w:t>W have the ability to increase secured debt under the Wynn Macau Credit Facilities by up to an additional US$50 million (approximately HK$389 million).</w:t>
      </w:r>
    </w:p>
    <w:p>
      <w:pPr>
        <w:spacing w:after="0" w:line="6" w:lineRule="exact"/>
        <w:rPr>
          <w:sz w:val="20"/>
          <w:szCs w:val="20"/>
          <w:color w:val="auto"/>
        </w:rPr>
      </w:pPr>
    </w:p>
    <w:p>
      <w:pPr>
        <w:ind w:left="740" w:right="120" w:hanging="730"/>
        <w:spacing w:after="0" w:line="187" w:lineRule="auto"/>
        <w:rPr>
          <w:sz w:val="20"/>
          <w:szCs w:val="20"/>
          <w:color w:val="auto"/>
        </w:rPr>
      </w:pPr>
      <w:r>
        <w:rPr>
          <w:rFonts w:ascii="Arial" w:cs="Arial" w:eastAsia="Arial" w:hAnsi="Arial"/>
          <w:sz w:val="9"/>
          <w:szCs w:val="9"/>
          <w:color w:val="FFFFFF"/>
          <w:vertAlign w:val="subscript"/>
        </w:rPr>
        <w:t>denominated</w:t>
      </w:r>
      <w:r>
        <w:rPr>
          <w:rFonts w:ascii="Arial" w:cs="Arial" w:eastAsia="Arial" w:hAnsi="Arial"/>
          <w:sz w:val="7"/>
          <w:szCs w:val="7"/>
          <w:color w:val="FFFFFF"/>
        </w:rPr>
        <w:t>As31December 2011, we had total bank and other borrowings under the Wynn Macau Credit Facilities of HK$4.9 billion, of which HK$1.4 billion was denominated in U.S. dollars and HK$3.5 billion was in Hong Kong dollars.</w:t>
      </w:r>
    </w:p>
    <w:p>
      <w:pPr>
        <w:spacing w:after="0"/>
        <w:rPr>
          <w:sz w:val="20"/>
          <w:szCs w:val="20"/>
          <w:color w:val="auto"/>
        </w:rPr>
      </w:pPr>
      <w:r>
        <w:rPr>
          <w:rFonts w:ascii="Arial" w:cs="Arial" w:eastAsia="Arial" w:hAnsi="Arial"/>
          <w:sz w:val="3"/>
          <w:szCs w:val="3"/>
          <w:color w:val="FFFFFF"/>
        </w:rPr>
        <w:t>Principal and Interest</w:t>
      </w:r>
    </w:p>
    <w:p>
      <w:pPr>
        <w:spacing w:after="0" w:line="194" w:lineRule="auto"/>
        <w:rPr>
          <w:sz w:val="20"/>
          <w:szCs w:val="20"/>
          <w:color w:val="auto"/>
        </w:rPr>
      </w:pPr>
      <w:r>
        <w:rPr>
          <w:rFonts w:ascii="Arial" w:cs="Arial" w:eastAsia="Arial" w:hAnsi="Arial"/>
          <w:sz w:val="5"/>
          <w:szCs w:val="5"/>
          <w:color w:val="FFFFFF"/>
          <w:vertAlign w:val="superscript"/>
        </w:rPr>
        <w:t>The</w:t>
      </w:r>
      <w:r>
        <w:rPr>
          <w:rFonts w:ascii="Arial" w:cs="Arial" w:eastAsia="Arial" w:hAnsi="Arial"/>
          <w:sz w:val="3"/>
          <w:szCs w:val="3"/>
          <w:color w:val="FFFFFF"/>
        </w:rPr>
        <w:t xml:space="preserve"> term loans under the Wynn Macau Credit Facilities mature in June 2014, and the revolving loans under the Wynn Macau Credit Facilities mature in June 2012.</w:t>
      </w:r>
    </w:p>
    <w:p>
      <w:pPr>
        <w:ind w:left="10900"/>
        <w:spacing w:after="0"/>
        <w:rPr>
          <w:sz w:val="20"/>
          <w:szCs w:val="20"/>
          <w:color w:val="auto"/>
        </w:rPr>
      </w:pPr>
      <w:r>
        <w:rPr>
          <w:rFonts w:ascii="Arial" w:cs="Arial" w:eastAsia="Arial" w:hAnsi="Arial"/>
          <w:sz w:val="1"/>
          <w:szCs w:val="1"/>
          <w:color w:val="FFFFFF"/>
        </w:rPr>
        <w:t>amount of the term loans is required to be repaid in quarterly installments, commencing in September 2011. Borrowings under the Wynn Macau Credit Facilities bear interest at LIBOR or HIBOR</w:t>
      </w:r>
    </w:p>
    <w:p>
      <w:pPr>
        <w:spacing w:after="0" w:line="187" w:lineRule="auto"/>
        <w:rPr>
          <w:sz w:val="20"/>
          <w:szCs w:val="20"/>
          <w:color w:val="auto"/>
        </w:rPr>
      </w:pPr>
      <w:r>
        <w:rPr>
          <w:rFonts w:ascii="Arial" w:cs="Arial" w:eastAsia="Arial" w:hAnsi="Arial"/>
          <w:sz w:val="7"/>
          <w:szCs w:val="7"/>
          <w:color w:val="FFFFFF"/>
        </w:rPr>
        <w:t>plus principalmargin of</w:t>
      </w:r>
      <w:r>
        <w:rPr>
          <w:rFonts w:ascii="Arial" w:cs="Arial" w:eastAsia="Arial" w:hAnsi="Arial"/>
          <w:sz w:val="9"/>
          <w:szCs w:val="9"/>
          <w:color w:val="FFFFFF"/>
          <w:vertAlign w:val="superscript"/>
        </w:rPr>
        <w:t>2010</w:t>
      </w:r>
      <w:r>
        <w:rPr>
          <w:rFonts w:ascii="Arial" w:cs="Arial" w:eastAsia="Arial" w:hAnsi="Arial"/>
          <w:sz w:val="7"/>
          <w:szCs w:val="7"/>
          <w:color w:val="FFFFFF"/>
        </w:rPr>
        <w:t>.75%, through</w:t>
      </w:r>
    </w:p>
    <w:p>
      <w:pPr>
        <w:spacing w:after="0"/>
        <w:tabs>
          <w:tab w:leader="none" w:pos="1040" w:val="left"/>
        </w:tabs>
        <w:rPr>
          <w:sz w:val="20"/>
          <w:szCs w:val="20"/>
          <w:color w:val="auto"/>
        </w:rPr>
      </w:pPr>
      <w:r>
        <w:rPr>
          <w:rFonts w:ascii="Arial" w:cs="Arial" w:eastAsia="Arial" w:hAnsi="Arial"/>
          <w:sz w:val="3"/>
          <w:szCs w:val="3"/>
          <w:color w:val="FFFFFF"/>
        </w:rPr>
        <w:t>30 September</w:t>
      </w:r>
      <w:r>
        <w:rPr>
          <w:sz w:val="20"/>
          <w:szCs w:val="20"/>
          <w:color w:val="auto"/>
        </w:rPr>
        <w:tab/>
      </w:r>
      <w:r>
        <w:rPr>
          <w:rFonts w:ascii="Arial" w:cs="Arial" w:eastAsia="Arial" w:hAnsi="Arial"/>
          <w:sz w:val="3"/>
          <w:szCs w:val="3"/>
          <w:color w:val="FFFFFF"/>
        </w:rPr>
        <w:t>. Commencing in the fourth quarter of 2010, the revolving loans, the hotel facility of the term loan and tranches A and B of the project facility of the term loan became subject to a margin of</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1.25% to 2.00% depending on the Group’s leverage ratio at the end of each quarter. Tranche C of the project facility of the term loan remains subject to a margin of 1.75%. As at 31 December 2011, the weighted average margin is 1.29%.</w:t>
      </w:r>
    </w:p>
    <w:p>
      <w:pPr>
        <w:spacing w:after="0"/>
        <w:rPr>
          <w:sz w:val="20"/>
          <w:szCs w:val="20"/>
          <w:color w:val="auto"/>
        </w:rPr>
      </w:pPr>
      <w:r>
        <w:rPr>
          <w:rFonts w:ascii="Arial" w:cs="Arial" w:eastAsia="Arial" w:hAnsi="Arial"/>
          <w:sz w:val="3"/>
          <w:szCs w:val="3"/>
          <w:color w:val="FFFFFF"/>
        </w:rPr>
        <w:t>General Covenants</w:t>
      </w:r>
    </w:p>
    <w:p>
      <w:pPr>
        <w:spacing w:after="0" w:line="6" w:lineRule="exact"/>
        <w:rPr>
          <w:sz w:val="20"/>
          <w:szCs w:val="20"/>
          <w:color w:val="auto"/>
        </w:rPr>
      </w:pPr>
    </w:p>
    <w:p>
      <w:pPr>
        <w:ind w:right="80"/>
        <w:spacing w:after="0"/>
        <w:rPr>
          <w:sz w:val="20"/>
          <w:szCs w:val="20"/>
          <w:color w:val="auto"/>
        </w:rPr>
      </w:pPr>
      <w:r>
        <w:rPr>
          <w:rFonts w:ascii="Arial" w:cs="Arial" w:eastAsia="Arial" w:hAnsi="Arial"/>
          <w:sz w:val="6"/>
          <w:szCs w:val="6"/>
          <w:color w:val="FFFFFF"/>
        </w:rPr>
        <w:t>The Wynn Macau Credit Facilities contain customary covenants restricting certain activities of the obligor group (WM Cayman Holdings Limited II and all of its subsidiaries except Palo Real Estate Company Limited), which does not include the Company, including, but not limited to, the incurrence of additional indebtedness, the incurrence or creation of liens on property</w:t>
      </w:r>
      <w:r>
        <w:rPr>
          <w:rFonts w:ascii="Arial" w:cs="Arial" w:eastAsia="Arial" w:hAnsi="Arial"/>
          <w:sz w:val="7"/>
          <w:szCs w:val="7"/>
          <w:color w:val="FFFFFF"/>
          <w:vertAlign w:val="subscript"/>
        </w:rPr>
        <w:t>subsidiaries,</w:t>
      </w:r>
      <w:r>
        <w:rPr>
          <w:rFonts w:ascii="Arial" w:cs="Arial" w:eastAsia="Arial" w:hAnsi="Arial"/>
          <w:sz w:val="6"/>
          <w:szCs w:val="6"/>
          <w:color w:val="FFFFFF"/>
        </w:rPr>
        <w:t>saleandleaseback transactions, the ability</w:t>
      </w:r>
    </w:p>
    <w:p>
      <w:pPr>
        <w:spacing w:after="0" w:line="1" w:lineRule="exact"/>
        <w:rPr>
          <w:sz w:val="20"/>
          <w:szCs w:val="20"/>
          <w:color w:val="auto"/>
        </w:rPr>
      </w:pPr>
    </w:p>
    <w:p>
      <w:pPr>
        <w:ind w:left="660" w:right="160" w:hanging="656"/>
        <w:spacing w:after="0"/>
        <w:rPr>
          <w:sz w:val="20"/>
          <w:szCs w:val="20"/>
          <w:color w:val="auto"/>
        </w:rPr>
      </w:pPr>
      <w:r>
        <w:rPr>
          <w:rFonts w:ascii="Arial" w:cs="Arial" w:eastAsia="Arial" w:hAnsi="Arial"/>
          <w:sz w:val="27"/>
          <w:szCs w:val="27"/>
          <w:color w:val="FFFFFF"/>
          <w:vertAlign w:val="subscript"/>
        </w:rPr>
        <w:t>terminating</w:t>
      </w:r>
      <w:r>
        <w:rPr>
          <w:rFonts w:ascii="Arial" w:cs="Arial" w:eastAsia="Arial" w:hAnsi="Arial"/>
          <w:sz w:val="14"/>
          <w:szCs w:val="14"/>
          <w:color w:val="FFFFFF"/>
        </w:rPr>
        <w:t>odisposeof assets and the making of loans or certain other investments, entering into mergers, consolidations, liquidations or amalgamations, forming or acquiring</w:t>
      </w:r>
      <w:r>
        <w:rPr>
          <w:sz w:val="20"/>
          <w:szCs w:val="20"/>
          <w:color w:val="auto"/>
        </w:rPr>
        <w:t xml:space="preserve"> </w:t>
      </w:r>
      <w:r>
        <w:rPr>
          <w:rFonts w:ascii="Arial" w:cs="Arial" w:eastAsia="Arial" w:hAnsi="Arial"/>
          <w:sz w:val="10"/>
          <w:szCs w:val="10"/>
          <w:color w:val="FFFFFF"/>
        </w:rPr>
        <w:t>amending, modifying or certain material contracts, permits and governing documents, entering into certain transactions with affi liates, changing fi scal periods, entering into business activities other than certain permitted</w:t>
      </w:r>
    </w:p>
    <w:p>
      <w:pPr>
        <w:spacing w:after="0"/>
        <w:rPr>
          <w:sz w:val="20"/>
          <w:szCs w:val="20"/>
          <w:color w:val="auto"/>
        </w:rPr>
      </w:pPr>
      <w:r>
        <w:rPr>
          <w:rFonts w:ascii="Arial" w:cs="Arial" w:eastAsia="Arial" w:hAnsi="Arial"/>
          <w:sz w:val="3"/>
          <w:szCs w:val="3"/>
          <w:color w:val="FFFFFF"/>
        </w:rPr>
        <w:t>Financialactivities, Covenantsandselling or discounting receivables, in each case, subject to certain permitted exceptions.</w:t>
      </w:r>
    </w:p>
    <w:p>
      <w:pPr>
        <w:spacing w:after="0" w:line="194" w:lineRule="auto"/>
        <w:rPr>
          <w:sz w:val="20"/>
          <w:szCs w:val="20"/>
          <w:color w:val="auto"/>
        </w:rPr>
      </w:pPr>
      <w:r>
        <w:rPr>
          <w:rFonts w:ascii="Arial" w:cs="Arial" w:eastAsia="Arial" w:hAnsi="Arial"/>
          <w:sz w:val="5"/>
          <w:szCs w:val="5"/>
          <w:color w:val="FFFFFF"/>
          <w:vertAlign w:val="subscript"/>
        </w:rPr>
        <w:t>Interest</w:t>
      </w:r>
      <w:r>
        <w:rPr>
          <w:rFonts w:ascii="Arial" w:cs="Arial" w:eastAsia="Arial" w:hAnsi="Arial"/>
          <w:sz w:val="3"/>
          <w:szCs w:val="3"/>
          <w:color w:val="FFFFFF"/>
        </w:rPr>
        <w:t>TheWynn Macau Credit Facilities fi nancial covenants require WRM to mai</w:t>
      </w:r>
      <w:r>
        <w:rPr>
          <w:rFonts w:ascii="Arial" w:cs="Arial" w:eastAsia="Arial" w:hAnsi="Arial"/>
          <w:sz w:val="5"/>
          <w:szCs w:val="5"/>
          <w:color w:val="FFFFFF"/>
          <w:vertAlign w:val="subscript"/>
        </w:rPr>
        <w:t>not</w:t>
      </w:r>
      <w:r>
        <w:rPr>
          <w:rFonts w:ascii="Arial" w:cs="Arial" w:eastAsia="Arial" w:hAnsi="Arial"/>
          <w:sz w:val="3"/>
          <w:szCs w:val="3"/>
          <w:color w:val="FFFFFF"/>
        </w:rPr>
        <w:t>tain a Leverage Ratio,</w:t>
      </w:r>
      <w:r>
        <w:rPr>
          <w:rFonts w:ascii="Arial" w:cs="Arial" w:eastAsia="Arial" w:hAnsi="Arial"/>
          <w:sz w:val="5"/>
          <w:szCs w:val="5"/>
          <w:color w:val="FFFFFF"/>
          <w:vertAlign w:val="subscript"/>
        </w:rPr>
        <w:t>Management</w:t>
      </w:r>
      <w:r>
        <w:rPr>
          <w:rFonts w:ascii="Arial" w:cs="Arial" w:eastAsia="Arial" w:hAnsi="Arial"/>
          <w:sz w:val="3"/>
          <w:szCs w:val="3"/>
          <w:color w:val="FFFFFF"/>
        </w:rPr>
        <w:t>asdefied in the Wynn Macau Credit Facilities, of not greater than 3.50 to 1 as at 31 December 2011, and an</w:t>
      </w:r>
    </w:p>
    <w:p>
      <w:pPr>
        <w:ind w:left="440"/>
        <w:spacing w:after="0"/>
        <w:tabs>
          <w:tab w:leader="none" w:pos="4340" w:val="left"/>
          <w:tab w:leader="none" w:pos="5960" w:val="left"/>
        </w:tabs>
        <w:rPr>
          <w:sz w:val="20"/>
          <w:szCs w:val="20"/>
          <w:color w:val="auto"/>
        </w:rPr>
      </w:pPr>
      <w:r>
        <w:rPr>
          <w:rFonts w:ascii="Arial" w:cs="Arial" w:eastAsia="Arial" w:hAnsi="Arial"/>
          <w:sz w:val="2"/>
          <w:szCs w:val="2"/>
          <w:color w:val="FFFFFF"/>
        </w:rPr>
        <w:t>Coverage Ratio, as defi ned</w:t>
      </w:r>
      <w:r>
        <w:rPr>
          <w:rFonts w:ascii="Arial" w:cs="Arial" w:eastAsia="Arial" w:hAnsi="Arial"/>
          <w:sz w:val="4"/>
          <w:szCs w:val="4"/>
          <w:color w:val="FFFFFF"/>
          <w:vertAlign w:val="subscript"/>
        </w:rPr>
        <w:t>maintain</w:t>
      </w:r>
      <w:r>
        <w:rPr>
          <w:rFonts w:ascii="Arial" w:cs="Arial" w:eastAsia="Arial" w:hAnsi="Arial"/>
          <w:sz w:val="2"/>
          <w:szCs w:val="2"/>
          <w:color w:val="FFFFFF"/>
        </w:rPr>
        <w:t>the Wynn Macau Credit Facilities, of</w:t>
      </w:r>
      <w:r>
        <w:rPr>
          <w:sz w:val="20"/>
          <w:szCs w:val="20"/>
          <w:color w:val="auto"/>
        </w:rPr>
        <w:tab/>
      </w:r>
      <w:r>
        <w:rPr>
          <w:rFonts w:ascii="Arial" w:cs="Arial" w:eastAsia="Arial" w:hAnsi="Arial"/>
          <w:sz w:val="3"/>
          <w:szCs w:val="3"/>
          <w:color w:val="FFFFFF"/>
        </w:rPr>
        <w:t>less than 2 to 1.</w:t>
      </w:r>
      <w:r>
        <w:rPr>
          <w:sz w:val="20"/>
          <w:szCs w:val="20"/>
          <w:color w:val="auto"/>
        </w:rPr>
        <w:tab/>
      </w:r>
      <w:r>
        <w:rPr>
          <w:rFonts w:ascii="Arial" w:cs="Arial" w:eastAsia="Arial" w:hAnsi="Arial"/>
          <w:sz w:val="3"/>
          <w:szCs w:val="3"/>
          <w:color w:val="FFFFFF"/>
        </w:rPr>
        <w:t>believes that the Group was in compliance with all covenants as at 31 December 2011. Going</w:t>
      </w:r>
    </w:p>
    <w:p>
      <w:pPr>
        <w:spacing w:after="0"/>
        <w:tabs>
          <w:tab w:leader="none" w:pos="2320" w:val="left"/>
        </w:tabs>
        <w:rPr>
          <w:sz w:val="20"/>
          <w:szCs w:val="20"/>
          <w:color w:val="auto"/>
        </w:rPr>
      </w:pPr>
      <w:r>
        <w:rPr>
          <w:rFonts w:ascii="Arial" w:cs="Arial" w:eastAsia="Arial" w:hAnsi="Arial"/>
          <w:sz w:val="14"/>
          <w:szCs w:val="14"/>
          <w:color w:val="FFFFFF"/>
        </w:rPr>
        <w:t>forward, the Group is required to</w:t>
      </w:r>
      <w:r>
        <w:rPr>
          <w:sz w:val="20"/>
          <w:szCs w:val="20"/>
          <w:color w:val="auto"/>
        </w:rPr>
        <w:tab/>
      </w:r>
      <w:r>
        <w:rPr>
          <w:rFonts w:ascii="Arial" w:cs="Arial" w:eastAsia="Arial" w:hAnsi="Arial"/>
          <w:sz w:val="12"/>
          <w:szCs w:val="12"/>
          <w:color w:val="FFFFFF"/>
        </w:rPr>
        <w:t>a Leverage Ratio not greater than 3.50 to 1. The Interest Coverage Ratio requirement remains at not less than 2 to 1.</w:t>
      </w:r>
    </w:p>
    <w:p>
      <w:pPr>
        <w:sectPr>
          <w:pgSz w:w="11900" w:h="16838" w:orient="portrait"/>
          <w:cols w:equalWidth="0" w:num="1">
            <w:col w:w="11380"/>
          </w:cols>
          <w:pgMar w:left="240" w:top="1440" w:right="27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23</w:t>
      </w:r>
    </w:p>
    <w:p>
      <w:pPr>
        <w:spacing w:after="0" w:line="187" w:lineRule="auto"/>
        <w:rPr>
          <w:sz w:val="20"/>
          <w:szCs w:val="20"/>
          <w:color w:val="auto"/>
        </w:rPr>
      </w:pPr>
      <w:r>
        <w:rPr>
          <w:rFonts w:ascii="Arial" w:cs="Arial" w:eastAsia="Arial" w:hAnsi="Arial"/>
          <w:sz w:val="9"/>
          <w:szCs w:val="9"/>
          <w:color w:val="FFFFFF"/>
        </w:rPr>
        <w:t>ComplianceManagementwithDiscussionCovenantsand Analysis</w:t>
      </w:r>
    </w:p>
    <w:p>
      <w:pPr>
        <w:spacing w:after="0"/>
        <w:rPr>
          <w:sz w:val="20"/>
          <w:szCs w:val="20"/>
          <w:color w:val="auto"/>
        </w:rPr>
      </w:pPr>
      <w:r>
        <w:rPr>
          <w:rFonts w:ascii="Arial" w:cs="Arial" w:eastAsia="Arial" w:hAnsi="Arial"/>
          <w:sz w:val="3"/>
          <w:szCs w:val="3"/>
          <w:color w:val="FFFFFF"/>
        </w:rPr>
        <w:t>MandatoryTheDirectorsPrepaymentconfirm that there is no material non-compliance with the fi nancial covenants or general covenants contained in the Wynn Macau Credit Facilities.</w:t>
      </w:r>
    </w:p>
    <w:p>
      <w:pPr>
        <w:spacing w:after="0" w:line="194" w:lineRule="auto"/>
        <w:rPr>
          <w:sz w:val="20"/>
          <w:szCs w:val="20"/>
          <w:color w:val="auto"/>
        </w:rPr>
      </w:pPr>
      <w:r>
        <w:rPr>
          <w:rFonts w:ascii="Arial" w:cs="Arial" w:eastAsia="Arial" w:hAnsi="Arial"/>
          <w:sz w:val="5"/>
          <w:szCs w:val="5"/>
          <w:color w:val="FFFFFF"/>
          <w:vertAlign w:val="subscript"/>
        </w:rPr>
        <w:t>WRM’</w:t>
      </w:r>
      <w:r>
        <w:rPr>
          <w:rFonts w:ascii="Arial" w:cs="Arial" w:eastAsia="Arial" w:hAnsi="Arial"/>
          <w:sz w:val="3"/>
          <w:szCs w:val="3"/>
          <w:color w:val="FFFFFF"/>
        </w:rPr>
        <w:t>Theynn Macau Credit Facilities contain mandatory prepayment provisions, which include, among other matters, prepayment of 50% of excess cash fl ow, as defi ned</w:t>
      </w:r>
      <w:r>
        <w:rPr>
          <w:rFonts w:ascii="Arial" w:cs="Arial" w:eastAsia="Arial" w:hAnsi="Arial"/>
          <w:sz w:val="5"/>
          <w:szCs w:val="5"/>
          <w:color w:val="FFFFFF"/>
          <w:vertAlign w:val="subscript"/>
        </w:rPr>
        <w:t>during</w:t>
      </w:r>
      <w:r>
        <w:rPr>
          <w:rFonts w:ascii="Arial" w:cs="Arial" w:eastAsia="Arial" w:hAnsi="Arial"/>
          <w:sz w:val="3"/>
          <w:szCs w:val="3"/>
          <w:color w:val="FFFFFF"/>
        </w:rPr>
        <w:t xml:space="preserve"> the Wynn Macau Credit Facilities, if</w:t>
      </w:r>
    </w:p>
    <w:p>
      <w:pPr>
        <w:ind w:right="160" w:firstLine="375"/>
        <w:spacing w:after="0"/>
        <w:rPr>
          <w:sz w:val="20"/>
          <w:szCs w:val="20"/>
          <w:color w:val="auto"/>
        </w:rPr>
      </w:pPr>
      <w:r>
        <w:rPr>
          <w:rFonts w:ascii="Arial" w:cs="Arial" w:eastAsia="Arial" w:hAnsi="Arial"/>
          <w:sz w:val="7"/>
          <w:szCs w:val="7"/>
          <w:color w:val="FFFFFF"/>
        </w:rPr>
        <w:t>s Leverage Ratio is greater than 4 to 1 for any reporting period. Based on current estimates, the Group does not believe that the Wynn Macau Leverage Ratio the fi scal year ending 31 December 2012 will exceed 4 to 1. Accordingly, the Group does not expect to make any mandatory prepayments pursuant to this requirement during 2012.</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Dividend Restrictions</w:t>
      </w:r>
    </w:p>
    <w:p>
      <w:pPr>
        <w:spacing w:after="0" w:line="6" w:lineRule="exact"/>
        <w:rPr>
          <w:sz w:val="20"/>
          <w:szCs w:val="20"/>
          <w:color w:val="auto"/>
        </w:rPr>
      </w:pPr>
    </w:p>
    <w:p>
      <w:pPr>
        <w:ind w:right="380"/>
        <w:spacing w:after="0"/>
        <w:rPr>
          <w:sz w:val="20"/>
          <w:szCs w:val="20"/>
          <w:color w:val="auto"/>
        </w:rPr>
      </w:pPr>
      <w:r>
        <w:rPr>
          <w:rFonts w:ascii="Arial" w:cs="Arial" w:eastAsia="Arial" w:hAnsi="Arial"/>
          <w:sz w:val="6"/>
          <w:szCs w:val="6"/>
          <w:color w:val="FFFFFF"/>
        </w:rPr>
        <w:t>WRM and certain of its affi liates are subject to restrictions on payment of dividends or distributions or other amounts to their shareholders or to other affi liates, unless certain fi nancial and non-fi nancial criteria have been satisfi ed. Provided certain conditions are met, WRM is permitted to pay dividends. The conditions to be satisfi ed for the payment of dividends include:</w:t>
      </w:r>
    </w:p>
    <w:p>
      <w:pPr>
        <w:ind w:left="80"/>
        <w:spacing w:after="0" w:line="182" w:lineRule="auto"/>
        <w:rPr>
          <w:sz w:val="20"/>
          <w:szCs w:val="20"/>
          <w:color w:val="auto"/>
        </w:rPr>
      </w:pPr>
      <w:r>
        <w:rPr>
          <w:rFonts w:ascii="Arial" w:cs="Arial" w:eastAsia="Arial" w:hAnsi="Arial"/>
          <w:sz w:val="6"/>
          <w:szCs w:val="6"/>
          <w:color w:val="FFFFFF"/>
        </w:rPr>
        <w:t>Compliance with applicable legal requirements;</w:t>
      </w:r>
    </w:p>
    <w:p>
      <w:pPr>
        <w:ind w:left="80"/>
        <w:spacing w:after="0"/>
        <w:rPr>
          <w:sz w:val="20"/>
          <w:szCs w:val="20"/>
          <w:color w:val="auto"/>
        </w:rPr>
      </w:pPr>
      <w:r>
        <w:rPr>
          <w:rFonts w:ascii="Arial" w:cs="Arial" w:eastAsia="Arial" w:hAnsi="Arial"/>
          <w:sz w:val="3"/>
          <w:szCs w:val="3"/>
          <w:color w:val="FFFFFF"/>
        </w:rPr>
        <w:t>No event of default occurring under the Wynn Macau Credit Facilities;</w:t>
      </w:r>
    </w:p>
    <w:p>
      <w:pPr>
        <w:spacing w:after="0" w:line="194" w:lineRule="auto"/>
        <w:rPr>
          <w:sz w:val="20"/>
          <w:szCs w:val="20"/>
          <w:color w:val="auto"/>
        </w:rPr>
      </w:pPr>
      <w:r>
        <w:rPr>
          <w:rFonts w:ascii="Arial" w:cs="Arial" w:eastAsia="Arial" w:hAnsi="Arial"/>
          <w:sz w:val="5"/>
          <w:szCs w:val="5"/>
          <w:color w:val="FFFFFF"/>
          <w:vertAlign w:val="superscript"/>
        </w:rPr>
        <w:t>•</w:t>
      </w:r>
      <w:r>
        <w:rPr>
          <w:rFonts w:ascii="Arial" w:cs="Arial" w:eastAsia="Arial" w:hAnsi="Arial"/>
          <w:sz w:val="3"/>
          <w:szCs w:val="3"/>
          <w:color w:val="FFFFFF"/>
        </w:rPr>
        <w:t xml:space="preserve"> Compliance with the applicable fi nancial covenants; and</w:t>
      </w:r>
    </w:p>
    <w:p>
      <w:pPr>
        <w:ind w:firstLine="81"/>
        <w:spacing w:after="0" w:line="211" w:lineRule="auto"/>
        <w:rPr>
          <w:sz w:val="20"/>
          <w:szCs w:val="20"/>
          <w:color w:val="auto"/>
        </w:rPr>
      </w:pPr>
      <w:r>
        <w:rPr>
          <w:rFonts w:ascii="Arial" w:cs="Arial" w:eastAsia="Arial" w:hAnsi="Arial"/>
          <w:sz w:val="8"/>
          <w:szCs w:val="8"/>
          <w:color w:val="FFFFFF"/>
        </w:rPr>
        <w:t>Such dividends may be made once in each fi scal quarter (and in respect of the fi rst fi scal quarter in a fi scal year, only after borrowings under the Wynn Macau Credit Facilities have been prepaid to the extent required by the application of the excess cash fl ow mandatory prepayment provisions).</w:t>
      </w:r>
    </w:p>
    <w:p>
      <w:pPr>
        <w:spacing w:after="0"/>
        <w:rPr>
          <w:sz w:val="20"/>
          <w:szCs w:val="20"/>
          <w:color w:val="auto"/>
        </w:rPr>
      </w:pPr>
      <w:r>
        <w:rPr>
          <w:rFonts w:ascii="Arial" w:cs="Arial" w:eastAsia="Arial" w:hAnsi="Arial"/>
          <w:sz w:val="11"/>
          <w:szCs w:val="11"/>
          <w:color w:val="FFFFFF"/>
        </w:rPr>
        <w:t>WRM is currently in compliance with all requirements, namely satisfaction of its Leverage Ratio, which must be met in order to pay dividends and is presently able to pay dividends in accordance with the Wynn Macau Credit Facilities.</w:t>
      </w:r>
    </w:p>
    <w:p>
      <w:pPr>
        <w:sectPr>
          <w:pgSz w:w="11900" w:h="16838" w:orient="portrait"/>
          <w:cols w:equalWidth="0" w:num="1">
            <w:col w:w="11400"/>
          </w:cols>
          <w:pgMar w:left="240" w:top="1440" w:right="2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24 Wynn Macau, Limited</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vertAlign w:val="subscript"/>
        </w:rPr>
        <w:t>Events</w:t>
      </w:r>
      <w:r>
        <w:rPr>
          <w:rFonts w:ascii="Arial" w:cs="Arial" w:eastAsia="Arial" w:hAnsi="Arial"/>
          <w:sz w:val="3"/>
          <w:szCs w:val="3"/>
          <w:color w:val="FFFFFF"/>
        </w:rPr>
        <w:t>The</w:t>
      </w:r>
      <w:r>
        <w:rPr>
          <w:rFonts w:ascii="Arial" w:cs="Arial" w:eastAsia="Arial" w:hAnsi="Arial"/>
          <w:sz w:val="5"/>
          <w:szCs w:val="5"/>
          <w:color w:val="FFFFFF"/>
          <w:vertAlign w:val="superscript"/>
        </w:rPr>
        <w:t>nts of Default</w:t>
      </w:r>
    </w:p>
    <w:p>
      <w:pPr>
        <w:jc w:val="right"/>
        <w:ind w:right="240"/>
        <w:spacing w:after="0" w:line="198" w:lineRule="auto"/>
        <w:rPr>
          <w:sz w:val="20"/>
          <w:szCs w:val="20"/>
          <w:color w:val="auto"/>
        </w:rPr>
      </w:pPr>
      <w:r>
        <w:rPr>
          <w:rFonts w:ascii="Arial" w:cs="Arial" w:eastAsia="Arial" w:hAnsi="Arial"/>
          <w:sz w:val="7"/>
          <w:szCs w:val="7"/>
          <w:color w:val="FFFFFF"/>
        </w:rPr>
        <w:t xml:space="preserve">Wynn Macau Credit Facilities contain customary events of default, such as failure to pay, breach of covenants, initiation of insolvency proceedings, material adverse effect and cross default provisions. of default also include certain breaches of the terms of the Concession Agreement, and the taking of certain formal measures or administrative intervention by the Macau government in respect of the </w:t>
      </w:r>
      <w:r>
        <w:rPr>
          <w:rFonts w:ascii="Arial" w:cs="Arial" w:eastAsia="Arial" w:hAnsi="Arial"/>
          <w:sz w:val="10"/>
          <w:szCs w:val="10"/>
          <w:color w:val="FFFFFF"/>
          <w:vertAlign w:val="subscript"/>
        </w:rPr>
        <w:t>Credit</w:t>
      </w:r>
      <w:r>
        <w:rPr>
          <w:rFonts w:ascii="Arial" w:cs="Arial" w:eastAsia="Arial" w:hAnsi="Arial"/>
          <w:sz w:val="7"/>
          <w:szCs w:val="7"/>
          <w:color w:val="FFFFFF"/>
        </w:rPr>
        <w:t>oncession Agreement or the concession for the land on which Wynn Macau is located. The situations triggering an event of default related to WRL’s ownership and control of WRM under the Wynn Macau</w:t>
      </w:r>
    </w:p>
    <w:p>
      <w:pPr>
        <w:spacing w:after="0" w:line="1" w:lineRule="exact"/>
        <w:rPr>
          <w:sz w:val="20"/>
          <w:szCs w:val="20"/>
          <w:color w:val="auto"/>
        </w:rPr>
      </w:pPr>
    </w:p>
    <w:p>
      <w:pPr>
        <w:jc w:val="both"/>
        <w:ind w:right="80"/>
        <w:spacing w:after="0" w:line="187" w:lineRule="auto"/>
        <w:rPr>
          <w:sz w:val="20"/>
          <w:szCs w:val="20"/>
          <w:color w:val="auto"/>
        </w:rPr>
      </w:pPr>
      <w:r>
        <w:rPr>
          <w:rFonts w:ascii="Arial" w:cs="Arial" w:eastAsia="Arial" w:hAnsi="Arial"/>
          <w:sz w:val="9"/>
          <w:szCs w:val="9"/>
          <w:color w:val="FFFFFF"/>
        </w:rPr>
        <w:t>Facilities have been amended and limited to the situation where Wynn Resorts, Limited ceases to own or control at least 51% of WRM (or ceases to have the ability to direct the management of WRM) pursuant to consent obtained from the relevant parties on or about 22 August 2011.</w:t>
      </w:r>
    </w:p>
    <w:p>
      <w:pPr>
        <w:spacing w:after="0"/>
        <w:rPr>
          <w:sz w:val="20"/>
          <w:szCs w:val="20"/>
          <w:color w:val="auto"/>
        </w:rPr>
      </w:pPr>
      <w:r>
        <w:rPr>
          <w:rFonts w:ascii="Arial" w:cs="Arial" w:eastAsia="Arial" w:hAnsi="Arial"/>
          <w:sz w:val="3"/>
          <w:szCs w:val="3"/>
          <w:color w:val="FFFFFF"/>
        </w:rPr>
        <w:t>Security and Guarantees</w:t>
      </w:r>
    </w:p>
    <w:p>
      <w:pPr>
        <w:spacing w:after="0" w:line="6" w:lineRule="exact"/>
        <w:rPr>
          <w:sz w:val="20"/>
          <w:szCs w:val="20"/>
          <w:color w:val="auto"/>
        </w:rPr>
      </w:pPr>
    </w:p>
    <w:p>
      <w:pPr>
        <w:jc w:val="both"/>
        <w:ind w:right="100"/>
        <w:spacing w:after="0" w:line="181" w:lineRule="auto"/>
        <w:rPr>
          <w:sz w:val="20"/>
          <w:szCs w:val="20"/>
          <w:color w:val="auto"/>
        </w:rPr>
      </w:pPr>
      <w:r>
        <w:rPr>
          <w:rFonts w:ascii="Arial" w:cs="Arial" w:eastAsia="Arial" w:hAnsi="Arial"/>
          <w:sz w:val="7"/>
          <w:szCs w:val="7"/>
          <w:color w:val="FFFFFF"/>
        </w:rPr>
        <w:t>Collateral for the Wynn Macau Credit Facilities consists of substantially all of the assets of WRM. Certain of our direct and indirect subsidiaries have executed guarantees and pledged their interests in WRM in support of the obligations under the Wynn Macau Credit Facilities. With respect to the Concession Agreement, the WRM lenders do have certain cure rights and consultation rights with the Macau government upon an enforcement by the lenders.</w:t>
      </w:r>
    </w:p>
    <w:p>
      <w:pPr>
        <w:spacing w:after="0"/>
        <w:rPr>
          <w:sz w:val="20"/>
          <w:szCs w:val="20"/>
          <w:color w:val="auto"/>
        </w:rPr>
      </w:pPr>
      <w:r>
        <w:rPr>
          <w:rFonts w:ascii="Arial" w:cs="Arial" w:eastAsia="Arial" w:hAnsi="Arial"/>
          <w:sz w:val="3"/>
          <w:szCs w:val="3"/>
          <w:color w:val="FFFFFF"/>
        </w:rPr>
        <w:t>Second Ranking Lender</w:t>
      </w:r>
    </w:p>
    <w:p>
      <w:pPr>
        <w:spacing w:after="0" w:line="194" w:lineRule="auto"/>
        <w:rPr>
          <w:sz w:val="20"/>
          <w:szCs w:val="20"/>
          <w:color w:val="auto"/>
        </w:rPr>
      </w:pPr>
      <w:r>
        <w:rPr>
          <w:rFonts w:ascii="Arial" w:cs="Arial" w:eastAsia="Arial" w:hAnsi="Arial"/>
          <w:sz w:val="3"/>
          <w:szCs w:val="3"/>
          <w:color w:val="FFFFFF"/>
        </w:rPr>
        <w:t xml:space="preserve">WRM is also party </w:t>
      </w:r>
      <w:r>
        <w:rPr>
          <w:rFonts w:ascii="Arial" w:cs="Arial" w:eastAsia="Arial" w:hAnsi="Arial"/>
          <w:sz w:val="5"/>
          <w:szCs w:val="5"/>
          <w:color w:val="FFFFFF"/>
          <w:vertAlign w:val="subscript"/>
        </w:rPr>
        <w:t>guarantee</w:t>
      </w:r>
      <w:r>
        <w:rPr>
          <w:rFonts w:ascii="Arial" w:cs="Arial" w:eastAsia="Arial" w:hAnsi="Arial"/>
          <w:sz w:val="3"/>
          <w:szCs w:val="3"/>
          <w:color w:val="FFFFFF"/>
        </w:rPr>
        <w:t>tobank guarantee reimbursement agreement with Banco National Ultramarino S.A. to secure a guarantee in favor of the Macau government as required under the Concession Agreement.</w:t>
      </w:r>
    </w:p>
    <w:p>
      <w:pPr>
        <w:spacing w:after="0" w:line="211" w:lineRule="auto"/>
        <w:tabs>
          <w:tab w:leader="none" w:pos="1600" w:val="left"/>
        </w:tabs>
        <w:rPr>
          <w:sz w:val="20"/>
          <w:szCs w:val="20"/>
          <w:color w:val="auto"/>
        </w:rPr>
      </w:pPr>
      <w:r>
        <w:rPr>
          <w:rFonts w:ascii="Arial" w:cs="Arial" w:eastAsia="Arial" w:hAnsi="Arial"/>
          <w:sz w:val="3"/>
          <w:szCs w:val="3"/>
          <w:color w:val="FFFFFF"/>
        </w:rPr>
        <w:t>The amount of this</w:t>
      </w:r>
      <w:r>
        <w:rPr>
          <w:sz w:val="20"/>
          <w:szCs w:val="20"/>
          <w:color w:val="auto"/>
        </w:rPr>
        <w:tab/>
      </w:r>
      <w:r>
        <w:rPr>
          <w:rFonts w:ascii="Arial" w:cs="Arial" w:eastAsia="Arial" w:hAnsi="Arial"/>
          <w:sz w:val="2"/>
          <w:szCs w:val="2"/>
          <w:color w:val="FFFFFF"/>
        </w:rPr>
        <w:t>is MOP300 million (approximately HK$291.3 million) and</w:t>
      </w:r>
      <w:r>
        <w:rPr>
          <w:rFonts w:ascii="Arial" w:cs="Arial" w:eastAsia="Arial" w:hAnsi="Arial"/>
          <w:sz w:val="4"/>
          <w:szCs w:val="4"/>
          <w:color w:val="FFFFFF"/>
          <w:vertAlign w:val="subscript"/>
        </w:rPr>
        <w:t>indemnities</w:t>
      </w:r>
      <w:r>
        <w:rPr>
          <w:rFonts w:ascii="Arial" w:cs="Arial" w:eastAsia="Arial" w:hAnsi="Arial"/>
          <w:sz w:val="2"/>
          <w:szCs w:val="2"/>
          <w:color w:val="FFFFFF"/>
        </w:rPr>
        <w:t>lastsuntil 180 days after the end of the term of the Concession Agreement. The guarantee assures WRM’s performance</w:t>
      </w:r>
    </w:p>
    <w:p>
      <w:pPr>
        <w:ind w:right="320"/>
        <w:spacing w:after="0" w:line="187" w:lineRule="auto"/>
        <w:rPr>
          <w:sz w:val="20"/>
          <w:szCs w:val="20"/>
          <w:color w:val="auto"/>
        </w:rPr>
      </w:pPr>
      <w:r>
        <w:rPr>
          <w:rFonts w:ascii="Arial" w:cs="Arial" w:eastAsia="Arial" w:hAnsi="Arial"/>
          <w:sz w:val="9"/>
          <w:szCs w:val="9"/>
          <w:color w:val="FFFFFF"/>
        </w:rPr>
        <w:t>under the Concession Agreement, including the payment of certain premiums, fi nes and for breach. The guarantee is secured by a second priority security interest in the same collateral package securing the Wynn Macau Credit Facilities.</w:t>
      </w:r>
    </w:p>
    <w:p>
      <w:pPr>
        <w:spacing w:after="0" w:line="188" w:lineRule="auto"/>
        <w:rPr>
          <w:sz w:val="20"/>
          <w:szCs w:val="20"/>
          <w:color w:val="auto"/>
        </w:rPr>
      </w:pPr>
      <w:r>
        <w:rPr>
          <w:rFonts w:ascii="Arial" w:cs="Arial" w:eastAsia="Arial" w:hAnsi="Arial"/>
          <w:sz w:val="9"/>
          <w:szCs w:val="9"/>
          <w:color w:val="FFFFFF"/>
        </w:rPr>
        <w:t>QUANTITATIVE AND QUALITATIVE DISCLOSURE ABOUT MARKET RISK</w:t>
      </w:r>
    </w:p>
    <w:p>
      <w:pPr>
        <w:spacing w:after="0"/>
        <w:rPr>
          <w:sz w:val="20"/>
          <w:szCs w:val="20"/>
          <w:color w:val="auto"/>
        </w:rPr>
      </w:pPr>
      <w:r>
        <w:rPr>
          <w:rFonts w:ascii="Arial" w:cs="Arial" w:eastAsia="Arial" w:hAnsi="Arial"/>
          <w:sz w:val="3"/>
          <w:szCs w:val="3"/>
          <w:color w:val="FFFFFF"/>
        </w:rPr>
        <w:t>ForeignMarket riskExchangeistheriskRisksof loss arising from adverse changes in market rates and conditions, such as infl ation, interest rates, and foreign currency exchange rates.</w:t>
      </w:r>
    </w:p>
    <w:p>
      <w:pPr>
        <w:spacing w:after="0" w:line="6" w:lineRule="exact"/>
        <w:rPr>
          <w:sz w:val="20"/>
          <w:szCs w:val="20"/>
          <w:color w:val="auto"/>
        </w:rPr>
      </w:pPr>
    </w:p>
    <w:p>
      <w:pPr>
        <w:ind w:right="60"/>
        <w:spacing w:after="0" w:line="190" w:lineRule="auto"/>
        <w:rPr>
          <w:sz w:val="20"/>
          <w:szCs w:val="20"/>
          <w:color w:val="auto"/>
        </w:rPr>
      </w:pPr>
      <w:r>
        <w:rPr>
          <w:rFonts w:ascii="Arial" w:cs="Arial" w:eastAsia="Arial" w:hAnsi="Arial"/>
          <w:sz w:val="11"/>
          <w:szCs w:val="11"/>
          <w:color w:val="FFFFFF"/>
        </w:rPr>
        <w:t>The fi nancial statements of foreign operations are translated into Hong Kong dollars, the Group’s functional and presentation currency, for incorporation into the consolidated fi nancial statements. The majority of our assets and liabilities are denominated in U.S. dollars, Hong Kong dollars, Macau patacas and Offshore RMB, and there are no signifi cant assets and liabilities denominated in other</w:t>
      </w:r>
    </w:p>
    <w:p>
      <w:pPr>
        <w:sectPr>
          <w:pgSz w:w="11900" w:h="16838" w:orient="portrait"/>
          <w:cols w:equalWidth="0" w:num="1">
            <w:col w:w="11420"/>
          </w:cols>
          <w:pgMar w:left="240" w:top="1440" w:right="2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3"/>
          </w:tcPr>
          <w:p>
            <w:pPr>
              <w:spacing w:after="0"/>
              <w:rPr>
                <w:sz w:val="20"/>
                <w:szCs w:val="20"/>
                <w:color w:val="auto"/>
              </w:rPr>
            </w:pPr>
            <w:r>
              <w:rPr>
                <w:rFonts w:ascii="Arial" w:cs="Arial" w:eastAsia="Arial" w:hAnsi="Arial"/>
                <w:sz w:val="14"/>
                <w:szCs w:val="14"/>
                <w:color w:val="FFFFFF"/>
              </w:rPr>
              <w:t>Annual Report 2011 25</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580" w:type="dxa"/>
            <w:vAlign w:val="bottom"/>
            <w:gridSpan w:val="3"/>
          </w:tcPr>
          <w:p>
            <w:pPr>
              <w:spacing w:after="0"/>
              <w:rPr>
                <w:sz w:val="20"/>
                <w:szCs w:val="20"/>
                <w:color w:val="auto"/>
              </w:rPr>
            </w:pPr>
            <w:r>
              <w:rPr>
                <w:rFonts w:ascii="Arial" w:cs="Arial" w:eastAsia="Arial" w:hAnsi="Arial"/>
                <w:sz w:val="3"/>
                <w:szCs w:val="3"/>
                <w:color w:val="FFFFFF"/>
              </w:rPr>
              <w:t>Management Discussion and Analysis</w:t>
            </w:r>
          </w:p>
        </w:tc>
        <w:tc>
          <w:tcPr>
            <w:tcW w:w="8800" w:type="dxa"/>
            <w:vAlign w:val="bottom"/>
            <w:gridSpan w:val="5"/>
            <w:vMerge w:val="restart"/>
          </w:tcPr>
          <w:p>
            <w:pPr>
              <w:jc w:val="right"/>
              <w:ind w:right="135"/>
              <w:spacing w:after="0" w:line="81" w:lineRule="exact"/>
              <w:rPr>
                <w:sz w:val="20"/>
                <w:szCs w:val="20"/>
                <w:color w:val="auto"/>
              </w:rPr>
            </w:pPr>
            <w:r>
              <w:rPr>
                <w:rFonts w:ascii="Arial" w:cs="Arial" w:eastAsia="Arial" w:hAnsi="Arial"/>
                <w:sz w:val="9"/>
                <w:szCs w:val="9"/>
                <w:color w:val="FFFFFF"/>
              </w:rPr>
              <w:t>the prevailing foreign exchange rates in effect at the end of the reporting period. Income, expenditures and cash fl ow items are measured   the actual foreign</w:t>
            </w:r>
          </w:p>
        </w:tc>
        <w:tc>
          <w:tcPr>
            <w:tcW w:w="0" w:type="dxa"/>
            <w:vAlign w:val="bottom"/>
          </w:tcPr>
          <w:p>
            <w:pPr>
              <w:spacing w:after="0"/>
              <w:rPr>
                <w:sz w:val="1"/>
                <w:szCs w:val="1"/>
                <w:color w:val="auto"/>
              </w:rPr>
            </w:pPr>
          </w:p>
        </w:tc>
      </w:tr>
      <w:tr>
        <w:trPr>
          <w:trHeight w:val="41"/>
        </w:trPr>
        <w:tc>
          <w:tcPr>
            <w:tcW w:w="2580" w:type="dxa"/>
            <w:vAlign w:val="bottom"/>
            <w:gridSpan w:val="3"/>
          </w:tcPr>
          <w:p>
            <w:pPr>
              <w:spacing w:after="0"/>
              <w:rPr>
                <w:sz w:val="20"/>
                <w:szCs w:val="20"/>
                <w:color w:val="auto"/>
              </w:rPr>
            </w:pPr>
            <w:r>
              <w:rPr>
                <w:rFonts w:ascii="Arial" w:cs="Arial" w:eastAsia="Arial" w:hAnsi="Arial"/>
                <w:sz w:val="3"/>
                <w:szCs w:val="3"/>
                <w:color w:val="FFFFFF"/>
              </w:rPr>
              <w:t>currencies. Assets and liabilities are translated</w:t>
            </w:r>
          </w:p>
        </w:tc>
        <w:tc>
          <w:tcPr>
            <w:tcW w:w="88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exchange rates or average foreign exchange rates for the period. The Hong Kong dollar is linked to the U.S. dollar and the exchange rate between these two currencies has remained relatively stable over the past</w:t>
            </w:r>
          </w:p>
        </w:tc>
        <w:tc>
          <w:tcPr>
            <w:tcW w:w="0" w:type="dxa"/>
            <w:vAlign w:val="bottom"/>
          </w:tcPr>
          <w:p>
            <w:pPr>
              <w:spacing w:after="0"/>
              <w:rPr>
                <w:sz w:val="1"/>
                <w:szCs w:val="1"/>
                <w:color w:val="auto"/>
              </w:rPr>
            </w:pPr>
          </w:p>
        </w:tc>
      </w:tr>
      <w:tr>
        <w:trPr>
          <w:trHeight w:val="41"/>
        </w:trPr>
        <w:tc>
          <w:tcPr>
            <w:tcW w:w="7140" w:type="dxa"/>
            <w:vAlign w:val="bottom"/>
            <w:gridSpan w:val="6"/>
          </w:tcPr>
          <w:p>
            <w:pPr>
              <w:spacing w:after="0"/>
              <w:rPr>
                <w:sz w:val="20"/>
                <w:szCs w:val="20"/>
                <w:color w:val="auto"/>
              </w:rPr>
            </w:pPr>
            <w:r>
              <w:rPr>
                <w:rFonts w:ascii="Arial" w:cs="Arial" w:eastAsia="Arial" w:hAnsi="Arial"/>
                <w:sz w:val="3"/>
                <w:szCs w:val="3"/>
                <w:color w:val="FFFFFF"/>
              </w:rPr>
              <w:t>several years. The Macau pataca is pegged to the Hong Kong dollar, and in many cases the two currencies are used</w:t>
            </w:r>
          </w:p>
        </w:tc>
        <w:tc>
          <w:tcPr>
            <w:tcW w:w="4240" w:type="dxa"/>
            <w:vAlign w:val="bottom"/>
            <w:gridSpan w:val="2"/>
          </w:tcPr>
          <w:p>
            <w:pPr>
              <w:jc w:val="right"/>
              <w:ind w:right="75"/>
              <w:spacing w:after="0"/>
              <w:rPr>
                <w:sz w:val="20"/>
                <w:szCs w:val="20"/>
                <w:color w:val="auto"/>
              </w:rPr>
            </w:pPr>
            <w:r>
              <w:rPr>
                <w:rFonts w:ascii="Arial" w:cs="Arial" w:eastAsia="Arial" w:hAnsi="Arial"/>
                <w:sz w:val="3"/>
                <w:szCs w:val="3"/>
                <w:color w:val="FFFFFF"/>
              </w:rPr>
              <w:t>in Macau. However, the exchange linkages of the Hong Kong dollar and the</w:t>
            </w:r>
          </w:p>
        </w:tc>
        <w:tc>
          <w:tcPr>
            <w:tcW w:w="0" w:type="dxa"/>
            <w:vAlign w:val="bottom"/>
          </w:tcPr>
          <w:p>
            <w:pPr>
              <w:spacing w:after="0"/>
              <w:rPr>
                <w:sz w:val="1"/>
                <w:szCs w:val="1"/>
                <w:color w:val="auto"/>
              </w:rPr>
            </w:pPr>
          </w:p>
        </w:tc>
      </w:tr>
      <w:tr>
        <w:trPr>
          <w:trHeight w:val="41"/>
        </w:trPr>
        <w:tc>
          <w:tcPr>
            <w:tcW w:w="600" w:type="dxa"/>
            <w:vAlign w:val="bottom"/>
          </w:tcPr>
          <w:p>
            <w:pPr>
              <w:spacing w:after="0"/>
              <w:rPr>
                <w:sz w:val="20"/>
                <w:szCs w:val="20"/>
                <w:color w:val="auto"/>
              </w:rPr>
            </w:pPr>
            <w:r>
              <w:rPr>
                <w:rFonts w:ascii="Arial" w:cs="Arial" w:eastAsia="Arial" w:hAnsi="Arial"/>
                <w:sz w:val="3"/>
                <w:szCs w:val="3"/>
                <w:color w:val="FFFFFF"/>
              </w:rPr>
              <w:t>Macau</w:t>
            </w:r>
          </w:p>
        </w:tc>
        <w:tc>
          <w:tcPr>
            <w:tcW w:w="10780" w:type="dxa"/>
            <w:vAlign w:val="bottom"/>
            <w:gridSpan w:val="7"/>
          </w:tcPr>
          <w:p>
            <w:pPr>
              <w:jc w:val="right"/>
              <w:ind w:right="15"/>
              <w:spacing w:after="0"/>
              <w:rPr>
                <w:sz w:val="20"/>
                <w:szCs w:val="20"/>
                <w:color w:val="auto"/>
              </w:rPr>
            </w:pPr>
            <w:r>
              <w:rPr>
                <w:rFonts w:ascii="Arial" w:cs="Arial" w:eastAsia="Arial" w:hAnsi="Arial"/>
                <w:sz w:val="3"/>
                <w:szCs w:val="3"/>
                <w:color w:val="FFFFFF"/>
              </w:rPr>
              <w:t>and the Hong Kong dollar to the U.S. dollar, are subject to potential changes due to, among other things,interchangeablychangesgovernmental policies and international economic and political developments.</w:t>
            </w:r>
          </w:p>
        </w:tc>
        <w:tc>
          <w:tcPr>
            <w:tcW w:w="0" w:type="dxa"/>
            <w:vAlign w:val="bottom"/>
          </w:tcPr>
          <w:p>
            <w:pPr>
              <w:spacing w:after="0"/>
              <w:rPr>
                <w:sz w:val="1"/>
                <w:szCs w:val="1"/>
                <w:color w:val="auto"/>
              </w:rPr>
            </w:pP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In particularpataca,our Group is exposed to foreign exchange risk arising primarily with respect to the Offshore RMB, which does not have pegged exchange linkages to the U.S. dollar, Hong Kong dollar or Macau</w:t>
            </w:r>
          </w:p>
        </w:tc>
        <w:tc>
          <w:tcPr>
            <w:tcW w:w="0" w:type="dxa"/>
            <w:vAlign w:val="bottom"/>
          </w:tcPr>
          <w:p>
            <w:pPr>
              <w:spacing w:after="0"/>
              <w:rPr>
                <w:sz w:val="1"/>
                <w:szCs w:val="1"/>
                <w:color w:val="auto"/>
              </w:rPr>
            </w:pPr>
          </w:p>
        </w:tc>
      </w:tr>
      <w:tr>
        <w:trPr>
          <w:trHeight w:val="41"/>
        </w:trPr>
        <w:tc>
          <w:tcPr>
            <w:tcW w:w="600" w:type="dxa"/>
            <w:vAlign w:val="bottom"/>
          </w:tcPr>
          <w:p>
            <w:pPr>
              <w:spacing w:after="0"/>
              <w:rPr>
                <w:sz w:val="20"/>
                <w:szCs w:val="20"/>
                <w:color w:val="auto"/>
              </w:rPr>
            </w:pPr>
            <w:r>
              <w:rPr>
                <w:rFonts w:ascii="Arial" w:cs="Arial" w:eastAsia="Arial" w:hAnsi="Arial"/>
                <w:sz w:val="3"/>
                <w:szCs w:val="3"/>
                <w:color w:val="FFFFFF"/>
              </w:rPr>
              <w:t>pataca.</w:t>
            </w:r>
          </w:p>
        </w:tc>
        <w:tc>
          <w:tcPr>
            <w:tcW w:w="4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Interest Rate Risks</w:t>
            </w:r>
          </w:p>
        </w:tc>
        <w:tc>
          <w:tcPr>
            <w:tcW w:w="1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800" w:type="dxa"/>
            <w:vAlign w:val="bottom"/>
            <w:vMerge w:val="restart"/>
          </w:tcPr>
          <w:p>
            <w:pPr>
              <w:jc w:val="right"/>
              <w:ind w:right="95"/>
              <w:spacing w:after="0" w:line="81" w:lineRule="exact"/>
              <w:rPr>
                <w:sz w:val="20"/>
                <w:szCs w:val="20"/>
                <w:color w:val="auto"/>
              </w:rPr>
            </w:pPr>
            <w:r>
              <w:rPr>
                <w:rFonts w:ascii="Arial" w:cs="Arial" w:eastAsia="Arial" w:hAnsi="Arial"/>
                <w:sz w:val="9"/>
                <w:szCs w:val="9"/>
                <w:color w:val="FFFFFF"/>
              </w:rPr>
              <w:t>risk by managing the mix of</w:t>
            </w:r>
          </w:p>
        </w:tc>
        <w:tc>
          <w:tcPr>
            <w:tcW w:w="0" w:type="dxa"/>
            <w:vAlign w:val="bottom"/>
          </w:tcPr>
          <w:p>
            <w:pPr>
              <w:spacing w:after="0"/>
              <w:rPr>
                <w:sz w:val="1"/>
                <w:szCs w:val="1"/>
                <w:color w:val="auto"/>
              </w:rPr>
            </w:pPr>
          </w:p>
        </w:tc>
      </w:tr>
      <w:tr>
        <w:trPr>
          <w:trHeight w:val="41"/>
        </w:trPr>
        <w:tc>
          <w:tcPr>
            <w:tcW w:w="9580" w:type="dxa"/>
            <w:vAlign w:val="bottom"/>
            <w:gridSpan w:val="7"/>
          </w:tcPr>
          <w:p>
            <w:pPr>
              <w:spacing w:after="0"/>
              <w:rPr>
                <w:sz w:val="20"/>
                <w:szCs w:val="20"/>
                <w:color w:val="auto"/>
              </w:rPr>
            </w:pPr>
            <w:r>
              <w:rPr>
                <w:rFonts w:ascii="Arial" w:cs="Arial" w:eastAsia="Arial" w:hAnsi="Arial"/>
                <w:sz w:val="3"/>
                <w:szCs w:val="3"/>
                <w:color w:val="FFFFFF"/>
              </w:rPr>
              <w:t>One of our primary exposures to market risk is interest rate risk associated with our credit facilities, which bear interest based on fl oating rates. We attempt to manage interest</w:t>
            </w:r>
          </w:p>
        </w:tc>
        <w:tc>
          <w:tcPr>
            <w:tcW w:w="1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80" w:type="dxa"/>
            <w:vAlign w:val="bottom"/>
            <w:gridSpan w:val="3"/>
          </w:tcPr>
          <w:p>
            <w:pPr>
              <w:spacing w:after="0"/>
              <w:rPr>
                <w:sz w:val="20"/>
                <w:szCs w:val="20"/>
                <w:color w:val="auto"/>
              </w:rPr>
            </w:pPr>
            <w:r>
              <w:rPr>
                <w:rFonts w:ascii="Arial" w:cs="Arial" w:eastAsia="Arial" w:hAnsi="Arial"/>
                <w:sz w:val="3"/>
                <w:szCs w:val="3"/>
                <w:color w:val="FFFFFF"/>
              </w:rPr>
              <w:t>long-term fi xed rate borrowings and variable</w:t>
            </w:r>
          </w:p>
        </w:tc>
        <w:tc>
          <w:tcPr>
            <w:tcW w:w="8800" w:type="dxa"/>
            <w:vAlign w:val="bottom"/>
            <w:gridSpan w:val="5"/>
          </w:tcPr>
          <w:p>
            <w:pPr>
              <w:jc w:val="right"/>
              <w:ind w:right="275"/>
              <w:spacing w:after="0"/>
              <w:rPr>
                <w:sz w:val="20"/>
                <w:szCs w:val="20"/>
                <w:color w:val="auto"/>
              </w:rPr>
            </w:pPr>
            <w:r>
              <w:rPr>
                <w:rFonts w:ascii="Arial" w:cs="Arial" w:eastAsia="Arial" w:hAnsi="Arial"/>
                <w:sz w:val="3"/>
                <w:szCs w:val="3"/>
                <w:color w:val="FFFFFF"/>
              </w:rPr>
              <w:t>borrowings supplemented by hedging activities as considered necessary. We cannot assure you that these risk management strategies will have the desired</w:t>
            </w:r>
          </w:p>
        </w:tc>
        <w:tc>
          <w:tcPr>
            <w:tcW w:w="0" w:type="dxa"/>
            <w:vAlign w:val="bottom"/>
          </w:tcPr>
          <w:p>
            <w:pPr>
              <w:spacing w:after="0"/>
              <w:rPr>
                <w:sz w:val="1"/>
                <w:szCs w:val="1"/>
                <w:color w:val="auto"/>
              </w:rPr>
            </w:pPr>
          </w:p>
        </w:tc>
      </w:tr>
      <w:tr>
        <w:trPr>
          <w:trHeight w:val="41"/>
        </w:trPr>
        <w:tc>
          <w:tcPr>
            <w:tcW w:w="4700" w:type="dxa"/>
            <w:vAlign w:val="bottom"/>
            <w:gridSpan w:val="5"/>
          </w:tcPr>
          <w:p>
            <w:pPr>
              <w:spacing w:after="0"/>
              <w:rPr>
                <w:sz w:val="20"/>
                <w:szCs w:val="20"/>
                <w:color w:val="auto"/>
              </w:rPr>
            </w:pPr>
            <w:r>
              <w:rPr>
                <w:rFonts w:ascii="Arial" w:cs="Arial" w:eastAsia="Arial" w:hAnsi="Arial"/>
                <w:sz w:val="3"/>
                <w:szCs w:val="3"/>
                <w:color w:val="FFFFFF"/>
              </w:rPr>
              <w:t>effect, and interest rate fl uctuations could haveratenegative impact on our results of</w:t>
            </w:r>
          </w:p>
        </w:tc>
        <w:tc>
          <w:tcPr>
            <w:tcW w:w="2440" w:type="dxa"/>
            <w:vAlign w:val="bottom"/>
          </w:tcPr>
          <w:p>
            <w:pPr>
              <w:jc w:val="right"/>
              <w:ind w:right="2023"/>
              <w:spacing w:after="0"/>
              <w:rPr>
                <w:sz w:val="20"/>
                <w:szCs w:val="20"/>
                <w:color w:val="auto"/>
              </w:rPr>
            </w:pPr>
            <w:r>
              <w:rPr>
                <w:rFonts w:ascii="Arial" w:cs="Arial" w:eastAsia="Arial" w:hAnsi="Arial"/>
                <w:sz w:val="3"/>
                <w:szCs w:val="3"/>
                <w:color w:val="FFFFFF"/>
              </w:rPr>
              <w:t>.</w:t>
            </w:r>
          </w:p>
        </w:tc>
        <w:tc>
          <w:tcPr>
            <w:tcW w:w="24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As at 31 December 2011, the Group had one interest rate swap intended to manage operationsportionof the underlying interest rate risk on borrowings under the Wynn Macau Credit Facilities. Under this swap</w:t>
            </w:r>
          </w:p>
        </w:tc>
        <w:tc>
          <w:tcPr>
            <w:tcW w:w="0" w:type="dxa"/>
            <w:vAlign w:val="bottom"/>
          </w:tcPr>
          <w:p>
            <w:pPr>
              <w:spacing w:after="0"/>
              <w:rPr>
                <w:sz w:val="1"/>
                <w:szCs w:val="1"/>
                <w:color w:val="auto"/>
              </w:rPr>
            </w:pPr>
          </w:p>
        </w:tc>
      </w:tr>
      <w:tr>
        <w:trPr>
          <w:trHeight w:val="41"/>
        </w:trPr>
        <w:tc>
          <w:tcPr>
            <w:tcW w:w="4700" w:type="dxa"/>
            <w:vAlign w:val="bottom"/>
            <w:gridSpan w:val="5"/>
          </w:tcPr>
          <w:p>
            <w:pPr>
              <w:spacing w:after="0"/>
              <w:rPr>
                <w:sz w:val="20"/>
                <w:szCs w:val="20"/>
                <w:color w:val="auto"/>
              </w:rPr>
            </w:pPr>
            <w:r>
              <w:rPr>
                <w:rFonts w:ascii="Arial" w:cs="Arial" w:eastAsia="Arial" w:hAnsi="Arial"/>
                <w:sz w:val="3"/>
                <w:szCs w:val="3"/>
                <w:color w:val="FFFFFF"/>
              </w:rPr>
              <w:t>ag eement, the Group pays a fi xed interest rate of 2.15% on borrowings of</w:t>
            </w:r>
          </w:p>
        </w:tc>
        <w:tc>
          <w:tcPr>
            <w:tcW w:w="6680" w:type="dxa"/>
            <w:vAlign w:val="bottom"/>
            <w:gridSpan w:val="3"/>
          </w:tcPr>
          <w:p>
            <w:pPr>
              <w:jc w:val="right"/>
              <w:ind w:right="255"/>
              <w:spacing w:after="0"/>
              <w:rPr>
                <w:sz w:val="20"/>
                <w:szCs w:val="20"/>
                <w:color w:val="auto"/>
              </w:rPr>
            </w:pPr>
            <w:r>
              <w:rPr>
                <w:rFonts w:ascii="Arial" w:cs="Arial" w:eastAsia="Arial" w:hAnsi="Arial"/>
                <w:sz w:val="3"/>
                <w:szCs w:val="3"/>
                <w:color w:val="FFFFFF"/>
              </w:rPr>
              <w:t>HK$2.3 billion incurred under the Wynn Macau Credit Facilities in exchange for receipts on the same amount at a</w:t>
            </w:r>
          </w:p>
        </w:tc>
        <w:tc>
          <w:tcPr>
            <w:tcW w:w="0" w:type="dxa"/>
            <w:vAlign w:val="bottom"/>
          </w:tcPr>
          <w:p>
            <w:pPr>
              <w:spacing w:after="0"/>
              <w:rPr>
                <w:sz w:val="1"/>
                <w:szCs w:val="1"/>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variable interest</w:t>
            </w:r>
          </w:p>
        </w:tc>
        <w:tc>
          <w:tcPr>
            <w:tcW w:w="10300" w:type="dxa"/>
            <w:vAlign w:val="bottom"/>
            <w:gridSpan w:val="6"/>
          </w:tcPr>
          <w:p>
            <w:pPr>
              <w:jc w:val="right"/>
              <w:ind w:right="275"/>
              <w:spacing w:after="0"/>
              <w:rPr>
                <w:sz w:val="20"/>
                <w:szCs w:val="20"/>
                <w:color w:val="auto"/>
              </w:rPr>
            </w:pPr>
            <w:r>
              <w:rPr>
                <w:rFonts w:ascii="Arial" w:cs="Arial" w:eastAsia="Arial" w:hAnsi="Arial"/>
                <w:sz w:val="3"/>
                <w:szCs w:val="3"/>
                <w:color w:val="FFFFFF"/>
              </w:rPr>
              <w:t>based on the applicable HIBOR at the time of payment.approximatelyAs31December 2011, this interest rate swap fi xes the interest rate on HK$2.3 billion of borrowings under the Wynn Macau</w:t>
            </w:r>
          </w:p>
        </w:tc>
        <w:tc>
          <w:tcPr>
            <w:tcW w:w="0" w:type="dxa"/>
            <w:vAlign w:val="bottom"/>
          </w:tcPr>
          <w:p>
            <w:pPr>
              <w:spacing w:after="0"/>
              <w:rPr>
                <w:sz w:val="1"/>
                <w:szCs w:val="1"/>
                <w:color w:val="auto"/>
              </w:rPr>
            </w:pPr>
          </w:p>
        </w:tc>
      </w:tr>
      <w:tr>
        <w:trPr>
          <w:trHeight w:val="41"/>
        </w:trPr>
        <w:tc>
          <w:tcPr>
            <w:tcW w:w="3740" w:type="dxa"/>
            <w:vAlign w:val="bottom"/>
            <w:gridSpan w:val="4"/>
          </w:tcPr>
          <w:p>
            <w:pPr>
              <w:spacing w:after="0"/>
              <w:rPr>
                <w:sz w:val="20"/>
                <w:szCs w:val="20"/>
                <w:color w:val="auto"/>
              </w:rPr>
            </w:pPr>
            <w:r>
              <w:rPr>
                <w:rFonts w:ascii="Arial" w:cs="Arial" w:eastAsia="Arial" w:hAnsi="Arial"/>
                <w:sz w:val="3"/>
                <w:szCs w:val="3"/>
                <w:color w:val="FFFFFF"/>
              </w:rPr>
              <w:t>Credit Facilities rateapproximately 3.4%. This interest rate swap agre</w:t>
            </w:r>
          </w:p>
        </w:tc>
        <w:tc>
          <w:tcPr>
            <w:tcW w:w="3400" w:type="dxa"/>
            <w:vAlign w:val="bottom"/>
            <w:gridSpan w:val="2"/>
          </w:tcPr>
          <w:p>
            <w:pPr>
              <w:jc w:val="right"/>
              <w:ind w:right="1563"/>
              <w:spacing w:after="0"/>
              <w:rPr>
                <w:sz w:val="20"/>
                <w:szCs w:val="20"/>
                <w:color w:val="auto"/>
              </w:rPr>
            </w:pPr>
            <w:r>
              <w:rPr>
                <w:rFonts w:ascii="Arial" w:cs="Arial" w:eastAsia="Arial" w:hAnsi="Arial"/>
                <w:sz w:val="3"/>
                <w:szCs w:val="3"/>
                <w:color w:val="FFFFFF"/>
              </w:rPr>
              <w:t>will terminate in June 2012.</w:t>
            </w:r>
          </w:p>
        </w:tc>
        <w:tc>
          <w:tcPr>
            <w:tcW w:w="4240" w:type="dxa"/>
            <w:vAlign w:val="bottom"/>
            <w:gridSpan w:val="2"/>
            <w:vMerge w:val="restart"/>
          </w:tcPr>
          <w:p>
            <w:pPr>
              <w:jc w:val="right"/>
              <w:ind w:right="235"/>
              <w:spacing w:after="0" w:line="81" w:lineRule="exact"/>
              <w:rPr>
                <w:sz w:val="20"/>
                <w:szCs w:val="20"/>
                <w:color w:val="auto"/>
              </w:rPr>
            </w:pPr>
            <w:r>
              <w:rPr>
                <w:rFonts w:ascii="Arial" w:cs="Arial" w:eastAsia="Arial" w:hAnsi="Arial"/>
                <w:sz w:val="9"/>
                <w:szCs w:val="9"/>
                <w:color w:val="FFFFFF"/>
              </w:rPr>
              <w:t>approximates the amount the Group would pay if this contract was</w:t>
            </w:r>
          </w:p>
        </w:tc>
        <w:tc>
          <w:tcPr>
            <w:tcW w:w="0" w:type="dxa"/>
            <w:vAlign w:val="bottom"/>
          </w:tcPr>
          <w:p>
            <w:pPr>
              <w:spacing w:after="0"/>
              <w:rPr>
                <w:sz w:val="1"/>
                <w:szCs w:val="1"/>
                <w:color w:val="auto"/>
              </w:rPr>
            </w:pPr>
          </w:p>
        </w:tc>
      </w:tr>
      <w:tr>
        <w:trPr>
          <w:trHeight w:val="41"/>
        </w:trPr>
        <w:tc>
          <w:tcPr>
            <w:tcW w:w="7140" w:type="dxa"/>
            <w:vAlign w:val="bottom"/>
            <w:gridSpan w:val="6"/>
          </w:tcPr>
          <w:p>
            <w:pPr>
              <w:spacing w:after="0"/>
              <w:rPr>
                <w:sz w:val="20"/>
                <w:szCs w:val="20"/>
                <w:color w:val="auto"/>
              </w:rPr>
            </w:pPr>
            <w:r>
              <w:rPr>
                <w:rFonts w:ascii="Arial" w:cs="Arial" w:eastAsia="Arial" w:hAnsi="Arial"/>
                <w:sz w:val="3"/>
                <w:szCs w:val="3"/>
                <w:color w:val="FFFFFF"/>
              </w:rPr>
              <w:t>The carrying value of this interest rate swap on the consolidated statement of fi nancial position approximates  s fair value. The fair</w:t>
            </w:r>
          </w:p>
        </w:tc>
        <w:tc>
          <w:tcPr>
            <w:tcW w:w="4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gridSpan w:val="4"/>
          </w:tcPr>
          <w:p>
            <w:pPr>
              <w:spacing w:after="0"/>
              <w:rPr>
                <w:sz w:val="20"/>
                <w:szCs w:val="20"/>
                <w:color w:val="auto"/>
              </w:rPr>
            </w:pPr>
            <w:r>
              <w:rPr>
                <w:rFonts w:ascii="Arial" w:cs="Arial" w:eastAsia="Arial" w:hAnsi="Arial"/>
                <w:sz w:val="3"/>
                <w:szCs w:val="3"/>
                <w:color w:val="FFFFFF"/>
              </w:rPr>
              <w:t>settled at the respective valuation dates. Fair value is estimated</w:t>
            </w:r>
          </w:p>
        </w:tc>
        <w:tc>
          <w:tcPr>
            <w:tcW w:w="7640" w:type="dxa"/>
            <w:vAlign w:val="bottom"/>
            <w:gridSpan w:val="4"/>
          </w:tcPr>
          <w:p>
            <w:pPr>
              <w:jc w:val="right"/>
              <w:ind w:right="135"/>
              <w:spacing w:after="0"/>
              <w:rPr>
                <w:sz w:val="20"/>
                <w:szCs w:val="20"/>
                <w:color w:val="auto"/>
              </w:rPr>
            </w:pPr>
            <w:r>
              <w:rPr>
                <w:rFonts w:ascii="Arial" w:cs="Arial" w:eastAsia="Arial" w:hAnsi="Arial"/>
                <w:sz w:val="3"/>
                <w:szCs w:val="3"/>
                <w:color w:val="FFFFFF"/>
              </w:rPr>
              <w:t>upon current, and predictions of future interest rate levels alongvalueyield curve, the remaining duration of the instruments and other market</w:t>
            </w:r>
          </w:p>
        </w:tc>
        <w:tc>
          <w:tcPr>
            <w:tcW w:w="0" w:type="dxa"/>
            <w:vAlign w:val="bottom"/>
          </w:tcPr>
          <w:p>
            <w:pPr>
              <w:spacing w:after="0"/>
              <w:rPr>
                <w:sz w:val="1"/>
                <w:szCs w:val="1"/>
                <w:color w:val="auto"/>
              </w:rPr>
            </w:pPr>
          </w:p>
        </w:tc>
      </w:tr>
      <w:tr>
        <w:trPr>
          <w:trHeight w:val="0"/>
        </w:trPr>
        <w:tc>
          <w:tcPr>
            <w:tcW w:w="1080" w:type="dxa"/>
            <w:vAlign w:val="bottom"/>
            <w:gridSpan w:val="2"/>
          </w:tcPr>
          <w:p>
            <w:pPr>
              <w:ind w:left="60"/>
              <w:spacing w:after="0" w:line="80" w:lineRule="exact"/>
              <w:rPr>
                <w:sz w:val="20"/>
                <w:szCs w:val="20"/>
                <w:color w:val="auto"/>
              </w:rPr>
            </w:pPr>
            <w:r>
              <w:rPr>
                <w:rFonts w:ascii="Arial" w:cs="Arial" w:eastAsia="Arial" w:hAnsi="Arial"/>
                <w:sz w:val="9"/>
                <w:szCs w:val="9"/>
                <w:color w:val="FFFFFF"/>
              </w:rPr>
              <w:t>onditions and,</w:t>
            </w:r>
          </w:p>
        </w:tc>
        <w:tc>
          <w:tcPr>
            <w:tcW w:w="10300" w:type="dxa"/>
            <w:vAlign w:val="bottom"/>
            <w:gridSpan w:val="6"/>
          </w:tcPr>
          <w:p>
            <w:pPr>
              <w:jc w:val="right"/>
              <w:ind w:right="155"/>
              <w:spacing w:after="0" w:line="80" w:lineRule="exact"/>
              <w:rPr>
                <w:sz w:val="20"/>
                <w:szCs w:val="20"/>
                <w:color w:val="auto"/>
              </w:rPr>
            </w:pPr>
            <w:r>
              <w:rPr>
                <w:rFonts w:ascii="Arial" w:cs="Arial" w:eastAsia="Arial" w:hAnsi="Arial"/>
                <w:sz w:val="9"/>
                <w:szCs w:val="9"/>
                <w:color w:val="FFFFFF"/>
              </w:rPr>
              <w:t>is subject to signifi cant estimation andbasedhigh degree of variability of fl uctuation between periods. We adjust this amount by applying a non-performance valuation, considering our</w:t>
            </w:r>
          </w:p>
        </w:tc>
        <w:tc>
          <w:tcPr>
            <w:tcW w:w="0" w:type="dxa"/>
            <w:vAlign w:val="bottom"/>
          </w:tcPr>
          <w:p>
            <w:pPr>
              <w:spacing w:after="0" w:line="20" w:lineRule="exact"/>
              <w:rPr>
                <w:sz w:val="1"/>
                <w:szCs w:val="1"/>
                <w:color w:val="auto"/>
              </w:rPr>
            </w:pPr>
          </w:p>
        </w:tc>
      </w:tr>
    </w:tbl>
    <w:p>
      <w:pPr>
        <w:ind w:right="220"/>
        <w:spacing w:after="0" w:line="187" w:lineRule="auto"/>
        <w:rPr>
          <w:sz w:val="20"/>
          <w:szCs w:val="20"/>
          <w:color w:val="auto"/>
        </w:rPr>
      </w:pPr>
      <w:r>
        <w:rPr>
          <w:rFonts w:ascii="Arial" w:cs="Arial" w:eastAsia="Arial" w:hAnsi="Arial"/>
          <w:sz w:val="9"/>
          <w:szCs w:val="9"/>
          <w:color w:val="FFFFFF"/>
        </w:rPr>
        <w:t>creditworthinesstherefore,creditworthiness of our counterparties at each settlement date, as applicable. These transactions do not qualify for hedge accounting. Accordingly, changes in the fair values during the years ended 31 December 2011 and 2010, were charged to the consolidated statement of comprehensive income.</w:t>
      </w:r>
    </w:p>
    <w:p>
      <w:pPr>
        <w:sectPr>
          <w:pgSz w:w="11900" w:h="16838" w:orient="portrait"/>
          <w:cols w:equalWidth="0" w:num="1">
            <w:col w:w="11380"/>
          </w:cols>
          <w:pgMar w:left="240" w:top="1440" w:right="27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20"/>
                <w:szCs w:val="20"/>
                <w:color w:val="auto"/>
              </w:rPr>
            </w:pPr>
            <w:r>
              <w:rPr>
                <w:rFonts w:ascii="Arial" w:cs="Arial" w:eastAsia="Arial" w:hAnsi="Arial"/>
                <w:sz w:val="14"/>
                <w:szCs w:val="14"/>
                <w:color w:val="FFFFFF"/>
              </w:rPr>
              <w:t>26 Wynn Macau, Limited</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1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00" w:type="dxa"/>
            <w:vAlign w:val="bottom"/>
            <w:gridSpan w:val="4"/>
          </w:tcPr>
          <w:p>
            <w:pPr>
              <w:ind w:left="100"/>
              <w:spacing w:after="0"/>
              <w:rPr>
                <w:sz w:val="20"/>
                <w:szCs w:val="20"/>
                <w:color w:val="auto"/>
              </w:rPr>
            </w:pPr>
            <w:r>
              <w:rPr>
                <w:rFonts w:ascii="Arial" w:cs="Arial" w:eastAsia="Arial" w:hAnsi="Arial"/>
                <w:sz w:val="3"/>
                <w:szCs w:val="3"/>
                <w:color w:val="FFFFFF"/>
              </w:rPr>
              <w:t>ur liability under the swap agreement is secured by the same collateral package securing the Wynn Macau Credit Facilities.</w:t>
            </w: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OFF BALANCE SHEET ARRANGEMENTS</w:t>
            </w:r>
          </w:p>
        </w:tc>
        <w:tc>
          <w:tcPr>
            <w:tcW w:w="940" w:type="dxa"/>
            <w:vAlign w:val="bottom"/>
          </w:tcPr>
          <w:p>
            <w:pPr>
              <w:spacing w:after="0"/>
              <w:rPr>
                <w:sz w:val="3"/>
                <w:szCs w:val="3"/>
                <w:color w:val="auto"/>
              </w:rPr>
            </w:pPr>
          </w:p>
        </w:tc>
        <w:tc>
          <w:tcPr>
            <w:tcW w:w="6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W have not entered into any</w:t>
            </w:r>
          </w:p>
        </w:tc>
        <w:tc>
          <w:tcPr>
            <w:tcW w:w="8820" w:type="dxa"/>
            <w:vAlign w:val="bottom"/>
            <w:gridSpan w:val="3"/>
          </w:tcPr>
          <w:p>
            <w:pPr>
              <w:ind w:left="120"/>
              <w:spacing w:after="0"/>
              <w:rPr>
                <w:sz w:val="20"/>
                <w:szCs w:val="20"/>
                <w:color w:val="auto"/>
              </w:rPr>
            </w:pPr>
            <w:r>
              <w:rPr>
                <w:rFonts w:ascii="Arial" w:cs="Arial" w:eastAsia="Arial" w:hAnsi="Arial"/>
                <w:sz w:val="3"/>
                <w:szCs w:val="3"/>
                <w:color w:val="FFFFFF"/>
              </w:rPr>
              <w:t>with special purpose entities nor do we engage in any transactions involving derivatives except for interest rate swaps. We do not have any retained or contingent</w:t>
            </w: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interest in assets transferred totransactionsunconsolidated entity.</w:t>
            </w:r>
          </w:p>
        </w:tc>
        <w:tc>
          <w:tcPr>
            <w:tcW w:w="940" w:type="dxa"/>
            <w:vAlign w:val="bottom"/>
          </w:tcPr>
          <w:p>
            <w:pPr>
              <w:spacing w:after="0"/>
              <w:rPr>
                <w:sz w:val="3"/>
                <w:szCs w:val="3"/>
                <w:color w:val="auto"/>
              </w:rPr>
            </w:pPr>
          </w:p>
        </w:tc>
        <w:tc>
          <w:tcPr>
            <w:tcW w:w="6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OTHER LIQUIDITY MATTERS</w:t>
            </w:r>
          </w:p>
        </w:tc>
        <w:tc>
          <w:tcPr>
            <w:tcW w:w="1300" w:type="dxa"/>
            <w:vAlign w:val="bottom"/>
          </w:tcPr>
          <w:p>
            <w:pPr>
              <w:spacing w:after="0"/>
              <w:rPr>
                <w:sz w:val="3"/>
                <w:szCs w:val="3"/>
                <w:color w:val="auto"/>
              </w:rPr>
            </w:pPr>
          </w:p>
        </w:tc>
        <w:tc>
          <w:tcPr>
            <w:tcW w:w="940" w:type="dxa"/>
            <w:vAlign w:val="bottom"/>
            <w:vMerge w:val="restart"/>
          </w:tcPr>
          <w:p>
            <w:pPr>
              <w:ind w:left="380"/>
              <w:spacing w:after="0"/>
              <w:rPr>
                <w:sz w:val="20"/>
                <w:szCs w:val="20"/>
                <w:color w:val="auto"/>
              </w:rPr>
            </w:pPr>
            <w:r>
              <w:rPr>
                <w:rFonts w:ascii="Arial" w:cs="Arial" w:eastAsia="Arial" w:hAnsi="Arial"/>
                <w:sz w:val="3"/>
                <w:szCs w:val="3"/>
                <w:color w:val="FFFFFF"/>
              </w:rPr>
              <w:t>from</w:t>
            </w:r>
          </w:p>
        </w:tc>
        <w:tc>
          <w:tcPr>
            <w:tcW w:w="6580" w:type="dxa"/>
            <w:vAlign w:val="bottom"/>
            <w:vMerge w:val="restart"/>
          </w:tcPr>
          <w:p>
            <w:pPr>
              <w:ind w:left="280"/>
              <w:spacing w:after="0"/>
              <w:rPr>
                <w:sz w:val="20"/>
                <w:szCs w:val="20"/>
                <w:color w:val="auto"/>
              </w:rPr>
            </w:pPr>
            <w:r>
              <w:rPr>
                <w:rFonts w:ascii="Arial" w:cs="Arial" w:eastAsia="Arial" w:hAnsi="Arial"/>
                <w:sz w:val="3"/>
                <w:szCs w:val="3"/>
                <w:color w:val="FFFFFF"/>
              </w:rPr>
              <w:t>cash fl ows, cash on hand and availability under the Wynn Macau Credit Facilities. However, we cannot be sure that</w:t>
            </w:r>
          </w:p>
        </w:tc>
        <w:tc>
          <w:tcPr>
            <w:tcW w:w="0" w:type="dxa"/>
            <w:vAlign w:val="bottom"/>
          </w:tcPr>
          <w:p>
            <w:pPr>
              <w:spacing w:after="0"/>
              <w:rPr>
                <w:sz w:val="1"/>
                <w:szCs w:val="1"/>
                <w:color w:val="auto"/>
              </w:rPr>
            </w:pPr>
          </w:p>
        </w:tc>
      </w:tr>
      <w:tr>
        <w:trPr>
          <w:trHeight w:val="0"/>
        </w:trPr>
        <w:tc>
          <w:tcPr>
            <w:tcW w:w="3480" w:type="dxa"/>
            <w:vAlign w:val="bottom"/>
            <w:gridSpan w:val="2"/>
          </w:tcPr>
          <w:p>
            <w:pPr>
              <w:spacing w:after="0" w:line="80" w:lineRule="exact"/>
              <w:rPr>
                <w:sz w:val="20"/>
                <w:szCs w:val="20"/>
                <w:color w:val="auto"/>
              </w:rPr>
            </w:pPr>
            <w:r>
              <w:rPr>
                <w:rFonts w:ascii="Arial" w:cs="Arial" w:eastAsia="Arial" w:hAnsi="Arial"/>
                <w:sz w:val="9"/>
                <w:szCs w:val="9"/>
                <w:color w:val="FFFFFF"/>
              </w:rPr>
              <w:t>W expect to fund our operations and capital expenditure</w:t>
            </w:r>
          </w:p>
        </w:tc>
        <w:tc>
          <w:tcPr>
            <w:tcW w:w="940" w:type="dxa"/>
            <w:vAlign w:val="bottom"/>
            <w:vMerge w:val="continue"/>
          </w:tcPr>
          <w:p>
            <w:pPr>
              <w:spacing w:after="0" w:line="20" w:lineRule="exact"/>
              <w:rPr>
                <w:sz w:val="1"/>
                <w:szCs w:val="1"/>
                <w:color w:val="auto"/>
              </w:rPr>
            </w:pPr>
          </w:p>
        </w:tc>
        <w:tc>
          <w:tcPr>
            <w:tcW w:w="6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tabs>
          <w:tab w:leader="none" w:pos="3100" w:val="left"/>
          <w:tab w:leader="none" w:pos="4140" w:val="left"/>
        </w:tabs>
        <w:rPr>
          <w:sz w:val="20"/>
          <w:szCs w:val="20"/>
          <w:color w:val="auto"/>
        </w:rPr>
      </w:pPr>
      <w:r>
        <w:rPr>
          <w:rFonts w:ascii="Arial" w:cs="Arial" w:eastAsia="Arial" w:hAnsi="Arial"/>
          <w:sz w:val="3"/>
          <w:szCs w:val="3"/>
          <w:color w:val="FFFFFF"/>
        </w:rPr>
        <w:t>opera</w:t>
      </w:r>
      <w:r>
        <w:rPr>
          <w:sz w:val="20"/>
          <w:szCs w:val="20"/>
          <w:color w:val="auto"/>
        </w:rPr>
        <w:tab/>
      </w:r>
      <w:r>
        <w:rPr>
          <w:rFonts w:ascii="Arial" w:cs="Arial" w:eastAsia="Arial" w:hAnsi="Arial"/>
          <w:sz w:val="3"/>
          <w:szCs w:val="3"/>
          <w:color w:val="FFFFFF"/>
        </w:rPr>
        <w:t>requirements</w:t>
      </w:r>
      <w:r>
        <w:rPr>
          <w:sz w:val="20"/>
          <w:szCs w:val="20"/>
          <w:color w:val="auto"/>
        </w:rPr>
        <w:tab/>
      </w:r>
      <w:r>
        <w:rPr>
          <w:rFonts w:ascii="Arial" w:cs="Arial" w:eastAsia="Arial" w:hAnsi="Arial"/>
          <w:sz w:val="3"/>
          <w:szCs w:val="3"/>
          <w:color w:val="FFFFFF"/>
        </w:rPr>
        <w:t>operating</w:t>
      </w:r>
    </w:p>
    <w:p>
      <w:pPr>
        <w:ind w:left="740" w:right="600" w:hanging="730"/>
        <w:spacing w:after="0" w:line="187" w:lineRule="auto"/>
        <w:rPr>
          <w:sz w:val="20"/>
          <w:szCs w:val="20"/>
          <w:color w:val="auto"/>
        </w:rPr>
      </w:pPr>
      <w:r>
        <w:rPr>
          <w:rFonts w:ascii="Arial" w:cs="Arial" w:eastAsia="Arial" w:hAnsi="Arial"/>
          <w:sz w:val="27"/>
          <w:szCs w:val="27"/>
          <w:color w:val="FFFFFF"/>
          <w:vertAlign w:val="subscript"/>
        </w:rPr>
        <w:t>indebtedness</w:t>
      </w:r>
      <w:r>
        <w:rPr>
          <w:rFonts w:ascii="Arial" w:cs="Arial" w:eastAsia="Arial" w:hAnsi="Arial"/>
          <w:sz w:val="14"/>
          <w:szCs w:val="14"/>
          <w:color w:val="FFFFFF"/>
        </w:rPr>
        <w:t>ingcash fl ows will be suffi cient for those purposes. W may refi nance all or</w:t>
      </w:r>
      <w:r>
        <w:rPr>
          <w:sz w:val="20"/>
          <w:szCs w:val="20"/>
          <w:color w:val="auto"/>
        </w:rPr>
        <w:t xml:space="preserve"> </w:t>
      </w:r>
      <w:r>
        <w:rPr>
          <w:rFonts w:ascii="Arial" w:cs="Arial" w:eastAsia="Arial" w:hAnsi="Arial"/>
          <w:sz w:val="7"/>
          <w:szCs w:val="7"/>
          <w:color w:val="FFFFFF"/>
        </w:rPr>
        <w:t>portion of our indebtedness on or before maturity. We cannot be sure that we will be able to refi nance any of the on</w:t>
      </w:r>
      <w:r>
        <w:rPr>
          <w:rFonts w:ascii="Arial" w:cs="Arial" w:eastAsia="Arial" w:hAnsi="Arial"/>
          <w:sz w:val="9"/>
          <w:szCs w:val="9"/>
          <w:color w:val="FFFFFF"/>
          <w:vertAlign w:val="subscript"/>
        </w:rPr>
        <w:t>developments</w:t>
      </w:r>
      <w:r>
        <w:rPr>
          <w:rFonts w:ascii="Arial" w:cs="Arial" w:eastAsia="Arial" w:hAnsi="Arial"/>
          <w:sz w:val="7"/>
          <w:szCs w:val="7"/>
          <w:color w:val="FFFFFF"/>
        </w:rPr>
        <w:t>accetableterms or at all.</w:t>
      </w:r>
    </w:p>
    <w:p>
      <w:pPr>
        <w:spacing w:after="0" w:line="211" w:lineRule="auto"/>
        <w:tabs>
          <w:tab w:leader="none" w:pos="1560" w:val="left"/>
        </w:tabs>
        <w:rPr>
          <w:sz w:val="20"/>
          <w:szCs w:val="20"/>
          <w:color w:val="auto"/>
        </w:rPr>
      </w:pPr>
      <w:r>
        <w:rPr>
          <w:rFonts w:ascii="Arial" w:cs="Arial" w:eastAsia="Arial" w:hAnsi="Arial"/>
          <w:sz w:val="3"/>
          <w:szCs w:val="3"/>
          <w:color w:val="FFFFFF"/>
        </w:rPr>
        <w:t>New business</w:t>
      </w:r>
      <w:r>
        <w:rPr>
          <w:sz w:val="20"/>
          <w:szCs w:val="20"/>
          <w:color w:val="auto"/>
        </w:rPr>
        <w:tab/>
      </w:r>
      <w:r>
        <w:rPr>
          <w:rFonts w:ascii="Arial" w:cs="Arial" w:eastAsia="Arial" w:hAnsi="Arial"/>
          <w:sz w:val="2"/>
          <w:szCs w:val="2"/>
          <w:color w:val="FFFFFF"/>
        </w:rPr>
        <w:t>(including our development of a project in Cotai) or other unforeseen events may occur, resulting</w:t>
      </w:r>
      <w:r>
        <w:rPr>
          <w:rFonts w:ascii="Arial" w:cs="Arial" w:eastAsia="Arial" w:hAnsi="Arial"/>
          <w:sz w:val="4"/>
          <w:szCs w:val="4"/>
          <w:color w:val="FFFFFF"/>
          <w:vertAlign w:val="subscript"/>
        </w:rPr>
        <w:t>nancing</w:t>
      </w:r>
      <w:r>
        <w:rPr>
          <w:rFonts w:ascii="Arial" w:cs="Arial" w:eastAsia="Arial" w:hAnsi="Arial"/>
          <w:sz w:val="2"/>
          <w:szCs w:val="2"/>
          <w:color w:val="FFFFFF"/>
        </w:rPr>
        <w:t xml:space="preserve"> the need to raise additional funds. There can be no assurances regarding the</w:t>
      </w:r>
    </w:p>
    <w:p>
      <w:pPr>
        <w:spacing w:after="0" w:line="188" w:lineRule="auto"/>
        <w:tabs>
          <w:tab w:leader="none" w:pos="6960" w:val="left"/>
        </w:tabs>
        <w:rPr>
          <w:sz w:val="20"/>
          <w:szCs w:val="20"/>
          <w:color w:val="auto"/>
        </w:rPr>
      </w:pPr>
      <w:r>
        <w:rPr>
          <w:rFonts w:ascii="Arial" w:cs="Arial" w:eastAsia="Arial" w:hAnsi="Arial"/>
          <w:sz w:val="9"/>
          <w:szCs w:val="9"/>
          <w:color w:val="FFFFFF"/>
        </w:rPr>
        <w:t>business prospects with respect to any other opportunity. Any other development would require us to obtain additional fi</w:t>
      </w:r>
      <w:r>
        <w:rPr>
          <w:sz w:val="20"/>
          <w:szCs w:val="20"/>
          <w:color w:val="auto"/>
        </w:rPr>
        <w:tab/>
      </w:r>
      <w:r>
        <w:rPr>
          <w:rFonts w:ascii="Arial" w:cs="Arial" w:eastAsia="Arial" w:hAnsi="Arial"/>
          <w:sz w:val="9"/>
          <w:szCs w:val="9"/>
          <w:color w:val="FFFFFF"/>
        </w:rPr>
        <w:t>.</w:t>
      </w:r>
    </w:p>
    <w:p>
      <w:pPr>
        <w:spacing w:after="0"/>
        <w:rPr>
          <w:sz w:val="20"/>
          <w:szCs w:val="20"/>
          <w:color w:val="auto"/>
        </w:rPr>
      </w:pPr>
      <w:r>
        <w:rPr>
          <w:rFonts w:ascii="Arial" w:cs="Arial" w:eastAsia="Arial" w:hAnsi="Arial"/>
          <w:sz w:val="3"/>
          <w:szCs w:val="3"/>
          <w:color w:val="FFFFFF"/>
        </w:rPr>
        <w:t>WeInthehaveordinaryincurredcourseand willofbusiness,continueintoresponseincurcapitaltomarketexpendituresdemandsrelatedandclienttothesepreferences,enhancementsandinandorderrefitonements.increase revenues, we have made and will continue to make enhancements and refi nements to our resort.</w:t>
      </w:r>
    </w:p>
    <w:p>
      <w:pPr>
        <w:spacing w:after="0" w:line="6" w:lineRule="exact"/>
        <w:rPr>
          <w:sz w:val="20"/>
          <w:szCs w:val="20"/>
          <w:color w:val="auto"/>
        </w:rPr>
      </w:pPr>
    </w:p>
    <w:p>
      <w:pPr>
        <w:spacing w:after="0" w:line="211" w:lineRule="auto"/>
        <w:rPr>
          <w:sz w:val="20"/>
          <w:szCs w:val="20"/>
          <w:color w:val="auto"/>
        </w:rPr>
      </w:pPr>
      <w:r>
        <w:rPr>
          <w:rFonts w:ascii="Arial" w:cs="Arial" w:eastAsia="Arial" w:hAnsi="Arial"/>
          <w:sz w:val="8"/>
          <w:szCs w:val="8"/>
          <w:color w:val="FFFFFF"/>
        </w:rPr>
        <w:t>Taking into consideration our fi nancial resources, including our cash and cash equivalents, internally generated funds and availability under the Wynn Macau Credit Facilities, we believe that we have suffi cient liquid assets to meet our working capital and operating requirements for the following 12 months.</w:t>
      </w:r>
    </w:p>
    <w:p>
      <w:pPr>
        <w:spacing w:after="0"/>
        <w:rPr>
          <w:sz w:val="20"/>
          <w:szCs w:val="20"/>
          <w:color w:val="auto"/>
        </w:rPr>
      </w:pPr>
      <w:r>
        <w:rPr>
          <w:rFonts w:ascii="Arial" w:cs="Arial" w:eastAsia="Arial" w:hAnsi="Arial"/>
          <w:sz w:val="3"/>
          <w:szCs w:val="3"/>
          <w:color w:val="FFFFFF"/>
        </w:rPr>
        <w:t>RELATED PARTY TRANSACTIONS</w:t>
      </w:r>
    </w:p>
    <w:p>
      <w:pPr>
        <w:spacing w:after="0" w:line="6" w:lineRule="exact"/>
        <w:rPr>
          <w:sz w:val="20"/>
          <w:szCs w:val="20"/>
          <w:color w:val="auto"/>
        </w:rPr>
      </w:pPr>
    </w:p>
    <w:p>
      <w:pPr>
        <w:ind w:left="220" w:right="80" w:hanging="220"/>
        <w:spacing w:after="0" w:line="199" w:lineRule="auto"/>
        <w:rPr>
          <w:sz w:val="20"/>
          <w:szCs w:val="20"/>
          <w:color w:val="auto"/>
        </w:rPr>
      </w:pPr>
      <w:r>
        <w:rPr>
          <w:rFonts w:ascii="Arial" w:cs="Arial" w:eastAsia="Arial" w:hAnsi="Arial"/>
          <w:sz w:val="21"/>
          <w:szCs w:val="21"/>
          <w:color w:val="FFFFFF"/>
          <w:vertAlign w:val="superscript"/>
        </w:rPr>
        <w:t>fair</w:t>
      </w:r>
      <w:r>
        <w:rPr>
          <w:rFonts w:ascii="Arial" w:cs="Arial" w:eastAsia="Arial" w:hAnsi="Arial"/>
          <w:sz w:val="11"/>
          <w:szCs w:val="11"/>
          <w:color w:val="FFFFFF"/>
        </w:rPr>
        <w:t>For details of the related party transactions, see note 27 to the Financial Statements. Our Directors confi rm that all related party transactions are conducted on normal commercial terms, and that their terms are and reasonable.</w:t>
      </w:r>
    </w:p>
    <w:p>
      <w:pPr>
        <w:sectPr>
          <w:pgSz w:w="11900" w:h="16838" w:orient="portrait"/>
          <w:cols w:equalWidth="0" w:num="1">
            <w:col w:w="11380"/>
          </w:cols>
          <w:pgMar w:left="240" w:top="1440" w:right="27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27</w:t>
      </w:r>
    </w:p>
    <w:p>
      <w:pPr>
        <w:spacing w:after="0"/>
        <w:rPr>
          <w:sz w:val="20"/>
          <w:szCs w:val="20"/>
          <w:color w:val="auto"/>
        </w:rPr>
      </w:pPr>
      <w:r>
        <w:rPr>
          <w:rFonts w:ascii="Arial" w:cs="Arial" w:eastAsia="Arial" w:hAnsi="Arial"/>
          <w:sz w:val="3"/>
          <w:szCs w:val="3"/>
          <w:color w:val="FFFFFF"/>
        </w:rPr>
        <w:t>Directors and Senior Management</w:t>
      </w:r>
    </w:p>
    <w:p>
      <w:pPr>
        <w:spacing w:after="0" w:line="181" w:lineRule="auto"/>
        <w:rPr>
          <w:sz w:val="20"/>
          <w:szCs w:val="20"/>
          <w:color w:val="auto"/>
        </w:rPr>
      </w:pPr>
      <w:r>
        <w:rPr>
          <w:rFonts w:ascii="Arial" w:cs="Arial" w:eastAsia="Arial" w:hAnsi="Arial"/>
          <w:sz w:val="10"/>
          <w:szCs w:val="10"/>
          <w:color w:val="FFFFFF"/>
        </w:rPr>
        <w:t>OUR DIRECTORS</w:t>
      </w:r>
    </w:p>
    <w:p>
      <w:pPr>
        <w:spacing w:after="0"/>
        <w:rPr>
          <w:sz w:val="20"/>
          <w:szCs w:val="20"/>
          <w:color w:val="auto"/>
        </w:rPr>
      </w:pPr>
      <w:r>
        <w:rPr>
          <w:rFonts w:ascii="Arial" w:cs="Arial" w:eastAsia="Arial" w:hAnsi="Arial"/>
          <w:sz w:val="3"/>
          <w:szCs w:val="3"/>
          <w:color w:val="FFFFFF"/>
        </w:rPr>
        <w:t>MembersThefollowingofourtableBoardpresents certain information in respect of the members of our Board (including Mr. Kazuo Okada*), during the year ended 31 December 2011.</w:t>
      </w:r>
    </w:p>
    <w:p>
      <w:pPr>
        <w:spacing w:after="0" w:line="181" w:lineRule="auto"/>
        <w:rPr>
          <w:sz w:val="20"/>
          <w:szCs w:val="20"/>
          <w:color w:val="auto"/>
        </w:rPr>
      </w:pPr>
      <w:r>
        <w:rPr>
          <w:rFonts w:ascii="Arial" w:cs="Arial" w:eastAsia="Arial" w:hAnsi="Arial"/>
          <w:sz w:val="10"/>
          <w:szCs w:val="10"/>
          <w:color w:val="FFFFFF"/>
        </w:rPr>
        <w:t>Name</w:t>
      </w:r>
    </w:p>
    <w:p>
      <w:pPr>
        <w:spacing w:after="0"/>
        <w:rPr>
          <w:sz w:val="20"/>
          <w:szCs w:val="20"/>
          <w:color w:val="auto"/>
        </w:rPr>
      </w:pPr>
      <w:r>
        <w:rPr>
          <w:rFonts w:ascii="Arial" w:cs="Arial" w:eastAsia="Arial" w:hAnsi="Arial"/>
          <w:sz w:val="3"/>
          <w:szCs w:val="3"/>
          <w:color w:val="FFFFFF"/>
        </w:rPr>
        <w:t>PositionAge</w:t>
      </w:r>
    </w:p>
    <w:p>
      <w:pPr>
        <w:spacing w:after="0" w:line="181" w:lineRule="auto"/>
        <w:rPr>
          <w:sz w:val="20"/>
          <w:szCs w:val="20"/>
          <w:color w:val="auto"/>
        </w:rPr>
      </w:pPr>
      <w:r>
        <w:rPr>
          <w:rFonts w:ascii="Arial" w:cs="Arial" w:eastAsia="Arial" w:hAnsi="Arial"/>
          <w:sz w:val="10"/>
          <w:szCs w:val="10"/>
          <w:color w:val="FFFFFF"/>
          <w:vertAlign w:val="superscript"/>
        </w:rPr>
        <w:t>Date of</w:t>
      </w:r>
      <w:r>
        <w:rPr>
          <w:rFonts w:ascii="Arial" w:cs="Arial" w:eastAsia="Arial" w:hAnsi="Arial"/>
          <w:sz w:val="7"/>
          <w:szCs w:val="7"/>
          <w:color w:val="FFFFFF"/>
        </w:rPr>
        <w:t xml:space="preserve"> Appointment</w:t>
      </w:r>
    </w:p>
    <w:p>
      <w:pPr>
        <w:spacing w:after="0" w:line="188" w:lineRule="auto"/>
        <w:tabs>
          <w:tab w:leader="none" w:pos="560" w:val="left"/>
        </w:tabs>
        <w:rPr>
          <w:sz w:val="20"/>
          <w:szCs w:val="20"/>
          <w:color w:val="auto"/>
        </w:rPr>
      </w:pPr>
      <w:r>
        <w:rPr>
          <w:rFonts w:ascii="Arial" w:cs="Arial" w:eastAsia="Arial" w:hAnsi="Arial"/>
          <w:sz w:val="9"/>
          <w:szCs w:val="9"/>
          <w:color w:val="FFFFFF"/>
        </w:rPr>
        <w:t>70Stephen</w:t>
        <w:tab/>
        <w:t>. Wynn</w:t>
      </w:r>
    </w:p>
    <w:p>
      <w:pPr>
        <w:spacing w:after="0" w:line="188" w:lineRule="auto"/>
        <w:rPr>
          <w:sz w:val="20"/>
          <w:szCs w:val="20"/>
          <w:color w:val="auto"/>
        </w:rPr>
      </w:pPr>
      <w:r>
        <w:rPr>
          <w:rFonts w:ascii="Arial" w:cs="Arial" w:eastAsia="Arial" w:hAnsi="Arial"/>
          <w:sz w:val="9"/>
          <w:szCs w:val="9"/>
          <w:color w:val="FFFFFF"/>
        </w:rPr>
        <w:t>16Chairman of the Board,</w:t>
      </w:r>
    </w:p>
    <w:p>
      <w:pPr>
        <w:spacing w:after="0"/>
        <w:rPr>
          <w:sz w:val="20"/>
          <w:szCs w:val="20"/>
          <w:color w:val="auto"/>
        </w:rPr>
      </w:pPr>
      <w:r>
        <w:rPr>
          <w:rFonts w:ascii="Arial" w:cs="Arial" w:eastAsia="Arial" w:hAnsi="Arial"/>
          <w:sz w:val="3"/>
          <w:szCs w:val="3"/>
          <w:color w:val="FFFFFF"/>
        </w:rPr>
        <w:t>2009September</w:t>
      </w:r>
    </w:p>
    <w:p>
      <w:pPr>
        <w:spacing w:after="0" w:line="194" w:lineRule="auto"/>
        <w:rPr>
          <w:sz w:val="20"/>
          <w:szCs w:val="20"/>
          <w:color w:val="auto"/>
        </w:rPr>
      </w:pPr>
      <w:r>
        <w:rPr>
          <w:rFonts w:ascii="Arial" w:cs="Arial" w:eastAsia="Arial" w:hAnsi="Arial"/>
          <w:sz w:val="5"/>
          <w:szCs w:val="5"/>
          <w:color w:val="FFFFFF"/>
        </w:rPr>
        <w:t>Executive Director,</w:t>
      </w:r>
    </w:p>
    <w:p>
      <w:pPr>
        <w:spacing w:after="0"/>
        <w:rPr>
          <w:sz w:val="20"/>
          <w:szCs w:val="20"/>
          <w:color w:val="auto"/>
        </w:rPr>
      </w:pPr>
      <w:r>
        <w:rPr>
          <w:rFonts w:ascii="Arial" w:cs="Arial" w:eastAsia="Arial" w:hAnsi="Arial"/>
          <w:sz w:val="3"/>
          <w:szCs w:val="3"/>
          <w:color w:val="FFFFFF"/>
        </w:rPr>
        <w:t>Chief Executive Officer</w:t>
      </w:r>
    </w:p>
    <w:p>
      <w:pPr>
        <w:spacing w:after="0" w:line="181" w:lineRule="auto"/>
        <w:rPr>
          <w:sz w:val="20"/>
          <w:szCs w:val="20"/>
          <w:color w:val="auto"/>
        </w:rPr>
      </w:pPr>
      <w:r>
        <w:rPr>
          <w:rFonts w:ascii="Arial" w:cs="Arial" w:eastAsia="Arial" w:hAnsi="Arial"/>
          <w:sz w:val="10"/>
          <w:szCs w:val="10"/>
          <w:color w:val="FFFFFF"/>
        </w:rPr>
        <w:t>and President</w:t>
      </w:r>
    </w:p>
    <w:p>
      <w:pPr>
        <w:spacing w:after="0" w:line="188" w:lineRule="auto"/>
        <w:rPr>
          <w:sz w:val="20"/>
          <w:szCs w:val="20"/>
          <w:color w:val="auto"/>
        </w:rPr>
      </w:pPr>
      <w:r>
        <w:rPr>
          <w:rFonts w:ascii="Arial" w:cs="Arial" w:eastAsia="Arial" w:hAnsi="Arial"/>
          <w:sz w:val="9"/>
          <w:szCs w:val="9"/>
          <w:color w:val="FFFFFF"/>
        </w:rPr>
        <w:t>45Linda Chen</w:t>
      </w:r>
    </w:p>
    <w:p>
      <w:pPr>
        <w:spacing w:after="0" w:line="188" w:lineRule="auto"/>
        <w:rPr>
          <w:sz w:val="20"/>
          <w:szCs w:val="20"/>
          <w:color w:val="auto"/>
        </w:rPr>
      </w:pPr>
      <w:r>
        <w:rPr>
          <w:rFonts w:ascii="Arial" w:cs="Arial" w:eastAsia="Arial" w:hAnsi="Arial"/>
          <w:sz w:val="9"/>
          <w:szCs w:val="9"/>
          <w:color w:val="FFFFFF"/>
        </w:rPr>
        <w:t>16Executive Director and</w:t>
      </w:r>
    </w:p>
    <w:p>
      <w:pPr>
        <w:spacing w:after="0"/>
        <w:rPr>
          <w:sz w:val="20"/>
          <w:szCs w:val="20"/>
          <w:color w:val="auto"/>
        </w:rPr>
      </w:pPr>
      <w:r>
        <w:rPr>
          <w:rFonts w:ascii="Arial" w:cs="Arial" w:eastAsia="Arial" w:hAnsi="Arial"/>
          <w:sz w:val="3"/>
          <w:szCs w:val="3"/>
          <w:color w:val="FFFFFF"/>
        </w:rPr>
        <w:t>2009September</w:t>
      </w:r>
    </w:p>
    <w:p>
      <w:pPr>
        <w:spacing w:after="0" w:line="181" w:lineRule="auto"/>
        <w:rPr>
          <w:sz w:val="20"/>
          <w:szCs w:val="20"/>
          <w:color w:val="auto"/>
        </w:rPr>
      </w:pPr>
      <w:r>
        <w:rPr>
          <w:rFonts w:ascii="Arial" w:cs="Arial" w:eastAsia="Arial" w:hAnsi="Arial"/>
          <w:sz w:val="10"/>
          <w:szCs w:val="10"/>
          <w:color w:val="FFFFFF"/>
        </w:rPr>
        <w:t>Chief Operating Officer</w:t>
      </w:r>
    </w:p>
    <w:p>
      <w:pPr>
        <w:spacing w:after="0" w:line="188" w:lineRule="auto"/>
        <w:rPr>
          <w:sz w:val="20"/>
          <w:szCs w:val="20"/>
          <w:color w:val="auto"/>
        </w:rPr>
      </w:pPr>
      <w:r>
        <w:rPr>
          <w:rFonts w:ascii="Arial" w:cs="Arial" w:eastAsia="Arial" w:hAnsi="Arial"/>
          <w:sz w:val="9"/>
          <w:szCs w:val="9"/>
          <w:color w:val="FFFFFF"/>
        </w:rPr>
        <w:t>52Ian Michael Coughlan</w:t>
      </w:r>
    </w:p>
    <w:p>
      <w:pPr>
        <w:spacing w:after="0" w:line="188" w:lineRule="auto"/>
        <w:rPr>
          <w:sz w:val="20"/>
          <w:szCs w:val="20"/>
          <w:color w:val="auto"/>
        </w:rPr>
      </w:pPr>
      <w:r>
        <w:rPr>
          <w:rFonts w:ascii="Arial" w:cs="Arial" w:eastAsia="Arial" w:hAnsi="Arial"/>
          <w:sz w:val="9"/>
          <w:szCs w:val="9"/>
          <w:color w:val="FFFFFF"/>
        </w:rPr>
        <w:t>16Executive Director</w:t>
      </w:r>
    </w:p>
    <w:p>
      <w:pPr>
        <w:spacing w:after="0" w:line="188" w:lineRule="auto"/>
        <w:rPr>
          <w:sz w:val="20"/>
          <w:szCs w:val="20"/>
          <w:color w:val="auto"/>
        </w:rPr>
      </w:pPr>
      <w:r>
        <w:rPr>
          <w:rFonts w:ascii="Arial" w:cs="Arial" w:eastAsia="Arial" w:hAnsi="Arial"/>
          <w:sz w:val="9"/>
          <w:szCs w:val="9"/>
          <w:color w:val="FFFFFF"/>
        </w:rPr>
        <w:t>2009September</w:t>
      </w:r>
    </w:p>
    <w:p>
      <w:pPr>
        <w:spacing w:after="0" w:line="188" w:lineRule="auto"/>
        <w:rPr>
          <w:sz w:val="20"/>
          <w:szCs w:val="20"/>
          <w:color w:val="auto"/>
        </w:rPr>
      </w:pPr>
      <w:r>
        <w:rPr>
          <w:rFonts w:ascii="Arial" w:cs="Arial" w:eastAsia="Arial" w:hAnsi="Arial"/>
          <w:sz w:val="9"/>
          <w:szCs w:val="9"/>
          <w:color w:val="FFFFFF"/>
        </w:rPr>
        <w:t>64Marc D. Schorr</w:t>
      </w:r>
    </w:p>
    <w:p>
      <w:pPr>
        <w:spacing w:after="0" w:line="188" w:lineRule="auto"/>
        <w:rPr>
          <w:sz w:val="20"/>
          <w:szCs w:val="20"/>
          <w:color w:val="auto"/>
        </w:rPr>
      </w:pPr>
      <w:r>
        <w:rPr>
          <w:rFonts w:ascii="Arial" w:cs="Arial" w:eastAsia="Arial" w:hAnsi="Arial"/>
          <w:sz w:val="9"/>
          <w:szCs w:val="9"/>
          <w:color w:val="FFFFFF"/>
        </w:rPr>
        <w:t>16Non-executive Director</w:t>
      </w:r>
    </w:p>
    <w:p>
      <w:pPr>
        <w:spacing w:after="0" w:line="188" w:lineRule="auto"/>
        <w:rPr>
          <w:sz w:val="20"/>
          <w:szCs w:val="20"/>
          <w:color w:val="auto"/>
        </w:rPr>
      </w:pPr>
      <w:r>
        <w:rPr>
          <w:rFonts w:ascii="Arial" w:cs="Arial" w:eastAsia="Arial" w:hAnsi="Arial"/>
          <w:sz w:val="9"/>
          <w:szCs w:val="9"/>
          <w:color w:val="FFFFFF"/>
        </w:rPr>
        <w:t>2009September</w:t>
      </w:r>
    </w:p>
    <w:p>
      <w:pPr>
        <w:spacing w:after="0" w:line="188" w:lineRule="auto"/>
        <w:rPr>
          <w:sz w:val="20"/>
          <w:szCs w:val="20"/>
          <w:color w:val="auto"/>
        </w:rPr>
      </w:pPr>
      <w:r>
        <w:rPr>
          <w:rFonts w:ascii="Arial" w:cs="Arial" w:eastAsia="Arial" w:hAnsi="Arial"/>
          <w:sz w:val="9"/>
          <w:szCs w:val="9"/>
          <w:color w:val="FFFFFF"/>
        </w:rPr>
        <w:t>63Allan Zeman, GBM, GBS, JP</w:t>
      </w:r>
    </w:p>
    <w:p>
      <w:pPr>
        <w:spacing w:after="0" w:line="188" w:lineRule="auto"/>
        <w:rPr>
          <w:sz w:val="20"/>
          <w:szCs w:val="20"/>
          <w:color w:val="auto"/>
        </w:rPr>
      </w:pPr>
      <w:r>
        <w:rPr>
          <w:rFonts w:ascii="Arial" w:cs="Arial" w:eastAsia="Arial" w:hAnsi="Arial"/>
          <w:sz w:val="9"/>
          <w:szCs w:val="9"/>
          <w:color w:val="FFFFFF"/>
        </w:rPr>
        <w:t>16Vice Chairman of the Board</w:t>
      </w:r>
    </w:p>
    <w:p>
      <w:pPr>
        <w:spacing w:after="0"/>
        <w:rPr>
          <w:sz w:val="20"/>
          <w:szCs w:val="20"/>
          <w:color w:val="auto"/>
        </w:rPr>
      </w:pPr>
      <w:r>
        <w:rPr>
          <w:rFonts w:ascii="Arial" w:cs="Arial" w:eastAsia="Arial" w:hAnsi="Arial"/>
          <w:sz w:val="3"/>
          <w:szCs w:val="3"/>
          <w:color w:val="FFFFFF"/>
        </w:rPr>
        <w:t>2009September</w:t>
      </w:r>
    </w:p>
    <w:p>
      <w:pPr>
        <w:spacing w:after="0" w:line="181" w:lineRule="auto"/>
        <w:rPr>
          <w:sz w:val="20"/>
          <w:szCs w:val="20"/>
          <w:color w:val="auto"/>
        </w:rPr>
      </w:pPr>
      <w:r>
        <w:rPr>
          <w:rFonts w:ascii="Arial" w:cs="Arial" w:eastAsia="Arial" w:hAnsi="Arial"/>
          <w:sz w:val="10"/>
          <w:szCs w:val="10"/>
          <w:color w:val="FFFFFF"/>
        </w:rPr>
        <w:t>and Non-executive Director</w:t>
      </w:r>
    </w:p>
    <w:p>
      <w:pPr>
        <w:spacing w:after="0"/>
        <w:rPr>
          <w:sz w:val="20"/>
          <w:szCs w:val="20"/>
          <w:color w:val="auto"/>
        </w:rPr>
      </w:pPr>
      <w:r>
        <w:rPr>
          <w:rFonts w:ascii="Arial" w:cs="Arial" w:eastAsia="Arial" w:hAnsi="Arial"/>
          <w:sz w:val="3"/>
          <w:szCs w:val="3"/>
          <w:color w:val="FFFFFF"/>
        </w:rPr>
        <w:t>60Jeffrey Kin-fung Lam, GBS, JP</w:t>
      </w:r>
    </w:p>
    <w:p>
      <w:pPr>
        <w:spacing w:after="0" w:line="190" w:lineRule="auto"/>
        <w:rPr>
          <w:sz w:val="20"/>
          <w:szCs w:val="20"/>
          <w:color w:val="auto"/>
        </w:rPr>
      </w:pPr>
      <w:r>
        <w:rPr>
          <w:rFonts w:ascii="Arial" w:cs="Arial" w:eastAsia="Arial" w:hAnsi="Arial"/>
          <w:sz w:val="14"/>
          <w:szCs w:val="14"/>
          <w:color w:val="FFFFFF"/>
        </w:rPr>
        <w:t>Independent16</w:t>
      </w:r>
    </w:p>
    <w:p>
      <w:pPr>
        <w:spacing w:after="0" w:line="188" w:lineRule="auto"/>
        <w:rPr>
          <w:sz w:val="20"/>
          <w:szCs w:val="20"/>
          <w:color w:val="auto"/>
        </w:rPr>
      </w:pPr>
      <w:r>
        <w:rPr>
          <w:rFonts w:ascii="Arial" w:cs="Arial" w:eastAsia="Arial" w:hAnsi="Arial"/>
          <w:sz w:val="9"/>
          <w:szCs w:val="9"/>
          <w:color w:val="FFFFFF"/>
        </w:rPr>
        <w:t>2009September</w:t>
      </w:r>
    </w:p>
    <w:p>
      <w:pPr>
        <w:spacing w:after="0" w:line="188" w:lineRule="auto"/>
        <w:rPr>
          <w:sz w:val="20"/>
          <w:szCs w:val="20"/>
          <w:color w:val="auto"/>
        </w:rPr>
      </w:pPr>
      <w:r>
        <w:rPr>
          <w:rFonts w:ascii="Arial" w:cs="Arial" w:eastAsia="Arial" w:hAnsi="Arial"/>
          <w:sz w:val="9"/>
          <w:szCs w:val="9"/>
          <w:color w:val="FFFFFF"/>
        </w:rPr>
        <w:t>BruceNon-executiveRockowitzDirector</w:t>
      </w:r>
    </w:p>
    <w:p>
      <w:pPr>
        <w:spacing w:after="0"/>
        <w:rPr>
          <w:sz w:val="20"/>
          <w:szCs w:val="20"/>
          <w:color w:val="auto"/>
        </w:rPr>
      </w:pPr>
      <w:r>
        <w:rPr>
          <w:rFonts w:ascii="Arial" w:cs="Arial" w:eastAsia="Arial" w:hAnsi="Arial"/>
          <w:sz w:val="3"/>
          <w:szCs w:val="3"/>
          <w:color w:val="FFFFFF"/>
        </w:rPr>
        <w:t>53</w:t>
      </w:r>
    </w:p>
    <w:p>
      <w:pPr>
        <w:spacing w:after="0" w:line="181" w:lineRule="auto"/>
        <w:rPr>
          <w:sz w:val="20"/>
          <w:szCs w:val="20"/>
          <w:color w:val="auto"/>
        </w:rPr>
      </w:pPr>
      <w:r>
        <w:rPr>
          <w:rFonts w:ascii="Arial" w:cs="Arial" w:eastAsia="Arial" w:hAnsi="Arial"/>
          <w:sz w:val="10"/>
          <w:szCs w:val="10"/>
          <w:color w:val="FFFFFF"/>
        </w:rPr>
        <w:t>16Independent</w:t>
      </w:r>
    </w:p>
    <w:p>
      <w:pPr>
        <w:spacing w:after="0"/>
        <w:rPr>
          <w:sz w:val="20"/>
          <w:szCs w:val="20"/>
          <w:color w:val="auto"/>
        </w:rPr>
      </w:pPr>
      <w:r>
        <w:rPr>
          <w:rFonts w:ascii="Arial" w:cs="Arial" w:eastAsia="Arial" w:hAnsi="Arial"/>
          <w:sz w:val="3"/>
          <w:szCs w:val="3"/>
          <w:color w:val="FFFFFF"/>
        </w:rPr>
        <w:t>2009September</w:t>
      </w:r>
    </w:p>
    <w:p>
      <w:pPr>
        <w:spacing w:after="0" w:line="194" w:lineRule="auto"/>
        <w:rPr>
          <w:sz w:val="20"/>
          <w:szCs w:val="20"/>
          <w:color w:val="auto"/>
        </w:rPr>
      </w:pPr>
      <w:r>
        <w:rPr>
          <w:rFonts w:ascii="Arial" w:cs="Arial" w:eastAsia="Arial" w:hAnsi="Arial"/>
          <w:sz w:val="5"/>
          <w:szCs w:val="5"/>
          <w:color w:val="FFFFFF"/>
          <w:vertAlign w:val="subscript"/>
        </w:rPr>
        <w:t>Nicholas</w:t>
      </w:r>
      <w:r>
        <w:rPr>
          <w:rFonts w:ascii="Arial" w:cs="Arial" w:eastAsia="Arial" w:hAnsi="Arial"/>
          <w:sz w:val="3"/>
          <w:szCs w:val="3"/>
          <w:color w:val="FFFFFF"/>
        </w:rPr>
        <w:t>on-executive Director</w:t>
      </w:r>
    </w:p>
    <w:p>
      <w:pPr>
        <w:spacing w:after="0" w:line="188" w:lineRule="auto"/>
        <w:tabs>
          <w:tab w:leader="none" w:pos="500" w:val="left"/>
        </w:tabs>
        <w:rPr>
          <w:sz w:val="20"/>
          <w:szCs w:val="20"/>
          <w:color w:val="auto"/>
        </w:rPr>
      </w:pPr>
      <w:r>
        <w:rPr>
          <w:rFonts w:ascii="Arial" w:cs="Arial" w:eastAsia="Arial" w:hAnsi="Arial"/>
          <w:sz w:val="9"/>
          <w:szCs w:val="9"/>
          <w:color w:val="FFFFFF"/>
        </w:rPr>
        <w:t>62</w:t>
      </w:r>
      <w:r>
        <w:rPr>
          <w:sz w:val="20"/>
          <w:szCs w:val="20"/>
          <w:color w:val="auto"/>
        </w:rPr>
        <w:tab/>
      </w:r>
      <w:r>
        <w:rPr>
          <w:rFonts w:ascii="Arial" w:cs="Arial" w:eastAsia="Arial" w:hAnsi="Arial"/>
          <w:sz w:val="9"/>
          <w:szCs w:val="9"/>
          <w:color w:val="FFFFFF"/>
        </w:rPr>
        <w:t>Sallnow-Smith</w:t>
      </w:r>
    </w:p>
    <w:p>
      <w:pPr>
        <w:spacing w:after="0"/>
        <w:rPr>
          <w:sz w:val="20"/>
          <w:szCs w:val="20"/>
          <w:color w:val="auto"/>
        </w:rPr>
      </w:pPr>
      <w:r>
        <w:rPr>
          <w:rFonts w:ascii="Arial" w:cs="Arial" w:eastAsia="Arial" w:hAnsi="Arial"/>
          <w:sz w:val="3"/>
          <w:szCs w:val="3"/>
          <w:color w:val="FFFFFF"/>
        </w:rPr>
        <w:t>Independent</w:t>
      </w:r>
    </w:p>
    <w:p>
      <w:pPr>
        <w:spacing w:after="0" w:line="181" w:lineRule="auto"/>
        <w:rPr>
          <w:sz w:val="20"/>
          <w:szCs w:val="20"/>
          <w:color w:val="auto"/>
        </w:rPr>
      </w:pPr>
      <w:r>
        <w:rPr>
          <w:rFonts w:ascii="Arial" w:cs="Arial" w:eastAsia="Arial" w:hAnsi="Arial"/>
          <w:sz w:val="10"/>
          <w:szCs w:val="10"/>
          <w:color w:val="FFFFFF"/>
        </w:rPr>
        <w:t>16</w:t>
      </w:r>
    </w:p>
    <w:p>
      <w:pPr>
        <w:spacing w:after="0" w:line="188" w:lineRule="auto"/>
        <w:rPr>
          <w:sz w:val="20"/>
          <w:szCs w:val="20"/>
          <w:color w:val="auto"/>
        </w:rPr>
      </w:pPr>
      <w:r>
        <w:rPr>
          <w:rFonts w:ascii="Arial" w:cs="Arial" w:eastAsia="Arial" w:hAnsi="Arial"/>
          <w:sz w:val="9"/>
          <w:szCs w:val="9"/>
          <w:color w:val="FFFFFF"/>
        </w:rPr>
        <w:t>2009September</w:t>
      </w:r>
    </w:p>
    <w:p>
      <w:pPr>
        <w:spacing w:after="0"/>
        <w:rPr>
          <w:sz w:val="20"/>
          <w:szCs w:val="20"/>
          <w:color w:val="auto"/>
        </w:rPr>
      </w:pPr>
      <w:r>
        <w:rPr>
          <w:rFonts w:ascii="Arial" w:cs="Arial" w:eastAsia="Arial" w:hAnsi="Arial"/>
          <w:sz w:val="3"/>
          <w:szCs w:val="3"/>
          <w:color w:val="FFFFFF"/>
        </w:rPr>
        <w:t>KazuoNon-executiveOkada* Director</w:t>
      </w:r>
    </w:p>
    <w:p>
      <w:pPr>
        <w:spacing w:after="0" w:line="181" w:lineRule="auto"/>
        <w:rPr>
          <w:sz w:val="20"/>
          <w:szCs w:val="20"/>
          <w:color w:val="auto"/>
        </w:rPr>
      </w:pPr>
      <w:r>
        <w:rPr>
          <w:rFonts w:ascii="Arial" w:cs="Arial" w:eastAsia="Arial" w:hAnsi="Arial"/>
          <w:sz w:val="10"/>
          <w:szCs w:val="10"/>
          <w:color w:val="FFFFFF"/>
        </w:rPr>
        <w:t>69</w:t>
      </w:r>
    </w:p>
    <w:p>
      <w:pPr>
        <w:spacing w:after="0" w:line="188" w:lineRule="auto"/>
        <w:rPr>
          <w:sz w:val="20"/>
          <w:szCs w:val="20"/>
          <w:color w:val="auto"/>
        </w:rPr>
      </w:pPr>
      <w:r>
        <w:rPr>
          <w:rFonts w:ascii="Arial" w:cs="Arial" w:eastAsia="Arial" w:hAnsi="Arial"/>
          <w:sz w:val="9"/>
          <w:szCs w:val="9"/>
          <w:color w:val="FFFFFF"/>
        </w:rPr>
        <w:t>16Non-executive Director</w:t>
      </w:r>
    </w:p>
    <w:p>
      <w:pPr>
        <w:spacing w:after="0"/>
        <w:rPr>
          <w:sz w:val="20"/>
          <w:szCs w:val="20"/>
          <w:color w:val="auto"/>
        </w:rPr>
      </w:pPr>
      <w:r>
        <w:rPr>
          <w:rFonts w:ascii="Arial" w:cs="Arial" w:eastAsia="Arial" w:hAnsi="Arial"/>
          <w:sz w:val="3"/>
          <w:szCs w:val="3"/>
          <w:color w:val="FFFFFF"/>
        </w:rPr>
        <w:t>2009September</w:t>
      </w:r>
    </w:p>
    <w:p>
      <w:pPr>
        <w:spacing w:after="0" w:line="181" w:lineRule="auto"/>
        <w:rPr>
          <w:sz w:val="20"/>
          <w:szCs w:val="20"/>
          <w:color w:val="auto"/>
        </w:rPr>
      </w:pPr>
      <w:r>
        <w:rPr>
          <w:rFonts w:ascii="Arial" w:cs="Arial" w:eastAsia="Arial" w:hAnsi="Arial"/>
          <w:sz w:val="7"/>
          <w:szCs w:val="7"/>
          <w:color w:val="FFFFFF"/>
        </w:rPr>
        <w:t>* Mr. Kazuo Okada ceased</w:t>
      </w:r>
      <w:r>
        <w:rPr>
          <w:rFonts w:ascii="Arial" w:cs="Arial" w:eastAsia="Arial" w:hAnsi="Arial"/>
          <w:sz w:val="10"/>
          <w:szCs w:val="10"/>
          <w:color w:val="FFFFFF"/>
          <w:vertAlign w:val="subscript"/>
        </w:rPr>
        <w:t>Director</w:t>
      </w:r>
      <w:r>
        <w:rPr>
          <w:rFonts w:ascii="Arial" w:cs="Arial" w:eastAsia="Arial" w:hAnsi="Arial"/>
          <w:sz w:val="7"/>
          <w:szCs w:val="7"/>
          <w:color w:val="FFFFFF"/>
        </w:rPr>
        <w:t>be a member of our Board on 24 February 2012.</w:t>
      </w:r>
    </w:p>
    <w:p>
      <w:pPr>
        <w:spacing w:after="0"/>
        <w:tabs>
          <w:tab w:leader="none" w:pos="1720" w:val="left"/>
        </w:tabs>
        <w:rPr>
          <w:sz w:val="20"/>
          <w:szCs w:val="20"/>
          <w:color w:val="auto"/>
        </w:rPr>
      </w:pPr>
      <w:r>
        <w:rPr>
          <w:rFonts w:ascii="Arial" w:cs="Arial" w:eastAsia="Arial" w:hAnsi="Arial"/>
          <w:sz w:val="2"/>
          <w:szCs w:val="2"/>
          <w:color w:val="FFFFFF"/>
        </w:rPr>
        <w:t>The</w:t>
      </w:r>
      <w:r>
        <w:rPr>
          <w:rFonts w:ascii="Arial" w:cs="Arial" w:eastAsia="Arial" w:hAnsi="Arial"/>
          <w:sz w:val="4"/>
          <w:szCs w:val="4"/>
          <w:color w:val="FFFFFF"/>
          <w:vertAlign w:val="subscript"/>
        </w:rPr>
        <w:t>Executive</w:t>
      </w:r>
      <w:r>
        <w:rPr>
          <w:rFonts w:ascii="Arial" w:cs="Arial" w:eastAsia="Arial" w:hAnsi="Arial"/>
          <w:sz w:val="2"/>
          <w:szCs w:val="2"/>
          <w:color w:val="FFFFFF"/>
        </w:rPr>
        <w:t>biographyDirectorsofeach</w:t>
      </w:r>
      <w:r>
        <w:rPr>
          <w:sz w:val="20"/>
          <w:szCs w:val="20"/>
          <w:color w:val="auto"/>
        </w:rPr>
        <w:tab/>
      </w:r>
      <w:r>
        <w:rPr>
          <w:rFonts w:ascii="Arial" w:cs="Arial" w:eastAsia="Arial" w:hAnsi="Arial"/>
          <w:sz w:val="3"/>
          <w:szCs w:val="3"/>
          <w:color w:val="FFFFFF"/>
        </w:rPr>
        <w:t>during the year ended 31 December 2011 is set out below:</w:t>
      </w:r>
    </w:p>
    <w:p>
      <w:pPr>
        <w:spacing w:after="0"/>
        <w:rPr>
          <w:sz w:val="20"/>
          <w:szCs w:val="20"/>
          <w:color w:val="auto"/>
        </w:rPr>
      </w:pPr>
      <w:r>
        <w:rPr>
          <w:rFonts w:ascii="Arial" w:cs="Arial" w:eastAsia="Arial" w:hAnsi="Arial"/>
          <w:sz w:val="8"/>
          <w:szCs w:val="8"/>
          <w:color w:val="FFFFFF"/>
        </w:rPr>
        <w:t>Mr. Stephen A. Wynn, aged 70, has been a Director of the Company since its inception and an executive Director, the Chairman of the Board of Directors, Chief Executive Offi cer and President of the Company since 16 September 2009. Mr. Wynn has served as Director, Chairman and Chief Executive Offi cer of WRM since October 2001. Mr. Wynn has also served</w:t>
      </w:r>
      <w:r>
        <w:rPr>
          <w:rFonts w:ascii="Arial" w:cs="Arial" w:eastAsia="Arial" w:hAnsi="Arial"/>
          <w:sz w:val="12"/>
          <w:szCs w:val="12"/>
          <w:color w:val="FFFFFF"/>
          <w:vertAlign w:val="superscript"/>
        </w:rPr>
        <w:t>was</w:t>
      </w:r>
      <w:r>
        <w:rPr>
          <w:rFonts w:ascii="Arial" w:cs="Arial" w:eastAsia="Arial" w:hAnsi="Arial"/>
          <w:sz w:val="8"/>
          <w:szCs w:val="8"/>
          <w:color w:val="FFFFFF"/>
        </w:rPr>
        <w:t>Chairman and Chief Executive Offi cer of Wynn Resorts, Limited since June 2002. Mr. Wynn has over 40 years of experience in the gaming casino industry. From April 2000 to September 2002, Mr. Wynn the</w:t>
      </w:r>
    </w:p>
    <w:p>
      <w:pPr>
        <w:sectPr>
          <w:pgSz w:w="11900" w:h="16838" w:orient="portrait"/>
          <w:cols w:equalWidth="0" w:num="1">
            <w:col w:w="11380"/>
          </w:cols>
          <w:pgMar w:left="240" w:top="1440" w:right="279" w:bottom="952"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28DirectorsWynn Macau,andSeniorLimitedMalvinonagement</w:t>
      </w:r>
    </w:p>
    <w:p>
      <w:pPr>
        <w:spacing w:after="0" w:line="181" w:lineRule="auto"/>
        <w:rPr>
          <w:sz w:val="20"/>
          <w:szCs w:val="20"/>
          <w:color w:val="auto"/>
        </w:rPr>
      </w:pPr>
      <w:r>
        <w:rPr>
          <w:rFonts w:ascii="Arial" w:cs="Arial" w:eastAsia="Arial" w:hAnsi="Arial"/>
          <w:sz w:val="7"/>
          <w:szCs w:val="7"/>
          <w:color w:val="FFFFFF"/>
        </w:rPr>
        <w:t>Resorts,managingLimited.memberMr.of VWynn servedLamore,asChairman,LLC,the predecessorPresidentandandChiefacurrentExecutivewhollyOffiownedcerofsubsidiaryMirageResorts,ofWynnInc.Resorts,anditsLimited.predecessor,Mr. WynnGoldenalsoNuggetservesInc.,asanbetweenofficer1973and/oranddirector2000. Mr.ofseveralWynn developedsubsidiariesandof Wynn opened The Mirage, Treasure Island and Bellagio in 1989, 1993 and 1998, respectively. Mr. Wynn has also served as an outside director of Monaco QD International Hotels and Resort Management since</w:t>
      </w:r>
    </w:p>
    <w:p>
      <w:pPr>
        <w:ind w:right="480"/>
        <w:spacing w:after="0" w:line="181" w:lineRule="auto"/>
        <w:rPr>
          <w:sz w:val="20"/>
          <w:szCs w:val="20"/>
          <w:color w:val="auto"/>
        </w:rPr>
      </w:pPr>
      <w:r>
        <w:rPr>
          <w:rFonts w:ascii="Arial" w:cs="Arial" w:eastAsia="Arial" w:hAnsi="Arial"/>
          <w:sz w:val="7"/>
          <w:szCs w:val="7"/>
          <w:color w:val="FFFFFF"/>
        </w:rPr>
        <w:t>Ms.DecemberLinda 2010.Chen, Inaged2011,45, Barron’hasbeen rankedexecutiveMr.WynnDirectorasoneandofthetheChiefworld’sOperating30best CEOs.Officer of the Company since 16 September 2009 and Chief Operating Offi cer of WRM since June 2002. Ms. Chen is internationalresponsblefor the marketing and strategic development of WRM. Ms. Chen is also a director of Wynn Resorts, Limited and President of WIML. In these positions, she is responsible for the setup of</w:t>
      </w:r>
    </w:p>
    <w:p>
      <w:pPr>
        <w:ind w:left="10880"/>
        <w:spacing w:after="0"/>
        <w:rPr>
          <w:sz w:val="20"/>
          <w:szCs w:val="20"/>
          <w:color w:val="auto"/>
        </w:rPr>
      </w:pPr>
      <w:r>
        <w:rPr>
          <w:rFonts w:ascii="Arial" w:cs="Arial" w:eastAsia="Arial" w:hAnsi="Arial"/>
          <w:sz w:val="1"/>
          <w:szCs w:val="1"/>
          <w:color w:val="FFFFFF"/>
        </w:rPr>
        <w:t>until May 2002,marketingandwasoperationsresponsibleof forWynnthe Resorts,internationalLimited. Prior tooperationsjoiningtheforGroup,MGMMs.Grand,ChenBellagiowasExecutiveandThe ViceMirage.PresidentPrior to—thisInternationalposition,Ms.MarketingChenservedatMGMastheMirage,ExecutivearoleViceshe PresidentheldfromofJuneInternational2000</w:t>
      </w:r>
    </w:p>
    <w:p>
      <w:pPr>
        <w:ind w:right="460"/>
        <w:spacing w:after="0"/>
        <w:rPr>
          <w:sz w:val="20"/>
          <w:szCs w:val="20"/>
          <w:color w:val="auto"/>
        </w:rPr>
      </w:pPr>
      <w:r>
        <w:rPr>
          <w:rFonts w:ascii="Arial" w:cs="Arial" w:eastAsia="Arial" w:hAnsi="Arial"/>
          <w:sz w:val="6"/>
          <w:szCs w:val="6"/>
          <w:color w:val="FFFFFF"/>
        </w:rPr>
        <w:t>Marketing for Bellagio and was involved with its openingmarketing1998.She was also involved in the opening of the MGM Grand in 1993 and The Mirage in 1989. Ms. Chen is also a member of the Nanjing Committee of the Chinese People’</w:t>
      </w:r>
      <w:r>
        <w:rPr>
          <w:rFonts w:ascii="Arial" w:cs="Arial" w:eastAsia="Arial" w:hAnsi="Arial"/>
          <w:sz w:val="7"/>
          <w:szCs w:val="7"/>
          <w:color w:val="FFFFFF"/>
          <w:vertAlign w:val="subscript"/>
        </w:rPr>
        <w:t>Business</w:t>
      </w:r>
      <w:r>
        <w:rPr>
          <w:rFonts w:ascii="Arial" w:cs="Arial" w:eastAsia="Arial" w:hAnsi="Arial"/>
          <w:sz w:val="6"/>
          <w:szCs w:val="6"/>
          <w:color w:val="FFFFFF"/>
        </w:rPr>
        <w:t>Political Consultative Conference (Macau). Ms. Chen holds a Bachelor of Science Degree in Hotel Administration from Cornell University in 1989 and completed the</w:t>
      </w:r>
    </w:p>
    <w:p>
      <w:pPr>
        <w:spacing w:after="0" w:line="189" w:lineRule="auto"/>
        <w:tabs>
          <w:tab w:leader="none" w:pos="2080" w:val="left"/>
        </w:tabs>
        <w:rPr>
          <w:sz w:val="20"/>
          <w:szCs w:val="20"/>
          <w:color w:val="auto"/>
        </w:rPr>
      </w:pPr>
      <w:r>
        <w:rPr>
          <w:rFonts w:ascii="Arial" w:cs="Arial" w:eastAsia="Arial" w:hAnsi="Arial"/>
          <w:sz w:val="9"/>
          <w:szCs w:val="9"/>
          <w:color w:val="FFFFFF"/>
        </w:rPr>
        <w:t>Stanford Graduate School of</w:t>
      </w:r>
      <w:r>
        <w:rPr>
          <w:sz w:val="20"/>
          <w:szCs w:val="20"/>
          <w:color w:val="auto"/>
        </w:rPr>
        <w:tab/>
      </w:r>
      <w:r>
        <w:rPr>
          <w:rFonts w:ascii="Arial" w:cs="Arial" w:eastAsia="Arial" w:hAnsi="Arial"/>
          <w:sz w:val="9"/>
          <w:szCs w:val="9"/>
          <w:color w:val="FFFFFF"/>
        </w:rPr>
        <w:t>Executive Development Program in 1997.</w:t>
      </w:r>
    </w:p>
    <w:p>
      <w:pPr>
        <w:ind w:right="40"/>
        <w:spacing w:after="0"/>
        <w:rPr>
          <w:sz w:val="20"/>
          <w:szCs w:val="20"/>
          <w:color w:val="auto"/>
        </w:rPr>
      </w:pPr>
      <w:r>
        <w:rPr>
          <w:rFonts w:ascii="Arial" w:cs="Arial" w:eastAsia="Arial" w:hAnsi="Arial"/>
          <w:sz w:val="6"/>
          <w:szCs w:val="6"/>
          <w:color w:val="FFFFFF"/>
        </w:rPr>
        <w:t>Mr. Ian Michael Coughlan, aged 52, has been an executive Director of the Company since 16 September 2009. Mr. Coughlan is also the President of WRM, a position he has held since July 2007. In this role, he is responsible for the</w:t>
      </w:r>
      <w:r>
        <w:rPr>
          <w:rFonts w:ascii="Arial" w:cs="Arial" w:eastAsia="Arial" w:hAnsi="Arial"/>
          <w:sz w:val="7"/>
          <w:szCs w:val="7"/>
          <w:color w:val="FFFFFF"/>
          <w:vertAlign w:val="subscript"/>
        </w:rPr>
        <w:t>experience</w:t>
      </w:r>
      <w:r>
        <w:rPr>
          <w:rFonts w:ascii="Arial" w:cs="Arial" w:eastAsia="Arial" w:hAnsi="Arial"/>
          <w:sz w:val="6"/>
          <w:szCs w:val="6"/>
          <w:color w:val="FFFFFF"/>
        </w:rPr>
        <w:t>entireoperation and development of Wynn Macau. Prior to this role, Mr. Coughlan was Director of Hotel Operations — Worldwide for Wynn Resorts, Limited. Mr. Coughlan has over 30</w:t>
      </w:r>
    </w:p>
    <w:p>
      <w:pPr>
        <w:spacing w:after="0" w:line="1" w:lineRule="exact"/>
        <w:rPr>
          <w:sz w:val="20"/>
          <w:szCs w:val="20"/>
          <w:color w:val="auto"/>
        </w:rPr>
      </w:pPr>
    </w:p>
    <w:p>
      <w:pPr>
        <w:ind w:right="160"/>
        <w:spacing w:after="0" w:line="186" w:lineRule="auto"/>
        <w:rPr>
          <w:sz w:val="20"/>
          <w:szCs w:val="20"/>
          <w:color w:val="auto"/>
        </w:rPr>
      </w:pPr>
      <w:r>
        <w:rPr>
          <w:rFonts w:ascii="Arial" w:cs="Arial" w:eastAsia="Arial" w:hAnsi="Arial"/>
          <w:sz w:val="9"/>
          <w:szCs w:val="9"/>
          <w:color w:val="FFFFFF"/>
        </w:rPr>
        <w:t>years of hospitality with leading hotels across Asia, Europe and the United States. Before joining Wynn Resorts, Limited, he spent ten years with The Peninsula Group, including posts as General Manager of The Peninsula Hong Kong from September 2004 to January 2007, and General Manager of The Peninsula Bangkok from September 1999 to August 2004. His previous assignments include senior management positions at The Oriental Singapore, and a number of Ritz-Carlton properties in the United States. Mr. Coughlan has a Diploma from Shannon College of Hotel Management, Ireland.</w:t>
      </w:r>
    </w:p>
    <w:p>
      <w:pPr>
        <w:sectPr>
          <w:pgSz w:w="11900" w:h="16838" w:orient="portrait"/>
          <w:cols w:equalWidth="0" w:num="1">
            <w:col w:w="11400"/>
          </w:cols>
          <w:pgMar w:left="240" w:top="1440" w:right="2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2"/>
          </w:tcPr>
          <w:p>
            <w:pPr>
              <w:spacing w:after="0"/>
              <w:rPr>
                <w:sz w:val="20"/>
                <w:szCs w:val="20"/>
                <w:color w:val="auto"/>
              </w:rPr>
            </w:pPr>
            <w:r>
              <w:rPr>
                <w:rFonts w:ascii="Arial" w:cs="Arial" w:eastAsia="Arial" w:hAnsi="Arial"/>
                <w:sz w:val="14"/>
                <w:szCs w:val="14"/>
                <w:color w:val="FFFFFF"/>
              </w:rPr>
              <w:t>Annual Report 2011 29</w:t>
            </w: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2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Non-executive Directors</w:t>
            </w:r>
          </w:p>
        </w:tc>
        <w:tc>
          <w:tcPr>
            <w:tcW w:w="2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Mr. Kazuo Okada, aged 69, ceased to be a member of our Board on 24 February 2012. Prior to Mr. Okada’s Removal (as described on page 57 of this Annual Report), he had been, since 16 September 2009, a</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non-executive director of the Company. Mr. Okada is currently  non-executive director of Wynn Resorts, Limited and had served as Vice Chairman of the board of Wynn Resorts, Limited between October 2002</w:t>
            </w:r>
          </w:p>
        </w:tc>
        <w:tc>
          <w:tcPr>
            <w:tcW w:w="0" w:type="dxa"/>
            <w:vAlign w:val="bottom"/>
          </w:tcPr>
          <w:p>
            <w:pPr>
              <w:spacing w:after="0"/>
              <w:rPr>
                <w:sz w:val="1"/>
                <w:szCs w:val="1"/>
                <w:color w:val="auto"/>
              </w:rPr>
            </w:pP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and October 2011. The board of Wynn</w:t>
            </w:r>
          </w:p>
        </w:tc>
        <w:tc>
          <w:tcPr>
            <w:tcW w:w="200" w:type="dxa"/>
            <w:vAlign w:val="bottom"/>
          </w:tcPr>
          <w:p>
            <w:pPr>
              <w:spacing w:after="0"/>
              <w:rPr>
                <w:sz w:val="3"/>
                <w:szCs w:val="3"/>
                <w:color w:val="auto"/>
              </w:rPr>
            </w:pPr>
          </w:p>
        </w:tc>
        <w:tc>
          <w:tcPr>
            <w:tcW w:w="9100" w:type="dxa"/>
            <w:vAlign w:val="bottom"/>
            <w:gridSpan w:val="4"/>
          </w:tcPr>
          <w:p>
            <w:pPr>
              <w:jc w:val="right"/>
              <w:ind w:right="63"/>
              <w:spacing w:after="0"/>
              <w:rPr>
                <w:sz w:val="20"/>
                <w:szCs w:val="20"/>
                <w:color w:val="auto"/>
              </w:rPr>
            </w:pPr>
            <w:r>
              <w:rPr>
                <w:rFonts w:ascii="Arial" w:cs="Arial" w:eastAsia="Arial" w:hAnsi="Arial"/>
                <w:sz w:val="3"/>
                <w:szCs w:val="3"/>
                <w:color w:val="FFFFFF"/>
              </w:rPr>
              <w:t>Limited announced on 19 February 2012 that  requested Mr. Okada to resign as  director of Wynn Resorts, Limited. Mr. Okada was removed from the board of</w:t>
            </w: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directors of Wynn Las Vegas Capital Corp.Resorts,awholly-owned subsidiary of Wynn Resorts, Limited on 18 February 2012. On 7</w:t>
            </w:r>
          </w:p>
        </w:tc>
        <w:tc>
          <w:tcPr>
            <w:tcW w:w="4600" w:type="dxa"/>
            <w:vAlign w:val="bottom"/>
            <w:gridSpan w:val="2"/>
          </w:tcPr>
          <w:p>
            <w:pPr>
              <w:jc w:val="right"/>
              <w:ind w:right="403"/>
              <w:spacing w:after="0"/>
              <w:rPr>
                <w:sz w:val="20"/>
                <w:szCs w:val="20"/>
                <w:color w:val="auto"/>
              </w:rPr>
            </w:pPr>
            <w:r>
              <w:rPr>
                <w:rFonts w:ascii="Arial" w:cs="Arial" w:eastAsia="Arial" w:hAnsi="Arial"/>
                <w:sz w:val="3"/>
                <w:szCs w:val="3"/>
                <w:color w:val="FFFFFF"/>
              </w:rPr>
              <w:t>March 2012, Wynn Resorts, Limited fi led with the SEC a preliminary proxy</w:t>
            </w: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statement for a special meeting of stockholders of Wynn Resorts, Limited to be held for the purpose of voting on a</w:t>
            </w:r>
          </w:p>
        </w:tc>
        <w:tc>
          <w:tcPr>
            <w:tcW w:w="4600" w:type="dxa"/>
            <w:vAlign w:val="bottom"/>
            <w:gridSpan w:val="2"/>
          </w:tcPr>
          <w:p>
            <w:pPr>
              <w:jc w:val="right"/>
              <w:ind w:right="2303"/>
              <w:spacing w:after="0"/>
              <w:rPr>
                <w:sz w:val="20"/>
                <w:szCs w:val="20"/>
                <w:color w:val="auto"/>
              </w:rPr>
            </w:pPr>
            <w:r>
              <w:rPr>
                <w:rFonts w:ascii="Arial" w:cs="Arial" w:eastAsia="Arial" w:hAnsi="Arial"/>
                <w:sz w:val="3"/>
                <w:szCs w:val="3"/>
                <w:color w:val="FFFFFF"/>
              </w:rPr>
              <w:t>remove Mr. Okada as a director of WRL.</w:t>
            </w:r>
          </w:p>
        </w:tc>
        <w:tc>
          <w:tcPr>
            <w:tcW w:w="0" w:type="dxa"/>
            <w:vAlign w:val="bottom"/>
          </w:tcPr>
          <w:p>
            <w:pPr>
              <w:spacing w:after="0"/>
              <w:rPr>
                <w:sz w:val="1"/>
                <w:szCs w:val="1"/>
                <w:color w:val="auto"/>
              </w:rPr>
            </w:pP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Mr. Marc D. Sc orr, aged 64, has been</w:t>
            </w:r>
          </w:p>
        </w:tc>
        <w:tc>
          <w:tcPr>
            <w:tcW w:w="9300" w:type="dxa"/>
            <w:vAlign w:val="bottom"/>
            <w:gridSpan w:val="5"/>
          </w:tcPr>
          <w:p>
            <w:pPr>
              <w:jc w:val="right"/>
              <w:ind w:right="183"/>
              <w:spacing w:after="0"/>
              <w:rPr>
                <w:sz w:val="20"/>
                <w:szCs w:val="20"/>
                <w:color w:val="auto"/>
              </w:rPr>
            </w:pPr>
            <w:r>
              <w:rPr>
                <w:rFonts w:ascii="Arial" w:cs="Arial" w:eastAsia="Arial" w:hAnsi="Arial"/>
                <w:sz w:val="3"/>
                <w:szCs w:val="3"/>
                <w:color w:val="FFFFFF"/>
              </w:rPr>
              <w:t>non-executive Director of the Company since 16 September 2009, and is alsoproposaldirector of WRM. He is also the Chief Operating Offi cer of Wynn Resorts, Limited, a</w:t>
            </w: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position he has held since June 2002, and</w:t>
            </w:r>
          </w:p>
        </w:tc>
        <w:tc>
          <w:tcPr>
            <w:tcW w:w="9100" w:type="dxa"/>
            <w:vAlign w:val="bottom"/>
            <w:gridSpan w:val="4"/>
          </w:tcPr>
          <w:p>
            <w:pPr>
              <w:jc w:val="right"/>
              <w:spacing w:after="0"/>
              <w:rPr>
                <w:sz w:val="20"/>
                <w:szCs w:val="20"/>
                <w:color w:val="auto"/>
              </w:rPr>
            </w:pPr>
            <w:r>
              <w:rPr>
                <w:rFonts w:ascii="Arial" w:cs="Arial" w:eastAsia="Arial" w:hAnsi="Arial"/>
                <w:sz w:val="3"/>
                <w:szCs w:val="3"/>
                <w:color w:val="FFFFFF"/>
              </w:rPr>
              <w:t>director of WRL since 29 July 2010. Mr. Schorr has over 30 years of experience in the casino gaming industry. From June 2000 through April 2001, Mr. Schorr served</w:t>
            </w:r>
          </w:p>
        </w:tc>
        <w:tc>
          <w:tcPr>
            <w:tcW w:w="0" w:type="dxa"/>
            <w:vAlign w:val="bottom"/>
          </w:tcPr>
          <w:p>
            <w:pPr>
              <w:spacing w:after="0"/>
              <w:rPr>
                <w:sz w:val="1"/>
                <w:szCs w:val="1"/>
                <w:color w:val="auto"/>
              </w:rPr>
            </w:pP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as Chief Operating Offi cer of Valvino</w:t>
            </w:r>
          </w:p>
        </w:tc>
        <w:tc>
          <w:tcPr>
            <w:tcW w:w="9300" w:type="dxa"/>
            <w:vAlign w:val="bottom"/>
            <w:gridSpan w:val="5"/>
          </w:tcPr>
          <w:p>
            <w:pPr>
              <w:jc w:val="right"/>
              <w:ind w:right="43"/>
              <w:spacing w:after="0"/>
              <w:rPr>
                <w:sz w:val="20"/>
                <w:szCs w:val="20"/>
                <w:color w:val="auto"/>
              </w:rPr>
            </w:pPr>
            <w:r>
              <w:rPr>
                <w:rFonts w:ascii="Arial" w:cs="Arial" w:eastAsia="Arial" w:hAnsi="Arial"/>
                <w:sz w:val="3"/>
                <w:szCs w:val="3"/>
                <w:color w:val="FFFFFF"/>
              </w:rPr>
              <w:t>Lamore, LLC. Prior to joining the Group, Mr. Schorr held various positions including President of The Mirage Casino-Hotel from January 1997 until May 2000 and Chief</w:t>
            </w:r>
          </w:p>
        </w:tc>
        <w:tc>
          <w:tcPr>
            <w:tcW w:w="0" w:type="dxa"/>
            <w:vAlign w:val="bottom"/>
          </w:tcPr>
          <w:p>
            <w:pPr>
              <w:spacing w:after="0"/>
              <w:rPr>
                <w:sz w:val="1"/>
                <w:szCs w:val="1"/>
                <w:color w:val="auto"/>
              </w:rPr>
            </w:pPr>
          </w:p>
        </w:tc>
      </w:tr>
      <w:tr>
        <w:trPr>
          <w:trHeight w:val="41"/>
        </w:trPr>
        <w:tc>
          <w:tcPr>
            <w:tcW w:w="8780" w:type="dxa"/>
            <w:vAlign w:val="bottom"/>
            <w:gridSpan w:val="6"/>
          </w:tcPr>
          <w:p>
            <w:pPr>
              <w:spacing w:after="0"/>
              <w:rPr>
                <w:sz w:val="20"/>
                <w:szCs w:val="20"/>
                <w:color w:val="auto"/>
              </w:rPr>
            </w:pPr>
            <w:r>
              <w:rPr>
                <w:rFonts w:ascii="Arial" w:cs="Arial" w:eastAsia="Arial" w:hAnsi="Arial"/>
                <w:sz w:val="3"/>
                <w:szCs w:val="3"/>
                <w:color w:val="FFFFFF"/>
              </w:rPr>
              <w:t>Execut ve Offi cer of Treasure Island at The Mirage from August 1992. In 1989, as President and Chief Executive Offi cer of the Golden Nugget   Laughlin,</w:t>
            </w:r>
          </w:p>
        </w:tc>
        <w:tc>
          <w:tcPr>
            <w:tcW w:w="2620" w:type="dxa"/>
            <w:vAlign w:val="bottom"/>
          </w:tcPr>
          <w:p>
            <w:pPr>
              <w:jc w:val="right"/>
              <w:ind w:right="423"/>
              <w:spacing w:after="0"/>
              <w:rPr>
                <w:sz w:val="20"/>
                <w:szCs w:val="20"/>
                <w:color w:val="auto"/>
              </w:rPr>
            </w:pPr>
            <w:r>
              <w:rPr>
                <w:rFonts w:ascii="Arial" w:cs="Arial" w:eastAsia="Arial" w:hAnsi="Arial"/>
                <w:sz w:val="3"/>
                <w:szCs w:val="3"/>
                <w:color w:val="FFFFFF"/>
              </w:rPr>
              <w:t>he managed its multi-million dollar</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expansion program. Preceding that in 1984, as director of Casino Marketing for the Golden Nugget in Las Vegas, he established a casino marketing departmentNevada,andbranch offi ce network throughout the</w:t>
            </w: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United Stat s.</w:t>
            </w: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7340" w:type="dxa"/>
            <w:vAlign w:val="bottom"/>
            <w:gridSpan w:val="3"/>
            <w:vMerge w:val="restart"/>
          </w:tcPr>
          <w:p>
            <w:pPr>
              <w:jc w:val="right"/>
              <w:ind w:right="423"/>
              <w:spacing w:after="0" w:line="81" w:lineRule="exact"/>
              <w:rPr>
                <w:sz w:val="20"/>
                <w:szCs w:val="20"/>
                <w:color w:val="auto"/>
              </w:rPr>
            </w:pPr>
            <w:r>
              <w:rPr>
                <w:rFonts w:ascii="Arial" w:cs="Arial" w:eastAsia="Arial" w:hAnsi="Arial"/>
                <w:sz w:val="9"/>
                <w:szCs w:val="9"/>
                <w:color w:val="FFFFFF"/>
              </w:rPr>
              <w:t>since its inception and a non-executive Director of the Company since 16 September 2009 and is the Vice Chairman of the</w:t>
            </w:r>
          </w:p>
        </w:tc>
        <w:tc>
          <w:tcPr>
            <w:tcW w:w="0" w:type="dxa"/>
            <w:vAlign w:val="bottom"/>
          </w:tcPr>
          <w:p>
            <w:pPr>
              <w:spacing w:after="0"/>
              <w:rPr>
                <w:sz w:val="1"/>
                <w:szCs w:val="1"/>
                <w:color w:val="auto"/>
              </w:rPr>
            </w:pPr>
          </w:p>
        </w:tc>
      </w:tr>
      <w:tr>
        <w:trPr>
          <w:trHeight w:val="41"/>
        </w:trPr>
        <w:tc>
          <w:tcPr>
            <w:tcW w:w="4060" w:type="dxa"/>
            <w:vAlign w:val="bottom"/>
            <w:gridSpan w:val="4"/>
          </w:tcPr>
          <w:p>
            <w:pPr>
              <w:spacing w:after="0"/>
              <w:rPr>
                <w:sz w:val="20"/>
                <w:szCs w:val="20"/>
                <w:color w:val="auto"/>
              </w:rPr>
            </w:pPr>
            <w:r>
              <w:rPr>
                <w:rFonts w:ascii="Arial" w:cs="Arial" w:eastAsia="Arial" w:hAnsi="Arial"/>
                <w:sz w:val="3"/>
                <w:szCs w:val="3"/>
                <w:color w:val="FFFFFF"/>
              </w:rPr>
              <w:t>Dr. Allan Zeman, GBM, GBS, JP, aged 63, has been a Director of the</w:t>
            </w:r>
          </w:p>
        </w:tc>
        <w:tc>
          <w:tcPr>
            <w:tcW w:w="7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Company. He is also</w:t>
            </w:r>
          </w:p>
        </w:tc>
        <w:tc>
          <w:tcPr>
            <w:tcW w:w="10220" w:type="dxa"/>
            <w:vAlign w:val="bottom"/>
            <w:gridSpan w:val="6"/>
          </w:tcPr>
          <w:p>
            <w:pPr>
              <w:jc w:val="right"/>
              <w:ind w:right="323"/>
              <w:spacing w:after="0"/>
              <w:rPr>
                <w:sz w:val="20"/>
                <w:szCs w:val="20"/>
                <w:color w:val="auto"/>
              </w:rPr>
            </w:pPr>
            <w:r>
              <w:rPr>
                <w:rFonts w:ascii="Arial" w:cs="Arial" w:eastAsia="Arial" w:hAnsi="Arial"/>
                <w:sz w:val="3"/>
                <w:szCs w:val="3"/>
                <w:color w:val="FFFFFF"/>
              </w:rPr>
              <w:t>non-executive director of Wynn Resorts, Limited,Companyposition he has held since October 2002. Dr. Zeman founded The Colby International Group in 1975 to source and export fashion</w:t>
            </w: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apparel to North</w:t>
            </w:r>
          </w:p>
        </w:tc>
        <w:tc>
          <w:tcPr>
            <w:tcW w:w="10220" w:type="dxa"/>
            <w:vAlign w:val="bottom"/>
            <w:gridSpan w:val="6"/>
          </w:tcPr>
          <w:p>
            <w:pPr>
              <w:jc w:val="right"/>
              <w:ind w:right="403"/>
              <w:spacing w:after="0"/>
              <w:rPr>
                <w:sz w:val="20"/>
                <w:szCs w:val="20"/>
                <w:color w:val="auto"/>
              </w:rPr>
            </w:pPr>
            <w:r>
              <w:rPr>
                <w:rFonts w:ascii="Arial" w:cs="Arial" w:eastAsia="Arial" w:hAnsi="Arial"/>
                <w:sz w:val="3"/>
                <w:szCs w:val="3"/>
                <w:color w:val="FFFFFF"/>
              </w:rPr>
              <w:t>. In late 2000, The Colby International Group merged with Li &amp; Fung Limited. Dr. Zeman is the Chairman of Lan Kwai Fong Holdings Limited. He is also the owner of Paradise</w:t>
            </w:r>
          </w:p>
        </w:tc>
        <w:tc>
          <w:tcPr>
            <w:tcW w:w="0" w:type="dxa"/>
            <w:vAlign w:val="bottom"/>
          </w:tcPr>
          <w:p>
            <w:pPr>
              <w:spacing w:after="0"/>
              <w:rPr>
                <w:sz w:val="1"/>
                <w:szCs w:val="1"/>
                <w:color w:val="auto"/>
              </w:rPr>
            </w:pPr>
          </w:p>
        </w:tc>
      </w:tr>
      <w:tr>
        <w:trPr>
          <w:trHeight w:val="0"/>
        </w:trPr>
        <w:tc>
          <w:tcPr>
            <w:tcW w:w="4060" w:type="dxa"/>
            <w:vAlign w:val="bottom"/>
            <w:gridSpan w:val="4"/>
          </w:tcPr>
          <w:p>
            <w:pPr>
              <w:spacing w:after="0" w:line="80" w:lineRule="exact"/>
              <w:rPr>
                <w:sz w:val="20"/>
                <w:szCs w:val="20"/>
                <w:color w:val="auto"/>
              </w:rPr>
            </w:pPr>
            <w:r>
              <w:rPr>
                <w:rFonts w:ascii="Arial" w:cs="Arial" w:eastAsia="Arial" w:hAnsi="Arial"/>
                <w:sz w:val="9"/>
                <w:szCs w:val="9"/>
                <w:color w:val="FFFFFF"/>
              </w:rPr>
              <w:t>Properties Group,Americaproperty developer in Thailand. Dr. Zeman is also</w:t>
            </w:r>
          </w:p>
        </w:tc>
        <w:tc>
          <w:tcPr>
            <w:tcW w:w="4720" w:type="dxa"/>
            <w:vAlign w:val="bottom"/>
            <w:gridSpan w:val="2"/>
          </w:tcPr>
          <w:p>
            <w:pPr>
              <w:ind w:left="400"/>
              <w:spacing w:after="0" w:line="80" w:lineRule="exact"/>
              <w:rPr>
                <w:sz w:val="20"/>
                <w:szCs w:val="20"/>
                <w:color w:val="auto"/>
              </w:rPr>
            </w:pPr>
            <w:r>
              <w:rPr>
                <w:rFonts w:ascii="Arial" w:cs="Arial" w:eastAsia="Arial" w:hAnsi="Arial"/>
                <w:sz w:val="9"/>
                <w:szCs w:val="9"/>
                <w:color w:val="FFFFFF"/>
              </w:rPr>
              <w:t>f Ocean Park, a major theme park in Hong Kong.</w:t>
            </w: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20"/>
        <w:spacing w:after="0" w:line="187" w:lineRule="auto"/>
        <w:rPr>
          <w:sz w:val="20"/>
          <w:szCs w:val="20"/>
          <w:color w:val="auto"/>
        </w:rPr>
      </w:pPr>
      <w:r>
        <w:rPr>
          <w:rFonts w:ascii="Arial" w:cs="Arial" w:eastAsia="Arial" w:hAnsi="Arial"/>
          <w:sz w:val="9"/>
          <w:szCs w:val="9"/>
          <w:color w:val="FFFFFF"/>
        </w:rPr>
        <w:t>Dr. Zeman is Vice Patron of Hong Kong Community Chest and serves Chairmanasdirector of the “Star” Ferry Company, Limited. Dr. Zeman also serves as an independent non-executive director of Pacifi c Century Premium Developments Limited, Sino Land Company Limited and Tsim Sha Tsui Properties Limited, all of which are listed on the Hong Kong Stock Exchange.</w:t>
      </w:r>
    </w:p>
    <w:p>
      <w:pPr>
        <w:sectPr>
          <w:pgSz w:w="11900" w:h="16838" w:orient="portrait"/>
          <w:cols w:equalWidth="0" w:num="1">
            <w:col w:w="11400"/>
          </w:cols>
          <w:pgMar w:left="240" w:top="1440" w:right="25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spacing w:after="0"/>
              <w:rPr>
                <w:sz w:val="20"/>
                <w:szCs w:val="20"/>
                <w:color w:val="auto"/>
              </w:rPr>
            </w:pPr>
            <w:r>
              <w:rPr>
                <w:rFonts w:ascii="Arial" w:cs="Arial" w:eastAsia="Arial" w:hAnsi="Arial"/>
                <w:sz w:val="14"/>
                <w:szCs w:val="14"/>
                <w:color w:val="FFFFFF"/>
              </w:rPr>
              <w:t>30 Wynn Macau, Limited</w:t>
            </w:r>
          </w:p>
        </w:tc>
        <w:tc>
          <w:tcPr>
            <w:tcW w:w="2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41"/>
        </w:trPr>
        <w:tc>
          <w:tcPr>
            <w:tcW w:w="2160" w:type="dxa"/>
            <w:vAlign w:val="bottom"/>
            <w:gridSpan w:val="2"/>
          </w:tcPr>
          <w:p>
            <w:pPr>
              <w:ind w:left="100"/>
              <w:spacing w:after="0"/>
              <w:rPr>
                <w:sz w:val="20"/>
                <w:szCs w:val="20"/>
                <w:color w:val="auto"/>
              </w:rPr>
            </w:pPr>
            <w:r>
              <w:rPr>
                <w:rFonts w:ascii="Arial" w:cs="Arial" w:eastAsia="Arial" w:hAnsi="Arial"/>
                <w:sz w:val="3"/>
                <w:szCs w:val="3"/>
                <w:color w:val="FFFFFF"/>
              </w:rPr>
              <w:t>irectors and Senior Management</w:t>
            </w: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41"/>
        </w:trPr>
        <w:tc>
          <w:tcPr>
            <w:tcW w:w="600" w:type="dxa"/>
            <w:vAlign w:val="bottom"/>
          </w:tcPr>
          <w:p>
            <w:pPr>
              <w:spacing w:after="0"/>
              <w:rPr>
                <w:sz w:val="20"/>
                <w:szCs w:val="20"/>
                <w:color w:val="auto"/>
              </w:rPr>
            </w:pPr>
            <w:r>
              <w:rPr>
                <w:rFonts w:ascii="Arial" w:cs="Arial" w:eastAsia="Arial" w:hAnsi="Arial"/>
                <w:sz w:val="3"/>
                <w:szCs w:val="3"/>
                <w:color w:val="FFFFFF"/>
              </w:rPr>
              <w:t>Dr. Zeman</w:t>
            </w:r>
          </w:p>
        </w:tc>
        <w:tc>
          <w:tcPr>
            <w:tcW w:w="10760" w:type="dxa"/>
            <w:vAlign w:val="bottom"/>
            <w:gridSpan w:val="5"/>
          </w:tcPr>
          <w:p>
            <w:pPr>
              <w:ind w:left="140"/>
              <w:spacing w:after="0"/>
              <w:rPr>
                <w:sz w:val="20"/>
                <w:szCs w:val="20"/>
                <w:color w:val="auto"/>
              </w:rPr>
            </w:pPr>
            <w:r>
              <w:rPr>
                <w:rFonts w:ascii="Arial" w:cs="Arial" w:eastAsia="Arial" w:hAnsi="Arial"/>
                <w:sz w:val="3"/>
                <w:szCs w:val="3"/>
                <w:color w:val="FFFFFF"/>
              </w:rPr>
              <w:t>a member of the Food Business and Related Services Task Force for Business Facilitation Advisory Committee, the Committee on the Commission on Strategic Development, the West Kowloon</w:t>
            </w:r>
          </w:p>
        </w:tc>
      </w:tr>
      <w:tr>
        <w:trPr>
          <w:trHeight w:val="41"/>
        </w:trPr>
        <w:tc>
          <w:tcPr>
            <w:tcW w:w="600" w:type="dxa"/>
            <w:vAlign w:val="bottom"/>
          </w:tcPr>
          <w:p>
            <w:pPr>
              <w:spacing w:after="0"/>
              <w:rPr>
                <w:sz w:val="20"/>
                <w:szCs w:val="20"/>
                <w:color w:val="auto"/>
              </w:rPr>
            </w:pPr>
            <w:r>
              <w:rPr>
                <w:rFonts w:ascii="Arial" w:cs="Arial" w:eastAsia="Arial" w:hAnsi="Arial"/>
                <w:sz w:val="3"/>
                <w:szCs w:val="3"/>
                <w:color w:val="FFFFFF"/>
              </w:rPr>
              <w:t>Cultural</w:t>
            </w:r>
          </w:p>
        </w:tc>
        <w:tc>
          <w:tcPr>
            <w:tcW w:w="10760" w:type="dxa"/>
            <w:vAlign w:val="bottom"/>
            <w:gridSpan w:val="5"/>
          </w:tcPr>
          <w:p>
            <w:pPr>
              <w:ind w:left="320"/>
              <w:spacing w:after="0"/>
              <w:rPr>
                <w:sz w:val="20"/>
                <w:szCs w:val="20"/>
                <w:color w:val="auto"/>
              </w:rPr>
            </w:pPr>
            <w:r>
              <w:rPr>
                <w:rFonts w:ascii="Arial" w:cs="Arial" w:eastAsia="Arial" w:hAnsi="Arial"/>
                <w:sz w:val="3"/>
                <w:szCs w:val="3"/>
                <w:color w:val="FFFFFF"/>
              </w:rPr>
              <w:t>Authority (“WKCDA”), the Consultation Panel of the WKCDA, WKCDA Development Committee, WKCDA Investment Committee, and WKCDA Performing Arts Committee (of which</w:t>
            </w:r>
          </w:p>
        </w:tc>
      </w:tr>
      <w:tr>
        <w:trPr>
          <w:trHeight w:val="41"/>
        </w:trPr>
        <w:tc>
          <w:tcPr>
            <w:tcW w:w="8660" w:type="dxa"/>
            <w:vAlign w:val="bottom"/>
            <w:gridSpan w:val="5"/>
          </w:tcPr>
          <w:p>
            <w:pPr>
              <w:spacing w:after="0"/>
              <w:rPr>
                <w:sz w:val="20"/>
                <w:szCs w:val="20"/>
                <w:color w:val="auto"/>
              </w:rPr>
            </w:pPr>
            <w:r>
              <w:rPr>
                <w:rFonts w:ascii="Arial" w:cs="Arial" w:eastAsia="Arial" w:hAnsi="Arial"/>
                <w:sz w:val="3"/>
                <w:szCs w:val="3"/>
                <w:color w:val="FFFFFF"/>
              </w:rPr>
              <w:t>Dr. ZemanDistrictthe Chairm n). In 2001, Dr. Zeman joined the Richard Ivey School of Business’ Asian Advisory Board.</w:t>
            </w:r>
          </w:p>
        </w:tc>
        <w:tc>
          <w:tcPr>
            <w:tcW w:w="2700" w:type="dxa"/>
            <w:vAlign w:val="bottom"/>
          </w:tcPr>
          <w:p>
            <w:pPr>
              <w:spacing w:after="0"/>
              <w:rPr>
                <w:sz w:val="3"/>
                <w:szCs w:val="3"/>
                <w:color w:val="auto"/>
              </w:rPr>
            </w:pPr>
          </w:p>
        </w:tc>
      </w:tr>
      <w:tr>
        <w:trPr>
          <w:trHeight w:val="41"/>
        </w:trPr>
        <w:tc>
          <w:tcPr>
            <w:tcW w:w="8660" w:type="dxa"/>
            <w:vAlign w:val="bottom"/>
            <w:gridSpan w:val="5"/>
          </w:tcPr>
          <w:p>
            <w:pPr>
              <w:ind w:left="160"/>
              <w:spacing w:after="0"/>
              <w:rPr>
                <w:sz w:val="20"/>
                <w:szCs w:val="20"/>
                <w:color w:val="auto"/>
              </w:rPr>
            </w:pPr>
            <w:r>
              <w:rPr>
                <w:rFonts w:ascii="Arial" w:cs="Arial" w:eastAsia="Arial" w:hAnsi="Arial"/>
                <w:sz w:val="3"/>
                <w:szCs w:val="3"/>
                <w:color w:val="FFFFFF"/>
              </w:rPr>
              <w:t>2001, Dr. Zeman was appointed a Justice of the Peace. He was awarded the Gold Bauhinia Star in 2004 and the Grand Bauhinia Medal in 2011.</w:t>
            </w:r>
          </w:p>
        </w:tc>
        <w:tc>
          <w:tcPr>
            <w:tcW w:w="2700" w:type="dxa"/>
            <w:vAlign w:val="bottom"/>
          </w:tcPr>
          <w:p>
            <w:pPr>
              <w:spacing w:after="0"/>
              <w:rPr>
                <w:sz w:val="3"/>
                <w:szCs w:val="3"/>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Independent non-executive Directors</w:t>
            </w: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Mr. Jeffrey Kin-fung Lam, GBS, JP, aged 60, has been appointed as an independent non-executive Director of the Company since 16 September 2009. Mr. Lam is a member of the National Committee of the</w:t>
            </w: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Chinese People’s Political</w:t>
            </w:r>
          </w:p>
        </w:tc>
        <w:tc>
          <w:tcPr>
            <w:tcW w:w="6500" w:type="dxa"/>
            <w:vAlign w:val="bottom"/>
            <w:gridSpan w:val="3"/>
          </w:tcPr>
          <w:p>
            <w:pPr>
              <w:spacing w:after="0"/>
              <w:rPr>
                <w:sz w:val="20"/>
                <w:szCs w:val="20"/>
                <w:color w:val="auto"/>
              </w:rPr>
            </w:pPr>
            <w:r>
              <w:rPr>
                <w:rFonts w:ascii="Arial" w:cs="Arial" w:eastAsia="Arial" w:hAnsi="Arial"/>
                <w:sz w:val="3"/>
                <w:szCs w:val="3"/>
                <w:color w:val="FFFFFF"/>
              </w:rPr>
              <w:t>Conference, a member of the Hong Kong Legislative Council, the Chairman of the Assessment Committee of Mega</w:t>
            </w:r>
          </w:p>
        </w:tc>
        <w:tc>
          <w:tcPr>
            <w:tcW w:w="2700" w:type="dxa"/>
            <w:vAlign w:val="bottom"/>
          </w:tcPr>
          <w:p>
            <w:pPr>
              <w:ind w:left="220"/>
              <w:spacing w:after="0"/>
              <w:rPr>
                <w:sz w:val="20"/>
                <w:szCs w:val="20"/>
                <w:color w:val="auto"/>
              </w:rPr>
            </w:pPr>
            <w:r>
              <w:rPr>
                <w:rFonts w:ascii="Arial" w:cs="Arial" w:eastAsia="Arial" w:hAnsi="Arial"/>
                <w:sz w:val="3"/>
                <w:szCs w:val="3"/>
                <w:color w:val="FFFFFF"/>
              </w:rPr>
              <w:t>Funds, a member of the board of the West</w:t>
            </w: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Kowloon Cultural District ConsultativeAuthority, member of the board of Hong Kong Airport Authority, a member of the Independent Commission Against Corruption’EventsAdvisory Committee on Corruption and a member</w:t>
            </w: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of the Fight Crime Committee   Hong Kong. Mr. Lam is also a General Committee Member of the Hong Kong General Chamber of Commerce and the Vice Chairman of The Hong Kong Shippers’ Council. In</w:t>
            </w: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addition, Mr. Lam is an independent non-executive director of CC Land Holdings Limited, Hsin Chong Construction Group Ltd., China Overseas Grand Oceans Group Limited, Sateri Holdings Limited and</w:t>
            </w:r>
          </w:p>
        </w:tc>
      </w:tr>
      <w:tr>
        <w:trPr>
          <w:trHeight w:val="41"/>
        </w:trPr>
        <w:tc>
          <w:tcPr>
            <w:tcW w:w="5700" w:type="dxa"/>
            <w:vAlign w:val="bottom"/>
            <w:gridSpan w:val="4"/>
          </w:tcPr>
          <w:p>
            <w:pPr>
              <w:spacing w:after="0"/>
              <w:rPr>
                <w:sz w:val="20"/>
                <w:szCs w:val="20"/>
                <w:color w:val="auto"/>
              </w:rPr>
            </w:pPr>
            <w:r>
              <w:rPr>
                <w:rFonts w:ascii="Arial" w:cs="Arial" w:eastAsia="Arial" w:hAnsi="Arial"/>
                <w:sz w:val="3"/>
                <w:szCs w:val="3"/>
                <w:color w:val="FFFFFF"/>
              </w:rPr>
              <w:t>Chow Tai Fook Jewellery Group Limited, all of which are listed on the Hong Kong Stock Exchange.</w:t>
            </w:r>
          </w:p>
        </w:tc>
        <w:tc>
          <w:tcPr>
            <w:tcW w:w="296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In 1996, Mr. Lam was appointed Justice of the Peace and became a member of the Most Excellent Order of the British Empire. He was awarded the honor of the Gold Bauhinia Star in July 2011 and the Silver</w:t>
            </w: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Bauhinia Star in 2004. Mr. Lam was co</w:t>
            </w:r>
          </w:p>
        </w:tc>
        <w:tc>
          <w:tcPr>
            <w:tcW w:w="9200" w:type="dxa"/>
            <w:vAlign w:val="bottom"/>
            <w:gridSpan w:val="4"/>
          </w:tcPr>
          <w:p>
            <w:pPr>
              <w:ind w:left="40"/>
              <w:spacing w:after="0"/>
              <w:rPr>
                <w:sz w:val="20"/>
                <w:szCs w:val="20"/>
                <w:color w:val="auto"/>
              </w:rPr>
            </w:pPr>
            <w:r>
              <w:rPr>
                <w:rFonts w:ascii="Arial" w:cs="Arial" w:eastAsia="Arial" w:hAnsi="Arial"/>
                <w:sz w:val="3"/>
                <w:szCs w:val="3"/>
                <w:color w:val="FFFFFF"/>
              </w:rPr>
              <w:t>ferred University Fellow of Tufts University in the United States and Hong Kong Polytechnic University in 1997 and in 2000, respectively.</w:t>
            </w:r>
          </w:p>
        </w:tc>
      </w:tr>
      <w:tr>
        <w:trPr>
          <w:trHeight w:val="41"/>
        </w:trPr>
        <w:tc>
          <w:tcPr>
            <w:tcW w:w="4980" w:type="dxa"/>
            <w:vAlign w:val="bottom"/>
            <w:gridSpan w:val="3"/>
          </w:tcPr>
          <w:p>
            <w:pPr>
              <w:spacing w:after="0"/>
              <w:rPr>
                <w:sz w:val="20"/>
                <w:szCs w:val="20"/>
                <w:color w:val="auto"/>
              </w:rPr>
            </w:pPr>
            <w:r>
              <w:rPr>
                <w:rFonts w:ascii="Arial" w:cs="Arial" w:eastAsia="Arial" w:hAnsi="Arial"/>
                <w:sz w:val="3"/>
                <w:szCs w:val="3"/>
                <w:color w:val="FFFFFF"/>
              </w:rPr>
              <w:t>Mr. Bruce Rockowitz, aged 53, has been an independent non-executive Director of the</w:t>
            </w:r>
          </w:p>
        </w:tc>
        <w:tc>
          <w:tcPr>
            <w:tcW w:w="6380" w:type="dxa"/>
            <w:vAlign w:val="bottom"/>
            <w:gridSpan w:val="3"/>
          </w:tcPr>
          <w:p>
            <w:pPr>
              <w:ind w:left="300"/>
              <w:spacing w:after="0"/>
              <w:rPr>
                <w:sz w:val="20"/>
                <w:szCs w:val="20"/>
                <w:color w:val="auto"/>
              </w:rPr>
            </w:pPr>
            <w:r>
              <w:rPr>
                <w:rFonts w:ascii="Arial" w:cs="Arial" w:eastAsia="Arial" w:hAnsi="Arial"/>
                <w:sz w:val="3"/>
                <w:szCs w:val="3"/>
                <w:color w:val="FFFFFF"/>
              </w:rPr>
              <w:t>since 16 September 2009. Mr. Rockowitz is also the Group President and Chief Executive Offi cer of Li &amp; Fung</w:t>
            </w:r>
          </w:p>
        </w:tc>
      </w:tr>
      <w:tr>
        <w:trPr>
          <w:trHeight w:val="0"/>
        </w:trPr>
        <w:tc>
          <w:tcPr>
            <w:tcW w:w="600" w:type="dxa"/>
            <w:vAlign w:val="bottom"/>
          </w:tcPr>
          <w:p>
            <w:pPr>
              <w:spacing w:after="0" w:line="80" w:lineRule="exact"/>
              <w:rPr>
                <w:sz w:val="20"/>
                <w:szCs w:val="20"/>
                <w:color w:val="auto"/>
              </w:rPr>
            </w:pPr>
            <w:r>
              <w:rPr>
                <w:rFonts w:ascii="Arial" w:cs="Arial" w:eastAsia="Arial" w:hAnsi="Arial"/>
                <w:sz w:val="9"/>
                <w:szCs w:val="9"/>
                <w:color w:val="FFFFFF"/>
              </w:rPr>
              <w:t>Limited,</w:t>
            </w:r>
          </w:p>
        </w:tc>
        <w:tc>
          <w:tcPr>
            <w:tcW w:w="5100" w:type="dxa"/>
            <w:vAlign w:val="bottom"/>
            <w:gridSpan w:val="3"/>
          </w:tcPr>
          <w:p>
            <w:pPr>
              <w:spacing w:after="0" w:line="80" w:lineRule="exact"/>
              <w:rPr>
                <w:sz w:val="20"/>
                <w:szCs w:val="20"/>
                <w:color w:val="auto"/>
              </w:rPr>
            </w:pPr>
            <w:r>
              <w:rPr>
                <w:rFonts w:ascii="Arial" w:cs="Arial" w:eastAsia="Arial" w:hAnsi="Arial"/>
                <w:sz w:val="9"/>
                <w:szCs w:val="9"/>
                <w:color w:val="FFFFFF"/>
              </w:rPr>
              <w:t>company listed on the Hong Kong Stock Exchange. Mr. Rockowitz has beenCompanyexecutive</w:t>
            </w:r>
          </w:p>
        </w:tc>
        <w:tc>
          <w:tcPr>
            <w:tcW w:w="5660" w:type="dxa"/>
            <w:vAlign w:val="bottom"/>
            <w:gridSpan w:val="2"/>
          </w:tcPr>
          <w:p>
            <w:pPr>
              <w:ind w:left="240"/>
              <w:spacing w:after="0" w:line="80" w:lineRule="exact"/>
              <w:rPr>
                <w:sz w:val="20"/>
                <w:szCs w:val="20"/>
                <w:color w:val="auto"/>
              </w:rPr>
            </w:pPr>
            <w:r>
              <w:rPr>
                <w:rFonts w:ascii="Arial" w:cs="Arial" w:eastAsia="Arial" w:hAnsi="Arial"/>
                <w:sz w:val="9"/>
                <w:szCs w:val="9"/>
                <w:color w:val="FFFFFF"/>
              </w:rPr>
              <w:t>of Li &amp; Fung Limited since 2001 and was the co-founder and Chief Executive Offi cer of Colby</w:t>
            </w:r>
          </w:p>
        </w:tc>
      </w:tr>
    </w:tbl>
    <w:p>
      <w:pPr>
        <w:spacing w:after="0" w:line="25" w:lineRule="auto"/>
        <w:rPr>
          <w:sz w:val="20"/>
          <w:szCs w:val="20"/>
          <w:color w:val="auto"/>
        </w:rPr>
      </w:pPr>
      <w:r>
        <w:rPr>
          <w:rFonts w:ascii="Arial" w:cs="Arial" w:eastAsia="Arial" w:hAnsi="Arial"/>
          <w:sz w:val="1"/>
          <w:szCs w:val="1"/>
          <w:color w:val="FFFFFF"/>
        </w:rPr>
        <w:t>International Limited,</w:t>
      </w:r>
      <w:r>
        <w:rPr>
          <w:rFonts w:ascii="Arial" w:cs="Arial" w:eastAsia="Arial" w:hAnsi="Arial"/>
          <w:sz w:val="1"/>
          <w:szCs w:val="1"/>
          <w:color w:val="FFFFFF"/>
          <w:vertAlign w:val="subscript"/>
        </w:rPr>
        <w:t>Initiative,</w:t>
      </w:r>
      <w:r>
        <w:rPr>
          <w:rFonts w:ascii="Arial" w:cs="Arial" w:eastAsia="Arial" w:hAnsi="Arial"/>
          <w:sz w:val="1"/>
          <w:szCs w:val="1"/>
          <w:color w:val="FFFFFF"/>
        </w:rPr>
        <w:t>large Hong Kong buying agent, prior to the sale of Colby International LimiteddirectorLi &amp; Fung Limited in 2000. He is a member of the Advisory Board for the Wharton School’</w:t>
      </w:r>
      <w:r>
        <w:rPr>
          <w:rFonts w:ascii="Arial" w:cs="Arial" w:eastAsia="Arial" w:hAnsi="Arial"/>
          <w:sz w:val="1"/>
          <w:szCs w:val="1"/>
          <w:color w:val="FFFFFF"/>
          <w:vertAlign w:val="subscript"/>
        </w:rPr>
        <w:t>raising</w:t>
      </w:r>
      <w:r>
        <w:rPr>
          <w:rFonts w:ascii="Arial" w:cs="Arial" w:eastAsia="Arial" w:hAnsi="Arial"/>
          <w:sz w:val="1"/>
          <w:szCs w:val="1"/>
          <w:color w:val="FFFFFF"/>
        </w:rPr>
        <w:t>Jay H</w:t>
      </w:r>
    </w:p>
    <w:p>
      <w:pPr>
        <w:ind w:right="100"/>
        <w:spacing w:after="0" w:line="190" w:lineRule="auto"/>
        <w:rPr>
          <w:sz w:val="20"/>
          <w:szCs w:val="20"/>
          <w:color w:val="auto"/>
        </w:rPr>
      </w:pPr>
      <w:r>
        <w:rPr>
          <w:rFonts w:ascii="Arial" w:cs="Arial" w:eastAsia="Arial" w:hAnsi="Arial"/>
          <w:sz w:val="11"/>
          <w:szCs w:val="11"/>
          <w:color w:val="FFFFFF"/>
        </w:rPr>
        <w:t>Baker Retailing an industry research center for retail at the University of Pennsylvania. He is also a board member of the Education Foundation for Fashion Industries, the private fund- arm of the Fashion Institute of Technology, New York, United</w:t>
      </w:r>
    </w:p>
    <w:p>
      <w:pPr>
        <w:sectPr>
          <w:pgSz w:w="11900" w:h="16838" w:orient="portrait"/>
          <w:cols w:equalWidth="0" w:num="1">
            <w:col w:w="11360"/>
          </w:cols>
          <w:pgMar w:left="240" w:top="1440" w:right="29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31</w:t>
      </w:r>
    </w:p>
    <w:p>
      <w:pPr>
        <w:spacing w:after="0" w:line="187" w:lineRule="auto"/>
        <w:rPr>
          <w:sz w:val="20"/>
          <w:szCs w:val="20"/>
          <w:color w:val="auto"/>
        </w:rPr>
      </w:pPr>
      <w:r>
        <w:rPr>
          <w:rFonts w:ascii="Arial" w:cs="Arial" w:eastAsia="Arial" w:hAnsi="Arial"/>
          <w:sz w:val="9"/>
          <w:szCs w:val="9"/>
          <w:color w:val="FFFFFF"/>
        </w:rPr>
        <w:t>States.CEOsDirectorsIn DecemberandSenior 2008,ManagementMr.Rockowitz was ranked fi rst by Institutional Investor for Asia’s Best CEOs in the consumer category. In the years 2010 and 2011, he was also ranked as one of the world’s 30 best</w:t>
      </w:r>
    </w:p>
    <w:p>
      <w:pPr>
        <w:ind w:right="140"/>
        <w:spacing w:after="0" w:line="181" w:lineRule="auto"/>
        <w:rPr>
          <w:sz w:val="20"/>
          <w:szCs w:val="20"/>
          <w:color w:val="auto"/>
        </w:rPr>
      </w:pPr>
      <w:r>
        <w:rPr>
          <w:rFonts w:ascii="Arial" w:cs="Arial" w:eastAsia="Arial" w:hAnsi="Arial"/>
          <w:sz w:val="7"/>
          <w:szCs w:val="7"/>
          <w:color w:val="FFFFFF"/>
        </w:rPr>
        <w:t>executiveby Barron’s.ChairmanInofOctoberThePure2011,Group,hewaslifestyle,awardedfi thetness2011andAlumniyogagroupAchievementoperatingAwardinHongbyKong,theUniversitySingaporeofandVermont,TaiwanUnitedandsoonStates.tobeInopeningadditionintomainlandhispositionChina.atLiAs&amp; nonFung,-executiveMr.RockowitzChairmanis theof Thenon-Pure Group, Mr. Rockowitz provides strategic visionbeen and direction to the senior management of The Pure Group.</w:t>
      </w:r>
    </w:p>
    <w:p>
      <w:pPr>
        <w:ind w:right="140"/>
        <w:spacing w:after="0" w:line="181" w:lineRule="auto"/>
        <w:rPr>
          <w:sz w:val="20"/>
          <w:szCs w:val="20"/>
          <w:color w:val="auto"/>
        </w:rPr>
      </w:pPr>
      <w:r>
        <w:rPr>
          <w:rFonts w:ascii="Arial" w:cs="Arial" w:eastAsia="Arial" w:hAnsi="Arial"/>
          <w:sz w:val="7"/>
          <w:szCs w:val="7"/>
          <w:color w:val="FFFFFF"/>
        </w:rPr>
        <w:t>executiveMr.NicholasdirectorSallnowofThe-Smith,LinkagedManagement62,has LimitedindependentsinceAprilnon2007-executiveandisalsoDirectorChairmanoftheofCompanytheLink Managementsince16SeptemberLimited’s2009.FinanceMr.SallnowandInvestment,-SmithhasandalsoNominationsservedastheCommittees.ChairmanandTheanLinkindepeManagementdentnon-Limited is the manager to the Link Real Estate Investment Trust, a company listed on the Hong Kong Stock Exchange. Mr. Sallnow-Smith is also a non-executive director of Unitech Corporate Parks PlcBoard.,</w:t>
      </w:r>
    </w:p>
    <w:p>
      <w:pPr>
        <w:ind w:left="11280"/>
        <w:spacing w:after="0"/>
        <w:rPr>
          <w:sz w:val="20"/>
          <w:szCs w:val="20"/>
          <w:color w:val="auto"/>
        </w:rPr>
      </w:pPr>
      <w:r>
        <w:rPr>
          <w:rFonts w:ascii="Arial" w:cs="Arial" w:eastAsia="Arial" w:hAnsi="Arial"/>
          <w:sz w:val="1"/>
          <w:szCs w:val="1"/>
          <w:color w:val="FFFFFF"/>
        </w:rPr>
        <w:t>WinningtoncompanylistedGroup.onthePriorLondontojoiningStockTheExchangeLinkManagementintheAlternativeLimited,InvestmentMr.SallnowMarket-Smith(“AIM”);ChiefanonExecutive-executiveof directorHongkongof AvivaLand HoldingsLifeInsuranceLimitedLimitedfrom February(inHong 2000Kong);to andMarchmember2007.Heof hasthe Advisoryawideranging fiof</w:t>
      </w:r>
    </w:p>
    <w:p>
      <w:pPr>
        <w:ind w:right="540"/>
        <w:spacing w:after="0" w:line="181" w:lineRule="auto"/>
        <w:rPr>
          <w:sz w:val="20"/>
          <w:szCs w:val="20"/>
          <w:color w:val="auto"/>
        </w:rPr>
      </w:pPr>
      <w:r>
        <w:rPr>
          <w:rFonts w:ascii="Arial" w:cs="Arial" w:eastAsia="Arial" w:hAnsi="Arial"/>
          <w:sz w:val="9"/>
          <w:szCs w:val="9"/>
          <w:color w:val="FFFFFF"/>
        </w:rPr>
        <w:t xml:space="preserve">nance background in Asia and the United Kingdom for over 30 years, including his roleswasFinance Director of Hongkong Land Holdings Limited from 1998 to 2000 and as Group Treasurer of Jardine </w:t>
      </w:r>
      <w:r>
        <w:rPr>
          <w:rFonts w:ascii="Arial" w:cs="Arial" w:eastAsia="Arial" w:hAnsi="Arial"/>
          <w:sz w:val="14"/>
          <w:szCs w:val="14"/>
          <w:color w:val="FFFFFF"/>
          <w:vertAlign w:val="subscript"/>
        </w:rPr>
        <w:t>Manufacturers</w:t>
      </w:r>
      <w:r>
        <w:rPr>
          <w:rFonts w:ascii="Arial" w:cs="Arial" w:eastAsia="Arial" w:hAnsi="Arial"/>
          <w:sz w:val="9"/>
          <w:szCs w:val="9"/>
          <w:color w:val="FFFFFF"/>
        </w:rPr>
        <w:t>athesonLimited from 1993 to 1998.</w:t>
      </w:r>
    </w:p>
    <w:p>
      <w:pPr>
        <w:jc w:val="center"/>
        <w:ind w:right="-159"/>
        <w:spacing w:after="0" w:line="212" w:lineRule="auto"/>
        <w:rPr>
          <w:sz w:val="20"/>
          <w:szCs w:val="20"/>
          <w:color w:val="auto"/>
        </w:rPr>
      </w:pPr>
      <w:r>
        <w:rPr>
          <w:rFonts w:ascii="Arial" w:cs="Arial" w:eastAsia="Arial" w:hAnsi="Arial"/>
          <w:sz w:val="2"/>
          <w:szCs w:val="2"/>
          <w:color w:val="FFFFFF"/>
        </w:rPr>
        <w:t>. Sallnow-Smith’s early career was spent in the British Civil Service, where he worked for Her Majesty’</w:t>
      </w:r>
      <w:r>
        <w:rPr>
          <w:rFonts w:ascii="Arial" w:cs="Arial" w:eastAsia="Arial" w:hAnsi="Arial"/>
          <w:sz w:val="4"/>
          <w:szCs w:val="4"/>
          <w:color w:val="FFFFFF"/>
          <w:vertAlign w:val="subscript"/>
        </w:rPr>
        <w:t>Manufacturers</w:t>
      </w:r>
      <w:r>
        <w:rPr>
          <w:rFonts w:ascii="Arial" w:cs="Arial" w:eastAsia="Arial" w:hAnsi="Arial"/>
          <w:sz w:val="2"/>
          <w:szCs w:val="2"/>
          <w:color w:val="FFFFFF"/>
        </w:rPr>
        <w:t xml:space="preserve">Treasury in Whitehall, London from 1975 to 1985. During that time, he was seconded for </w:t>
      </w:r>
      <w:r>
        <w:rPr>
          <w:rFonts w:ascii="Arial" w:cs="Arial" w:eastAsia="Arial" w:hAnsi="Arial"/>
          <w:sz w:val="4"/>
          <w:szCs w:val="4"/>
          <w:color w:val="FFFFFF"/>
          <w:vertAlign w:val="subscript"/>
        </w:rPr>
        <w:t>the</w:t>
      </w:r>
      <w:r>
        <w:rPr>
          <w:rFonts w:ascii="Arial" w:cs="Arial" w:eastAsia="Arial" w:hAnsi="Arial"/>
          <w:sz w:val="2"/>
          <w:szCs w:val="2"/>
          <w:color w:val="FFFFFF"/>
        </w:rPr>
        <w:t>wo years to</w:t>
      </w:r>
    </w:p>
    <w:p>
      <w:pPr>
        <w:ind w:right="200" w:firstLine="821"/>
        <w:spacing w:after="0"/>
        <w:rPr>
          <w:sz w:val="20"/>
          <w:szCs w:val="20"/>
          <w:color w:val="auto"/>
        </w:rPr>
      </w:pPr>
      <w:r>
        <w:rPr>
          <w:rFonts w:ascii="Arial" w:cs="Arial" w:eastAsia="Arial" w:hAnsi="Arial"/>
          <w:sz w:val="6"/>
          <w:szCs w:val="6"/>
          <w:color w:val="FFFFFF"/>
        </w:rPr>
        <w:t xml:space="preserve">Hanover London, working in export fi nance and in their merchant banking division, Hanover Limited. He left the Civil Service in 1985, following a period working in International Finance section of H. M. Treasury on Paris Club and other international debt policy matters, and spent two </w:t>
      </w:r>
      <w:r>
        <w:rPr>
          <w:rFonts w:ascii="Arial" w:cs="Arial" w:eastAsia="Arial" w:hAnsi="Arial"/>
          <w:sz w:val="7"/>
          <w:szCs w:val="7"/>
          <w:color w:val="FFFFFF"/>
          <w:vertAlign w:val="superscript"/>
        </w:rPr>
        <w:t>he</w:t>
      </w:r>
      <w:r>
        <w:rPr>
          <w:rFonts w:ascii="Arial" w:cs="Arial" w:eastAsia="Arial" w:hAnsi="Arial"/>
          <w:sz w:val="6"/>
          <w:szCs w:val="6"/>
          <w:color w:val="FFFFFF"/>
        </w:rPr>
        <w:t>yars with Lloy</w:t>
      </w:r>
      <w:r>
        <w:rPr>
          <w:rFonts w:ascii="Arial" w:cs="Arial" w:eastAsia="Arial" w:hAnsi="Arial"/>
          <w:sz w:val="7"/>
          <w:szCs w:val="7"/>
          <w:color w:val="FFFFFF"/>
          <w:vertAlign w:val="superscript"/>
        </w:rPr>
        <w:t>Child</w:t>
      </w:r>
      <w:r>
        <w:rPr>
          <w:rFonts w:ascii="Arial" w:cs="Arial" w:eastAsia="Arial" w:hAnsi="Arial"/>
          <w:sz w:val="6"/>
          <w:szCs w:val="6"/>
          <w:color w:val="FFFFFF"/>
        </w:rPr>
        <w:t>s Bank before moving into the corporate sector in 1987. Mr. Sallnow-</w:t>
      </w:r>
    </w:p>
    <w:p>
      <w:pPr>
        <w:spacing w:after="0" w:line="214" w:lineRule="auto"/>
        <w:tabs>
          <w:tab w:leader="none" w:pos="7460" w:val="left"/>
        </w:tabs>
        <w:rPr>
          <w:sz w:val="20"/>
          <w:szCs w:val="20"/>
          <w:color w:val="auto"/>
        </w:rPr>
      </w:pPr>
      <w:r>
        <w:rPr>
          <w:rFonts w:ascii="Arial" w:cs="Arial" w:eastAsia="Arial" w:hAnsi="Arial"/>
          <w:sz w:val="4"/>
          <w:szCs w:val="4"/>
          <w:color w:val="FFFFFF"/>
          <w:vertAlign w:val="subscript"/>
        </w:rPr>
        <w:t>Society</w:t>
      </w:r>
      <w:r>
        <w:rPr>
          <w:rFonts w:ascii="Arial" w:cs="Arial" w:eastAsia="Arial" w:hAnsi="Arial"/>
          <w:sz w:val="2"/>
          <w:szCs w:val="2"/>
          <w:color w:val="FFFFFF"/>
        </w:rPr>
        <w:t>mithserved as the Convenor of the Hong Kong Association of Corporate Treasurers in 1996 to 2000 and Chairman</w:t>
      </w:r>
      <w:r>
        <w:rPr>
          <w:rFonts w:ascii="Arial" w:cs="Arial" w:eastAsia="Arial" w:hAnsi="Arial"/>
          <w:sz w:val="4"/>
          <w:szCs w:val="4"/>
          <w:color w:val="FFFFFF"/>
          <w:vertAlign w:val="subscript"/>
        </w:rPr>
        <w:t>Association</w:t>
      </w:r>
      <w:r>
        <w:rPr>
          <w:rFonts w:ascii="Arial" w:cs="Arial" w:eastAsia="Arial" w:hAnsi="Arial"/>
          <w:sz w:val="2"/>
          <w:szCs w:val="2"/>
          <w:color w:val="FFFFFF"/>
        </w:rPr>
        <w:t>ofMatilda</w:t>
      </w:r>
      <w:r>
        <w:rPr>
          <w:sz w:val="20"/>
          <w:szCs w:val="20"/>
          <w:color w:val="auto"/>
        </w:rPr>
        <w:tab/>
      </w:r>
      <w:r>
        <w:rPr>
          <w:rFonts w:ascii="Arial" w:cs="Arial" w:eastAsia="Arial" w:hAnsi="Arial"/>
          <w:sz w:val="2"/>
          <w:szCs w:val="2"/>
          <w:color w:val="FFFFFF"/>
        </w:rPr>
        <w:t>Development Centre. He is</w:t>
      </w:r>
      <w:r>
        <w:rPr>
          <w:rFonts w:ascii="Arial" w:cs="Arial" w:eastAsia="Arial" w:hAnsi="Arial"/>
          <w:sz w:val="4"/>
          <w:szCs w:val="4"/>
          <w:color w:val="FFFFFF"/>
          <w:vertAlign w:val="subscript"/>
        </w:rPr>
        <w:t>reasures</w:t>
      </w:r>
      <w:r>
        <w:rPr>
          <w:rFonts w:ascii="Arial" w:cs="Arial" w:eastAsia="Arial" w:hAnsi="Arial"/>
          <w:sz w:val="2"/>
          <w:szCs w:val="2"/>
          <w:color w:val="FFFFFF"/>
        </w:rPr>
        <w:t>director of the Hong Kong Philharmonic</w:t>
      </w:r>
    </w:p>
    <w:p>
      <w:pPr>
        <w:ind w:right="20" w:firstLine="396"/>
        <w:spacing w:after="0" w:line="190" w:lineRule="auto"/>
        <w:rPr>
          <w:sz w:val="20"/>
          <w:szCs w:val="20"/>
          <w:color w:val="auto"/>
        </w:rPr>
      </w:pPr>
      <w:r>
        <w:rPr>
          <w:rFonts w:ascii="Arial" w:cs="Arial" w:eastAsia="Arial" w:hAnsi="Arial"/>
          <w:sz w:val="11"/>
          <w:szCs w:val="11"/>
          <w:color w:val="FFFFFF"/>
        </w:rPr>
        <w:t>, Chairman of the Hong Kong Youth Arts Foundation, a member of the Council of the Treasury Markets (Hong Kong Association of Corporate T Representative) and a member of the General Committee of The British Chamber of Commerce in Hong Kong. He is also the Chairman of AFS Intercultural Exchanges Ltd. in Hong Kong.</w:t>
      </w:r>
    </w:p>
    <w:p>
      <w:pPr>
        <w:sectPr>
          <w:pgSz w:w="11900" w:h="16838" w:orient="portrait"/>
          <w:cols w:equalWidth="0" w:num="1">
            <w:col w:w="11400"/>
          </w:cols>
          <w:pgMar w:left="240" w:top="1440" w:right="2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Directors32Wynn Macau,andSeniorLimitedManagement</w:t>
      </w:r>
    </w:p>
    <w:p>
      <w:pPr>
        <w:spacing w:after="0" w:line="187" w:lineRule="auto"/>
        <w:rPr>
          <w:sz w:val="20"/>
          <w:szCs w:val="20"/>
          <w:color w:val="auto"/>
        </w:rPr>
      </w:pPr>
      <w:r>
        <w:rPr>
          <w:rFonts w:ascii="Arial" w:cs="Arial" w:eastAsia="Arial" w:hAnsi="Arial"/>
          <w:sz w:val="9"/>
          <w:szCs w:val="9"/>
          <w:color w:val="FFFFFF"/>
        </w:rPr>
        <w:t>Mr. Sallnow-Smith was educated at Gonville &amp; Caius College, Cambridge, and the University of Leicester and is a Fellow of the Association of Corporate Treasurers. He holds M.A. (Cantab) and M.A. (Soc. of Ed.) Degrees.</w:t>
      </w:r>
    </w:p>
    <w:p>
      <w:pPr>
        <w:spacing w:after="0" w:line="188" w:lineRule="auto"/>
        <w:rPr>
          <w:sz w:val="20"/>
          <w:szCs w:val="20"/>
          <w:color w:val="auto"/>
        </w:rPr>
      </w:pPr>
      <w:r>
        <w:rPr>
          <w:rFonts w:ascii="Arial" w:cs="Arial" w:eastAsia="Arial" w:hAnsi="Arial"/>
          <w:sz w:val="9"/>
          <w:szCs w:val="9"/>
          <w:color w:val="FFFFFF"/>
        </w:rPr>
        <w:t>OUR SENIOR MANAGEMENT</w:t>
      </w:r>
    </w:p>
    <w:p>
      <w:pPr>
        <w:spacing w:after="0"/>
        <w:rPr>
          <w:sz w:val="20"/>
          <w:szCs w:val="20"/>
          <w:color w:val="auto"/>
        </w:rPr>
      </w:pPr>
      <w:r>
        <w:rPr>
          <w:rFonts w:ascii="Arial" w:cs="Arial" w:eastAsia="Arial" w:hAnsi="Arial"/>
          <w:sz w:val="3"/>
          <w:szCs w:val="3"/>
          <w:color w:val="FFFFFF"/>
        </w:rPr>
        <w:t>SeniorThefollowingmanagementtable presents certain information concerning the senior management personnel of the Group (other than our executive Directors).</w:t>
      </w:r>
    </w:p>
    <w:p>
      <w:pPr>
        <w:spacing w:after="0" w:line="181" w:lineRule="auto"/>
        <w:rPr>
          <w:sz w:val="20"/>
          <w:szCs w:val="20"/>
          <w:color w:val="auto"/>
        </w:rPr>
      </w:pPr>
      <w:r>
        <w:rPr>
          <w:rFonts w:ascii="Arial" w:cs="Arial" w:eastAsia="Arial" w:hAnsi="Arial"/>
          <w:sz w:val="10"/>
          <w:szCs w:val="10"/>
          <w:color w:val="FFFFFF"/>
        </w:rPr>
        <w:t>Name Age Position</w:t>
      </w:r>
    </w:p>
    <w:p>
      <w:pPr>
        <w:spacing w:after="0"/>
        <w:rPr>
          <w:sz w:val="20"/>
          <w:szCs w:val="20"/>
          <w:color w:val="auto"/>
        </w:rPr>
      </w:pPr>
      <w:r>
        <w:rPr>
          <w:rFonts w:ascii="Arial" w:cs="Arial" w:eastAsia="Arial" w:hAnsi="Arial"/>
          <w:sz w:val="3"/>
          <w:szCs w:val="3"/>
          <w:color w:val="FFFFFF"/>
        </w:rPr>
        <w:t>Frank Xiao 44 Senior Executive Vice President — Premium Marketing#</w:t>
      </w:r>
    </w:p>
    <w:p>
      <w:pPr>
        <w:spacing w:after="0" w:line="181" w:lineRule="auto"/>
        <w:rPr>
          <w:sz w:val="20"/>
          <w:szCs w:val="20"/>
          <w:color w:val="auto"/>
        </w:rPr>
      </w:pPr>
      <w:r>
        <w:rPr>
          <w:rFonts w:ascii="Arial" w:cs="Arial" w:eastAsia="Arial" w:hAnsi="Arial"/>
          <w:sz w:val="10"/>
          <w:szCs w:val="10"/>
          <w:color w:val="FFFFFF"/>
        </w:rPr>
        <w:t>CharlieJayDee WardClayton*62Executive59ExecutiveViceVicePresidentPresident—Casino—Operations#Operations#</w:t>
      </w:r>
    </w:p>
    <w:p>
      <w:pPr>
        <w:spacing w:after="0"/>
        <w:rPr>
          <w:sz w:val="20"/>
          <w:szCs w:val="20"/>
          <w:color w:val="auto"/>
        </w:rPr>
      </w:pPr>
      <w:r>
        <w:rPr>
          <w:rFonts w:ascii="Arial" w:cs="Arial" w:eastAsia="Arial" w:hAnsi="Arial"/>
          <w:sz w:val="3"/>
          <w:szCs w:val="3"/>
          <w:color w:val="FFFFFF"/>
        </w:rPr>
        <w:t>JayDoreenM. SchallMarie 38WhennenSenior Vice57ExecutivePresidentViceand PresidentGeneralCounsel##,—HotelOperations#</w:t>
      </w:r>
    </w:p>
    <w:p>
      <w:pPr>
        <w:spacing w:after="0" w:line="194" w:lineRule="auto"/>
        <w:rPr>
          <w:sz w:val="20"/>
          <w:szCs w:val="20"/>
          <w:color w:val="auto"/>
        </w:rPr>
      </w:pPr>
      <w:r>
        <w:rPr>
          <w:rFonts w:ascii="Arial" w:cs="Arial" w:eastAsia="Arial" w:hAnsi="Arial"/>
          <w:sz w:val="5"/>
          <w:szCs w:val="5"/>
          <w:color w:val="FFFFFF"/>
        </w:rPr>
        <w:t>Senior Vice President — Legal#</w:t>
      </w:r>
    </w:p>
    <w:p>
      <w:pPr>
        <w:spacing w:after="0" w:line="188" w:lineRule="auto"/>
        <w:rPr>
          <w:sz w:val="20"/>
          <w:szCs w:val="20"/>
          <w:color w:val="auto"/>
        </w:rPr>
      </w:pPr>
      <w:r>
        <w:rPr>
          <w:rFonts w:ascii="Arial" w:cs="Arial" w:eastAsia="Arial" w:hAnsi="Arial"/>
          <w:sz w:val="9"/>
          <w:szCs w:val="9"/>
          <w:color w:val="FFFFFF"/>
        </w:rPr>
        <w:t>Robert Alexander Gansmo 42 Senior Vice President — Chief Financial Officer#</w:t>
      </w:r>
    </w:p>
    <w:p>
      <w:pPr>
        <w:spacing w:after="0" w:line="187" w:lineRule="auto"/>
        <w:rPr>
          <w:sz w:val="20"/>
          <w:szCs w:val="20"/>
          <w:color w:val="auto"/>
        </w:rPr>
      </w:pPr>
      <w:r>
        <w:rPr>
          <w:rFonts w:ascii="Arial" w:cs="Arial" w:eastAsia="Arial" w:hAnsi="Arial"/>
          <w:sz w:val="9"/>
          <w:szCs w:val="9"/>
          <w:color w:val="FFFFFF"/>
        </w:rPr>
        <w:t>ThomasAndreMungPatrickDickConnollyOng4238ViceVicePresidentPresident——ChiefFoodInformation&amp;Beverage#Officer#</w:t>
      </w:r>
    </w:p>
    <w:p>
      <w:pPr>
        <w:spacing w:after="0"/>
        <w:rPr>
          <w:sz w:val="20"/>
          <w:szCs w:val="20"/>
          <w:color w:val="auto"/>
        </w:rPr>
      </w:pPr>
      <w:r>
        <w:rPr>
          <w:rFonts w:ascii="Arial" w:cs="Arial" w:eastAsia="Arial" w:hAnsi="Arial"/>
          <w:sz w:val="3"/>
          <w:szCs w:val="3"/>
          <w:color w:val="FFFFFF"/>
        </w:rPr>
        <w:t>Notes:MoYin Mok 50 Vice President — Human Resources#</w:t>
      </w:r>
    </w:p>
    <w:p>
      <w:pPr>
        <w:spacing w:after="0" w:line="194" w:lineRule="auto"/>
        <w:rPr>
          <w:sz w:val="20"/>
          <w:szCs w:val="20"/>
          <w:color w:val="auto"/>
        </w:rPr>
      </w:pPr>
      <w:r>
        <w:rPr>
          <w:rFonts w:ascii="Arial" w:cs="Arial" w:eastAsia="Arial" w:hAnsi="Arial"/>
          <w:sz w:val="5"/>
          <w:szCs w:val="5"/>
          <w:color w:val="FFFFFF"/>
          <w:vertAlign w:val="superscript"/>
        </w:rPr>
        <w:t>#</w:t>
      </w:r>
    </w:p>
    <w:p>
      <w:pPr>
        <w:ind w:left="80"/>
        <w:spacing w:after="0"/>
        <w:rPr>
          <w:sz w:val="20"/>
          <w:szCs w:val="20"/>
          <w:color w:val="auto"/>
        </w:rPr>
      </w:pPr>
      <w:r>
        <w:rPr>
          <w:rFonts w:ascii="Arial" w:cs="Arial" w:eastAsia="Arial" w:hAnsi="Arial"/>
          <w:sz w:val="3"/>
          <w:szCs w:val="3"/>
          <w:color w:val="FFFFFF"/>
        </w:rPr>
        <w:t>#PositionPositionheldheldininWRM.theCompany.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 Mr. Jay Dee Clayton was succeeded by Mr. Charlie Ward upon the former’s completion of his service contract with WRM in March 2012.</w:t>
      </w:r>
    </w:p>
    <w:p>
      <w:pPr>
        <w:sectPr>
          <w:pgSz w:w="11900" w:h="16838" w:orient="portrait"/>
          <w:cols w:equalWidth="0" w:num="1">
            <w:col w:w="11360"/>
          </w:cols>
          <w:pgMar w:left="240" w:top="1440" w:right="29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2"/>
          </w:tcPr>
          <w:p>
            <w:pPr>
              <w:spacing w:after="0"/>
              <w:rPr>
                <w:sz w:val="20"/>
                <w:szCs w:val="20"/>
                <w:color w:val="auto"/>
              </w:rPr>
            </w:pPr>
            <w:r>
              <w:rPr>
                <w:rFonts w:ascii="Arial" w:cs="Arial" w:eastAsia="Arial" w:hAnsi="Arial"/>
                <w:sz w:val="14"/>
                <w:szCs w:val="14"/>
                <w:color w:val="FFFFFF"/>
              </w:rPr>
              <w:t>Annual Report 2011 33</w:t>
            </w:r>
          </w:p>
        </w:tc>
        <w:tc>
          <w:tcPr>
            <w:tcW w:w="2960" w:type="dxa"/>
            <w:vAlign w:val="bottom"/>
          </w:tcPr>
          <w:p>
            <w:pPr>
              <w:spacing w:after="0"/>
              <w:rPr>
                <w:sz w:val="14"/>
                <w:szCs w:val="14"/>
                <w:color w:val="auto"/>
              </w:rPr>
            </w:pPr>
          </w:p>
        </w:tc>
      </w:tr>
      <w:tr>
        <w:trPr>
          <w:trHeight w:val="41"/>
        </w:trPr>
        <w:tc>
          <w:tcPr>
            <w:tcW w:w="844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2960" w:type="dxa"/>
            <w:vAlign w:val="bottom"/>
          </w:tcPr>
          <w:p>
            <w:pPr>
              <w:spacing w:after="0"/>
              <w:rPr>
                <w:sz w:val="3"/>
                <w:szCs w:val="3"/>
                <w:color w:val="auto"/>
              </w:rPr>
            </w:pPr>
          </w:p>
        </w:tc>
      </w:tr>
      <w:tr>
        <w:trPr>
          <w:trHeight w:val="41"/>
        </w:trPr>
        <w:tc>
          <w:tcPr>
            <w:tcW w:w="8440" w:type="dxa"/>
            <w:vAlign w:val="bottom"/>
            <w:gridSpan w:val="2"/>
          </w:tcPr>
          <w:p>
            <w:pPr>
              <w:spacing w:after="0"/>
              <w:rPr>
                <w:sz w:val="20"/>
                <w:szCs w:val="20"/>
                <w:color w:val="auto"/>
              </w:rPr>
            </w:pPr>
            <w:r>
              <w:rPr>
                <w:rFonts w:ascii="Arial" w:cs="Arial" w:eastAsia="Arial" w:hAnsi="Arial"/>
                <w:sz w:val="3"/>
                <w:szCs w:val="3"/>
                <w:color w:val="FFFFFF"/>
              </w:rPr>
              <w:t>The biography of each member of the senior management team (other than our executive Directors) is set  ut below:</w:t>
            </w:r>
          </w:p>
        </w:tc>
        <w:tc>
          <w:tcPr>
            <w:tcW w:w="296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Mr. Frank Xiao, aged 44, is the Senior Executive Vice President — Premium Marketing of WRM, a position he has held since August 2006. Mr. Xiao is responsible for providing leadership and guidance to the</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marketing team and staff, developing business and promoting Wynn Macau. Prior to this position, Mr. Xiao was the Senior Executive Vice President — China Marketing for WIML and Worldwide Wynn</w:t>
            </w:r>
          </w:p>
        </w:tc>
      </w:tr>
      <w:tr>
        <w:trPr>
          <w:trHeight w:val="41"/>
        </w:trPr>
        <w:tc>
          <w:tcPr>
            <w:tcW w:w="8440" w:type="dxa"/>
            <w:vAlign w:val="bottom"/>
            <w:gridSpan w:val="2"/>
          </w:tcPr>
          <w:p>
            <w:pPr>
              <w:spacing w:after="0"/>
              <w:rPr>
                <w:sz w:val="20"/>
                <w:szCs w:val="20"/>
                <w:color w:val="auto"/>
              </w:rPr>
            </w:pPr>
            <w:r>
              <w:rPr>
                <w:rFonts w:ascii="Arial" w:cs="Arial" w:eastAsia="Arial" w:hAnsi="Arial"/>
                <w:sz w:val="3"/>
                <w:szCs w:val="3"/>
                <w:color w:val="FFFFFF"/>
              </w:rPr>
              <w:t>between 2005 until 2006. Prior to joining the Group, Mr. Xiao was the Senior Vice President of Far East Marketing at MGM Grand Hotel. During his 12</w:t>
            </w:r>
          </w:p>
        </w:tc>
        <w:tc>
          <w:tcPr>
            <w:tcW w:w="2960" w:type="dxa"/>
            <w:vAlign w:val="bottom"/>
          </w:tcPr>
          <w:p>
            <w:pPr>
              <w:ind w:left="180"/>
              <w:spacing w:after="0"/>
              <w:rPr>
                <w:sz w:val="20"/>
                <w:szCs w:val="20"/>
                <w:color w:val="auto"/>
              </w:rPr>
            </w:pPr>
            <w:r>
              <w:rPr>
                <w:rFonts w:ascii="Arial" w:cs="Arial" w:eastAsia="Arial" w:hAnsi="Arial"/>
                <w:sz w:val="3"/>
                <w:szCs w:val="3"/>
                <w:color w:val="FFFFFF"/>
              </w:rPr>
              <w:t>at the MGM Grand Hotel, he was promoted several</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times from his fi rst position as Far East Marketing Executive in 1993. Mr. Xiao holds a Bachelor of Science Degree in Hotel Administration and a Master’yearsDegree in Hotel Administration from the University</w:t>
            </w:r>
          </w:p>
        </w:tc>
      </w:tr>
      <w:tr>
        <w:trPr>
          <w:trHeight w:val="41"/>
        </w:trPr>
        <w:tc>
          <w:tcPr>
            <w:tcW w:w="8440" w:type="dxa"/>
            <w:vAlign w:val="bottom"/>
            <w:gridSpan w:val="2"/>
          </w:tcPr>
          <w:p>
            <w:pPr>
              <w:spacing w:after="0"/>
              <w:rPr>
                <w:sz w:val="20"/>
                <w:szCs w:val="20"/>
                <w:color w:val="auto"/>
              </w:rPr>
            </w:pPr>
            <w:r>
              <w:rPr>
                <w:rFonts w:ascii="Arial" w:cs="Arial" w:eastAsia="Arial" w:hAnsi="Arial"/>
                <w:sz w:val="3"/>
                <w:szCs w:val="3"/>
                <w:color w:val="FFFFFF"/>
              </w:rPr>
              <w:t>of Nevada, Las Vegas.</w:t>
            </w:r>
          </w:p>
        </w:tc>
        <w:tc>
          <w:tcPr>
            <w:tcW w:w="296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Mr. Jay Dee Clayton, aged 59, was the Executive Vice President — Operations of WRM from May 2006 through March 2012. Following the completion of his service contract with WRM, Mr. Clayton was</w:t>
            </w:r>
          </w:p>
        </w:tc>
      </w:tr>
      <w:tr>
        <w:trPr>
          <w:trHeight w:val="41"/>
        </w:trPr>
        <w:tc>
          <w:tcPr>
            <w:tcW w:w="8440" w:type="dxa"/>
            <w:vAlign w:val="bottom"/>
            <w:gridSpan w:val="2"/>
          </w:tcPr>
          <w:p>
            <w:pPr>
              <w:spacing w:after="0"/>
              <w:rPr>
                <w:sz w:val="20"/>
                <w:szCs w:val="20"/>
                <w:color w:val="auto"/>
              </w:rPr>
            </w:pPr>
            <w:r>
              <w:rPr>
                <w:rFonts w:ascii="Arial" w:cs="Arial" w:eastAsia="Arial" w:hAnsi="Arial"/>
                <w:sz w:val="3"/>
                <w:szCs w:val="3"/>
                <w:color w:val="FFFFFF"/>
              </w:rPr>
              <w:t>succeeded by Mr. Charlie Ward.</w:t>
            </w:r>
          </w:p>
        </w:tc>
        <w:tc>
          <w:tcPr>
            <w:tcW w:w="296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Mr. Charlie Ward, aged 62, is the Executive Vice President — Casino Operations of WRM, a position he has h ld since 1 March 2012. Mr. Ward is responsible for providing leadership and operational direction</w:t>
            </w: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for WRM</w:t>
            </w:r>
          </w:p>
        </w:tc>
        <w:tc>
          <w:tcPr>
            <w:tcW w:w="10400" w:type="dxa"/>
            <w:vAlign w:val="bottom"/>
            <w:gridSpan w:val="2"/>
          </w:tcPr>
          <w:p>
            <w:pPr>
              <w:spacing w:after="0"/>
              <w:rPr>
                <w:sz w:val="20"/>
                <w:szCs w:val="20"/>
                <w:color w:val="auto"/>
              </w:rPr>
            </w:pPr>
            <w:r>
              <w:rPr>
                <w:rFonts w:ascii="Arial" w:cs="Arial" w:eastAsia="Arial" w:hAnsi="Arial"/>
                <w:sz w:val="3"/>
                <w:szCs w:val="3"/>
                <w:color w:val="FFFFFF"/>
              </w:rPr>
              <w:t>operations. Mr. Ward has more than 40 years experience in the gaming industry, having served at gaming companies including MGM and Wynn. Over his career Mr. Ward has gained</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experiencegamingwide range of assignments including customer/VIP relations, game protection and casino set up, opening and operations. Prior to this position, Mr. Ward held the position of Vice President of</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Table Games at Wynn | Encore Las Vegas between 2008 and 2012. Prior to joining the Group, Mr. Ward was at MGM Grand Hotel and Casino for 14 years and in 2007 was promoted to the pre-opening team of</w:t>
            </w:r>
          </w:p>
        </w:tc>
      </w:tr>
      <w:tr>
        <w:trPr>
          <w:trHeight w:val="41"/>
        </w:trPr>
        <w:tc>
          <w:tcPr>
            <w:tcW w:w="8440" w:type="dxa"/>
            <w:vAlign w:val="bottom"/>
            <w:gridSpan w:val="2"/>
          </w:tcPr>
          <w:p>
            <w:pPr>
              <w:ind w:left="120"/>
              <w:spacing w:after="0"/>
              <w:rPr>
                <w:sz w:val="20"/>
                <w:szCs w:val="20"/>
                <w:color w:val="auto"/>
              </w:rPr>
            </w:pPr>
            <w:r>
              <w:rPr>
                <w:rFonts w:ascii="Arial" w:cs="Arial" w:eastAsia="Arial" w:hAnsi="Arial"/>
                <w:sz w:val="3"/>
                <w:szCs w:val="3"/>
                <w:color w:val="FFFFFF"/>
              </w:rPr>
              <w:t>GM Grand Macau as Vice President of VIP Gaming.</w:t>
            </w:r>
          </w:p>
        </w:tc>
        <w:tc>
          <w:tcPr>
            <w:tcW w:w="2960" w:type="dxa"/>
            <w:vAlign w:val="bottom"/>
          </w:tcPr>
          <w:p>
            <w:pPr>
              <w:spacing w:after="0"/>
              <w:rPr>
                <w:sz w:val="3"/>
                <w:szCs w:val="3"/>
                <w:color w:val="auto"/>
              </w:rPr>
            </w:pPr>
          </w:p>
        </w:tc>
      </w:tr>
      <w:tr>
        <w:trPr>
          <w:trHeight w:val="0"/>
        </w:trPr>
        <w:tc>
          <w:tcPr>
            <w:tcW w:w="1000" w:type="dxa"/>
            <w:vAlign w:val="bottom"/>
          </w:tcPr>
          <w:p>
            <w:pPr>
              <w:spacing w:after="0" w:line="80" w:lineRule="exact"/>
              <w:rPr>
                <w:sz w:val="20"/>
                <w:szCs w:val="20"/>
                <w:color w:val="auto"/>
              </w:rPr>
            </w:pPr>
            <w:r>
              <w:rPr>
                <w:rFonts w:ascii="Arial" w:cs="Arial" w:eastAsia="Arial" w:hAnsi="Arial"/>
                <w:sz w:val="9"/>
                <w:szCs w:val="9"/>
                <w:color w:val="FFFFFF"/>
              </w:rPr>
              <w:t>Ms. Doreen Marie</w:t>
            </w:r>
          </w:p>
        </w:tc>
        <w:tc>
          <w:tcPr>
            <w:tcW w:w="10400" w:type="dxa"/>
            <w:vAlign w:val="bottom"/>
            <w:gridSpan w:val="2"/>
          </w:tcPr>
          <w:p>
            <w:pPr>
              <w:ind w:left="620"/>
              <w:spacing w:after="0" w:line="80" w:lineRule="exact"/>
              <w:rPr>
                <w:sz w:val="20"/>
                <w:szCs w:val="20"/>
                <w:color w:val="auto"/>
              </w:rPr>
            </w:pPr>
            <w:r>
              <w:rPr>
                <w:rFonts w:ascii="Arial" w:cs="Arial" w:eastAsia="Arial" w:hAnsi="Arial"/>
                <w:sz w:val="9"/>
                <w:szCs w:val="9"/>
                <w:color w:val="FFFFFF"/>
              </w:rPr>
              <w:t>aged 57, is the Executive Vice President — Hotel Operations of WRM,  position she has held since May 2007. Ms. Whennen is responsible for overseeing the hotel operations of</w:t>
            </w:r>
          </w:p>
        </w:tc>
      </w:tr>
    </w:tbl>
    <w:p>
      <w:pPr>
        <w:ind w:right="60"/>
        <w:spacing w:after="0" w:line="187" w:lineRule="auto"/>
        <w:rPr>
          <w:sz w:val="20"/>
          <w:szCs w:val="20"/>
          <w:color w:val="auto"/>
        </w:rPr>
      </w:pPr>
      <w:r>
        <w:rPr>
          <w:rFonts w:ascii="Arial" w:cs="Arial" w:eastAsia="Arial" w:hAnsi="Arial"/>
          <w:sz w:val="9"/>
          <w:szCs w:val="9"/>
          <w:color w:val="FFFFFF"/>
        </w:rPr>
        <w:t>Wynn Macau. Ms. Whennen, has over 20 years of experience in the hospitality industry. She joined Valvino Lamore, LLC in 2000 and prior to joining the Group, she held various positions at The Mirage, which she joined in 1989, including Front Offi ce Manager, Director of Guest Services and Vice President of Hotel Operations.</w:t>
      </w:r>
    </w:p>
    <w:p>
      <w:pPr>
        <w:sectPr>
          <w:pgSz w:w="11900" w:h="16838" w:orient="portrait"/>
          <w:cols w:equalWidth="0" w:num="1">
            <w:col w:w="11400"/>
          </w:cols>
          <w:pgMar w:left="240" w:top="1440" w:right="25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gridSpan w:val="2"/>
          </w:tcPr>
          <w:p>
            <w:pPr>
              <w:spacing w:after="0"/>
              <w:rPr>
                <w:sz w:val="20"/>
                <w:szCs w:val="20"/>
                <w:color w:val="auto"/>
              </w:rPr>
            </w:pPr>
            <w:r>
              <w:rPr>
                <w:rFonts w:ascii="Arial" w:cs="Arial" w:eastAsia="Arial" w:hAnsi="Arial"/>
                <w:sz w:val="14"/>
                <w:szCs w:val="14"/>
                <w:color w:val="FFFFFF"/>
              </w:rPr>
              <w:t>34 Wynn Macau, Limited</w:t>
            </w:r>
          </w:p>
        </w:tc>
        <w:tc>
          <w:tcPr>
            <w:tcW w:w="1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1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4"/>
          </w:tcPr>
          <w:p>
            <w:pPr>
              <w:ind w:left="240"/>
              <w:spacing w:after="0"/>
              <w:rPr>
                <w:sz w:val="20"/>
                <w:szCs w:val="20"/>
                <w:color w:val="auto"/>
              </w:rPr>
            </w:pPr>
            <w:r>
              <w:rPr>
                <w:rFonts w:ascii="Arial" w:cs="Arial" w:eastAsia="Arial" w:hAnsi="Arial"/>
                <w:sz w:val="3"/>
                <w:szCs w:val="3"/>
                <w:color w:val="FFFFFF"/>
              </w:rPr>
              <w:t>Jay M. Schall, aged 38, is the Senior Vice President and General Counsel of the Company and Senior Vice President — Legal of WRM. He has held senior legal positions with WRM since May 2006.</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Mr. Schall has over twelve years of experience in the legal fi eld, including eight years in Macau and Hong Kong. Prior to joining the Group, Mr. Schall practiced United States law at a major law fi rm in the</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United St tes and in H ng Kong. Mr. Schall is a member of the State Bar of Texas. Mr. Schall holds a Bachelor of Arts Degree from Colorado College, an MBA from Tulane University, Freeman School of</w:t>
            </w:r>
          </w:p>
        </w:tc>
        <w:tc>
          <w:tcPr>
            <w:tcW w:w="0" w:type="dxa"/>
            <w:vAlign w:val="bottom"/>
          </w:tcPr>
          <w:p>
            <w:pPr>
              <w:spacing w:after="0"/>
              <w:rPr>
                <w:sz w:val="1"/>
                <w:szCs w:val="1"/>
                <w:color w:val="auto"/>
              </w:rPr>
            </w:pP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Business and</w:t>
            </w:r>
          </w:p>
        </w:tc>
        <w:tc>
          <w:tcPr>
            <w:tcW w:w="6900" w:type="dxa"/>
            <w:vAlign w:val="bottom"/>
          </w:tcPr>
          <w:p>
            <w:pPr>
              <w:ind w:left="60"/>
              <w:spacing w:after="0"/>
              <w:rPr>
                <w:sz w:val="20"/>
                <w:szCs w:val="20"/>
                <w:color w:val="auto"/>
              </w:rPr>
            </w:pPr>
            <w:r>
              <w:rPr>
                <w:rFonts w:ascii="Arial" w:cs="Arial" w:eastAsia="Arial" w:hAnsi="Arial"/>
                <w:sz w:val="3"/>
                <w:szCs w:val="3"/>
                <w:color w:val="FFFFFF"/>
              </w:rPr>
              <w:t>Juris Doctor (magna cum laude, Order of the Coif) from Tulane University School of Law.</w:t>
            </w:r>
          </w:p>
        </w:tc>
        <w:tc>
          <w:tcPr>
            <w:tcW w:w="1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Mr. Robert</w:t>
            </w:r>
          </w:p>
        </w:tc>
        <w:tc>
          <w:tcPr>
            <w:tcW w:w="10540" w:type="dxa"/>
            <w:vAlign w:val="bottom"/>
            <w:gridSpan w:val="3"/>
          </w:tcPr>
          <w:p>
            <w:pPr>
              <w:jc w:val="right"/>
              <w:ind w:right="3"/>
              <w:spacing w:after="0"/>
              <w:rPr>
                <w:sz w:val="20"/>
                <w:szCs w:val="20"/>
                <w:color w:val="auto"/>
              </w:rPr>
            </w:pPr>
            <w:r>
              <w:rPr>
                <w:rFonts w:ascii="Arial" w:cs="Arial" w:eastAsia="Arial" w:hAnsi="Arial"/>
                <w:sz w:val="3"/>
                <w:szCs w:val="3"/>
                <w:color w:val="FFFFFF"/>
              </w:rPr>
              <w:t>Gansmo, aged 42, is the Senior Vice President — Chief Financial Offi cer of WRM,  position he has held since April 2009. Prior to taking this position, Mr. Gansmo was the Director —</w:t>
            </w: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Finance of WRM,Alexanderposition   assumed in January 2007. Mr. Gansmo is responsible for the management and administration of WRM’s fi</w:t>
            </w:r>
          </w:p>
        </w:tc>
        <w:tc>
          <w:tcPr>
            <w:tcW w:w="3640" w:type="dxa"/>
            <w:vAlign w:val="bottom"/>
            <w:gridSpan w:val="2"/>
          </w:tcPr>
          <w:p>
            <w:pPr>
              <w:jc w:val="right"/>
              <w:ind w:right="83"/>
              <w:spacing w:after="0"/>
              <w:rPr>
                <w:sz w:val="20"/>
                <w:szCs w:val="20"/>
                <w:color w:val="auto"/>
              </w:rPr>
            </w:pPr>
            <w:r>
              <w:rPr>
                <w:rFonts w:ascii="Arial" w:cs="Arial" w:eastAsia="Arial" w:hAnsi="Arial"/>
                <w:sz w:val="3"/>
                <w:szCs w:val="3"/>
                <w:color w:val="FFFFFF"/>
              </w:rPr>
              <w:t>. Before joining WRM, Mr. Gansmo worked at Wynn Resorts,</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Limited, where he served as the Director of Financial Reporting from November 2002. Prior to joining the Group, Mr. Gansmo practiced asnancecertifi ed public accountant with fi rms in Nevada, Washington and</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California, including KPMG Peat Marwick, Arthur Andersen, and Deloitte and Touche. Mr. Gansmo graduated in 1993 from California State University, Chico, where he obtained a Bachelor of Science Degree</w:t>
            </w: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in Business Administration with a focus on accounting.</w:t>
            </w:r>
          </w:p>
        </w:tc>
        <w:tc>
          <w:tcPr>
            <w:tcW w:w="1820" w:type="dxa"/>
            <w:vAlign w:val="bottom"/>
          </w:tcPr>
          <w:p>
            <w:pPr>
              <w:spacing w:after="0"/>
              <w:rPr>
                <w:sz w:val="3"/>
                <w:szCs w:val="3"/>
                <w:color w:val="auto"/>
              </w:rPr>
            </w:pPr>
          </w:p>
        </w:tc>
        <w:tc>
          <w:tcPr>
            <w:tcW w:w="1820" w:type="dxa"/>
            <w:vAlign w:val="bottom"/>
            <w:vMerge w:val="restart"/>
          </w:tcPr>
          <w:p>
            <w:pPr>
              <w:jc w:val="right"/>
              <w:ind w:right="83"/>
              <w:spacing w:after="0"/>
              <w:rPr>
                <w:sz w:val="20"/>
                <w:szCs w:val="20"/>
                <w:color w:val="auto"/>
              </w:rPr>
            </w:pPr>
            <w:r>
              <w:rPr>
                <w:rFonts w:ascii="Arial" w:cs="Arial" w:eastAsia="Arial" w:hAnsi="Arial"/>
                <w:sz w:val="3"/>
                <w:szCs w:val="3"/>
                <w:color w:val="FFFFFF"/>
              </w:rPr>
              <w:t>planning, development and</w:t>
            </w:r>
          </w:p>
        </w:tc>
        <w:tc>
          <w:tcPr>
            <w:tcW w:w="0" w:type="dxa"/>
            <w:vAlign w:val="bottom"/>
          </w:tcPr>
          <w:p>
            <w:pPr>
              <w:spacing w:after="0"/>
              <w:rPr>
                <w:sz w:val="1"/>
                <w:szCs w:val="1"/>
                <w:color w:val="auto"/>
              </w:rPr>
            </w:pPr>
          </w:p>
        </w:tc>
      </w:tr>
      <w:tr>
        <w:trPr>
          <w:trHeight w:val="0"/>
        </w:trPr>
        <w:tc>
          <w:tcPr>
            <w:tcW w:w="9500" w:type="dxa"/>
            <w:vAlign w:val="bottom"/>
            <w:gridSpan w:val="3"/>
          </w:tcPr>
          <w:p>
            <w:pPr>
              <w:spacing w:after="0" w:line="80" w:lineRule="exact"/>
              <w:rPr>
                <w:sz w:val="20"/>
                <w:szCs w:val="20"/>
                <w:color w:val="auto"/>
              </w:rPr>
            </w:pPr>
            <w:r>
              <w:rPr>
                <w:rFonts w:ascii="Arial" w:cs="Arial" w:eastAsia="Arial" w:hAnsi="Arial"/>
                <w:sz w:val="9"/>
                <w:szCs w:val="9"/>
                <w:color w:val="FFFFFF"/>
              </w:rPr>
              <w:t>Mr. Andre Mung Dick Ong, aged 42, is the Vice President — Chief Information Offi cer of WRM, a position he has held since March 2007. Mr. Ong is responsible for the</w:t>
            </w:r>
          </w:p>
        </w:tc>
        <w:tc>
          <w:tcPr>
            <w:tcW w:w="1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40"/>
        <w:spacing w:after="0"/>
        <w:rPr>
          <w:sz w:val="20"/>
          <w:szCs w:val="20"/>
          <w:color w:val="auto"/>
        </w:rPr>
      </w:pPr>
      <w:r>
        <w:rPr>
          <w:rFonts w:ascii="Arial" w:cs="Arial" w:eastAsia="Arial" w:hAnsi="Arial"/>
          <w:sz w:val="3"/>
          <w:szCs w:val="3"/>
          <w:color w:val="FFFFFF"/>
        </w:rPr>
        <w:t>overall operation of information systems and technology services for WRM. Prior to taking up this role, Mr. Ong was the executive director, Chief Information Offi cer of WRM,strategic position he held from June 2003. Before joining the Group, Mr. Ong served at Shangri-La Hotels</w:t>
      </w:r>
    </w:p>
    <w:p>
      <w:pPr>
        <w:spacing w:after="0" w:line="7" w:lineRule="exact"/>
        <w:rPr>
          <w:sz w:val="20"/>
          <w:szCs w:val="20"/>
          <w:color w:val="auto"/>
        </w:rPr>
      </w:pPr>
    </w:p>
    <w:p>
      <w:pPr>
        <w:ind w:right="40"/>
        <w:spacing w:after="0" w:line="183" w:lineRule="auto"/>
        <w:rPr>
          <w:sz w:val="20"/>
          <w:szCs w:val="20"/>
          <w:color w:val="auto"/>
        </w:rPr>
      </w:pPr>
      <w:r>
        <w:rPr>
          <w:rFonts w:ascii="Arial" w:cs="Arial" w:eastAsia="Arial" w:hAnsi="Arial"/>
          <w:sz w:val="9"/>
          <w:szCs w:val="9"/>
          <w:color w:val="FFFFFF"/>
        </w:rPr>
        <w:t xml:space="preserve">&amp; Resorts where, from August 2001 until May 2003, he was the Director of Corporate Information Technology and was responsible for the planning and deployment of information technology for the group of 40 hotels and fi ve regional sales offi ces. Prior to this role, he was Director of Technology Support as well as Systems Support Manager since 1993. Mr. Ong has more than 18 years of experience in the </w:t>
      </w:r>
      <w:r>
        <w:rPr>
          <w:rFonts w:ascii="Arial" w:cs="Arial" w:eastAsia="Arial" w:hAnsi="Arial"/>
          <w:sz w:val="14"/>
          <w:szCs w:val="14"/>
          <w:color w:val="FFFFFF"/>
          <w:vertAlign w:val="subscript"/>
        </w:rPr>
        <w:t>hospitality/gaming</w:t>
      </w:r>
      <w:r>
        <w:rPr>
          <w:rFonts w:ascii="Arial" w:cs="Arial" w:eastAsia="Arial" w:hAnsi="Arial"/>
          <w:sz w:val="9"/>
          <w:szCs w:val="9"/>
          <w:color w:val="FFFFFF"/>
        </w:rPr>
        <w:t xml:space="preserve"> industry and extensive skills in technology consultation and execution, vendor management, operation management and software development. Mr. Ong was educated in Western Australia and obtained Bachelor of Engineering Degree in Computer Systems from Curtin University of Technology in 1991.</w:t>
      </w:r>
    </w:p>
    <w:p>
      <w:pPr>
        <w:sectPr>
          <w:pgSz w:w="11900" w:h="16838" w:orient="portrait"/>
          <w:cols w:equalWidth="0" w:num="1">
            <w:col w:w="11320"/>
          </w:cols>
          <w:pgMar w:left="240" w:top="1440"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4"/>
                <w:szCs w:val="14"/>
                <w:color w:val="FFFFFF"/>
                <w:w w:val="88"/>
              </w:rPr>
              <w:t>Annual Report 2011 35</w:t>
            </w:r>
          </w:p>
        </w:tc>
        <w:tc>
          <w:tcPr>
            <w:tcW w:w="3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800" w:type="dxa"/>
            <w:vAlign w:val="bottom"/>
            <w:gridSpan w:val="3"/>
          </w:tcPr>
          <w:p>
            <w:pPr>
              <w:spacing w:after="0"/>
              <w:rPr>
                <w:sz w:val="20"/>
                <w:szCs w:val="20"/>
                <w:color w:val="auto"/>
              </w:rPr>
            </w:pPr>
            <w:r>
              <w:rPr>
                <w:rFonts w:ascii="Arial" w:cs="Arial" w:eastAsia="Arial" w:hAnsi="Arial"/>
                <w:sz w:val="3"/>
                <w:szCs w:val="3"/>
                <w:color w:val="FFFFFF"/>
              </w:rPr>
              <w:t>Directors and Senior Management</w:t>
            </w:r>
          </w:p>
        </w:tc>
        <w:tc>
          <w:tcPr>
            <w:tcW w:w="660" w:type="dxa"/>
            <w:vAlign w:val="bottom"/>
          </w:tcPr>
          <w:p>
            <w:pPr>
              <w:spacing w:after="0"/>
              <w:rPr>
                <w:sz w:val="3"/>
                <w:szCs w:val="3"/>
                <w:color w:val="auto"/>
              </w:rPr>
            </w:pPr>
          </w:p>
        </w:tc>
        <w:tc>
          <w:tcPr>
            <w:tcW w:w="5800" w:type="dxa"/>
            <w:vAlign w:val="bottom"/>
            <w:gridSpan w:val="4"/>
            <w:vMerge w:val="restart"/>
          </w:tcPr>
          <w:p>
            <w:pPr>
              <w:ind w:left="140"/>
              <w:spacing w:after="0" w:line="81" w:lineRule="exact"/>
              <w:rPr>
                <w:sz w:val="20"/>
                <w:szCs w:val="20"/>
                <w:color w:val="auto"/>
              </w:rPr>
            </w:pPr>
            <w:r>
              <w:rPr>
                <w:rFonts w:ascii="Arial" w:cs="Arial" w:eastAsia="Arial" w:hAnsi="Arial"/>
                <w:sz w:val="9"/>
                <w:szCs w:val="9"/>
                <w:color w:val="FFFFFF"/>
              </w:rPr>
              <w:t>he has held since July 2008. Prior to taking this position, Mr. Connolly was the Director — Food and</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Mr.</w:t>
            </w:r>
          </w:p>
        </w:tc>
        <w:tc>
          <w:tcPr>
            <w:tcW w:w="5020" w:type="dxa"/>
            <w:vAlign w:val="bottom"/>
            <w:gridSpan w:val="3"/>
          </w:tcPr>
          <w:p>
            <w:pPr>
              <w:ind w:left="260"/>
              <w:spacing w:after="0"/>
              <w:rPr>
                <w:sz w:val="20"/>
                <w:szCs w:val="20"/>
                <w:color w:val="auto"/>
              </w:rPr>
            </w:pPr>
            <w:r>
              <w:rPr>
                <w:rFonts w:ascii="Arial" w:cs="Arial" w:eastAsia="Arial" w:hAnsi="Arial"/>
                <w:sz w:val="3"/>
                <w:szCs w:val="3"/>
                <w:color w:val="FFFFFF"/>
              </w:rPr>
              <w:t>Patrick Connolly, aged 38, is the Vice-President — Food &amp; Beverage of WRM, a</w:t>
            </w:r>
          </w:p>
        </w:tc>
        <w:tc>
          <w:tcPr>
            <w:tcW w:w="58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8"/>
          </w:tcPr>
          <w:p>
            <w:pPr>
              <w:spacing w:after="0"/>
              <w:rPr>
                <w:sz w:val="20"/>
                <w:szCs w:val="20"/>
                <w:color w:val="auto"/>
              </w:rPr>
            </w:pPr>
            <w:r>
              <w:rPr>
                <w:rFonts w:ascii="Arial" w:cs="Arial" w:eastAsia="Arial" w:hAnsi="Arial"/>
                <w:sz w:val="3"/>
                <w:szCs w:val="3"/>
                <w:color w:val="FFFFFF"/>
              </w:rPr>
              <w:t>Beverage,Thomas position he assumed in April 2007. Mr. Connolly is responsible for all aspects of WRM’positionfood and beverage operations. Prior to joining the Group, Mr. Connolly was Assistant Food and Beverage</w:t>
            </w:r>
          </w:p>
        </w:tc>
        <w:tc>
          <w:tcPr>
            <w:tcW w:w="0" w:type="dxa"/>
            <w:vAlign w:val="bottom"/>
          </w:tcPr>
          <w:p>
            <w:pPr>
              <w:spacing w:after="0"/>
              <w:rPr>
                <w:sz w:val="1"/>
                <w:szCs w:val="1"/>
                <w:color w:val="auto"/>
              </w:rPr>
            </w:pPr>
          </w:p>
        </w:tc>
      </w:tr>
      <w:tr>
        <w:trPr>
          <w:trHeight w:val="41"/>
        </w:trPr>
        <w:tc>
          <w:tcPr>
            <w:tcW w:w="7500" w:type="dxa"/>
            <w:vAlign w:val="bottom"/>
            <w:gridSpan w:val="5"/>
          </w:tcPr>
          <w:p>
            <w:pPr>
              <w:spacing w:after="0"/>
              <w:rPr>
                <w:sz w:val="20"/>
                <w:szCs w:val="20"/>
                <w:color w:val="auto"/>
              </w:rPr>
            </w:pPr>
            <w:r>
              <w:rPr>
                <w:rFonts w:ascii="Arial" w:cs="Arial" w:eastAsia="Arial" w:hAnsi="Arial"/>
                <w:sz w:val="3"/>
                <w:szCs w:val="3"/>
                <w:color w:val="FFFFFF"/>
              </w:rPr>
              <w:t>Manager at The Peninsula Hong Kong, a role he held from March 2006 until April 2007. His experience also includes managing The</w:t>
            </w:r>
          </w:p>
        </w:tc>
        <w:tc>
          <w:tcPr>
            <w:tcW w:w="3760" w:type="dxa"/>
            <w:vAlign w:val="bottom"/>
            <w:gridSpan w:val="3"/>
          </w:tcPr>
          <w:p>
            <w:pPr>
              <w:ind w:left="300"/>
              <w:spacing w:after="0"/>
              <w:rPr>
                <w:sz w:val="20"/>
                <w:szCs w:val="20"/>
                <w:color w:val="auto"/>
              </w:rPr>
            </w:pPr>
            <w:r>
              <w:rPr>
                <w:rFonts w:ascii="Arial" w:cs="Arial" w:eastAsia="Arial" w:hAnsi="Arial"/>
                <w:sz w:val="3"/>
                <w:szCs w:val="3"/>
                <w:color w:val="FFFFFF"/>
              </w:rPr>
              <w:t>Grill at The Mandarin Oriental Hong Kong from October 1999</w:t>
            </w:r>
          </w:p>
        </w:tc>
        <w:tc>
          <w:tcPr>
            <w:tcW w:w="0" w:type="dxa"/>
            <w:vAlign w:val="bottom"/>
          </w:tcPr>
          <w:p>
            <w:pPr>
              <w:spacing w:after="0"/>
              <w:rPr>
                <w:sz w:val="1"/>
                <w:szCs w:val="1"/>
                <w:color w:val="auto"/>
              </w:rPr>
            </w:pPr>
          </w:p>
        </w:tc>
      </w:tr>
      <w:tr>
        <w:trPr>
          <w:trHeight w:val="41"/>
        </w:trPr>
        <w:tc>
          <w:tcPr>
            <w:tcW w:w="4800" w:type="dxa"/>
            <w:vAlign w:val="bottom"/>
            <w:gridSpan w:val="3"/>
          </w:tcPr>
          <w:p>
            <w:pPr>
              <w:spacing w:after="0"/>
              <w:rPr>
                <w:sz w:val="20"/>
                <w:szCs w:val="20"/>
                <w:color w:val="auto"/>
              </w:rPr>
            </w:pPr>
            <w:r>
              <w:rPr>
                <w:rFonts w:ascii="Arial" w:cs="Arial" w:eastAsia="Arial" w:hAnsi="Arial"/>
                <w:sz w:val="3"/>
                <w:szCs w:val="3"/>
                <w:color w:val="FFFFFF"/>
              </w:rPr>
              <w:t>until November 2000, managing JJ’s at The Grand Hyatt Hong Kong, managing the</w:t>
            </w:r>
          </w:p>
        </w:tc>
        <w:tc>
          <w:tcPr>
            <w:tcW w:w="6460" w:type="dxa"/>
            <w:vAlign w:val="bottom"/>
            <w:gridSpan w:val="5"/>
          </w:tcPr>
          <w:p>
            <w:pPr>
              <w:ind w:left="240"/>
              <w:spacing w:after="0"/>
              <w:rPr>
                <w:sz w:val="20"/>
                <w:szCs w:val="20"/>
                <w:color w:val="auto"/>
              </w:rPr>
            </w:pPr>
            <w:r>
              <w:rPr>
                <w:rFonts w:ascii="Arial" w:cs="Arial" w:eastAsia="Arial" w:hAnsi="Arial"/>
                <w:sz w:val="3"/>
                <w:szCs w:val="3"/>
                <w:color w:val="FFFFFF"/>
              </w:rPr>
              <w:t>of a major Hyatt food and beverage operationMandarinSouth Korea, and serving as General Manager of Jean Georges in</w:t>
            </w:r>
          </w:p>
        </w:tc>
        <w:tc>
          <w:tcPr>
            <w:tcW w:w="0" w:type="dxa"/>
            <w:vAlign w:val="bottom"/>
          </w:tcPr>
          <w:p>
            <w:pPr>
              <w:spacing w:after="0"/>
              <w:rPr>
                <w:sz w:val="1"/>
                <w:szCs w:val="1"/>
                <w:color w:val="auto"/>
              </w:rPr>
            </w:pPr>
          </w:p>
        </w:tc>
      </w:tr>
      <w:tr>
        <w:trPr>
          <w:trHeight w:val="41"/>
        </w:trPr>
        <w:tc>
          <w:tcPr>
            <w:tcW w:w="5460" w:type="dxa"/>
            <w:vAlign w:val="bottom"/>
            <w:gridSpan w:val="4"/>
          </w:tcPr>
          <w:p>
            <w:pPr>
              <w:spacing w:after="0"/>
              <w:rPr>
                <w:sz w:val="20"/>
                <w:szCs w:val="20"/>
                <w:color w:val="auto"/>
              </w:rPr>
            </w:pPr>
            <w:r>
              <w:rPr>
                <w:rFonts w:ascii="Arial" w:cs="Arial" w:eastAsia="Arial" w:hAnsi="Arial"/>
                <w:sz w:val="3"/>
                <w:szCs w:val="3"/>
                <w:color w:val="FFFFFF"/>
              </w:rPr>
              <w:t>Shanghai, China, which he opened with world-renowned chef Jean Georges Vongerichtenopening 2004.</w:t>
            </w:r>
          </w:p>
        </w:tc>
        <w:tc>
          <w:tcPr>
            <w:tcW w:w="2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8"/>
          </w:tcPr>
          <w:p>
            <w:pPr>
              <w:spacing w:after="0"/>
              <w:rPr>
                <w:sz w:val="20"/>
                <w:szCs w:val="20"/>
                <w:color w:val="auto"/>
              </w:rPr>
            </w:pPr>
            <w:r>
              <w:rPr>
                <w:rFonts w:ascii="Arial" w:cs="Arial" w:eastAsia="Arial" w:hAnsi="Arial"/>
                <w:sz w:val="3"/>
                <w:szCs w:val="3"/>
                <w:color w:val="FFFFFF"/>
              </w:rPr>
              <w:t>Ms. Mo Yin Mok, aged 50, is the Vice President — Human Resources of WRM, a position she has held since June 2008. Ms. Mok has an extensive 20-year background in hospitality and human resources,</w:t>
            </w:r>
          </w:p>
        </w:tc>
        <w:tc>
          <w:tcPr>
            <w:tcW w:w="0" w:type="dxa"/>
            <w:vAlign w:val="bottom"/>
          </w:tcPr>
          <w:p>
            <w:pPr>
              <w:spacing w:after="0"/>
              <w:rPr>
                <w:sz w:val="1"/>
                <w:szCs w:val="1"/>
                <w:color w:val="auto"/>
              </w:rPr>
            </w:pPr>
          </w:p>
        </w:tc>
      </w:tr>
      <w:tr>
        <w:trPr>
          <w:trHeight w:val="41"/>
        </w:trPr>
        <w:tc>
          <w:tcPr>
            <w:tcW w:w="11260" w:type="dxa"/>
            <w:vAlign w:val="bottom"/>
            <w:gridSpan w:val="8"/>
          </w:tcPr>
          <w:p>
            <w:pPr>
              <w:spacing w:after="0"/>
              <w:rPr>
                <w:sz w:val="20"/>
                <w:szCs w:val="20"/>
                <w:color w:val="auto"/>
              </w:rPr>
            </w:pPr>
            <w:r>
              <w:rPr>
                <w:rFonts w:ascii="Arial" w:cs="Arial" w:eastAsia="Arial" w:hAnsi="Arial"/>
                <w:sz w:val="3"/>
                <w:szCs w:val="3"/>
                <w:color w:val="FFFFFF"/>
              </w:rPr>
              <w:t>primarily in the luxury hotel sector at The Regent Four Seasons Hong Kong and The Peninsula Hong Kong. Prior to joining the Group, she led The Peninsula Group’ worldwide human resources team and, in</w:t>
            </w:r>
          </w:p>
        </w:tc>
        <w:tc>
          <w:tcPr>
            <w:tcW w:w="0" w:type="dxa"/>
            <w:vAlign w:val="bottom"/>
          </w:tcPr>
          <w:p>
            <w:pPr>
              <w:spacing w:after="0"/>
              <w:rPr>
                <w:sz w:val="1"/>
                <w:szCs w:val="1"/>
                <w:color w:val="auto"/>
              </w:rPr>
            </w:pPr>
          </w:p>
        </w:tc>
      </w:tr>
      <w:tr>
        <w:trPr>
          <w:trHeight w:val="41"/>
        </w:trPr>
        <w:tc>
          <w:tcPr>
            <w:tcW w:w="10480" w:type="dxa"/>
            <w:vAlign w:val="bottom"/>
            <w:gridSpan w:val="7"/>
          </w:tcPr>
          <w:p>
            <w:pPr>
              <w:ind w:left="80"/>
              <w:spacing w:after="0"/>
              <w:rPr>
                <w:sz w:val="20"/>
                <w:szCs w:val="20"/>
                <w:color w:val="auto"/>
              </w:rPr>
            </w:pPr>
            <w:r>
              <w:rPr>
                <w:rFonts w:ascii="Arial" w:cs="Arial" w:eastAsia="Arial" w:hAnsi="Arial"/>
                <w:sz w:val="3"/>
                <w:szCs w:val="3"/>
                <w:color w:val="FFFFFF"/>
              </w:rPr>
              <w:t>er position, supported eight The Peninsula hotels with more than 5,000 staff, and orchestrated human resources activities for the opening of The Peninsula Tokyo. Ms. Mok also served at the</w:t>
            </w:r>
          </w:p>
        </w:tc>
        <w:tc>
          <w:tcPr>
            <w:tcW w:w="780" w:type="dxa"/>
            <w:vAlign w:val="bottom"/>
          </w:tcPr>
          <w:p>
            <w:pPr>
              <w:ind w:left="160"/>
              <w:spacing w:after="0"/>
              <w:rPr>
                <w:sz w:val="20"/>
                <w:szCs w:val="20"/>
                <w:color w:val="auto"/>
              </w:rPr>
            </w:pPr>
            <w:r>
              <w:rPr>
                <w:rFonts w:ascii="Arial" w:cs="Arial" w:eastAsia="Arial" w:hAnsi="Arial"/>
                <w:sz w:val="3"/>
                <w:szCs w:val="3"/>
                <w:color w:val="FFFFFF"/>
              </w:rPr>
              <w:t>lines of the</w:t>
            </w:r>
          </w:p>
        </w:tc>
        <w:tc>
          <w:tcPr>
            <w:tcW w:w="0" w:type="dxa"/>
            <w:vAlign w:val="bottom"/>
          </w:tcPr>
          <w:p>
            <w:pPr>
              <w:spacing w:after="0"/>
              <w:rPr>
                <w:sz w:val="1"/>
                <w:szCs w:val="1"/>
                <w:color w:val="auto"/>
              </w:rPr>
            </w:pPr>
          </w:p>
        </w:tc>
      </w:tr>
      <w:tr>
        <w:trPr>
          <w:trHeight w:val="41"/>
        </w:trPr>
        <w:tc>
          <w:tcPr>
            <w:tcW w:w="11260" w:type="dxa"/>
            <w:vAlign w:val="bottom"/>
            <w:gridSpan w:val="8"/>
          </w:tcPr>
          <w:p>
            <w:pPr>
              <w:spacing w:after="0"/>
              <w:rPr>
                <w:sz w:val="20"/>
                <w:szCs w:val="20"/>
                <w:color w:val="auto"/>
              </w:rPr>
            </w:pPr>
            <w:r>
              <w:rPr>
                <w:rFonts w:ascii="Arial" w:cs="Arial" w:eastAsia="Arial" w:hAnsi="Arial"/>
                <w:sz w:val="3"/>
                <w:szCs w:val="3"/>
                <w:color w:val="FFFFFF"/>
              </w:rPr>
              <w:t>hospitality industry as the Director of Rooms Division at The Peninsula Hong Kong with responsibility for front offi ce, housekeeping, security and spa departments. Ms. Mok currently servesfrontthe Future</w:t>
            </w:r>
          </w:p>
        </w:tc>
        <w:tc>
          <w:tcPr>
            <w:tcW w:w="0" w:type="dxa"/>
            <w:vAlign w:val="bottom"/>
          </w:tcPr>
          <w:p>
            <w:pPr>
              <w:spacing w:after="0"/>
              <w:rPr>
                <w:sz w:val="1"/>
                <w:szCs w:val="1"/>
                <w:color w:val="auto"/>
              </w:rPr>
            </w:pPr>
          </w:p>
        </w:tc>
      </w:tr>
      <w:tr>
        <w:trPr>
          <w:trHeight w:val="0"/>
        </w:trPr>
        <w:tc>
          <w:tcPr>
            <w:tcW w:w="1300" w:type="dxa"/>
            <w:vAlign w:val="bottom"/>
            <w:gridSpan w:val="2"/>
          </w:tcPr>
          <w:p>
            <w:pPr>
              <w:spacing w:after="0" w:line="80" w:lineRule="exact"/>
              <w:rPr>
                <w:sz w:val="20"/>
                <w:szCs w:val="20"/>
                <w:color w:val="auto"/>
              </w:rPr>
            </w:pPr>
            <w:r>
              <w:rPr>
                <w:rFonts w:ascii="Arial" w:cs="Arial" w:eastAsia="Arial" w:hAnsi="Arial"/>
                <w:sz w:val="9"/>
                <w:szCs w:val="9"/>
                <w:color w:val="FFFFFF"/>
              </w:rPr>
              <w:t>Students and</w:t>
            </w:r>
          </w:p>
        </w:tc>
        <w:tc>
          <w:tcPr>
            <w:tcW w:w="6800" w:type="dxa"/>
            <w:vAlign w:val="bottom"/>
            <w:gridSpan w:val="4"/>
          </w:tcPr>
          <w:p>
            <w:pPr>
              <w:ind w:left="40"/>
              <w:spacing w:after="0" w:line="80" w:lineRule="exact"/>
              <w:rPr>
                <w:sz w:val="20"/>
                <w:szCs w:val="20"/>
                <w:color w:val="auto"/>
              </w:rPr>
            </w:pPr>
            <w:r>
              <w:rPr>
                <w:rFonts w:ascii="Arial" w:cs="Arial" w:eastAsia="Arial" w:hAnsi="Arial"/>
                <w:sz w:val="9"/>
                <w:szCs w:val="9"/>
                <w:color w:val="FFFFFF"/>
              </w:rPr>
              <w:t>Advisory Committee of the University of Macau and is  panel member of the Hong Kong Council for Accreditation of</w:t>
            </w:r>
          </w:p>
        </w:tc>
        <w:tc>
          <w:tcPr>
            <w:tcW w:w="2380" w:type="dxa"/>
            <w:vAlign w:val="bottom"/>
          </w:tcPr>
          <w:p>
            <w:pPr>
              <w:ind w:left="320"/>
              <w:spacing w:after="0" w:line="80" w:lineRule="exact"/>
              <w:rPr>
                <w:sz w:val="20"/>
                <w:szCs w:val="20"/>
                <w:color w:val="auto"/>
              </w:rPr>
            </w:pPr>
            <w:r>
              <w:rPr>
                <w:rFonts w:ascii="Arial" w:cs="Arial" w:eastAsia="Arial" w:hAnsi="Arial"/>
                <w:sz w:val="9"/>
                <w:szCs w:val="9"/>
                <w:color w:val="FFFFFF"/>
              </w:rPr>
              <w:t>and Vocational Qualifi cations.</w:t>
            </w: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20"/>
        <w:spacing w:after="0"/>
        <w:rPr>
          <w:sz w:val="20"/>
          <w:szCs w:val="20"/>
          <w:color w:val="auto"/>
        </w:rPr>
      </w:pPr>
      <w:r>
        <w:rPr>
          <w:rFonts w:ascii="Arial" w:cs="Arial" w:eastAsia="Arial" w:hAnsi="Arial"/>
          <w:sz w:val="3"/>
          <w:szCs w:val="3"/>
          <w:color w:val="FFFFFF"/>
        </w:rPr>
        <w:t>Ms. Mok holdsPlacementBachelor of Science Degree in Hospitality Management from Florida International University in the United States, where she receivedAcademicRotary International Ambassadorial Scholarship. She also obtained an MBA from the Chinese University of Hong Kong.</w:t>
      </w:r>
    </w:p>
    <w:p>
      <w:pPr>
        <w:spacing w:after="0" w:line="199" w:lineRule="auto"/>
        <w:rPr>
          <w:sz w:val="20"/>
          <w:szCs w:val="20"/>
          <w:color w:val="auto"/>
        </w:rPr>
      </w:pPr>
      <w:r>
        <w:rPr>
          <w:rFonts w:ascii="Arial" w:cs="Arial" w:eastAsia="Arial" w:hAnsi="Arial"/>
          <w:sz w:val="5"/>
          <w:szCs w:val="5"/>
          <w:color w:val="FFFFFF"/>
        </w:rPr>
        <w:t>OUR COMPANY SECRETARY</w:t>
      </w:r>
    </w:p>
    <w:p>
      <w:pPr>
        <w:spacing w:after="0" w:line="211" w:lineRule="auto"/>
        <w:rPr>
          <w:sz w:val="20"/>
          <w:szCs w:val="20"/>
          <w:color w:val="auto"/>
        </w:rPr>
      </w:pPr>
      <w:r>
        <w:rPr>
          <w:rFonts w:ascii="Arial" w:cs="Arial" w:eastAsia="Arial" w:hAnsi="Arial"/>
          <w:sz w:val="2"/>
          <w:szCs w:val="2"/>
          <w:color w:val="FFFFFF"/>
        </w:rPr>
        <w:t>Ms. Kwok Yu Ching, aged 46, is the company secretary of the Company. Ms. Kwok has been a company secretary of the Company since September 2009. She is</w:t>
      </w:r>
      <w:r>
        <w:rPr>
          <w:rFonts w:ascii="Arial" w:cs="Arial" w:eastAsia="Arial" w:hAnsi="Arial"/>
          <w:sz w:val="4"/>
          <w:szCs w:val="4"/>
          <w:color w:val="FFFFFF"/>
          <w:vertAlign w:val="subscript"/>
        </w:rPr>
        <w:t>Secretaries</w:t>
      </w:r>
      <w:r>
        <w:rPr>
          <w:rFonts w:ascii="Arial" w:cs="Arial" w:eastAsia="Arial" w:hAnsi="Arial"/>
          <w:sz w:val="2"/>
          <w:szCs w:val="2"/>
          <w:color w:val="FFFFFF"/>
        </w:rPr>
        <w:t>director of Corporate Services Division of</w:t>
      </w:r>
    </w:p>
    <w:p>
      <w:pPr>
        <w:spacing w:after="0"/>
        <w:tabs>
          <w:tab w:leader="none" w:pos="9260" w:val="left"/>
        </w:tabs>
        <w:rPr>
          <w:sz w:val="20"/>
          <w:szCs w:val="20"/>
          <w:color w:val="auto"/>
        </w:rPr>
      </w:pPr>
      <w:r>
        <w:rPr>
          <w:rFonts w:ascii="Arial" w:cs="Arial" w:eastAsia="Arial" w:hAnsi="Arial"/>
          <w:sz w:val="2"/>
          <w:szCs w:val="2"/>
          <w:color w:val="FFFFFF"/>
        </w:rPr>
        <w:t>Tricor Services Limited. Ms. Kwok,</w:t>
      </w:r>
      <w:r>
        <w:rPr>
          <w:rFonts w:ascii="Arial" w:cs="Arial" w:eastAsia="Arial" w:hAnsi="Arial"/>
          <w:sz w:val="4"/>
          <w:szCs w:val="4"/>
          <w:color w:val="FFFFFF"/>
          <w:vertAlign w:val="subscript"/>
        </w:rPr>
        <w:t>companies</w:t>
      </w:r>
      <w:r>
        <w:rPr>
          <w:rFonts w:ascii="Arial" w:cs="Arial" w:eastAsia="Arial" w:hAnsi="Arial"/>
          <w:sz w:val="2"/>
          <w:szCs w:val="2"/>
          <w:color w:val="FFFFFF"/>
        </w:rPr>
        <w:t>Chartered Secretary, is a Fellow of both The Hong Kong Institute of Chartered Secretaries and The Institute of Chartered</w:t>
      </w:r>
      <w:r>
        <w:rPr>
          <w:sz w:val="20"/>
          <w:szCs w:val="20"/>
          <w:color w:val="auto"/>
        </w:rPr>
        <w:tab/>
      </w:r>
      <w:r>
        <w:rPr>
          <w:rFonts w:ascii="Arial" w:cs="Arial" w:eastAsia="Arial" w:hAnsi="Arial"/>
          <w:sz w:val="3"/>
          <w:szCs w:val="3"/>
          <w:color w:val="FFFFFF"/>
        </w:rPr>
        <w:t>and Administrators. She has been</w:t>
      </w:r>
    </w:p>
    <w:p>
      <w:pPr>
        <w:ind w:right="260"/>
        <w:spacing w:after="0" w:line="190" w:lineRule="auto"/>
        <w:rPr>
          <w:sz w:val="20"/>
          <w:szCs w:val="20"/>
          <w:color w:val="auto"/>
        </w:rPr>
      </w:pPr>
      <w:r>
        <w:rPr>
          <w:rFonts w:ascii="Arial" w:cs="Arial" w:eastAsia="Arial" w:hAnsi="Arial"/>
          <w:sz w:val="11"/>
          <w:szCs w:val="11"/>
          <w:color w:val="FFFFFF"/>
        </w:rPr>
        <w:t>providing professional services to listed on the Hong Kong Stock Exchange for over 20 years. Prior to joining Tricor Services Limited in 2002, Ms. Kwok was the Senior Manager of Company Secretarial Services at Ernst &amp; Young and Tengis Limited in Hong Kong.</w:t>
      </w:r>
    </w:p>
    <w:p>
      <w:pPr>
        <w:sectPr>
          <w:pgSz w:w="11900" w:h="16838" w:orient="portrait"/>
          <w:cols w:equalWidth="0" w:num="1">
            <w:col w:w="11260"/>
          </w:cols>
          <w:pgMar w:left="240" w:top="1440" w:right="39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sz w:val="20"/>
                <w:szCs w:val="20"/>
                <w:color w:val="auto"/>
              </w:rPr>
            </w:pPr>
            <w:r>
              <w:rPr>
                <w:rFonts w:ascii="Arial" w:cs="Arial" w:eastAsia="Arial" w:hAnsi="Arial"/>
                <w:sz w:val="14"/>
                <w:szCs w:val="14"/>
                <w:color w:val="FFFFFF"/>
              </w:rPr>
              <w:t>36 Wynn Macau, Limited</w:t>
            </w:r>
          </w:p>
        </w:tc>
        <w:tc>
          <w:tcPr>
            <w:tcW w:w="18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18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Directors present their report together with the audited fi nancial statements of the Company and the Group for the year ended 31 December 2011.</w:t>
            </w: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PRINCIPAL ACTIVITIES AND SUBSIDIARIES</w:t>
            </w:r>
          </w:p>
        </w:tc>
        <w:tc>
          <w:tcPr>
            <w:tcW w:w="1860" w:type="dxa"/>
            <w:vAlign w:val="bottom"/>
          </w:tcPr>
          <w:p>
            <w:pPr>
              <w:spacing w:after="0"/>
              <w:rPr>
                <w:sz w:val="3"/>
                <w:szCs w:val="3"/>
                <w:color w:val="auto"/>
              </w:rPr>
            </w:pPr>
          </w:p>
        </w:tc>
        <w:tc>
          <w:tcPr>
            <w:tcW w:w="6720" w:type="dxa"/>
            <w:vAlign w:val="bottom"/>
            <w:vMerge w:val="restart"/>
          </w:tcPr>
          <w:p>
            <w:pPr>
              <w:ind w:left="120"/>
              <w:spacing w:after="0" w:line="81" w:lineRule="exact"/>
              <w:rPr>
                <w:sz w:val="20"/>
                <w:szCs w:val="20"/>
                <w:color w:val="auto"/>
              </w:rPr>
            </w:pPr>
            <w:r>
              <w:rPr>
                <w:rFonts w:ascii="Arial" w:cs="Arial" w:eastAsia="Arial" w:hAnsi="Arial"/>
                <w:sz w:val="9"/>
                <w:szCs w:val="9"/>
                <w:color w:val="FFFFFF"/>
              </w:rPr>
              <w:t>casino gaming and entertainment resort facilities in Macau. The Company is  holding company and our main operating</w:t>
            </w:r>
          </w:p>
        </w:tc>
        <w:tc>
          <w:tcPr>
            <w:tcW w:w="0" w:type="dxa"/>
            <w:vAlign w:val="bottom"/>
          </w:tcPr>
          <w:p>
            <w:pPr>
              <w:spacing w:after="0"/>
              <w:rPr>
                <w:sz w:val="1"/>
                <w:szCs w:val="1"/>
                <w:color w:val="auto"/>
              </w:rPr>
            </w:pPr>
          </w:p>
        </w:tc>
      </w:tr>
      <w:tr>
        <w:trPr>
          <w:trHeight w:val="41"/>
        </w:trPr>
        <w:tc>
          <w:tcPr>
            <w:tcW w:w="4680" w:type="dxa"/>
            <w:vAlign w:val="bottom"/>
            <w:gridSpan w:val="3"/>
          </w:tcPr>
          <w:p>
            <w:pPr>
              <w:spacing w:after="0"/>
              <w:rPr>
                <w:sz w:val="20"/>
                <w:szCs w:val="20"/>
                <w:color w:val="auto"/>
              </w:rPr>
            </w:pPr>
            <w:r>
              <w:rPr>
                <w:rFonts w:ascii="Arial" w:cs="Arial" w:eastAsia="Arial" w:hAnsi="Arial"/>
                <w:sz w:val="3"/>
                <w:szCs w:val="3"/>
                <w:color w:val="FFFFFF"/>
              </w:rPr>
              <w:t>The Company and the Group are  leading developer, owner and operator of</w:t>
            </w:r>
          </w:p>
        </w:tc>
        <w:tc>
          <w:tcPr>
            <w:tcW w:w="6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subsidiary, WRM, owns and operates the</w:t>
            </w:r>
          </w:p>
        </w:tc>
        <w:tc>
          <w:tcPr>
            <w:tcW w:w="8580" w:type="dxa"/>
            <w:vAlign w:val="bottom"/>
            <w:gridSpan w:val="2"/>
          </w:tcPr>
          <w:p>
            <w:pPr>
              <w:ind w:left="60"/>
              <w:spacing w:after="0"/>
              <w:rPr>
                <w:sz w:val="20"/>
                <w:szCs w:val="20"/>
                <w:color w:val="auto"/>
              </w:rPr>
            </w:pPr>
            <w:r>
              <w:rPr>
                <w:rFonts w:ascii="Arial" w:cs="Arial" w:eastAsia="Arial" w:hAnsi="Arial"/>
                <w:sz w:val="3"/>
                <w:szCs w:val="3"/>
                <w:color w:val="FFFFFF"/>
              </w:rPr>
              <w:t>casino resort “Wynn Macau”destinationMacau. A list of the Company’s subsidiaries, together with their places of incorporation, principal activities and particulars of</w:t>
            </w:r>
          </w:p>
        </w:tc>
        <w:tc>
          <w:tcPr>
            <w:tcW w:w="0" w:type="dxa"/>
            <w:vAlign w:val="bottom"/>
          </w:tcPr>
          <w:p>
            <w:pPr>
              <w:spacing w:after="0"/>
              <w:rPr>
                <w:sz w:val="1"/>
                <w:szCs w:val="1"/>
                <w:color w:val="auto"/>
              </w:rPr>
            </w:pPr>
          </w:p>
        </w:tc>
      </w:tr>
      <w:tr>
        <w:trPr>
          <w:trHeight w:val="41"/>
        </w:trPr>
        <w:tc>
          <w:tcPr>
            <w:tcW w:w="4680" w:type="dxa"/>
            <w:vAlign w:val="bottom"/>
            <w:gridSpan w:val="3"/>
          </w:tcPr>
          <w:p>
            <w:pPr>
              <w:spacing w:after="0"/>
              <w:rPr>
                <w:sz w:val="20"/>
                <w:szCs w:val="20"/>
                <w:color w:val="auto"/>
              </w:rPr>
            </w:pPr>
            <w:r>
              <w:rPr>
                <w:rFonts w:ascii="Arial" w:cs="Arial" w:eastAsia="Arial" w:hAnsi="Arial"/>
                <w:sz w:val="3"/>
                <w:szCs w:val="3"/>
                <w:color w:val="FFFFFF"/>
              </w:rPr>
              <w:t>their issued share/registered capital, is set destinationoutnote 13 to the Financial Statements.</w:t>
            </w: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FINANCIAL RESULTS</w:t>
            </w:r>
          </w:p>
        </w:tc>
        <w:tc>
          <w:tcPr>
            <w:tcW w:w="18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results of the Group for the year ended 31 December 2011 are set out in the consolidated statement of comprehensive income on page 73 of this Annual Report. The fi nancial highlights for the Group for the</w:t>
            </w:r>
          </w:p>
        </w:tc>
        <w:tc>
          <w:tcPr>
            <w:tcW w:w="0" w:type="dxa"/>
            <w:vAlign w:val="bottom"/>
          </w:tcPr>
          <w:p>
            <w:pPr>
              <w:spacing w:after="0"/>
              <w:rPr>
                <w:sz w:val="1"/>
                <w:szCs w:val="1"/>
                <w:color w:val="auto"/>
              </w:rPr>
            </w:pPr>
          </w:p>
        </w:tc>
      </w:tr>
      <w:tr>
        <w:trPr>
          <w:trHeight w:val="41"/>
        </w:trPr>
        <w:tc>
          <w:tcPr>
            <w:tcW w:w="4680" w:type="dxa"/>
            <w:vAlign w:val="bottom"/>
            <w:gridSpan w:val="3"/>
          </w:tcPr>
          <w:p>
            <w:pPr>
              <w:spacing w:after="0"/>
              <w:rPr>
                <w:sz w:val="20"/>
                <w:szCs w:val="20"/>
                <w:color w:val="auto"/>
              </w:rPr>
            </w:pPr>
            <w:r>
              <w:rPr>
                <w:rFonts w:ascii="Arial" w:cs="Arial" w:eastAsia="Arial" w:hAnsi="Arial"/>
                <w:sz w:val="3"/>
                <w:szCs w:val="3"/>
                <w:color w:val="FFFFFF"/>
              </w:rPr>
              <w:t>most recent fi ve years are set out on page 161 of this Annual Report.</w:t>
            </w: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tcPr>
          <w:p>
            <w:pPr>
              <w:spacing w:after="0"/>
              <w:rPr>
                <w:sz w:val="20"/>
                <w:szCs w:val="20"/>
                <w:color w:val="auto"/>
              </w:rPr>
            </w:pPr>
            <w:r>
              <w:rPr>
                <w:rFonts w:ascii="Arial" w:cs="Arial" w:eastAsia="Arial" w:hAnsi="Arial"/>
                <w:sz w:val="3"/>
                <w:szCs w:val="3"/>
                <w:color w:val="FFFFFF"/>
              </w:rPr>
              <w:t>RESERVES</w:t>
            </w: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Details of the movements in the reserves of the Company and reserves available for distribution to Shareholders as at 31 December 2011 are set out in note 22(b) to the Financial Statements. The distributable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reserves of the Company at 31 December 2011 are HK$14.2 billion. Movements in the reserves of the Group are refl ected in the consolidated statement of changes in equity.</w:t>
            </w:r>
          </w:p>
        </w:tc>
        <w:tc>
          <w:tcPr>
            <w:tcW w:w="0" w:type="dxa"/>
            <w:vAlign w:val="bottom"/>
          </w:tcPr>
          <w:p>
            <w:pPr>
              <w:spacing w:after="0"/>
              <w:rPr>
                <w:sz w:val="1"/>
                <w:szCs w:val="1"/>
                <w:color w:val="auto"/>
              </w:rPr>
            </w:pPr>
          </w:p>
        </w:tc>
      </w:tr>
      <w:tr>
        <w:trPr>
          <w:trHeight w:val="41"/>
        </w:trPr>
        <w:tc>
          <w:tcPr>
            <w:tcW w:w="1060" w:type="dxa"/>
            <w:vAlign w:val="bottom"/>
          </w:tcPr>
          <w:p>
            <w:pPr>
              <w:ind w:left="100"/>
              <w:spacing w:after="0"/>
              <w:rPr>
                <w:sz w:val="20"/>
                <w:szCs w:val="20"/>
                <w:color w:val="auto"/>
              </w:rPr>
            </w:pPr>
            <w:r>
              <w:rPr>
                <w:rFonts w:ascii="Arial" w:cs="Arial" w:eastAsia="Arial" w:hAnsi="Arial"/>
                <w:sz w:val="3"/>
                <w:szCs w:val="3"/>
                <w:color w:val="FFFFFF"/>
              </w:rPr>
              <w:t>IVIDENDS</w:t>
            </w:r>
          </w:p>
        </w:tc>
        <w:tc>
          <w:tcPr>
            <w:tcW w:w="10340" w:type="dxa"/>
            <w:vAlign w:val="bottom"/>
            <w:gridSpan w:val="3"/>
            <w:vMerge w:val="restart"/>
          </w:tcPr>
          <w:p>
            <w:pPr>
              <w:ind w:left="180"/>
              <w:spacing w:after="0" w:line="2" w:lineRule="exact"/>
              <w:rPr>
                <w:sz w:val="20"/>
                <w:szCs w:val="20"/>
                <w:color w:val="auto"/>
              </w:rPr>
            </w:pPr>
            <w:r>
              <w:rPr>
                <w:rFonts w:ascii="Arial" w:cs="Arial" w:eastAsia="Arial" w:hAnsi="Arial"/>
                <w:sz w:val="1"/>
                <w:szCs w:val="1"/>
                <w:color w:val="FFFFFF"/>
              </w:rPr>
              <w:t>31 December 2011, the Company declared and paid a special dividend of HK$1.   per share, totaling approximately HK$6.2 billion, to its shareholders.</w:t>
            </w:r>
          </w:p>
        </w:tc>
        <w:tc>
          <w:tcPr>
            <w:tcW w:w="0" w:type="dxa"/>
            <w:vAlign w:val="bottom"/>
          </w:tcPr>
          <w:p>
            <w:pPr>
              <w:spacing w:after="0"/>
              <w:rPr>
                <w:sz w:val="1"/>
                <w:szCs w:val="1"/>
                <w:color w:val="auto"/>
              </w:rPr>
            </w:pPr>
          </w:p>
        </w:tc>
      </w:tr>
      <w:tr>
        <w:trPr>
          <w:trHeight w:val="0"/>
        </w:trPr>
        <w:tc>
          <w:tcPr>
            <w:tcW w:w="1060" w:type="dxa"/>
            <w:vAlign w:val="bottom"/>
          </w:tcPr>
          <w:p>
            <w:pPr>
              <w:spacing w:after="0"/>
              <w:rPr>
                <w:sz w:val="20"/>
                <w:szCs w:val="20"/>
                <w:color w:val="auto"/>
              </w:rPr>
            </w:pPr>
            <w:r>
              <w:rPr>
                <w:rFonts w:ascii="Arial" w:cs="Arial" w:eastAsia="Arial" w:hAnsi="Arial"/>
                <w:sz w:val="3"/>
                <w:szCs w:val="3"/>
                <w:color w:val="FFFFFF"/>
              </w:rPr>
              <w:t>During the year</w:t>
            </w:r>
          </w:p>
        </w:tc>
        <w:tc>
          <w:tcPr>
            <w:tcW w:w="103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The Board has recommended that no fi nal dividend be paid in respect of the year ended 31 December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FFFFFF"/>
        </w:rPr>
        <w:t>PROPERTY AND EQUIPMENT</w:t>
      </w:r>
    </w:p>
    <w:p>
      <w:pPr>
        <w:spacing w:after="0"/>
        <w:rPr>
          <w:sz w:val="20"/>
          <w:szCs w:val="20"/>
          <w:color w:val="auto"/>
        </w:rPr>
      </w:pPr>
      <w:r>
        <w:rPr>
          <w:rFonts w:ascii="Arial" w:cs="Arial" w:eastAsia="Arial" w:hAnsi="Arial"/>
          <w:sz w:val="14"/>
          <w:szCs w:val="14"/>
          <w:color w:val="FFFFFF"/>
        </w:rPr>
        <w:t>Details of the movements in share capital of the Company are set out in note 21 to the Financial Statements.</w:t>
      </w:r>
    </w:p>
    <w:p>
      <w:pPr>
        <w:sectPr>
          <w:pgSz w:w="11900" w:h="16838" w:orient="portrait"/>
          <w:cols w:equalWidth="0" w:num="1">
            <w:col w:w="11400"/>
          </w:cols>
          <w:pgMar w:left="240" w:top="1440" w:right="25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37</w:t>
      </w:r>
    </w:p>
    <w:p>
      <w:pPr>
        <w:spacing w:after="0"/>
        <w:rPr>
          <w:sz w:val="20"/>
          <w:szCs w:val="20"/>
          <w:color w:val="auto"/>
        </w:rPr>
      </w:pPr>
      <w:r>
        <w:rPr>
          <w:rFonts w:ascii="Arial" w:cs="Arial" w:eastAsia="Arial" w:hAnsi="Arial"/>
          <w:sz w:val="3"/>
          <w:szCs w:val="3"/>
          <w:color w:val="FFFFFF"/>
        </w:rPr>
        <w:t>Report of the Directors</w:t>
      </w:r>
    </w:p>
    <w:p>
      <w:pPr>
        <w:spacing w:after="0" w:line="194" w:lineRule="auto"/>
        <w:rPr>
          <w:sz w:val="20"/>
          <w:szCs w:val="20"/>
          <w:color w:val="auto"/>
        </w:rPr>
      </w:pPr>
      <w:r>
        <w:rPr>
          <w:rFonts w:ascii="Arial" w:cs="Arial" w:eastAsia="Arial" w:hAnsi="Arial"/>
          <w:sz w:val="5"/>
          <w:szCs w:val="5"/>
          <w:color w:val="FFFFFF"/>
        </w:rPr>
        <w:t>CHARITABLE CONTRIBUTIONS</w:t>
      </w:r>
    </w:p>
    <w:p>
      <w:pPr>
        <w:spacing w:after="0"/>
        <w:rPr>
          <w:sz w:val="20"/>
          <w:szCs w:val="20"/>
          <w:color w:val="auto"/>
        </w:rPr>
      </w:pPr>
      <w:r>
        <w:rPr>
          <w:rFonts w:ascii="Arial" w:cs="Arial" w:eastAsia="Arial" w:hAnsi="Arial"/>
          <w:sz w:val="3"/>
          <w:szCs w:val="3"/>
          <w:color w:val="FFFFFF"/>
        </w:rPr>
        <w:t>During the year ended 31 December 2011, the Group made charitable contributions totaling HK$198.3 million.</w:t>
      </w:r>
    </w:p>
    <w:p>
      <w:pPr>
        <w:spacing w:after="0" w:line="194" w:lineRule="auto"/>
        <w:rPr>
          <w:sz w:val="20"/>
          <w:szCs w:val="20"/>
          <w:color w:val="auto"/>
        </w:rPr>
      </w:pPr>
      <w:r>
        <w:rPr>
          <w:rFonts w:ascii="Arial" w:cs="Arial" w:eastAsia="Arial" w:hAnsi="Arial"/>
          <w:sz w:val="3"/>
          <w:szCs w:val="3"/>
          <w:color w:val="FFFFFF"/>
        </w:rPr>
        <w:t>In May 2011, the Group entered into an agreement with the University of Macau Development Foundation (the “Foundation”) to donate</w:t>
      </w:r>
      <w:r>
        <w:rPr>
          <w:rFonts w:ascii="Arial" w:cs="Arial" w:eastAsia="Arial" w:hAnsi="Arial"/>
          <w:sz w:val="5"/>
          <w:szCs w:val="5"/>
          <w:color w:val="FFFFFF"/>
          <w:vertAlign w:val="subscript"/>
        </w:rPr>
        <w:t>created</w:t>
      </w:r>
      <w:r>
        <w:rPr>
          <w:rFonts w:ascii="Arial" w:cs="Arial" w:eastAsia="Arial" w:hAnsi="Arial"/>
          <w:sz w:val="3"/>
          <w:szCs w:val="3"/>
          <w:color w:val="FFFFFF"/>
        </w:rPr>
        <w:t>certain amount to the Foundation with the primary purpose of</w:t>
      </w:r>
    </w:p>
    <w:p>
      <w:pPr>
        <w:ind w:right="180"/>
        <w:spacing w:after="0" w:line="198" w:lineRule="auto"/>
        <w:rPr>
          <w:sz w:val="20"/>
          <w:szCs w:val="20"/>
          <w:color w:val="auto"/>
        </w:rPr>
      </w:pPr>
      <w:r>
        <w:rPr>
          <w:rFonts w:ascii="Arial" w:cs="Arial" w:eastAsia="Arial" w:hAnsi="Arial"/>
          <w:sz w:val="7"/>
          <w:szCs w:val="7"/>
          <w:color w:val="FFFFFF"/>
        </w:rPr>
        <w:t>supporting the creation, promotion, operation and other activities related to the Asia-Pacifi c Academy of Economics and Management by the University of Macau. Under such agreement, the Group donated MOP200.0 million (approximately HK$194.2 million) in May 2011 and for each of the years from 2012 through 2022 the Group will donate MOP80.0 million (approximately HK$77.7 million). Directors</w:t>
      </w:r>
      <w:r>
        <w:rPr>
          <w:rFonts w:ascii="Arial" w:cs="Arial" w:eastAsia="Arial" w:hAnsi="Arial"/>
          <w:sz w:val="10"/>
          <w:szCs w:val="10"/>
          <w:color w:val="FFFFFF"/>
          <w:vertAlign w:val="superscript"/>
        </w:rPr>
        <w:t>IRECTORS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ExecutiveduringDirectors:the Year Ended 31 December 2011</w:t>
      </w:r>
    </w:p>
    <w:p>
      <w:pPr>
        <w:spacing w:after="0" w:line="6" w:lineRule="exact"/>
        <w:rPr>
          <w:sz w:val="20"/>
          <w:szCs w:val="20"/>
          <w:color w:val="auto"/>
        </w:rPr>
      </w:pPr>
    </w:p>
    <w:p>
      <w:pPr>
        <w:ind w:right="4480"/>
        <w:spacing w:after="0" w:line="187" w:lineRule="auto"/>
        <w:rPr>
          <w:sz w:val="20"/>
          <w:szCs w:val="20"/>
          <w:color w:val="auto"/>
        </w:rPr>
      </w:pPr>
      <w:r>
        <w:rPr>
          <w:rFonts w:ascii="Arial" w:cs="Arial" w:eastAsia="Arial" w:hAnsi="Arial"/>
          <w:sz w:val="9"/>
          <w:szCs w:val="9"/>
          <w:color w:val="FFFFFF"/>
        </w:rPr>
        <w:t>Mr. Stephen A. Wynn (also our Chairman, President and Chief Executive Offi cer) Ms. Linda Chen Mr. Ian Michael Coughlan Non-executive Directors:</w:t>
      </w:r>
    </w:p>
    <w:p>
      <w:pPr>
        <w:spacing w:after="0" w:line="188" w:lineRule="auto"/>
        <w:rPr>
          <w:sz w:val="20"/>
          <w:szCs w:val="20"/>
          <w:color w:val="auto"/>
        </w:rPr>
      </w:pPr>
      <w:r>
        <w:rPr>
          <w:rFonts w:ascii="Arial" w:cs="Arial" w:eastAsia="Arial" w:hAnsi="Arial"/>
          <w:sz w:val="7"/>
          <w:szCs w:val="7"/>
          <w:color w:val="FFFFFF"/>
        </w:rPr>
        <w:t>Mr. Kazuo</w:t>
      </w:r>
      <w:r>
        <w:rPr>
          <w:rFonts w:ascii="Arial" w:cs="Arial" w:eastAsia="Arial" w:hAnsi="Arial"/>
          <w:sz w:val="9"/>
          <w:szCs w:val="9"/>
          <w:color w:val="FFFFFF"/>
          <w:vertAlign w:val="subscript"/>
        </w:rPr>
        <w:t>Zeman</w:t>
      </w:r>
      <w:r>
        <w:rPr>
          <w:rFonts w:ascii="Arial" w:cs="Arial" w:eastAsia="Arial" w:hAnsi="Arial"/>
          <w:sz w:val="7"/>
          <w:szCs w:val="7"/>
          <w:color w:val="FFFFFF"/>
        </w:rPr>
        <w:t>Ok</w:t>
      </w:r>
      <w:r>
        <w:rPr>
          <w:rFonts w:ascii="Arial" w:cs="Arial" w:eastAsia="Arial" w:hAnsi="Arial"/>
          <w:sz w:val="9"/>
          <w:szCs w:val="9"/>
          <w:color w:val="FFFFFF"/>
          <w:vertAlign w:val="superscript"/>
        </w:rPr>
        <w:t>non</w:t>
      </w:r>
      <w:r>
        <w:rPr>
          <w:rFonts w:ascii="Arial" w:cs="Arial" w:eastAsia="Arial" w:hAnsi="Arial"/>
          <w:sz w:val="7"/>
          <w:szCs w:val="7"/>
          <w:color w:val="FFFFFF"/>
        </w:rPr>
        <w:t>da* Mr. Marc D. Schorr</w:t>
      </w:r>
    </w:p>
    <w:p>
      <w:pPr>
        <w:spacing w:after="0"/>
        <w:tabs>
          <w:tab w:leader="none" w:pos="900" w:val="left"/>
        </w:tabs>
        <w:rPr>
          <w:sz w:val="20"/>
          <w:szCs w:val="20"/>
          <w:color w:val="auto"/>
        </w:rPr>
      </w:pPr>
      <w:r>
        <w:rPr>
          <w:rFonts w:ascii="Arial" w:cs="Arial" w:eastAsia="Arial" w:hAnsi="Arial"/>
          <w:sz w:val="3"/>
          <w:szCs w:val="3"/>
          <w:color w:val="FFFFFF"/>
        </w:rPr>
        <w:t>IndependentDr.Allan</w:t>
      </w:r>
      <w:r>
        <w:rPr>
          <w:sz w:val="20"/>
          <w:szCs w:val="20"/>
          <w:color w:val="auto"/>
        </w:rPr>
        <w:tab/>
      </w:r>
      <w:r>
        <w:rPr>
          <w:rFonts w:ascii="Arial" w:cs="Arial" w:eastAsia="Arial" w:hAnsi="Arial"/>
          <w:sz w:val="3"/>
          <w:szCs w:val="3"/>
          <w:color w:val="FFFFFF"/>
        </w:rPr>
        <w:t>-(alsoexecutiveourViceDirectors:Chairman)</w:t>
      </w:r>
    </w:p>
    <w:p>
      <w:pPr>
        <w:spacing w:after="0" w:line="181" w:lineRule="auto"/>
        <w:rPr>
          <w:sz w:val="20"/>
          <w:szCs w:val="20"/>
          <w:color w:val="auto"/>
        </w:rPr>
      </w:pPr>
      <w:r>
        <w:rPr>
          <w:rFonts w:ascii="Arial" w:cs="Arial" w:eastAsia="Arial" w:hAnsi="Arial"/>
          <w:sz w:val="10"/>
          <w:szCs w:val="10"/>
          <w:color w:val="FFFFFF"/>
        </w:rPr>
        <w:t>Mr. Jeffery Kin-fung Lam Mr. Bruce Rockowitz Mr. Nicholas Sallnow-Smith</w:t>
      </w:r>
    </w:p>
    <w:p>
      <w:pPr>
        <w:spacing w:after="0"/>
        <w:rPr>
          <w:sz w:val="20"/>
          <w:szCs w:val="20"/>
          <w:color w:val="auto"/>
        </w:rPr>
      </w:pPr>
      <w:r>
        <w:rPr>
          <w:rFonts w:ascii="Arial" w:cs="Arial" w:eastAsia="Arial" w:hAnsi="Arial"/>
          <w:sz w:val="3"/>
          <w:szCs w:val="3"/>
          <w:color w:val="FFFFFF"/>
        </w:rPr>
        <w:t>Directors*Mr.KazuoRetiringOkadabyceasedRotationtobe a member of our Board on 24 February 2012.</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In accordance with article 17.18 of the Company’s articles of association, one third of our Board will retire from offi ce by rotation at the forthcoming annual general meeting. The three directors who will retire </w:t>
      </w:r>
      <w:r>
        <w:rPr>
          <w:rFonts w:ascii="Arial" w:cs="Arial" w:eastAsia="Arial" w:hAnsi="Arial"/>
          <w:sz w:val="7"/>
          <w:szCs w:val="7"/>
          <w:color w:val="FFFFFF"/>
          <w:vertAlign w:val="superscript"/>
        </w:rPr>
        <w:t>being</w:t>
      </w:r>
      <w:r>
        <w:rPr>
          <w:rFonts w:ascii="Arial" w:cs="Arial" w:eastAsia="Arial" w:hAnsi="Arial"/>
          <w:sz w:val="6"/>
          <w:szCs w:val="6"/>
          <w:color w:val="FFFFFF"/>
        </w:rPr>
        <w:t>yrotation are Mr. Stephen A. Wynn and Mr. Ian Michael Coughlan, two of our executive Directors, and Mr. Nicholas Sallnow-Smith, one of our independent non-executive Directors. All retiring directors,</w:t>
      </w:r>
    </w:p>
    <w:p>
      <w:pPr>
        <w:ind w:left="340"/>
        <w:spacing w:after="0"/>
        <w:rPr>
          <w:sz w:val="20"/>
          <w:szCs w:val="20"/>
          <w:color w:val="auto"/>
        </w:rPr>
      </w:pPr>
      <w:r>
        <w:rPr>
          <w:rFonts w:ascii="Arial" w:cs="Arial" w:eastAsia="Arial" w:hAnsi="Arial"/>
          <w:sz w:val="14"/>
          <w:szCs w:val="14"/>
          <w:color w:val="FFFFFF"/>
        </w:rPr>
        <w:t>eligible, will offer themselves for re-election at the forthcoming annual general meeting.</w:t>
      </w:r>
    </w:p>
    <w:p>
      <w:pPr>
        <w:sectPr>
          <w:pgSz w:w="11900" w:h="16838" w:orient="portrait"/>
          <w:cols w:equalWidth="0" w:num="1">
            <w:col w:w="11320"/>
          </w:cols>
          <w:pgMar w:left="240" w:top="1440"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20"/>
                <w:szCs w:val="20"/>
                <w:color w:val="auto"/>
              </w:rPr>
            </w:pPr>
            <w:r>
              <w:rPr>
                <w:rFonts w:ascii="Arial" w:cs="Arial" w:eastAsia="Arial" w:hAnsi="Arial"/>
                <w:sz w:val="14"/>
                <w:szCs w:val="14"/>
                <w:color w:val="FFFFFF"/>
              </w:rPr>
              <w:t>38 Wynn Macau, Limited</w:t>
            </w: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68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80" w:type="dxa"/>
            <w:vAlign w:val="bottom"/>
          </w:tcPr>
          <w:p>
            <w:pPr>
              <w:ind w:left="100"/>
              <w:spacing w:after="0"/>
              <w:rPr>
                <w:sz w:val="20"/>
                <w:szCs w:val="20"/>
                <w:color w:val="auto"/>
              </w:rPr>
            </w:pPr>
            <w:r>
              <w:rPr>
                <w:rFonts w:ascii="Arial" w:cs="Arial" w:eastAsia="Arial" w:hAnsi="Arial"/>
                <w:sz w:val="3"/>
                <w:szCs w:val="3"/>
                <w:color w:val="FFFFFF"/>
              </w:rPr>
              <w:t>IRECTORS (continued)</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80" w:type="dxa"/>
            <w:vAlign w:val="bottom"/>
          </w:tcPr>
          <w:p>
            <w:pPr>
              <w:spacing w:after="0"/>
              <w:rPr>
                <w:sz w:val="20"/>
                <w:szCs w:val="20"/>
                <w:color w:val="auto"/>
              </w:rPr>
            </w:pPr>
            <w:r>
              <w:rPr>
                <w:rFonts w:ascii="Arial" w:cs="Arial" w:eastAsia="Arial" w:hAnsi="Arial"/>
                <w:sz w:val="3"/>
                <w:szCs w:val="3"/>
                <w:color w:val="FFFFFF"/>
              </w:rPr>
              <w:t>Directors’ Service Contracts</w:t>
            </w:r>
          </w:p>
        </w:tc>
        <w:tc>
          <w:tcPr>
            <w:tcW w:w="8740" w:type="dxa"/>
            <w:vAlign w:val="bottom"/>
            <w:vMerge w:val="restart"/>
          </w:tcPr>
          <w:p>
            <w:pPr>
              <w:spacing w:after="0" w:line="81" w:lineRule="exact"/>
              <w:rPr>
                <w:sz w:val="20"/>
                <w:szCs w:val="20"/>
                <w:color w:val="auto"/>
              </w:rPr>
            </w:pPr>
            <w:r>
              <w:rPr>
                <w:rFonts w:ascii="Arial" w:cs="Arial" w:eastAsia="Arial" w:hAnsi="Arial"/>
                <w:sz w:val="9"/>
                <w:szCs w:val="9"/>
                <w:color w:val="FFFFFF"/>
              </w:rPr>
              <w:t>the forthcoming annual general meeting has a service contract with the Company which is not determinable by the Company within one year without payment of</w:t>
            </w:r>
          </w:p>
        </w:tc>
        <w:tc>
          <w:tcPr>
            <w:tcW w:w="0" w:type="dxa"/>
            <w:vAlign w:val="bottom"/>
          </w:tcPr>
          <w:p>
            <w:pPr>
              <w:spacing w:after="0"/>
              <w:rPr>
                <w:sz w:val="1"/>
                <w:szCs w:val="1"/>
                <w:color w:val="auto"/>
              </w:rPr>
            </w:pPr>
          </w:p>
        </w:tc>
      </w:tr>
      <w:tr>
        <w:trPr>
          <w:trHeight w:val="41"/>
        </w:trPr>
        <w:tc>
          <w:tcPr>
            <w:tcW w:w="2680" w:type="dxa"/>
            <w:vAlign w:val="bottom"/>
          </w:tcPr>
          <w:p>
            <w:pPr>
              <w:spacing w:after="0"/>
              <w:rPr>
                <w:sz w:val="20"/>
                <w:szCs w:val="20"/>
                <w:color w:val="auto"/>
              </w:rPr>
            </w:pPr>
            <w:r>
              <w:rPr>
                <w:rFonts w:ascii="Arial" w:cs="Arial" w:eastAsia="Arial" w:hAnsi="Arial"/>
                <w:sz w:val="3"/>
                <w:szCs w:val="3"/>
                <w:color w:val="FFFFFF"/>
              </w:rPr>
              <w:t>None of the Directors proposed for re-election</w:t>
            </w:r>
          </w:p>
        </w:tc>
        <w:tc>
          <w:tcPr>
            <w:tcW w:w="8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compensation, other than statutory compensation.</w:t>
            </w:r>
          </w:p>
        </w:tc>
        <w:tc>
          <w:tcPr>
            <w:tcW w:w="0" w:type="dxa"/>
            <w:vAlign w:val="bottom"/>
          </w:tcPr>
          <w:p>
            <w:pPr>
              <w:spacing w:after="0"/>
              <w:rPr>
                <w:sz w:val="1"/>
                <w:szCs w:val="1"/>
                <w:color w:val="auto"/>
              </w:rPr>
            </w:pPr>
          </w:p>
        </w:tc>
      </w:tr>
      <w:tr>
        <w:trPr>
          <w:trHeight w:val="41"/>
        </w:trPr>
        <w:tc>
          <w:tcPr>
            <w:tcW w:w="2680" w:type="dxa"/>
            <w:vAlign w:val="bottom"/>
          </w:tcPr>
          <w:p>
            <w:pPr>
              <w:ind w:left="100"/>
              <w:spacing w:after="0"/>
              <w:rPr>
                <w:sz w:val="20"/>
                <w:szCs w:val="20"/>
                <w:color w:val="auto"/>
              </w:rPr>
            </w:pPr>
            <w:r>
              <w:rPr>
                <w:rFonts w:ascii="Arial" w:cs="Arial" w:eastAsia="Arial" w:hAnsi="Arial"/>
                <w:sz w:val="3"/>
                <w:szCs w:val="3"/>
                <w:color w:val="FFFFFF"/>
              </w:rPr>
              <w:t>irectors’ Emoluments</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Details of the remuneration of the Directors (including Mr. Kazuo Okada*) are set out in note 25 to the Financial Statements. There has been no arrangement under which any Director has waived or agreed to</w:t>
            </w:r>
          </w:p>
        </w:tc>
        <w:tc>
          <w:tcPr>
            <w:tcW w:w="0" w:type="dxa"/>
            <w:vAlign w:val="bottom"/>
          </w:tcPr>
          <w:p>
            <w:pPr>
              <w:spacing w:after="0"/>
              <w:rPr>
                <w:sz w:val="1"/>
                <w:szCs w:val="1"/>
                <w:color w:val="auto"/>
              </w:rPr>
            </w:pPr>
          </w:p>
        </w:tc>
      </w:tr>
      <w:tr>
        <w:trPr>
          <w:trHeight w:val="41"/>
        </w:trPr>
        <w:tc>
          <w:tcPr>
            <w:tcW w:w="2680" w:type="dxa"/>
            <w:vAlign w:val="bottom"/>
          </w:tcPr>
          <w:p>
            <w:pPr>
              <w:spacing w:after="0"/>
              <w:rPr>
                <w:sz w:val="20"/>
                <w:szCs w:val="20"/>
                <w:color w:val="auto"/>
              </w:rPr>
            </w:pPr>
            <w:r>
              <w:rPr>
                <w:rFonts w:ascii="Arial" w:cs="Arial" w:eastAsia="Arial" w:hAnsi="Arial"/>
                <w:sz w:val="3"/>
                <w:szCs w:val="3"/>
                <w:color w:val="FFFFFF"/>
              </w:rPr>
              <w:t>waive any emoluments.</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ind w:left="580"/>
              <w:spacing w:after="0"/>
              <w:rPr>
                <w:sz w:val="20"/>
                <w:szCs w:val="20"/>
                <w:color w:val="auto"/>
              </w:rPr>
            </w:pPr>
            <w:r>
              <w:rPr>
                <w:rFonts w:ascii="Arial" w:cs="Arial" w:eastAsia="Arial" w:hAnsi="Arial"/>
                <w:sz w:val="3"/>
                <w:szCs w:val="3"/>
                <w:color w:val="FFFFFF"/>
              </w:rPr>
              <w:t>Interests in Contracts and Competing Businesses</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Directors’Ttheknowledge of the Board, there is no contract of signifi cance in relation to the Group’s business subsisting at the end of the year or during the year ended 31 December 2011 in which the Group was a party</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and in which a Director (including Mr. Kazuo Okada*) was materially interested.</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To the knowledge of the Board, none of our Directors had any interest in any business in Macau which competed with our Company’s business during the year ended 31 December 2011.</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 Mr. Kazuo Okada ceased to be a member of our Board on 24 February 2012.</w:t>
            </w:r>
          </w:p>
        </w:tc>
        <w:tc>
          <w:tcPr>
            <w:tcW w:w="0" w:type="dxa"/>
            <w:vAlign w:val="bottom"/>
          </w:tcPr>
          <w:p>
            <w:pPr>
              <w:spacing w:after="0"/>
              <w:rPr>
                <w:sz w:val="1"/>
                <w:szCs w:val="1"/>
                <w:color w:val="auto"/>
              </w:rPr>
            </w:pPr>
          </w:p>
        </w:tc>
      </w:tr>
      <w:tr>
        <w:trPr>
          <w:trHeight w:val="41"/>
        </w:trPr>
        <w:tc>
          <w:tcPr>
            <w:tcW w:w="2680" w:type="dxa"/>
            <w:vAlign w:val="bottom"/>
          </w:tcPr>
          <w:p>
            <w:pPr>
              <w:spacing w:after="0"/>
              <w:rPr>
                <w:sz w:val="20"/>
                <w:szCs w:val="20"/>
                <w:color w:val="auto"/>
              </w:rPr>
            </w:pPr>
            <w:r>
              <w:rPr>
                <w:rFonts w:ascii="Arial" w:cs="Arial" w:eastAsia="Arial" w:hAnsi="Arial"/>
                <w:sz w:val="3"/>
                <w:szCs w:val="3"/>
                <w:color w:val="FFFFFF"/>
              </w:rPr>
              <w:t>CONNECTED TRANSACTIONS</w:t>
            </w: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During the year ended 31 December 2011, the Group engaged in certain transactions with Wynn Resorts, Limited (its controlling shareholder) and Wynn Resorts, Limited’s subsidiaries (excluding the Group)</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(together the “WRL Group”) which constitute connected transactions under the Listing Rules.</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Wynn Resorts, Limited is considered a “connected person” under the Listing Rules by virtue of it being the holding company (an “associate” as defi ned in the Listing Rules) of WM Cayman Holdings Limited I</w:t>
            </w:r>
          </w:p>
        </w:tc>
        <w:tc>
          <w:tcPr>
            <w:tcW w:w="0" w:type="dxa"/>
            <w:vAlign w:val="bottom"/>
          </w:tcPr>
          <w:p>
            <w:pPr>
              <w:spacing w:after="0"/>
              <w:rPr>
                <w:sz w:val="1"/>
                <w:szCs w:val="1"/>
                <w:color w:val="auto"/>
              </w:rPr>
            </w:pPr>
          </w:p>
        </w:tc>
      </w:tr>
      <w:tr>
        <w:trPr>
          <w:trHeight w:val="0"/>
        </w:trPr>
        <w:tc>
          <w:tcPr>
            <w:tcW w:w="2680" w:type="dxa"/>
            <w:vAlign w:val="bottom"/>
          </w:tcPr>
          <w:p>
            <w:pPr>
              <w:spacing w:after="0" w:line="80" w:lineRule="exact"/>
              <w:rPr>
                <w:sz w:val="20"/>
                <w:szCs w:val="20"/>
                <w:color w:val="auto"/>
              </w:rPr>
            </w:pPr>
            <w:r>
              <w:rPr>
                <w:rFonts w:ascii="Arial" w:cs="Arial" w:eastAsia="Arial" w:hAnsi="Arial"/>
                <w:sz w:val="9"/>
                <w:szCs w:val="9"/>
                <w:color w:val="FFFFFF"/>
              </w:rPr>
              <w:t>(which, holding more than 10% of the Company’</w:t>
            </w:r>
          </w:p>
        </w:tc>
        <w:tc>
          <w:tcPr>
            <w:tcW w:w="8740" w:type="dxa"/>
            <w:vAlign w:val="bottom"/>
          </w:tcPr>
          <w:p>
            <w:pPr>
              <w:ind w:left="60"/>
              <w:spacing w:after="0" w:line="80" w:lineRule="exact"/>
              <w:rPr>
                <w:sz w:val="20"/>
                <w:szCs w:val="20"/>
                <w:color w:val="auto"/>
              </w:rPr>
            </w:pPr>
            <w:r>
              <w:rPr>
                <w:rFonts w:ascii="Arial" w:cs="Arial" w:eastAsia="Arial" w:hAnsi="Arial"/>
                <w:sz w:val="9"/>
                <w:szCs w:val="9"/>
                <w:color w:val="FFFFFF"/>
              </w:rPr>
              <w:t>share capital, is a substantial shareholder and “connected person” of the Group). Pu suant to the Listing Rules, any member of the WRL Group is also</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considered an “associate” of WM Cayman Holdings Limited I and a “connected person” of the Group. Any transaction between the Group and the WRL Group is accordingly a connected transaction.</w:t>
      </w:r>
    </w:p>
    <w:p>
      <w:pPr>
        <w:sectPr>
          <w:pgSz w:w="11900" w:h="16838" w:orient="portrait"/>
          <w:cols w:equalWidth="0" w:num="1">
            <w:col w:w="11420"/>
          </w:cols>
          <w:pgMar w:left="240" w:top="1440" w:right="2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39</w:t>
      </w:r>
    </w:p>
    <w:p>
      <w:pPr>
        <w:spacing w:after="0"/>
        <w:rPr>
          <w:sz w:val="20"/>
          <w:szCs w:val="20"/>
          <w:color w:val="auto"/>
        </w:rPr>
      </w:pPr>
      <w:r>
        <w:rPr>
          <w:rFonts w:ascii="Arial" w:cs="Arial" w:eastAsia="Arial" w:hAnsi="Arial"/>
          <w:sz w:val="3"/>
          <w:szCs w:val="3"/>
          <w:color w:val="FFFFFF"/>
        </w:rPr>
        <w:t>Report of the Directors</w:t>
      </w:r>
    </w:p>
    <w:p>
      <w:pPr>
        <w:spacing w:after="0" w:line="194" w:lineRule="auto"/>
        <w:rPr>
          <w:sz w:val="20"/>
          <w:szCs w:val="20"/>
          <w:color w:val="auto"/>
        </w:rPr>
      </w:pPr>
      <w:r>
        <w:rPr>
          <w:rFonts w:ascii="Arial" w:cs="Arial" w:eastAsia="Arial" w:hAnsi="Arial"/>
          <w:sz w:val="5"/>
          <w:szCs w:val="5"/>
          <w:color w:val="FFFFFF"/>
        </w:rPr>
        <w:t>CONNECTED TRANSACTIONS (continued)</w:t>
      </w:r>
    </w:p>
    <w:p>
      <w:pPr>
        <w:spacing w:after="0" w:line="188" w:lineRule="auto"/>
        <w:rPr>
          <w:sz w:val="20"/>
          <w:szCs w:val="20"/>
          <w:color w:val="auto"/>
        </w:rPr>
      </w:pPr>
      <w:r>
        <w:rPr>
          <w:rFonts w:ascii="Arial" w:cs="Arial" w:eastAsia="Arial" w:hAnsi="Arial"/>
          <w:sz w:val="7"/>
          <w:szCs w:val="7"/>
          <w:color w:val="FFFFFF"/>
        </w:rPr>
        <w:t xml:space="preserve">During the </w:t>
      </w:r>
      <w:r>
        <w:rPr>
          <w:rFonts w:ascii="Arial" w:cs="Arial" w:eastAsia="Arial" w:hAnsi="Arial"/>
          <w:sz w:val="9"/>
          <w:szCs w:val="9"/>
          <w:color w:val="FFFFFF"/>
          <w:vertAlign w:val="subscript"/>
        </w:rPr>
        <w:t>disclosure</w:t>
      </w:r>
      <w:r>
        <w:rPr>
          <w:rFonts w:ascii="Arial" w:cs="Arial" w:eastAsia="Arial" w:hAnsi="Arial"/>
          <w:sz w:val="7"/>
          <w:szCs w:val="7"/>
          <w:color w:val="FFFFFF"/>
        </w:rPr>
        <w:t>yearendd 31 December 2011, the following non-exempt connected transactions were in effect between the Group and the WRL Group, such transactions being subject to disclosure requirements</w:t>
      </w:r>
    </w:p>
    <w:p>
      <w:pPr>
        <w:spacing w:after="0"/>
        <w:rPr>
          <w:sz w:val="20"/>
          <w:szCs w:val="20"/>
          <w:color w:val="auto"/>
        </w:rPr>
      </w:pPr>
      <w:r>
        <w:rPr>
          <w:rFonts w:ascii="Arial" w:cs="Arial" w:eastAsia="Arial" w:hAnsi="Arial"/>
          <w:sz w:val="3"/>
          <w:szCs w:val="3"/>
          <w:color w:val="FFFFFF"/>
        </w:rPr>
        <w:t>Worldwide(including Wynn EmploymentinthisAnnualFrameworkReport)AgreementsundertheListing Rules:</w:t>
      </w:r>
    </w:p>
    <w:p>
      <w:pPr>
        <w:spacing w:after="0" w:line="6" w:lineRule="exact"/>
        <w:rPr>
          <w:sz w:val="20"/>
          <w:szCs w:val="20"/>
          <w:color w:val="auto"/>
        </w:rPr>
      </w:pPr>
    </w:p>
    <w:p>
      <w:pPr>
        <w:ind w:right="80"/>
        <w:spacing w:after="0" w:line="201" w:lineRule="auto"/>
        <w:rPr>
          <w:sz w:val="20"/>
          <w:szCs w:val="20"/>
          <w:color w:val="auto"/>
        </w:rPr>
      </w:pPr>
      <w:r>
        <w:rPr>
          <w:rFonts w:ascii="Arial" w:cs="Arial" w:eastAsia="Arial" w:hAnsi="Arial"/>
          <w:sz w:val="7"/>
          <w:szCs w:val="7"/>
          <w:color w:val="FFFFFF"/>
        </w:rPr>
        <w:t>Nature and purpose of transaction. On 19 September 2009, the Company and WRM each entered an employment framework agreement with Worldwide Wynn, a wholly owned subsidiary of Wynn Resorts, Limited, under which Worldwide Wynn employed certain of the Group’s management personnel who are U.S. residents based in or to be based in Macau (“U.S. Resident Staff”) on the Group’s behalf and seconded them to the Group. Each U.S. Resident Staff has a formal employment agreement with the Group through the secondment. This arrangement was put in place to ensure that each U.S Resident Staff is, in addition to his or her employment with the Group, also employed by a U.S.-incorporated entity in order to allow him or her to continue to enjoy certain benefi ts relating to pension, personal income tax, and health and life insurance.</w:t>
      </w:r>
    </w:p>
    <w:p>
      <w:pPr>
        <w:spacing w:after="0" w:line="213" w:lineRule="auto"/>
        <w:rPr>
          <w:sz w:val="20"/>
          <w:szCs w:val="20"/>
          <w:color w:val="auto"/>
        </w:rPr>
      </w:pPr>
      <w:r>
        <w:rPr>
          <w:rFonts w:ascii="Arial" w:cs="Arial" w:eastAsia="Arial" w:hAnsi="Arial"/>
          <w:sz w:val="2"/>
          <w:szCs w:val="2"/>
          <w:color w:val="FFFFFF"/>
        </w:rPr>
        <w:t>Pricing. Under the employment framework agreements, Worldwide</w:t>
      </w:r>
      <w:r>
        <w:rPr>
          <w:rFonts w:ascii="Arial" w:cs="Arial" w:eastAsia="Arial" w:hAnsi="Arial"/>
          <w:sz w:val="4"/>
          <w:szCs w:val="4"/>
          <w:color w:val="FFFFFF"/>
          <w:vertAlign w:val="subscript"/>
        </w:rPr>
        <w:t>employee</w:t>
      </w:r>
      <w:r>
        <w:rPr>
          <w:rFonts w:ascii="Arial" w:cs="Arial" w:eastAsia="Arial" w:hAnsi="Arial"/>
          <w:sz w:val="2"/>
          <w:szCs w:val="2"/>
          <w:color w:val="FFFFFF"/>
        </w:rPr>
        <w:t>Wynn is to be reimbursed for the cost of the secondments (including salaries and benefi ts of the seconded employee) and is entitled to receive</w:t>
      </w:r>
    </w:p>
    <w:p>
      <w:pPr>
        <w:ind w:right="220"/>
        <w:spacing w:after="0" w:line="187" w:lineRule="auto"/>
        <w:rPr>
          <w:sz w:val="20"/>
          <w:szCs w:val="20"/>
          <w:color w:val="auto"/>
        </w:rPr>
      </w:pPr>
      <w:r>
        <w:rPr>
          <w:rFonts w:ascii="Arial" w:cs="Arial" w:eastAsia="Arial" w:hAnsi="Arial"/>
          <w:sz w:val="9"/>
          <w:szCs w:val="9"/>
          <w:color w:val="FFFFFF"/>
        </w:rPr>
        <w:t>a fee of 5% of the aggregate cost of the secondment of the during the secondment period, for its role in the employment arrangement. Approximately HK$41.4 million was charged to the Group by Worldwide Wynn under this arrangement during the year ended 31 December 2011.</w:t>
      </w:r>
    </w:p>
    <w:p>
      <w:pPr>
        <w:spacing w:after="0" w:line="181" w:lineRule="auto"/>
        <w:rPr>
          <w:sz w:val="20"/>
          <w:szCs w:val="20"/>
          <w:color w:val="auto"/>
        </w:rPr>
      </w:pPr>
      <w:r>
        <w:rPr>
          <w:rFonts w:ascii="Arial" w:cs="Arial" w:eastAsia="Arial" w:hAnsi="Arial"/>
          <w:sz w:val="6"/>
          <w:szCs w:val="6"/>
          <w:color w:val="FFFFFF"/>
        </w:rPr>
        <w:t>Term. The employment framework agreements had an initial term which expired on 31 December 2011. A waiver was granted by the Hong Kong Stock Exchange at the time of the Listing from the announcement requirements under the Listing Rules for the initial term. Pursuant to the terms therein, unless terminated by either party to the agreements by giving one month’s written notice in advance</w:t>
      </w:r>
      <w:r>
        <w:rPr>
          <w:rFonts w:ascii="Arial" w:cs="Arial" w:eastAsia="Arial" w:hAnsi="Arial"/>
          <w:sz w:val="7"/>
          <w:szCs w:val="7"/>
          <w:color w:val="FFFFFF"/>
          <w:vertAlign w:val="subscript"/>
        </w:rPr>
        <w:t>subsequent</w:t>
      </w:r>
      <w:r>
        <w:rPr>
          <w:rFonts w:ascii="Arial" w:cs="Arial" w:eastAsia="Arial" w:hAnsi="Arial"/>
          <w:sz w:val="6"/>
          <w:szCs w:val="6"/>
          <w:color w:val="FFFFFF"/>
        </w:rPr>
        <w:t xml:space="preserve">tothe </w:t>
      </w:r>
      <w:r>
        <w:rPr>
          <w:rFonts w:ascii="Arial" w:cs="Arial" w:eastAsia="Arial" w:hAnsi="Arial"/>
          <w:sz w:val="7"/>
          <w:szCs w:val="7"/>
          <w:color w:val="FFFFFF"/>
          <w:vertAlign w:val="subscript"/>
        </w:rPr>
        <w:t>renewal</w:t>
      </w:r>
      <w:r>
        <w:rPr>
          <w:rFonts w:ascii="Arial" w:cs="Arial" w:eastAsia="Arial" w:hAnsi="Arial"/>
          <w:sz w:val="6"/>
          <w:szCs w:val="6"/>
          <w:color w:val="FFFFFF"/>
        </w:rPr>
        <w:t>othparty</w:t>
      </w:r>
      <w:r>
        <w:rPr>
          <w:rFonts w:ascii="Arial" w:cs="Arial" w:eastAsia="Arial" w:hAnsi="Arial"/>
          <w:sz w:val="7"/>
          <w:szCs w:val="7"/>
          <w:color w:val="FFFFFF"/>
          <w:vertAlign w:val="subscript"/>
        </w:rPr>
        <w:t>term,</w:t>
      </w:r>
      <w:r>
        <w:rPr>
          <w:rFonts w:ascii="Arial" w:cs="Arial" w:eastAsia="Arial" w:hAnsi="Arial"/>
          <w:sz w:val="6"/>
          <w:szCs w:val="6"/>
          <w:color w:val="FFFFFF"/>
        </w:rPr>
        <w:t>and subject to compliance with the Listing Rules requirements, or, alternatively, any waivers obtained from strict compliance with such requirements, upon expiration of the initial term or</w:t>
      </w:r>
    </w:p>
    <w:p>
      <w:pPr>
        <w:ind w:right="100" w:firstLine="776"/>
        <w:spacing w:after="0"/>
        <w:rPr>
          <w:sz w:val="20"/>
          <w:szCs w:val="20"/>
          <w:color w:val="auto"/>
        </w:rPr>
      </w:pPr>
      <w:r>
        <w:rPr>
          <w:rFonts w:ascii="Arial" w:cs="Arial" w:eastAsia="Arial" w:hAnsi="Arial"/>
          <w:sz w:val="5"/>
          <w:szCs w:val="5"/>
          <w:color w:val="FFFFFF"/>
        </w:rPr>
        <w:t>the agreements are automatically renewed for a further term of three years each time (or for such other period as may be permitted under the Listing Rules). In compliance with the Listing Rules, the Company announced on 6 December 2011 the renewal of these agreements for a further term of three years upon the expiry of the initial term and the respective annual caps set for the years ending</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FFFFFF"/>
        </w:rPr>
        <w:t>31 December 2012, 2013 and 2014.</w:t>
      </w:r>
    </w:p>
    <w:p>
      <w:pPr>
        <w:sectPr>
          <w:pgSz w:w="11900" w:h="16838" w:orient="portrait"/>
          <w:cols w:equalWidth="0" w:num="1">
            <w:col w:w="11380"/>
          </w:cols>
          <w:pgMar w:left="240" w:top="1440" w:right="27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20"/>
                <w:szCs w:val="20"/>
                <w:color w:val="auto"/>
              </w:rPr>
            </w:pPr>
            <w:r>
              <w:rPr>
                <w:rFonts w:ascii="Arial" w:cs="Arial" w:eastAsia="Arial" w:hAnsi="Arial"/>
                <w:sz w:val="14"/>
                <w:szCs w:val="14"/>
                <w:color w:val="FFFFFF"/>
              </w:rPr>
              <w:t>40 Wynn Macau, Limited</w:t>
            </w: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20"/>
                <w:szCs w:val="20"/>
                <w:color w:val="auto"/>
              </w:rPr>
            </w:pPr>
            <w:r>
              <w:rPr>
                <w:rFonts w:ascii="Arial" w:cs="Arial" w:eastAsia="Arial" w:hAnsi="Arial"/>
                <w:sz w:val="3"/>
                <w:szCs w:val="3"/>
                <w:color w:val="FFFFFF"/>
              </w:rPr>
              <w:t>CONNECTED TRANSACTIONS (continued)</w:t>
            </w: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20"/>
                <w:szCs w:val="20"/>
                <w:color w:val="auto"/>
              </w:rPr>
            </w:pPr>
            <w:r>
              <w:rPr>
                <w:rFonts w:ascii="Arial" w:cs="Arial" w:eastAsia="Arial" w:hAnsi="Arial"/>
                <w:sz w:val="3"/>
                <w:szCs w:val="3"/>
                <w:color w:val="FFFFFF"/>
              </w:rPr>
              <w:t>Marketing and Secondment Services Framework Agreements</w:t>
            </w:r>
          </w:p>
        </w:tc>
        <w:tc>
          <w:tcPr>
            <w:tcW w:w="40" w:type="dxa"/>
            <w:vAlign w:val="bottom"/>
          </w:tcPr>
          <w:p>
            <w:pPr>
              <w:spacing w:after="0"/>
              <w:rPr>
                <w:sz w:val="3"/>
                <w:szCs w:val="3"/>
                <w:color w:val="auto"/>
              </w:rPr>
            </w:pPr>
          </w:p>
        </w:tc>
        <w:tc>
          <w:tcPr>
            <w:tcW w:w="5800" w:type="dxa"/>
            <w:vAlign w:val="bottom"/>
            <w:gridSpan w:val="3"/>
            <w:vMerge w:val="restart"/>
          </w:tcPr>
          <w:p>
            <w:pPr>
              <w:jc w:val="right"/>
              <w:ind w:right="343"/>
              <w:spacing w:after="0" w:line="81" w:lineRule="exact"/>
              <w:rPr>
                <w:sz w:val="20"/>
                <w:szCs w:val="20"/>
                <w:color w:val="auto"/>
              </w:rPr>
            </w:pPr>
            <w:r>
              <w:rPr>
                <w:rFonts w:ascii="Arial" w:cs="Arial" w:eastAsia="Arial" w:hAnsi="Arial"/>
                <w:sz w:val="9"/>
                <w:szCs w:val="9"/>
                <w:color w:val="FFFFFF"/>
              </w:rPr>
              <w:t>marketing and secondment service framework agreement with WIML, an affi liate of Wynn Resorts,</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20"/>
                <w:szCs w:val="20"/>
                <w:color w:val="auto"/>
              </w:rPr>
            </w:pPr>
            <w:r>
              <w:rPr>
                <w:rFonts w:ascii="Arial" w:cs="Arial" w:eastAsia="Arial" w:hAnsi="Arial"/>
                <w:sz w:val="3"/>
                <w:szCs w:val="3"/>
                <w:color w:val="FFFFFF"/>
              </w:rPr>
              <w:t>Nature and purpose of transaction. On 19 September 2009, the Company and WRM each entered into</w:t>
            </w:r>
          </w:p>
        </w:tc>
        <w:tc>
          <w:tcPr>
            <w:tcW w:w="40" w:type="dxa"/>
            <w:vAlign w:val="bottom"/>
          </w:tcPr>
          <w:p>
            <w:pPr>
              <w:spacing w:after="0"/>
              <w:rPr>
                <w:sz w:val="3"/>
                <w:szCs w:val="3"/>
                <w:color w:val="auto"/>
              </w:rPr>
            </w:pPr>
          </w:p>
        </w:tc>
        <w:tc>
          <w:tcPr>
            <w:tcW w:w="58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20" w:type="dxa"/>
            <w:vAlign w:val="bottom"/>
            <w:gridSpan w:val="2"/>
          </w:tcPr>
          <w:p>
            <w:pPr>
              <w:spacing w:after="0"/>
              <w:rPr>
                <w:sz w:val="20"/>
                <w:szCs w:val="20"/>
                <w:color w:val="auto"/>
              </w:rPr>
            </w:pPr>
            <w:r>
              <w:rPr>
                <w:rFonts w:ascii="Arial" w:cs="Arial" w:eastAsia="Arial" w:hAnsi="Arial"/>
                <w:sz w:val="3"/>
                <w:szCs w:val="3"/>
                <w:color w:val="FFFFFF"/>
              </w:rPr>
              <w:t>Limited. Pursuant to the agreements, WIML will (1) provide, directly and through its authorized agents,</w:t>
            </w:r>
          </w:p>
        </w:tc>
        <w:tc>
          <w:tcPr>
            <w:tcW w:w="1440" w:type="dxa"/>
            <w:vAlign w:val="bottom"/>
          </w:tcPr>
          <w:p>
            <w:pPr>
              <w:ind w:left="620"/>
              <w:spacing w:after="0"/>
              <w:rPr>
                <w:sz w:val="20"/>
                <w:szCs w:val="20"/>
                <w:color w:val="auto"/>
              </w:rPr>
            </w:pPr>
            <w:r>
              <w:rPr>
                <w:rFonts w:ascii="Arial" w:cs="Arial" w:eastAsia="Arial" w:hAnsi="Arial"/>
                <w:sz w:val="3"/>
                <w:szCs w:val="3"/>
                <w:color w:val="FFFFFF"/>
              </w:rPr>
              <w:t>services to WR</w:t>
            </w:r>
          </w:p>
        </w:tc>
        <w:tc>
          <w:tcPr>
            <w:tcW w:w="1680" w:type="dxa"/>
            <w:vAlign w:val="bottom"/>
          </w:tcPr>
          <w:p>
            <w:pPr>
              <w:ind w:left="120"/>
              <w:spacing w:after="0"/>
              <w:rPr>
                <w:sz w:val="20"/>
                <w:szCs w:val="20"/>
                <w:color w:val="auto"/>
              </w:rPr>
            </w:pPr>
            <w:r>
              <w:rPr>
                <w:rFonts w:ascii="Arial" w:cs="Arial" w:eastAsia="Arial" w:hAnsi="Arial"/>
                <w:sz w:val="3"/>
                <w:szCs w:val="3"/>
                <w:color w:val="FFFFFF"/>
              </w:rPr>
              <w:t>, including the development,</w:t>
            </w:r>
          </w:p>
        </w:tc>
        <w:tc>
          <w:tcPr>
            <w:tcW w:w="2680" w:type="dxa"/>
            <w:vAlign w:val="bottom"/>
          </w:tcPr>
          <w:p>
            <w:pPr>
              <w:jc w:val="right"/>
              <w:ind w:right="3"/>
              <w:spacing w:after="0"/>
              <w:rPr>
                <w:sz w:val="20"/>
                <w:szCs w:val="20"/>
                <w:color w:val="auto"/>
              </w:rPr>
            </w:pPr>
            <w:r>
              <w:rPr>
                <w:rFonts w:ascii="Arial" w:cs="Arial" w:eastAsia="Arial" w:hAnsi="Arial"/>
                <w:sz w:val="3"/>
                <w:szCs w:val="3"/>
                <w:color w:val="FFFFFF"/>
              </w:rPr>
              <w:t>and operation of an international</w:t>
            </w:r>
          </w:p>
        </w:tc>
        <w:tc>
          <w:tcPr>
            <w:tcW w:w="0" w:type="dxa"/>
            <w:vAlign w:val="bottom"/>
          </w:tcPr>
          <w:p>
            <w:pPr>
              <w:spacing w:after="0"/>
              <w:rPr>
                <w:sz w:val="1"/>
                <w:szCs w:val="1"/>
                <w:color w:val="auto"/>
              </w:rPr>
            </w:pPr>
          </w:p>
        </w:tc>
      </w:tr>
      <w:tr>
        <w:trPr>
          <w:trHeight w:val="41"/>
        </w:trPr>
        <w:tc>
          <w:tcPr>
            <w:tcW w:w="7060" w:type="dxa"/>
            <w:vAlign w:val="bottom"/>
            <w:gridSpan w:val="3"/>
          </w:tcPr>
          <w:p>
            <w:pPr>
              <w:spacing w:after="0"/>
              <w:rPr>
                <w:sz w:val="20"/>
                <w:szCs w:val="20"/>
                <w:color w:val="auto"/>
              </w:rPr>
            </w:pPr>
            <w:r>
              <w:rPr>
                <w:rFonts w:ascii="Arial" w:cs="Arial" w:eastAsia="Arial" w:hAnsi="Arial"/>
                <w:sz w:val="3"/>
                <w:szCs w:val="3"/>
                <w:color w:val="FFFFFF"/>
              </w:rPr>
              <w:t>promotional and marketing plan for WRM’ casino resorts, and (2) employ certain non-Macau residents basedmarketingor to be based in</w:t>
            </w:r>
          </w:p>
        </w:tc>
        <w:tc>
          <w:tcPr>
            <w:tcW w:w="1680" w:type="dxa"/>
            <w:vAlign w:val="bottom"/>
          </w:tcPr>
          <w:p>
            <w:pPr>
              <w:spacing w:after="0"/>
              <w:rPr>
                <w:sz w:val="20"/>
                <w:szCs w:val="20"/>
                <w:color w:val="auto"/>
              </w:rPr>
            </w:pPr>
            <w:r>
              <w:rPr>
                <w:rFonts w:ascii="Arial" w:cs="Arial" w:eastAsia="Arial" w:hAnsi="Arial"/>
                <w:sz w:val="3"/>
                <w:szCs w:val="3"/>
                <w:color w:val="FFFFFF"/>
              </w:rPr>
              <w:t>Macau (“Foreign Resident</w:t>
            </w:r>
          </w:p>
        </w:tc>
        <w:tc>
          <w:tcPr>
            <w:tcW w:w="2680" w:type="dxa"/>
            <w:vAlign w:val="bottom"/>
          </w:tcPr>
          <w:p>
            <w:pPr>
              <w:jc w:val="right"/>
              <w:ind w:right="3"/>
              <w:spacing w:after="0"/>
              <w:rPr>
                <w:sz w:val="20"/>
                <w:szCs w:val="20"/>
                <w:color w:val="auto"/>
              </w:rPr>
            </w:pPr>
            <w:r>
              <w:rPr>
                <w:rFonts w:ascii="Arial" w:cs="Arial" w:eastAsia="Arial" w:hAnsi="Arial"/>
                <w:sz w:val="3"/>
                <w:szCs w:val="3"/>
                <w:color w:val="FFFFFF"/>
              </w:rPr>
              <w:t>f”)implementationtheGroup’s behalf and second the Foreign</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20"/>
                <w:szCs w:val="20"/>
                <w:color w:val="auto"/>
              </w:rPr>
            </w:pPr>
            <w:r>
              <w:rPr>
                <w:rFonts w:ascii="Arial" w:cs="Arial" w:eastAsia="Arial" w:hAnsi="Arial"/>
                <w:sz w:val="3"/>
                <w:szCs w:val="3"/>
                <w:color w:val="FFFFFF"/>
              </w:rPr>
              <w:t>Resident Staff to the Group. Marketing efforts conducted through  uniform marketing plan for all</w:t>
            </w:r>
          </w:p>
        </w:tc>
        <w:tc>
          <w:tcPr>
            <w:tcW w:w="40" w:type="dxa"/>
            <w:vAlign w:val="bottom"/>
          </w:tcPr>
          <w:p>
            <w:pPr>
              <w:spacing w:after="0"/>
              <w:rPr>
                <w:sz w:val="3"/>
                <w:szCs w:val="3"/>
                <w:color w:val="auto"/>
              </w:rPr>
            </w:pPr>
          </w:p>
        </w:tc>
        <w:tc>
          <w:tcPr>
            <w:tcW w:w="5800" w:type="dxa"/>
            <w:vAlign w:val="bottom"/>
            <w:gridSpan w:val="3"/>
          </w:tcPr>
          <w:p>
            <w:pPr>
              <w:jc w:val="right"/>
              <w:ind w:right="403"/>
              <w:spacing w:after="0"/>
              <w:rPr>
                <w:sz w:val="20"/>
                <w:szCs w:val="20"/>
                <w:color w:val="auto"/>
              </w:rPr>
            </w:pPr>
            <w:r>
              <w:rPr>
                <w:rFonts w:ascii="Arial" w:cs="Arial" w:eastAsia="Arial" w:hAnsi="Arial"/>
                <w:sz w:val="3"/>
                <w:szCs w:val="3"/>
                <w:color w:val="FFFFFF"/>
              </w:rPr>
              <w:t>resorts bearing the “WYNN” brand name ensure thatStafconsistent image and style will be adopted</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globally. The secondment arrangement was put in place to ensure that each Foreign Resident Staff is,casinoaddition to his or her employment with the Group, employed by an appropriate offshore entity in order to</w:t>
            </w:r>
          </w:p>
        </w:tc>
        <w:tc>
          <w:tcPr>
            <w:tcW w:w="0" w:type="dxa"/>
            <w:vAlign w:val="bottom"/>
          </w:tcPr>
          <w:p>
            <w:pPr>
              <w:spacing w:after="0"/>
              <w:rPr>
                <w:sz w:val="1"/>
                <w:szCs w:val="1"/>
                <w:color w:val="auto"/>
              </w:rPr>
            </w:pPr>
          </w:p>
        </w:tc>
      </w:tr>
      <w:tr>
        <w:trPr>
          <w:trHeight w:val="41"/>
        </w:trPr>
        <w:tc>
          <w:tcPr>
            <w:tcW w:w="7060" w:type="dxa"/>
            <w:vAlign w:val="bottom"/>
            <w:gridSpan w:val="3"/>
          </w:tcPr>
          <w:p>
            <w:pPr>
              <w:spacing w:after="0"/>
              <w:rPr>
                <w:sz w:val="20"/>
                <w:szCs w:val="20"/>
                <w:color w:val="auto"/>
              </w:rPr>
            </w:pPr>
            <w:r>
              <w:rPr>
                <w:rFonts w:ascii="Arial" w:cs="Arial" w:eastAsia="Arial" w:hAnsi="Arial"/>
                <w:sz w:val="3"/>
                <w:szCs w:val="3"/>
                <w:color w:val="FFFFFF"/>
              </w:rPr>
              <w:t>allow him or her to continue to enjoy certain benefi ts relating to pension, personal income tax, and health and life insurance.</w:t>
            </w:r>
          </w:p>
        </w:tc>
        <w:tc>
          <w:tcPr>
            <w:tcW w:w="16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Pricing. Under the marketing and secondment service framework agreements, the fee for the services provided by WIML is based on a cost and expense reimbursement basis plus a fee of 5% of the aggregate</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20"/>
                <w:szCs w:val="20"/>
                <w:color w:val="auto"/>
              </w:rPr>
            </w:pPr>
            <w:r>
              <w:rPr>
                <w:rFonts w:ascii="Arial" w:cs="Arial" w:eastAsia="Arial" w:hAnsi="Arial"/>
                <w:sz w:val="3"/>
                <w:szCs w:val="3"/>
                <w:color w:val="FFFFFF"/>
              </w:rPr>
              <w:t>costs and expenses incurred by WIML in the performance of its services. Approximately HK$106.2</w:t>
            </w:r>
          </w:p>
        </w:tc>
        <w:tc>
          <w:tcPr>
            <w:tcW w:w="40" w:type="dxa"/>
            <w:vAlign w:val="bottom"/>
          </w:tcPr>
          <w:p>
            <w:pPr>
              <w:spacing w:after="0"/>
              <w:rPr>
                <w:sz w:val="3"/>
                <w:szCs w:val="3"/>
                <w:color w:val="auto"/>
              </w:rPr>
            </w:pPr>
          </w:p>
        </w:tc>
        <w:tc>
          <w:tcPr>
            <w:tcW w:w="5800" w:type="dxa"/>
            <w:vAlign w:val="bottom"/>
            <w:gridSpan w:val="3"/>
          </w:tcPr>
          <w:p>
            <w:pPr>
              <w:jc w:val="right"/>
              <w:ind w:right="3"/>
              <w:spacing w:after="0"/>
              <w:rPr>
                <w:sz w:val="20"/>
                <w:szCs w:val="20"/>
                <w:color w:val="auto"/>
              </w:rPr>
            </w:pPr>
            <w:r>
              <w:rPr>
                <w:rFonts w:ascii="Arial" w:cs="Arial" w:eastAsia="Arial" w:hAnsi="Arial"/>
                <w:sz w:val="3"/>
                <w:szCs w:val="3"/>
                <w:color w:val="FFFFFF"/>
              </w:rPr>
              <w:t>was charged to the Group by WIML under this arrangement during the year ended 31 December 2011.</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Term. The marketing and secondment services framework agreements had an initial term which expiredmillion31 December 2011. A waiver was granted by the Hong Kong Stock Exchange at the time of the Listing</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20"/>
                <w:szCs w:val="20"/>
                <w:color w:val="auto"/>
              </w:rPr>
            </w:pPr>
            <w:r>
              <w:rPr>
                <w:rFonts w:ascii="Arial" w:cs="Arial" w:eastAsia="Arial" w:hAnsi="Arial"/>
                <w:sz w:val="3"/>
                <w:szCs w:val="3"/>
                <w:color w:val="FFFFFF"/>
              </w:rPr>
              <w:t>from the announcement requirements under the Listing Rules for the initial term. Pursuant to the terms</w:t>
            </w:r>
          </w:p>
        </w:tc>
        <w:tc>
          <w:tcPr>
            <w:tcW w:w="40" w:type="dxa"/>
            <w:vAlign w:val="bottom"/>
          </w:tcPr>
          <w:p>
            <w:pPr>
              <w:spacing w:after="0"/>
              <w:rPr>
                <w:sz w:val="3"/>
                <w:szCs w:val="3"/>
                <w:color w:val="auto"/>
              </w:rPr>
            </w:pPr>
          </w:p>
        </w:tc>
        <w:tc>
          <w:tcPr>
            <w:tcW w:w="5800" w:type="dxa"/>
            <w:vAlign w:val="bottom"/>
            <w:gridSpan w:val="3"/>
          </w:tcPr>
          <w:p>
            <w:pPr>
              <w:jc w:val="right"/>
              <w:ind w:right="583"/>
              <w:spacing w:after="0"/>
              <w:rPr>
                <w:sz w:val="20"/>
                <w:szCs w:val="20"/>
                <w:color w:val="auto"/>
              </w:rPr>
            </w:pPr>
            <w:r>
              <w:rPr>
                <w:rFonts w:ascii="Arial" w:cs="Arial" w:eastAsia="Arial" w:hAnsi="Arial"/>
                <w:sz w:val="3"/>
                <w:szCs w:val="3"/>
                <w:color w:val="FFFFFF"/>
              </w:rPr>
              <w:t>unless terminated by either party to the agreements by giving one month’s written notice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advance to the other party and subject to compliance with the Listing Rules requirements, or, alternativelytherein,any waivers obtained from strict compliance with such requirements, upon expiration of the initial term</w:t>
            </w:r>
          </w:p>
        </w:tc>
        <w:tc>
          <w:tcPr>
            <w:tcW w:w="0" w:type="dxa"/>
            <w:vAlign w:val="bottom"/>
          </w:tcPr>
          <w:p>
            <w:pPr>
              <w:spacing w:after="0"/>
              <w:rPr>
                <w:sz w:val="1"/>
                <w:szCs w:val="1"/>
                <w:color w:val="auto"/>
              </w:rPr>
            </w:pPr>
          </w:p>
        </w:tc>
      </w:tr>
      <w:tr>
        <w:trPr>
          <w:trHeight w:val="0"/>
        </w:trPr>
        <w:tc>
          <w:tcPr>
            <w:tcW w:w="5580" w:type="dxa"/>
            <w:vAlign w:val="bottom"/>
          </w:tcPr>
          <w:p>
            <w:pPr>
              <w:spacing w:after="0" w:line="80" w:lineRule="exact"/>
              <w:rPr>
                <w:sz w:val="20"/>
                <w:szCs w:val="20"/>
                <w:color w:val="auto"/>
              </w:rPr>
            </w:pPr>
            <w:r>
              <w:rPr>
                <w:rFonts w:ascii="Arial" w:cs="Arial" w:eastAsia="Arial" w:hAnsi="Arial"/>
                <w:sz w:val="9"/>
                <w:szCs w:val="9"/>
                <w:color w:val="FFFFFF"/>
              </w:rPr>
              <w:t>or subsequent renewal term, the agreements are automatically renewed for a further term of three</w:t>
            </w:r>
          </w:p>
        </w:tc>
        <w:tc>
          <w:tcPr>
            <w:tcW w:w="5840" w:type="dxa"/>
            <w:vAlign w:val="bottom"/>
            <w:gridSpan w:val="4"/>
          </w:tcPr>
          <w:p>
            <w:pPr>
              <w:jc w:val="right"/>
              <w:ind w:right="143"/>
              <w:spacing w:after="0" w:line="80" w:lineRule="exact"/>
              <w:rPr>
                <w:sz w:val="20"/>
                <w:szCs w:val="20"/>
                <w:color w:val="auto"/>
              </w:rPr>
            </w:pPr>
            <w:r>
              <w:rPr>
                <w:rFonts w:ascii="Arial" w:cs="Arial" w:eastAsia="Arial" w:hAnsi="Arial"/>
                <w:sz w:val="9"/>
                <w:szCs w:val="9"/>
                <w:color w:val="FFFFFF"/>
              </w:rPr>
              <w:t>each time (or for such other period as may be permitted under the Listing Rules). In compliance with the</w:t>
            </w:r>
          </w:p>
        </w:tc>
        <w:tc>
          <w:tcPr>
            <w:tcW w:w="0" w:type="dxa"/>
            <w:vAlign w:val="bottom"/>
          </w:tcPr>
          <w:p>
            <w:pPr>
              <w:spacing w:after="0" w:line="20" w:lineRule="exact"/>
              <w:rPr>
                <w:sz w:val="1"/>
                <w:szCs w:val="1"/>
                <w:color w:val="auto"/>
              </w:rPr>
            </w:pPr>
          </w:p>
        </w:tc>
      </w:tr>
    </w:tbl>
    <w:p>
      <w:pPr>
        <w:ind w:right="200"/>
        <w:spacing w:after="0" w:line="190" w:lineRule="auto"/>
        <w:rPr>
          <w:sz w:val="20"/>
          <w:szCs w:val="20"/>
          <w:color w:val="auto"/>
        </w:rPr>
      </w:pPr>
      <w:r>
        <w:rPr>
          <w:rFonts w:ascii="Arial" w:cs="Arial" w:eastAsia="Arial" w:hAnsi="Arial"/>
          <w:sz w:val="9"/>
          <w:szCs w:val="9"/>
          <w:color w:val="FFFFFF"/>
        </w:rPr>
        <w:t>Listing Rules, the Company announced on 6 December 2011 the renewal of these agreements for yearsfurther term of three years upon the expiry of the initial term and the respective annual caps set for the years ending 31 December 2012, 2013 and 2014.</w:t>
      </w:r>
    </w:p>
    <w:p>
      <w:pPr>
        <w:ind w:right="180"/>
        <w:spacing w:after="0" w:line="209" w:lineRule="auto"/>
        <w:rPr>
          <w:sz w:val="20"/>
          <w:szCs w:val="20"/>
          <w:color w:val="auto"/>
        </w:rPr>
      </w:pPr>
      <w:r>
        <w:rPr>
          <w:rFonts w:ascii="Arial" w:cs="Arial" w:eastAsia="Arial" w:hAnsi="Arial"/>
          <w:sz w:val="12"/>
          <w:szCs w:val="12"/>
          <w:color w:val="FFFFFF"/>
        </w:rPr>
        <w:t>Nature and purpose of transaction. On 19 September 2009, WRM entered into a design services framework agreement with Wynn Design &amp; Development, a subsidiary of Wynn Resorts, Limited, under which Wynn Design &amp; Development would provide design services for WRM’s projects in Macau, including the development, design and construction oversight of Encore and the further development of Wynn Macau.</w:t>
      </w:r>
    </w:p>
    <w:p>
      <w:pPr>
        <w:sectPr>
          <w:pgSz w:w="11900" w:h="16838" w:orient="portrait"/>
          <w:cols w:equalWidth="0" w:num="1">
            <w:col w:w="11420"/>
          </w:cols>
          <w:pgMar w:left="240" w:top="1440" w:right="2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color w:val="FFFFFF"/>
              </w:rPr>
              <w:t>Annual Report 2011 41</w:t>
            </w:r>
          </w:p>
        </w:tc>
        <w:tc>
          <w:tcPr>
            <w:tcW w:w="2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06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2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60" w:type="dxa"/>
            <w:vAlign w:val="bottom"/>
            <w:gridSpan w:val="2"/>
          </w:tcPr>
          <w:p>
            <w:pPr>
              <w:spacing w:after="0"/>
              <w:rPr>
                <w:sz w:val="20"/>
                <w:szCs w:val="20"/>
                <w:color w:val="auto"/>
              </w:rPr>
            </w:pPr>
            <w:r>
              <w:rPr>
                <w:rFonts w:ascii="Arial" w:cs="Arial" w:eastAsia="Arial" w:hAnsi="Arial"/>
                <w:sz w:val="3"/>
                <w:szCs w:val="3"/>
                <w:color w:val="FFFFFF"/>
              </w:rPr>
              <w:t>CONNECTED TRANSACTIONS (continued)</w:t>
            </w:r>
          </w:p>
        </w:tc>
        <w:tc>
          <w:tcPr>
            <w:tcW w:w="2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60" w:type="dxa"/>
            <w:vAlign w:val="bottom"/>
            <w:gridSpan w:val="2"/>
          </w:tcPr>
          <w:p>
            <w:pPr>
              <w:spacing w:after="0"/>
              <w:rPr>
                <w:sz w:val="20"/>
                <w:szCs w:val="20"/>
                <w:color w:val="auto"/>
              </w:rPr>
            </w:pPr>
            <w:r>
              <w:rPr>
                <w:rFonts w:ascii="Arial" w:cs="Arial" w:eastAsia="Arial" w:hAnsi="Arial"/>
                <w:sz w:val="3"/>
                <w:szCs w:val="3"/>
                <w:color w:val="FFFFFF"/>
              </w:rPr>
              <w:t>Design Services Framework Agreement (continued)</w:t>
            </w:r>
          </w:p>
        </w:tc>
        <w:tc>
          <w:tcPr>
            <w:tcW w:w="2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Pricing. Under the design services ramework agreement, the fee for the services provided by Wynn Design &amp; Development is based on a cost and expense reimbursement basis incurred by Wynn Design &amp;</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Development in the performance of its service. Approximately HK$31.6 million was charged to WRM by Wynn Design &amp; Development under this arrangement during the year ended 31 December 2011.</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Term. The design services framework agreement had an initial term which expired on 31 December 2011. A waiver was granted by the Hong Kong Stock Exchange at the time of the Listing from the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announcement requirements under the Listing Rules for the initial term. Pursuant to the terms therein, unless terminated by either party to the agreements by giving one month’s written notice in advance to the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oth  party and subject to compliance with the Listing Rules requirements, or, alternatively, any waivers obtained from strict compliance with such requirements, upon expiration of the initial term or subsequent</w:t>
            </w:r>
          </w:p>
        </w:tc>
        <w:tc>
          <w:tcPr>
            <w:tcW w:w="0" w:type="dxa"/>
            <w:vAlign w:val="bottom"/>
          </w:tcPr>
          <w:p>
            <w:pPr>
              <w:spacing w:after="0"/>
              <w:rPr>
                <w:sz w:val="1"/>
                <w:szCs w:val="1"/>
                <w:color w:val="auto"/>
              </w:rPr>
            </w:pPr>
          </w:p>
        </w:tc>
      </w:tr>
      <w:tr>
        <w:trPr>
          <w:trHeight w:val="41"/>
        </w:trPr>
        <w:tc>
          <w:tcPr>
            <w:tcW w:w="6060" w:type="dxa"/>
            <w:vAlign w:val="bottom"/>
            <w:gridSpan w:val="2"/>
          </w:tcPr>
          <w:p>
            <w:pPr>
              <w:spacing w:after="0"/>
              <w:rPr>
                <w:sz w:val="20"/>
                <w:szCs w:val="20"/>
                <w:color w:val="auto"/>
              </w:rPr>
            </w:pPr>
            <w:r>
              <w:rPr>
                <w:rFonts w:ascii="Arial" w:cs="Arial" w:eastAsia="Arial" w:hAnsi="Arial"/>
                <w:sz w:val="3"/>
                <w:szCs w:val="3"/>
                <w:color w:val="FFFFFF"/>
              </w:rPr>
              <w:t>renew l term, the agreement is automatically renewed for a further term of three years each time (or for such</w:t>
            </w:r>
          </w:p>
        </w:tc>
        <w:tc>
          <w:tcPr>
            <w:tcW w:w="5340" w:type="dxa"/>
            <w:vAlign w:val="bottom"/>
            <w:gridSpan w:val="3"/>
          </w:tcPr>
          <w:p>
            <w:pPr>
              <w:jc w:val="right"/>
              <w:ind w:right="15"/>
              <w:spacing w:after="0"/>
              <w:rPr>
                <w:sz w:val="20"/>
                <w:szCs w:val="20"/>
                <w:color w:val="auto"/>
              </w:rPr>
            </w:pPr>
            <w:r>
              <w:rPr>
                <w:rFonts w:ascii="Arial" w:cs="Arial" w:eastAsia="Arial" w:hAnsi="Arial"/>
                <w:sz w:val="3"/>
                <w:szCs w:val="3"/>
                <w:color w:val="FFFFFF"/>
              </w:rPr>
              <w:t>period as may be permitted under the Listing Rules). In compliance with the Listing Rules, the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Company announced on 6 December 2011 the renewal of the agreement for a further term of three years uponotherexpiry of the initial term and the respective annual caps set for the years ending 31 December</w:t>
            </w:r>
          </w:p>
        </w:tc>
        <w:tc>
          <w:tcPr>
            <w:tcW w:w="0" w:type="dxa"/>
            <w:vAlign w:val="bottom"/>
          </w:tcPr>
          <w:p>
            <w:pPr>
              <w:spacing w:after="0"/>
              <w:rPr>
                <w:sz w:val="1"/>
                <w:szCs w:val="1"/>
                <w:color w:val="auto"/>
              </w:rPr>
            </w:pPr>
          </w:p>
        </w:tc>
      </w:tr>
      <w:tr>
        <w:trPr>
          <w:trHeight w:val="41"/>
        </w:trPr>
        <w:tc>
          <w:tcPr>
            <w:tcW w:w="6060" w:type="dxa"/>
            <w:vAlign w:val="bottom"/>
            <w:gridSpan w:val="2"/>
          </w:tcPr>
          <w:p>
            <w:pPr>
              <w:spacing w:after="0"/>
              <w:rPr>
                <w:sz w:val="20"/>
                <w:szCs w:val="20"/>
                <w:color w:val="auto"/>
              </w:rPr>
            </w:pPr>
            <w:r>
              <w:rPr>
                <w:rFonts w:ascii="Arial" w:cs="Arial" w:eastAsia="Arial" w:hAnsi="Arial"/>
                <w:sz w:val="3"/>
                <w:szCs w:val="3"/>
                <w:color w:val="FFFFFF"/>
              </w:rPr>
              <w:t>2012, 2013 and 2014.</w:t>
            </w:r>
          </w:p>
        </w:tc>
        <w:tc>
          <w:tcPr>
            <w:tcW w:w="2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60" w:type="dxa"/>
            <w:vAlign w:val="bottom"/>
            <w:gridSpan w:val="2"/>
          </w:tcPr>
          <w:p>
            <w:pPr>
              <w:spacing w:after="0"/>
              <w:rPr>
                <w:sz w:val="20"/>
                <w:szCs w:val="20"/>
                <w:color w:val="auto"/>
              </w:rPr>
            </w:pPr>
            <w:r>
              <w:rPr>
                <w:rFonts w:ascii="Arial" w:cs="Arial" w:eastAsia="Arial" w:hAnsi="Arial"/>
                <w:sz w:val="3"/>
                <w:szCs w:val="3"/>
                <w:color w:val="FFFFFF"/>
              </w:rPr>
              <w:t>Corporate Allocation Agreements</w:t>
            </w:r>
          </w:p>
        </w:tc>
        <w:tc>
          <w:tcPr>
            <w:tcW w:w="2340" w:type="dxa"/>
            <w:vAlign w:val="bottom"/>
          </w:tcPr>
          <w:p>
            <w:pPr>
              <w:spacing w:after="0"/>
              <w:rPr>
                <w:sz w:val="3"/>
                <w:szCs w:val="3"/>
                <w:color w:val="auto"/>
              </w:rPr>
            </w:pPr>
          </w:p>
        </w:tc>
        <w:tc>
          <w:tcPr>
            <w:tcW w:w="3000" w:type="dxa"/>
            <w:vAlign w:val="bottom"/>
            <w:gridSpan w:val="2"/>
            <w:vMerge w:val="restart"/>
          </w:tcPr>
          <w:p>
            <w:pPr>
              <w:jc w:val="right"/>
              <w:ind w:right="15"/>
              <w:spacing w:after="0" w:line="81" w:lineRule="exact"/>
              <w:rPr>
                <w:sz w:val="20"/>
                <w:szCs w:val="20"/>
                <w:color w:val="auto"/>
              </w:rPr>
            </w:pPr>
            <w:r>
              <w:rPr>
                <w:rFonts w:ascii="Arial" w:cs="Arial" w:eastAsia="Arial" w:hAnsi="Arial"/>
                <w:sz w:val="9"/>
                <w:szCs w:val="9"/>
                <w:color w:val="FFFFFF"/>
              </w:rPr>
              <w:t>corporate allocation agreement, respectively, with</w:t>
            </w:r>
          </w:p>
        </w:tc>
        <w:tc>
          <w:tcPr>
            <w:tcW w:w="0" w:type="dxa"/>
            <w:vAlign w:val="bottom"/>
          </w:tcPr>
          <w:p>
            <w:pPr>
              <w:spacing w:after="0"/>
              <w:rPr>
                <w:sz w:val="1"/>
                <w:szCs w:val="1"/>
                <w:color w:val="auto"/>
              </w:rPr>
            </w:pPr>
          </w:p>
        </w:tc>
      </w:tr>
      <w:tr>
        <w:trPr>
          <w:trHeight w:val="41"/>
        </w:trPr>
        <w:tc>
          <w:tcPr>
            <w:tcW w:w="8400" w:type="dxa"/>
            <w:vAlign w:val="bottom"/>
            <w:gridSpan w:val="3"/>
          </w:tcPr>
          <w:p>
            <w:pPr>
              <w:spacing w:after="0"/>
              <w:rPr>
                <w:sz w:val="20"/>
                <w:szCs w:val="20"/>
                <w:color w:val="auto"/>
              </w:rPr>
            </w:pPr>
            <w:r>
              <w:rPr>
                <w:rFonts w:ascii="Arial" w:cs="Arial" w:eastAsia="Arial" w:hAnsi="Arial"/>
                <w:sz w:val="3"/>
                <w:szCs w:val="3"/>
                <w:color w:val="FFFFFF"/>
              </w:rPr>
              <w:t>Nature and purpose of transaction. On 19 September 2009, the Company and WRM entered into a corporate allocation agreement and an amended and</w:t>
            </w:r>
          </w:p>
        </w:tc>
        <w:tc>
          <w:tcPr>
            <w:tcW w:w="3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Wynn</w:t>
            </w:r>
          </w:p>
        </w:tc>
        <w:tc>
          <w:tcPr>
            <w:tcW w:w="10820" w:type="dxa"/>
            <w:vAlign w:val="bottom"/>
            <w:gridSpan w:val="4"/>
          </w:tcPr>
          <w:p>
            <w:pPr>
              <w:jc w:val="right"/>
              <w:spacing w:after="0"/>
              <w:rPr>
                <w:sz w:val="20"/>
                <w:szCs w:val="20"/>
                <w:color w:val="auto"/>
              </w:rPr>
            </w:pPr>
            <w:r>
              <w:rPr>
                <w:rFonts w:ascii="Arial" w:cs="Arial" w:eastAsia="Arial" w:hAnsi="Arial"/>
                <w:sz w:val="3"/>
                <w:szCs w:val="3"/>
                <w:color w:val="FFFFFF"/>
              </w:rPr>
              <w:t>Limited. Under the respective agreements, Wynn Resorts, Limited: (1) provides the Company and WRM with access to its employees inrestatednumber of non-gaming departments, including corporate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treasuryResorts,legal, fi nancial accounting and audit, corporate risk management and information systems, for the purposes of ensuring that the Company and WRM each comply with the reporting, legal, tax,</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accounting and disclosure requirements that are applicable to NASDAQ-listed Wynn Resorts, Limited and Wynn Resorts, Limited’s subsidiaries (including the Group), and (2) allows the Company and WRM to</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use aircraft assets owned by Wynn Resorts, Limited or Wynn Resorts, Limited’s subsidiaries (other than the Group). Similarly, the Company and WRM had reciprocal arrangements to allow Wynn Resorts,</w:t>
            </w:r>
          </w:p>
        </w:tc>
        <w:tc>
          <w:tcPr>
            <w:tcW w:w="0" w:type="dxa"/>
            <w:vAlign w:val="bottom"/>
          </w:tcPr>
          <w:p>
            <w:pPr>
              <w:spacing w:after="0"/>
              <w:rPr>
                <w:sz w:val="1"/>
                <w:szCs w:val="1"/>
                <w:color w:val="auto"/>
              </w:rPr>
            </w:pPr>
          </w:p>
        </w:tc>
      </w:tr>
      <w:tr>
        <w:trPr>
          <w:trHeight w:val="0"/>
        </w:trPr>
        <w:tc>
          <w:tcPr>
            <w:tcW w:w="9140" w:type="dxa"/>
            <w:vAlign w:val="bottom"/>
            <w:gridSpan w:val="4"/>
          </w:tcPr>
          <w:p>
            <w:pPr>
              <w:spacing w:after="0" w:line="80" w:lineRule="exact"/>
              <w:rPr>
                <w:sz w:val="20"/>
                <w:szCs w:val="20"/>
                <w:color w:val="auto"/>
              </w:rPr>
            </w:pPr>
            <w:r>
              <w:rPr>
                <w:rFonts w:ascii="Arial" w:cs="Arial" w:eastAsia="Arial" w:hAnsi="Arial"/>
                <w:sz w:val="9"/>
                <w:szCs w:val="9"/>
                <w:color w:val="FFFFFF"/>
              </w:rPr>
              <w:t>Limited or Wynn Resorts, Limited’s subsidiaries (other than the Group) to use any aircraft assets that they could own in the future and to have access to the services of</w:t>
            </w:r>
          </w:p>
        </w:tc>
        <w:tc>
          <w:tcPr>
            <w:tcW w:w="2260" w:type="dxa"/>
            <w:vAlign w:val="bottom"/>
          </w:tcPr>
          <w:p>
            <w:pPr>
              <w:jc w:val="right"/>
              <w:ind w:right="95"/>
              <w:spacing w:after="0" w:line="80" w:lineRule="exact"/>
              <w:rPr>
                <w:sz w:val="20"/>
                <w:szCs w:val="20"/>
                <w:color w:val="auto"/>
              </w:rPr>
            </w:pPr>
            <w:r>
              <w:rPr>
                <w:rFonts w:ascii="Arial" w:cs="Arial" w:eastAsia="Arial" w:hAnsi="Arial"/>
                <w:sz w:val="9"/>
                <w:szCs w:val="9"/>
                <w:color w:val="FFFFFF"/>
              </w:rPr>
              <w:t>of its respective employees provided</w:t>
            </w: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that such services do not materially interfere with such employee’s obligations to and responsibilities with the Group. No aircraft assets are currently owned by the Company or WRM.</w:t>
      </w:r>
    </w:p>
    <w:p>
      <w:pPr>
        <w:sectPr>
          <w:pgSz w:w="11900" w:h="16838" w:orient="portrait"/>
          <w:cols w:equalWidth="0" w:num="1">
            <w:col w:w="11400"/>
          </w:cols>
          <w:pgMar w:left="240" w:top="1440" w:right="2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spacing w:after="0"/>
              <w:rPr>
                <w:sz w:val="20"/>
                <w:szCs w:val="20"/>
                <w:color w:val="auto"/>
              </w:rPr>
            </w:pPr>
            <w:r>
              <w:rPr>
                <w:rFonts w:ascii="Arial" w:cs="Arial" w:eastAsia="Arial" w:hAnsi="Arial"/>
                <w:sz w:val="14"/>
                <w:szCs w:val="14"/>
                <w:color w:val="FFFFFF"/>
                <w:w w:val="97"/>
              </w:rPr>
              <w:t>42 Wynn Macau, Limited</w:t>
            </w:r>
          </w:p>
        </w:tc>
        <w:tc>
          <w:tcPr>
            <w:tcW w:w="2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52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25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60" w:type="dxa"/>
            <w:vAlign w:val="bottom"/>
            <w:gridSpan w:val="3"/>
          </w:tcPr>
          <w:p>
            <w:pPr>
              <w:ind w:left="100"/>
              <w:spacing w:after="0"/>
              <w:rPr>
                <w:sz w:val="20"/>
                <w:szCs w:val="20"/>
                <w:color w:val="auto"/>
              </w:rPr>
            </w:pPr>
            <w:r>
              <w:rPr>
                <w:rFonts w:ascii="Arial" w:cs="Arial" w:eastAsia="Arial" w:hAnsi="Arial"/>
                <w:sz w:val="3"/>
                <w:szCs w:val="3"/>
                <w:color w:val="FFFFFF"/>
              </w:rPr>
              <w:t>ONNECTED TRANSACTIONS</w:t>
            </w:r>
          </w:p>
        </w:tc>
        <w:tc>
          <w:tcPr>
            <w:tcW w:w="28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Corporate</w:t>
            </w:r>
          </w:p>
        </w:tc>
        <w:tc>
          <w:tcPr>
            <w:tcW w:w="3480" w:type="dxa"/>
            <w:vAlign w:val="bottom"/>
            <w:gridSpan w:val="2"/>
          </w:tcPr>
          <w:p>
            <w:pPr>
              <w:spacing w:after="0"/>
              <w:rPr>
                <w:sz w:val="20"/>
                <w:szCs w:val="20"/>
                <w:color w:val="auto"/>
              </w:rPr>
            </w:pPr>
            <w:r>
              <w:rPr>
                <w:rFonts w:ascii="Arial" w:cs="Arial" w:eastAsia="Arial" w:hAnsi="Arial"/>
                <w:sz w:val="3"/>
                <w:szCs w:val="3"/>
                <w:color w:val="FFFFFF"/>
              </w:rPr>
              <w:t>Allocation Agreements (c(continued)</w:t>
            </w:r>
          </w:p>
        </w:tc>
        <w:tc>
          <w:tcPr>
            <w:tcW w:w="28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Pricing. Under the corporate allocation agreements, the annual fee for the services (other than for the use of the aircraft assets) provided by Wynn Resorts, Limited is based on an allocation of the actual</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proportion of Wynn Resorts, Limited’ annual corporate departments’ costs (including salaries and benefi ts for such employees during the period in which such services are rendered) and overhead expense</w:t>
            </w:r>
          </w:p>
        </w:tc>
        <w:tc>
          <w:tcPr>
            <w:tcW w:w="0" w:type="dxa"/>
            <w:vAlign w:val="bottom"/>
          </w:tcPr>
          <w:p>
            <w:pPr>
              <w:spacing w:after="0"/>
              <w:rPr>
                <w:sz w:val="1"/>
                <w:szCs w:val="1"/>
                <w:color w:val="auto"/>
              </w:rPr>
            </w:pPr>
          </w:p>
        </w:tc>
      </w:tr>
      <w:tr>
        <w:trPr>
          <w:trHeight w:val="41"/>
        </w:trPr>
        <w:tc>
          <w:tcPr>
            <w:tcW w:w="8140" w:type="dxa"/>
            <w:vAlign w:val="bottom"/>
            <w:gridSpan w:val="5"/>
          </w:tcPr>
          <w:p>
            <w:pPr>
              <w:spacing w:after="0"/>
              <w:rPr>
                <w:sz w:val="20"/>
                <w:szCs w:val="20"/>
                <w:color w:val="auto"/>
              </w:rPr>
            </w:pPr>
            <w:r>
              <w:rPr>
                <w:rFonts w:ascii="Arial" w:cs="Arial" w:eastAsia="Arial" w:hAnsi="Arial"/>
                <w:sz w:val="3"/>
                <w:szCs w:val="3"/>
                <w:color w:val="FFFFFF"/>
              </w:rPr>
              <w:t>related to the prov sion of the services, and in any event, such annual fee shall not exceed 50% of the aggregate annual corporate departments’ costs</w:t>
            </w:r>
          </w:p>
        </w:tc>
        <w:tc>
          <w:tcPr>
            <w:tcW w:w="3260" w:type="dxa"/>
            <w:vAlign w:val="bottom"/>
          </w:tcPr>
          <w:p>
            <w:pPr>
              <w:ind w:left="120"/>
              <w:spacing w:after="0"/>
              <w:rPr>
                <w:sz w:val="20"/>
                <w:szCs w:val="20"/>
                <w:color w:val="auto"/>
              </w:rPr>
            </w:pPr>
            <w:r>
              <w:rPr>
                <w:rFonts w:ascii="Arial" w:cs="Arial" w:eastAsia="Arial" w:hAnsi="Arial"/>
                <w:sz w:val="3"/>
                <w:szCs w:val="3"/>
                <w:color w:val="FFFFFF"/>
              </w:rPr>
              <w:t>overhead expense incurred by Wynn Resorts, Limited</w:t>
            </w:r>
          </w:p>
        </w:tc>
        <w:tc>
          <w:tcPr>
            <w:tcW w:w="0" w:type="dxa"/>
            <w:vAlign w:val="bottom"/>
          </w:tcPr>
          <w:p>
            <w:pPr>
              <w:spacing w:after="0"/>
              <w:rPr>
                <w:sz w:val="1"/>
                <w:szCs w:val="1"/>
                <w:color w:val="auto"/>
              </w:rPr>
            </w:pPr>
          </w:p>
        </w:tc>
      </w:tr>
      <w:tr>
        <w:trPr>
          <w:trHeight w:val="41"/>
        </w:trPr>
        <w:tc>
          <w:tcPr>
            <w:tcW w:w="11400" w:type="dxa"/>
            <w:vAlign w:val="bottom"/>
            <w:gridSpan w:val="6"/>
          </w:tcPr>
          <w:p>
            <w:pPr>
              <w:ind w:left="400"/>
              <w:spacing w:after="0"/>
              <w:rPr>
                <w:sz w:val="20"/>
                <w:szCs w:val="20"/>
                <w:color w:val="auto"/>
              </w:rPr>
            </w:pPr>
            <w:r>
              <w:rPr>
                <w:rFonts w:ascii="Arial" w:cs="Arial" w:eastAsia="Arial" w:hAnsi="Arial"/>
                <w:sz w:val="3"/>
                <w:szCs w:val="3"/>
                <w:color w:val="FFFFFF"/>
              </w:rPr>
              <w:t>any fi nancial year. For services provided by employees of the Company and WRM, Wynn Resorts, Limited shall pay for the services based onand cost (including salaries and benefi ts for such employees</w:t>
            </w:r>
          </w:p>
        </w:tc>
        <w:tc>
          <w:tcPr>
            <w:tcW w:w="0" w:type="dxa"/>
            <w:vAlign w:val="bottom"/>
          </w:tcPr>
          <w:p>
            <w:pPr>
              <w:spacing w:after="0"/>
              <w:rPr>
                <w:sz w:val="1"/>
                <w:szCs w:val="1"/>
                <w:color w:val="auto"/>
              </w:rPr>
            </w:pP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during the</w:t>
            </w:r>
          </w:p>
        </w:tc>
        <w:tc>
          <w:tcPr>
            <w:tcW w:w="6320" w:type="dxa"/>
            <w:vAlign w:val="bottom"/>
            <w:gridSpan w:val="3"/>
          </w:tcPr>
          <w:p>
            <w:pPr>
              <w:ind w:left="140"/>
              <w:spacing w:after="0"/>
              <w:rPr>
                <w:sz w:val="20"/>
                <w:szCs w:val="20"/>
                <w:color w:val="auto"/>
              </w:rPr>
            </w:pPr>
            <w:r>
              <w:rPr>
                <w:rFonts w:ascii="Arial" w:cs="Arial" w:eastAsia="Arial" w:hAnsi="Arial"/>
                <w:sz w:val="3"/>
                <w:szCs w:val="3"/>
                <w:color w:val="FFFFFF"/>
              </w:rPr>
              <w:t>riod when such services are being rendered) and expense reimbursement basis.</w:t>
            </w:r>
          </w:p>
        </w:tc>
        <w:tc>
          <w:tcPr>
            <w:tcW w:w="12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10820" w:type="dxa"/>
            <w:vAlign w:val="bottom"/>
            <w:gridSpan w:val="5"/>
          </w:tcPr>
          <w:p>
            <w:pPr>
              <w:ind w:left="280"/>
              <w:spacing w:after="0"/>
              <w:rPr>
                <w:sz w:val="20"/>
                <w:szCs w:val="20"/>
                <w:color w:val="auto"/>
              </w:rPr>
            </w:pPr>
            <w:r>
              <w:rPr>
                <w:rFonts w:ascii="Arial" w:cs="Arial" w:eastAsia="Arial" w:hAnsi="Arial"/>
                <w:sz w:val="3"/>
                <w:szCs w:val="3"/>
                <w:color w:val="FFFFFF"/>
              </w:rPr>
              <w:t>HK$165.4 million was charged to WRM by Wynn Resorts, Limited during the year ended 31 December 2011 for Wynn Resorts, Limited’s services. Approximately HK$16.2 million was charged</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ApproximatelytheGroupby Wynn Resorts, Limited during the y ar ended 31 December 2011 for the use of aircraft assets. For the same periods, Wynn Resorts, Limited or Wynn Resorts, Limited’s subsidiaries (other than</w:t>
            </w:r>
          </w:p>
        </w:tc>
        <w:tc>
          <w:tcPr>
            <w:tcW w:w="0" w:type="dxa"/>
            <w:vAlign w:val="bottom"/>
          </w:tcPr>
          <w:p>
            <w:pPr>
              <w:spacing w:after="0"/>
              <w:rPr>
                <w:sz w:val="1"/>
                <w:szCs w:val="1"/>
                <w:color w:val="auto"/>
              </w:rPr>
            </w:pPr>
          </w:p>
        </w:tc>
      </w:tr>
      <w:tr>
        <w:trPr>
          <w:trHeight w:val="41"/>
        </w:trPr>
        <w:tc>
          <w:tcPr>
            <w:tcW w:w="6900" w:type="dxa"/>
            <w:vAlign w:val="bottom"/>
            <w:gridSpan w:val="4"/>
          </w:tcPr>
          <w:p>
            <w:pPr>
              <w:spacing w:after="0"/>
              <w:rPr>
                <w:sz w:val="20"/>
                <w:szCs w:val="20"/>
                <w:color w:val="auto"/>
              </w:rPr>
            </w:pPr>
            <w:r>
              <w:rPr>
                <w:rFonts w:ascii="Arial" w:cs="Arial" w:eastAsia="Arial" w:hAnsi="Arial"/>
                <w:sz w:val="3"/>
                <w:szCs w:val="3"/>
                <w:color w:val="FFFFFF"/>
              </w:rPr>
              <w:t>the Group) did not require WRM’ services under the reciprocal arrangement.</w:t>
            </w:r>
          </w:p>
        </w:tc>
        <w:tc>
          <w:tcPr>
            <w:tcW w:w="4500" w:type="dxa"/>
            <w:vAlign w:val="bottom"/>
            <w:gridSpan w:val="2"/>
            <w:vMerge w:val="restart"/>
          </w:tcPr>
          <w:p>
            <w:pPr>
              <w:ind w:left="200"/>
              <w:spacing w:after="0" w:line="81" w:lineRule="exact"/>
              <w:rPr>
                <w:sz w:val="20"/>
                <w:szCs w:val="20"/>
                <w:color w:val="auto"/>
              </w:rPr>
            </w:pPr>
            <w:r>
              <w:rPr>
                <w:rFonts w:ascii="Arial" w:cs="Arial" w:eastAsia="Arial" w:hAnsi="Arial"/>
                <w:sz w:val="9"/>
                <w:szCs w:val="9"/>
                <w:color w:val="FFFFFF"/>
              </w:rPr>
              <w:t>31 December 2017. A waiver from the announcement requirements, as required</w:t>
            </w:r>
          </w:p>
        </w:tc>
        <w:tc>
          <w:tcPr>
            <w:tcW w:w="0" w:type="dxa"/>
            <w:vAlign w:val="bottom"/>
          </w:tcPr>
          <w:p>
            <w:pPr>
              <w:spacing w:after="0"/>
              <w:rPr>
                <w:sz w:val="1"/>
                <w:szCs w:val="1"/>
                <w:color w:val="auto"/>
              </w:rPr>
            </w:pPr>
          </w:p>
        </w:tc>
      </w:tr>
      <w:tr>
        <w:trPr>
          <w:trHeight w:val="41"/>
        </w:trPr>
        <w:tc>
          <w:tcPr>
            <w:tcW w:w="6900" w:type="dxa"/>
            <w:vAlign w:val="bottom"/>
            <w:gridSpan w:val="4"/>
          </w:tcPr>
          <w:p>
            <w:pPr>
              <w:spacing w:after="0"/>
              <w:rPr>
                <w:sz w:val="20"/>
                <w:szCs w:val="20"/>
                <w:color w:val="auto"/>
              </w:rPr>
            </w:pPr>
            <w:r>
              <w:rPr>
                <w:rFonts w:ascii="Arial" w:cs="Arial" w:eastAsia="Arial" w:hAnsi="Arial"/>
                <w:sz w:val="3"/>
                <w:szCs w:val="3"/>
                <w:color w:val="FFFFFF"/>
              </w:rPr>
              <w:t>Term. The corporate allocation agreements entered into by each of the Company and WRM with Wynn Resorts, Limited expire</w:t>
            </w:r>
          </w:p>
        </w:tc>
        <w:tc>
          <w:tcPr>
            <w:tcW w:w="45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900" w:type="dxa"/>
            <w:vAlign w:val="bottom"/>
            <w:gridSpan w:val="4"/>
          </w:tcPr>
          <w:p>
            <w:pPr>
              <w:spacing w:after="0"/>
              <w:rPr>
                <w:sz w:val="20"/>
                <w:szCs w:val="20"/>
                <w:color w:val="auto"/>
              </w:rPr>
            </w:pPr>
            <w:r>
              <w:rPr>
                <w:rFonts w:ascii="Arial" w:cs="Arial" w:eastAsia="Arial" w:hAnsi="Arial"/>
                <w:sz w:val="3"/>
                <w:szCs w:val="3"/>
                <w:color w:val="FFFFFF"/>
              </w:rPr>
              <w:t>under the Listing Rules, for the initial term of the agreements, which will exp re on 31 December 2017 has been granted by the</w:t>
            </w:r>
          </w:p>
        </w:tc>
        <w:tc>
          <w:tcPr>
            <w:tcW w:w="4500" w:type="dxa"/>
            <w:vAlign w:val="bottom"/>
            <w:gridSpan w:val="2"/>
          </w:tcPr>
          <w:p>
            <w:pPr>
              <w:spacing w:after="0"/>
              <w:rPr>
                <w:sz w:val="20"/>
                <w:szCs w:val="20"/>
                <w:color w:val="auto"/>
              </w:rPr>
            </w:pPr>
            <w:r>
              <w:rPr>
                <w:rFonts w:ascii="Arial" w:cs="Arial" w:eastAsia="Arial" w:hAnsi="Arial"/>
                <w:sz w:val="3"/>
                <w:szCs w:val="3"/>
                <w:color w:val="FFFFFF"/>
              </w:rPr>
              <w:t>Hong Kong Stock Exchange. Subject to compliance with Listing Rules</w:t>
            </w: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10820" w:type="dxa"/>
            <w:vAlign w:val="bottom"/>
            <w:gridSpan w:val="5"/>
          </w:tcPr>
          <w:p>
            <w:pPr>
              <w:ind w:left="160"/>
              <w:spacing w:after="0"/>
              <w:rPr>
                <w:sz w:val="20"/>
                <w:szCs w:val="20"/>
                <w:color w:val="auto"/>
              </w:rPr>
            </w:pPr>
            <w:r>
              <w:rPr>
                <w:rFonts w:ascii="Arial" w:cs="Arial" w:eastAsia="Arial" w:hAnsi="Arial"/>
                <w:sz w:val="3"/>
                <w:szCs w:val="3"/>
                <w:color w:val="FFFFFF"/>
              </w:rPr>
              <w:t>or, alternatively, any waivers obtained from strict compliance with such requirements, upon expiration of the initial term or subsequent renewal term, each agreement is automatically renewed for a</w:t>
            </w:r>
          </w:p>
        </w:tc>
        <w:tc>
          <w:tcPr>
            <w:tcW w:w="0" w:type="dxa"/>
            <w:vAlign w:val="bottom"/>
          </w:tcPr>
          <w:p>
            <w:pPr>
              <w:spacing w:after="0"/>
              <w:rPr>
                <w:sz w:val="1"/>
                <w:szCs w:val="1"/>
                <w:color w:val="auto"/>
              </w:rPr>
            </w:pPr>
          </w:p>
        </w:tc>
      </w:tr>
      <w:tr>
        <w:trPr>
          <w:trHeight w:val="41"/>
        </w:trPr>
        <w:tc>
          <w:tcPr>
            <w:tcW w:w="1520" w:type="dxa"/>
            <w:vAlign w:val="bottom"/>
            <w:gridSpan w:val="2"/>
          </w:tcPr>
          <w:p>
            <w:pPr>
              <w:spacing w:after="0"/>
              <w:rPr>
                <w:sz w:val="20"/>
                <w:szCs w:val="20"/>
                <w:color w:val="auto"/>
              </w:rPr>
            </w:pPr>
            <w:r>
              <w:rPr>
                <w:rFonts w:ascii="Arial" w:cs="Arial" w:eastAsia="Arial" w:hAnsi="Arial"/>
                <w:sz w:val="3"/>
                <w:szCs w:val="3"/>
                <w:color w:val="FFFFFF"/>
              </w:rPr>
              <w:t>requirementsthr-yearterm (or such</w:t>
            </w:r>
          </w:p>
        </w:tc>
        <w:tc>
          <w:tcPr>
            <w:tcW w:w="2540" w:type="dxa"/>
            <w:vAlign w:val="bottom"/>
          </w:tcPr>
          <w:p>
            <w:pPr>
              <w:ind w:left="140"/>
              <w:spacing w:after="0"/>
              <w:rPr>
                <w:sz w:val="20"/>
                <w:szCs w:val="20"/>
                <w:color w:val="auto"/>
              </w:rPr>
            </w:pPr>
            <w:r>
              <w:rPr>
                <w:rFonts w:ascii="Arial" w:cs="Arial" w:eastAsia="Arial" w:hAnsi="Arial"/>
                <w:sz w:val="3"/>
                <w:szCs w:val="3"/>
                <w:color w:val="FFFFFF"/>
              </w:rPr>
              <w:t>period permitted under the Listing Rules).</w:t>
            </w:r>
          </w:p>
        </w:tc>
        <w:tc>
          <w:tcPr>
            <w:tcW w:w="28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60" w:type="dxa"/>
            <w:vAlign w:val="bottom"/>
            <w:gridSpan w:val="3"/>
          </w:tcPr>
          <w:p>
            <w:pPr>
              <w:spacing w:after="0"/>
              <w:rPr>
                <w:sz w:val="20"/>
                <w:szCs w:val="20"/>
                <w:color w:val="auto"/>
              </w:rPr>
            </w:pPr>
            <w:r>
              <w:rPr>
                <w:rFonts w:ascii="Arial" w:cs="Arial" w:eastAsia="Arial" w:hAnsi="Arial"/>
                <w:sz w:val="3"/>
                <w:szCs w:val="3"/>
                <w:color w:val="FFFFFF"/>
              </w:rPr>
              <w:t>Intellectual Property LiceotherAgreements</w:t>
            </w:r>
          </w:p>
        </w:tc>
        <w:tc>
          <w:tcPr>
            <w:tcW w:w="28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Nature and purpose of transaction. On 19 September 2009, the Company and WRM entered into an intellectual property license agreement and an amended and restated intellectual property license agreement,</w:t>
            </w:r>
          </w:p>
        </w:tc>
        <w:tc>
          <w:tcPr>
            <w:tcW w:w="0" w:type="dxa"/>
            <w:vAlign w:val="bottom"/>
          </w:tcPr>
          <w:p>
            <w:pPr>
              <w:spacing w:after="0"/>
              <w:rPr>
                <w:sz w:val="1"/>
                <w:szCs w:val="1"/>
                <w:color w:val="auto"/>
              </w:rPr>
            </w:pPr>
          </w:p>
        </w:tc>
      </w:tr>
      <w:tr>
        <w:trPr>
          <w:trHeight w:val="0"/>
        </w:trPr>
        <w:tc>
          <w:tcPr>
            <w:tcW w:w="4060" w:type="dxa"/>
            <w:vAlign w:val="bottom"/>
            <w:gridSpan w:val="3"/>
          </w:tcPr>
          <w:p>
            <w:pPr>
              <w:spacing w:after="0" w:line="80" w:lineRule="exact"/>
              <w:rPr>
                <w:sz w:val="20"/>
                <w:szCs w:val="20"/>
                <w:color w:val="auto"/>
              </w:rPr>
            </w:pPr>
            <w:r>
              <w:rPr>
                <w:rFonts w:ascii="Arial" w:cs="Arial" w:eastAsia="Arial" w:hAnsi="Arial"/>
                <w:sz w:val="9"/>
                <w:szCs w:val="9"/>
                <w:color w:val="FFFFFF"/>
              </w:rPr>
              <w:t>respectively, with Wynn Resorts, Limited and Wynn Resorts Holdings,</w:t>
            </w:r>
          </w:p>
        </w:tc>
        <w:tc>
          <w:tcPr>
            <w:tcW w:w="7340" w:type="dxa"/>
            <w:vAlign w:val="bottom"/>
            <w:gridSpan w:val="3"/>
          </w:tcPr>
          <w:p>
            <w:pPr>
              <w:ind w:left="140"/>
              <w:spacing w:after="0" w:line="80" w:lineRule="exact"/>
              <w:rPr>
                <w:sz w:val="20"/>
                <w:szCs w:val="20"/>
                <w:color w:val="auto"/>
              </w:rPr>
            </w:pPr>
            <w:r>
              <w:rPr>
                <w:rFonts w:ascii="Arial" w:cs="Arial" w:eastAsia="Arial" w:hAnsi="Arial"/>
                <w:sz w:val="9"/>
                <w:szCs w:val="9"/>
                <w:color w:val="FFFFFF"/>
              </w:rPr>
              <w:t>a subsidiary of Wynn Resorts, Limited. Under the respective agreements, Wynn Resorts, Limited and Wynn Resorts Holdings, LLC</w:t>
            </w:r>
          </w:p>
        </w:tc>
        <w:tc>
          <w:tcPr>
            <w:tcW w:w="0" w:type="dxa"/>
            <w:vAlign w:val="bottom"/>
          </w:tcPr>
          <w:p>
            <w:pPr>
              <w:spacing w:after="0" w:line="20" w:lineRule="exact"/>
              <w:rPr>
                <w:sz w:val="1"/>
                <w:szCs w:val="1"/>
                <w:color w:val="auto"/>
              </w:rPr>
            </w:pPr>
          </w:p>
        </w:tc>
      </w:tr>
    </w:tbl>
    <w:p>
      <w:pPr>
        <w:jc w:val="both"/>
        <w:spacing w:after="0" w:line="187" w:lineRule="auto"/>
        <w:rPr>
          <w:sz w:val="20"/>
          <w:szCs w:val="20"/>
          <w:color w:val="auto"/>
        </w:rPr>
      </w:pPr>
      <w:r>
        <w:rPr>
          <w:rFonts w:ascii="Arial" w:cs="Arial" w:eastAsia="Arial" w:hAnsi="Arial"/>
          <w:sz w:val="9"/>
          <w:szCs w:val="9"/>
          <w:color w:val="FFFFFF"/>
        </w:rPr>
        <w:t>grant the Company and WRM the license to use certain intellectual propertyLLC, including certain trademarks, domain names, “WYNN” related trademarks, copyrights and service marks in connection with a variety of goods and services. These marks include “WYNN MACAU” and “ENCORE” as well as trademarks of the Chinese characters representing “WYNN.”</w:t>
      </w:r>
    </w:p>
    <w:p>
      <w:pPr>
        <w:sectPr>
          <w:pgSz w:w="11900" w:h="16838" w:orient="portrait"/>
          <w:cols w:equalWidth="0" w:num="1">
            <w:col w:w="11420"/>
          </w:cols>
          <w:pgMar w:left="240" w:top="1440" w:right="2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FFFFFF"/>
                <w:w w:val="88"/>
              </w:rPr>
              <w:t>Annual Report 2011 43</w:t>
            </w:r>
          </w:p>
        </w:tc>
        <w:tc>
          <w:tcPr>
            <w:tcW w:w="9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9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0" w:type="dxa"/>
            <w:vAlign w:val="bottom"/>
            <w:gridSpan w:val="2"/>
          </w:tcPr>
          <w:p>
            <w:pPr>
              <w:spacing w:after="0"/>
              <w:rPr>
                <w:sz w:val="20"/>
                <w:szCs w:val="20"/>
                <w:color w:val="auto"/>
              </w:rPr>
            </w:pPr>
            <w:r>
              <w:rPr>
                <w:rFonts w:ascii="Arial" w:cs="Arial" w:eastAsia="Arial" w:hAnsi="Arial"/>
                <w:sz w:val="3"/>
                <w:szCs w:val="3"/>
                <w:color w:val="FFFFFF"/>
              </w:rPr>
              <w:t>CONNECTED TRANSACTIONS (continued)</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0" w:type="dxa"/>
            <w:vAlign w:val="bottom"/>
            <w:gridSpan w:val="2"/>
          </w:tcPr>
          <w:p>
            <w:pPr>
              <w:spacing w:after="0"/>
              <w:rPr>
                <w:sz w:val="20"/>
                <w:szCs w:val="20"/>
                <w:color w:val="auto"/>
              </w:rPr>
            </w:pPr>
            <w:r>
              <w:rPr>
                <w:rFonts w:ascii="Arial" w:cs="Arial" w:eastAsia="Arial" w:hAnsi="Arial"/>
                <w:sz w:val="3"/>
                <w:szCs w:val="3"/>
                <w:color w:val="FFFFFF"/>
              </w:rPr>
              <w:t>Intellectual Property License Agreements (continued)</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Pricing. Under the intellectual property license agreements, the license fee payable to Wynn Resorts Holdings, LLC equals the greater of (1) 3% of the intellectual property gross monthly revenues, and</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(2) US$1.5 million (approximately HK$11.6 million) per month. License fees payable to Wynn Resorts Holdings, LLC were calculated based on 3% of intellectual property gross monthly revenues given such</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revenues justifi ed payments in excess of US$1.5 million (approximately HK$11.6 million) per month. Gross revenues for the year ended 31 December 2011 were HK$39.6 billion and approximately</w:t>
            </w:r>
          </w:p>
        </w:tc>
        <w:tc>
          <w:tcPr>
            <w:tcW w:w="0" w:type="dxa"/>
            <w:vAlign w:val="bottom"/>
          </w:tcPr>
          <w:p>
            <w:pPr>
              <w:spacing w:after="0"/>
              <w:rPr>
                <w:sz w:val="1"/>
                <w:szCs w:val="1"/>
                <w:color w:val="auto"/>
              </w:rPr>
            </w:pPr>
          </w:p>
        </w:tc>
      </w:tr>
      <w:tr>
        <w:trPr>
          <w:trHeight w:val="41"/>
        </w:trPr>
        <w:tc>
          <w:tcPr>
            <w:tcW w:w="10400" w:type="dxa"/>
            <w:vAlign w:val="bottom"/>
            <w:gridSpan w:val="2"/>
          </w:tcPr>
          <w:p>
            <w:pPr>
              <w:spacing w:after="0"/>
              <w:rPr>
                <w:sz w:val="20"/>
                <w:szCs w:val="20"/>
                <w:color w:val="auto"/>
              </w:rPr>
            </w:pPr>
            <w:r>
              <w:rPr>
                <w:rFonts w:ascii="Arial" w:cs="Arial" w:eastAsia="Arial" w:hAnsi="Arial"/>
                <w:sz w:val="3"/>
                <w:szCs w:val="3"/>
                <w:color w:val="FFFFFF"/>
              </w:rPr>
              <w:t>HK$1,186.9 million was charged by Wynn Resorts, Limited   WRM under this arrangement during the year ended 31 December 2011.</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Term. The intellectual property license agreements entered into by each of the Company and WRM with Wynn Resorts, Limited and Wynn Resorts Holdings, LLC have a perpetual term but may be terminated in</w:t>
            </w:r>
          </w:p>
        </w:tc>
        <w:tc>
          <w:tcPr>
            <w:tcW w:w="0" w:type="dxa"/>
            <w:vAlign w:val="bottom"/>
          </w:tcPr>
          <w:p>
            <w:pPr>
              <w:spacing w:after="0"/>
              <w:rPr>
                <w:sz w:val="1"/>
                <w:szCs w:val="1"/>
                <w:color w:val="auto"/>
              </w:rPr>
            </w:pPr>
          </w:p>
        </w:tc>
      </w:tr>
      <w:tr>
        <w:trPr>
          <w:trHeight w:val="41"/>
        </w:trPr>
        <w:tc>
          <w:tcPr>
            <w:tcW w:w="10400" w:type="dxa"/>
            <w:vAlign w:val="bottom"/>
            <w:gridSpan w:val="2"/>
          </w:tcPr>
          <w:p>
            <w:pPr>
              <w:spacing w:after="0"/>
              <w:rPr>
                <w:sz w:val="20"/>
                <w:szCs w:val="20"/>
                <w:color w:val="auto"/>
              </w:rPr>
            </w:pPr>
            <w:r>
              <w:rPr>
                <w:rFonts w:ascii="Arial" w:cs="Arial" w:eastAsia="Arial" w:hAnsi="Arial"/>
                <w:sz w:val="3"/>
                <w:szCs w:val="3"/>
                <w:color w:val="FFFFFF"/>
              </w:rPr>
              <w:t>the following circumstances:</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0" w:type="dxa"/>
            <w:vAlign w:val="bottom"/>
            <w:gridSpan w:val="2"/>
          </w:tcPr>
          <w:p>
            <w:pPr>
              <w:ind w:left="60"/>
              <w:spacing w:after="0"/>
              <w:rPr>
                <w:sz w:val="20"/>
                <w:szCs w:val="20"/>
                <w:color w:val="auto"/>
              </w:rPr>
            </w:pPr>
            <w:r>
              <w:rPr>
                <w:rFonts w:ascii="Arial" w:cs="Arial" w:eastAsia="Arial" w:hAnsi="Arial"/>
                <w:sz w:val="3"/>
                <w:szCs w:val="3"/>
                <w:color w:val="FFFFFF"/>
              </w:rPr>
              <w:t>1) Wynn Resorts, Limited ceases to hold or have the right to exercise more than 50% of the voting rights to the Shares in the Company or</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(2) there is a material breach of, or non-compliance with the terms of, the relevant intellectual property license agreement by the Company,WRM; or any relevant members of the Group that are authorized to use</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the licensed</w:t>
            </w:r>
          </w:p>
        </w:tc>
        <w:tc>
          <w:tcPr>
            <w:tcW w:w="9100" w:type="dxa"/>
            <w:vAlign w:val="bottom"/>
          </w:tcPr>
          <w:p>
            <w:pPr>
              <w:ind w:left="20"/>
              <w:spacing w:after="0"/>
              <w:rPr>
                <w:sz w:val="20"/>
                <w:szCs w:val="20"/>
                <w:color w:val="auto"/>
              </w:rPr>
            </w:pPr>
            <w:r>
              <w:rPr>
                <w:rFonts w:ascii="Arial" w:cs="Arial" w:eastAsia="Arial" w:hAnsi="Arial"/>
                <w:sz w:val="3"/>
                <w:szCs w:val="3"/>
                <w:color w:val="FFFFFF"/>
              </w:rPr>
              <w:t>property rights (“Relevant Subsidiaries”); or</w:t>
            </w:r>
          </w:p>
        </w:tc>
        <w:tc>
          <w:tcPr>
            <w:tcW w:w="1000" w:type="dxa"/>
            <w:vAlign w:val="bottom"/>
            <w:vMerge w:val="restart"/>
          </w:tcPr>
          <w:p>
            <w:pPr>
              <w:ind w:left="280"/>
              <w:spacing w:after="0"/>
              <w:rPr>
                <w:sz w:val="20"/>
                <w:szCs w:val="20"/>
                <w:color w:val="auto"/>
              </w:rPr>
            </w:pPr>
            <w:r>
              <w:rPr>
                <w:rFonts w:ascii="Arial" w:cs="Arial" w:eastAsia="Arial" w:hAnsi="Arial"/>
                <w:sz w:val="3"/>
                <w:szCs w:val="3"/>
                <w:color w:val="FFFFFF"/>
              </w:rPr>
              <w:t>, WRM or</w:t>
            </w:r>
          </w:p>
        </w:tc>
        <w:tc>
          <w:tcPr>
            <w:tcW w:w="0" w:type="dxa"/>
            <w:vAlign w:val="bottom"/>
          </w:tcPr>
          <w:p>
            <w:pPr>
              <w:spacing w:after="0"/>
              <w:rPr>
                <w:sz w:val="1"/>
                <w:szCs w:val="1"/>
                <w:color w:val="auto"/>
              </w:rPr>
            </w:pPr>
          </w:p>
        </w:tc>
      </w:tr>
      <w:tr>
        <w:trPr>
          <w:trHeight w:val="0"/>
        </w:trPr>
        <w:tc>
          <w:tcPr>
            <w:tcW w:w="10400" w:type="dxa"/>
            <w:vAlign w:val="bottom"/>
            <w:gridSpan w:val="2"/>
          </w:tcPr>
          <w:p>
            <w:pPr>
              <w:spacing w:after="0" w:line="80" w:lineRule="exact"/>
              <w:rPr>
                <w:sz w:val="20"/>
                <w:szCs w:val="20"/>
                <w:color w:val="auto"/>
              </w:rPr>
            </w:pPr>
            <w:r>
              <w:rPr>
                <w:rFonts w:ascii="Arial" w:cs="Arial" w:eastAsia="Arial" w:hAnsi="Arial"/>
                <w:sz w:val="9"/>
                <w:szCs w:val="9"/>
                <w:color w:val="FFFFFF"/>
              </w:rPr>
              <w:t>(3) (I)(i) thereintellectualissuspension or revocation of privileged gaming licenses issued by governmental authorities, or (ii) Wynn Resorts Holdings, LLC,   good faith, deems that the acts of the</w:t>
            </w: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80"/>
        <w:spacing w:after="0" w:line="217" w:lineRule="auto"/>
        <w:rPr>
          <w:sz w:val="20"/>
          <w:szCs w:val="20"/>
          <w:color w:val="auto"/>
        </w:rPr>
      </w:pPr>
      <w:r>
        <w:rPr>
          <w:rFonts w:ascii="Arial" w:cs="Arial" w:eastAsia="Arial" w:hAnsi="Arial"/>
          <w:sz w:val="2"/>
          <w:szCs w:val="2"/>
          <w:color w:val="FFFFFF"/>
        </w:rPr>
        <w:t>any Relevant Subsidiary jeopardizes any such privileged gaming licenses or gaming business activities of Wynn Resorts, Limited, Wynn Resorts Holdings, LLC or its affi liates (in each case,Company“Relevant Event”); and (II) the Relevant Event continues for 30 consecutive days after written notice of the occurrence of the Relevant Event has been provided to the Company</w:t>
      </w:r>
      <w:r>
        <w:rPr>
          <w:rFonts w:ascii="Arial" w:cs="Arial" w:eastAsia="Arial" w:hAnsi="Arial"/>
          <w:sz w:val="4"/>
          <w:szCs w:val="4"/>
          <w:color w:val="FFFFFF"/>
          <w:vertAlign w:val="subscript"/>
        </w:rPr>
        <w:t>Holdings,</w:t>
      </w:r>
      <w:r>
        <w:rPr>
          <w:rFonts w:ascii="Arial" w:cs="Arial" w:eastAsia="Arial" w:hAnsi="Arial"/>
          <w:sz w:val="2"/>
          <w:szCs w:val="2"/>
          <w:color w:val="FFFFFF"/>
        </w:rPr>
        <w:t>WRM or the Relevant Subsidiaries, as the</w:t>
      </w:r>
    </w:p>
    <w:p>
      <w:pPr>
        <w:ind w:left="600" w:right="520" w:hanging="595"/>
        <w:spacing w:after="0" w:line="187" w:lineRule="auto"/>
        <w:rPr>
          <w:sz w:val="20"/>
          <w:szCs w:val="20"/>
          <w:color w:val="auto"/>
        </w:rPr>
      </w:pPr>
      <w:r>
        <w:rPr>
          <w:rFonts w:ascii="Arial" w:cs="Arial" w:eastAsia="Arial" w:hAnsi="Arial"/>
          <w:sz w:val="27"/>
          <w:szCs w:val="27"/>
          <w:color w:val="FFFFFF"/>
          <w:vertAlign w:val="subscript"/>
        </w:rPr>
        <w:t>agreement</w:t>
      </w:r>
      <w:r>
        <w:rPr>
          <w:rFonts w:ascii="Arial" w:cs="Arial" w:eastAsia="Arial" w:hAnsi="Arial"/>
          <w:sz w:val="14"/>
          <w:szCs w:val="14"/>
          <w:color w:val="FFFFFF"/>
        </w:rPr>
        <w:t>casemaybe. Prior written consent of the Company, WRM or the Relevant Subsidiaries, as the case may be, is required if Wynn Resorts, Limited or Wynn Resorts</w:t>
      </w:r>
      <w:r>
        <w:rPr>
          <w:sz w:val="20"/>
          <w:szCs w:val="20"/>
          <w:color w:val="auto"/>
        </w:rPr>
        <w:t xml:space="preserve"> </w:t>
      </w:r>
      <w:r>
        <w:rPr>
          <w:rFonts w:ascii="Arial" w:cs="Arial" w:eastAsia="Arial" w:hAnsi="Arial"/>
          <w:sz w:val="9"/>
          <w:szCs w:val="9"/>
          <w:color w:val="FFFFFF"/>
        </w:rPr>
        <w:t>LLC seeks to terminate any that grants Wynn Resorts Holdings, LLC the intellectual property rights.</w:t>
      </w:r>
    </w:p>
    <w:p>
      <w:pPr>
        <w:ind w:right="200"/>
        <w:spacing w:after="0" w:line="190" w:lineRule="auto"/>
        <w:rPr>
          <w:sz w:val="20"/>
          <w:szCs w:val="20"/>
          <w:color w:val="auto"/>
        </w:rPr>
      </w:pPr>
      <w:r>
        <w:rPr>
          <w:rFonts w:ascii="Arial" w:cs="Arial" w:eastAsia="Arial" w:hAnsi="Arial"/>
          <w:sz w:val="11"/>
          <w:szCs w:val="11"/>
          <w:color w:val="FFFFFF"/>
        </w:rPr>
        <w:t>A waiver from the announcement and independent shareholders’ approval requirements, as required under the Listing Rules, for the initial term of the agreements, which will expire on 26 June 2022 has been granted by the Hong Kong Stock Exchange.</w:t>
      </w:r>
    </w:p>
    <w:p>
      <w:pPr>
        <w:sectPr>
          <w:pgSz w:w="11900" w:h="16838" w:orient="portrait"/>
          <w:cols w:equalWidth="0" w:num="1">
            <w:col w:w="11400"/>
          </w:cols>
          <w:pgMar w:left="240" w:top="1440" w:right="25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44 Wynn Macau, Limited</w:t>
      </w:r>
    </w:p>
    <w:p>
      <w:pPr>
        <w:spacing w:after="0" w:line="187" w:lineRule="auto"/>
        <w:rPr>
          <w:sz w:val="20"/>
          <w:szCs w:val="20"/>
          <w:color w:val="auto"/>
        </w:rPr>
      </w:pPr>
      <w:r>
        <w:rPr>
          <w:rFonts w:ascii="Arial" w:cs="Arial" w:eastAsia="Arial" w:hAnsi="Arial"/>
          <w:sz w:val="9"/>
          <w:szCs w:val="9"/>
          <w:color w:val="FFFFFF"/>
        </w:rPr>
        <w:t>Report of the Directors</w:t>
      </w:r>
    </w:p>
    <w:p>
      <w:pPr>
        <w:spacing w:after="0"/>
        <w:rPr>
          <w:sz w:val="20"/>
          <w:szCs w:val="20"/>
          <w:color w:val="auto"/>
        </w:rPr>
      </w:pPr>
      <w:r>
        <w:rPr>
          <w:rFonts w:ascii="Arial" w:cs="Arial" w:eastAsia="Arial" w:hAnsi="Arial"/>
          <w:sz w:val="3"/>
          <w:szCs w:val="3"/>
          <w:color w:val="FFFFFF"/>
        </w:rPr>
        <w:t>SummaryCONNECTED TRANSACTIONS (continued)</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The aggregate amount paid by the Group during the year ended 31 December 2011, the annual caps for the year ended 31 December 2011, and the annual caps for the years ending 31 December 2012, 2013 and 2014, and where applicable, each year ends up to 2017, in respect of the discloseable continuing connected transactions are set out in detail below.</w:t>
      </w:r>
    </w:p>
    <w:p>
      <w:pPr>
        <w:jc w:val="right"/>
        <w:ind w:right="10280"/>
        <w:spacing w:after="0" w:line="189" w:lineRule="auto"/>
        <w:rPr>
          <w:sz w:val="20"/>
          <w:szCs w:val="20"/>
          <w:color w:val="auto"/>
        </w:rPr>
      </w:pPr>
      <w:r>
        <w:rPr>
          <w:rFonts w:ascii="Arial" w:cs="Arial" w:eastAsia="Arial" w:hAnsi="Arial"/>
          <w:sz w:val="9"/>
          <w:szCs w:val="9"/>
          <w:color w:val="FFFFFF"/>
          <w:vertAlign w:val="subscript"/>
        </w:rPr>
        <w:t>Aggregate</w:t>
      </w:r>
      <w:r>
        <w:rPr>
          <w:rFonts w:ascii="Arial" w:cs="Arial" w:eastAsia="Arial" w:hAnsi="Arial"/>
          <w:sz w:val="7"/>
          <w:szCs w:val="7"/>
          <w:color w:val="FFFFFF"/>
        </w:rPr>
        <w:t>nnualCapamountTables</w:t>
      </w:r>
    </w:p>
    <w:p>
      <w:pPr>
        <w:spacing w:after="0"/>
        <w:rPr>
          <w:sz w:val="20"/>
          <w:szCs w:val="20"/>
          <w:color w:val="auto"/>
        </w:rPr>
      </w:pPr>
      <w:r>
        <w:rPr>
          <w:rFonts w:ascii="Arial" w:cs="Arial" w:eastAsia="Arial" w:hAnsi="Arial"/>
          <w:sz w:val="3"/>
          <w:szCs w:val="3"/>
          <w:color w:val="FFFFFF"/>
        </w:rPr>
        <w:t>paid to counter</w:t>
      </w:r>
    </w:p>
    <w:p>
      <w:pPr>
        <w:spacing w:after="0" w:line="194" w:lineRule="auto"/>
        <w:rPr>
          <w:sz w:val="20"/>
          <w:szCs w:val="20"/>
          <w:color w:val="auto"/>
        </w:rPr>
      </w:pPr>
      <w:r>
        <w:rPr>
          <w:rFonts w:ascii="Arial" w:cs="Arial" w:eastAsia="Arial" w:hAnsi="Arial"/>
          <w:sz w:val="5"/>
          <w:szCs w:val="5"/>
          <w:color w:val="FFFFFF"/>
        </w:rPr>
        <w:t>Discloseable continuing party for the</w:t>
      </w:r>
    </w:p>
    <w:p>
      <w:pPr>
        <w:spacing w:after="0"/>
        <w:rPr>
          <w:sz w:val="20"/>
          <w:szCs w:val="20"/>
          <w:color w:val="auto"/>
        </w:rPr>
      </w:pPr>
      <w:r>
        <w:rPr>
          <w:rFonts w:ascii="Arial" w:cs="Arial" w:eastAsia="Arial" w:hAnsi="Arial"/>
          <w:sz w:val="3"/>
          <w:szCs w:val="3"/>
          <w:color w:val="FFFFFF"/>
        </w:rPr>
        <w:t>connected transactions year ended Annual Cap for the year ended 31 December(1)</w:t>
      </w:r>
    </w:p>
    <w:p>
      <w:pPr>
        <w:spacing w:after="0" w:line="181" w:lineRule="auto"/>
        <w:rPr>
          <w:sz w:val="20"/>
          <w:szCs w:val="20"/>
          <w:color w:val="auto"/>
        </w:rPr>
      </w:pPr>
      <w:r>
        <w:rPr>
          <w:rFonts w:ascii="Arial" w:cs="Arial" w:eastAsia="Arial" w:hAnsi="Arial"/>
          <w:sz w:val="10"/>
          <w:szCs w:val="10"/>
          <w:color w:val="FFFFFF"/>
        </w:rPr>
        <w:t>31 December 2011 2011 2012 2013 2014</w:t>
      </w:r>
    </w:p>
    <w:p>
      <w:pPr>
        <w:spacing w:after="0" w:line="188" w:lineRule="auto"/>
        <w:rPr>
          <w:sz w:val="20"/>
          <w:szCs w:val="20"/>
          <w:color w:val="auto"/>
        </w:rPr>
      </w:pPr>
      <w:r>
        <w:rPr>
          <w:rFonts w:ascii="Arial" w:cs="Arial" w:eastAsia="Arial" w:hAnsi="Arial"/>
          <w:sz w:val="9"/>
          <w:szCs w:val="9"/>
          <w:color w:val="FFFFFF"/>
        </w:rPr>
        <w:t>(inHKmillions)$US$HK$ US$ HK$ US$ HK$ US$ HK$ US$</w:t>
      </w:r>
    </w:p>
    <w:p>
      <w:pPr>
        <w:spacing w:after="0"/>
        <w:rPr>
          <w:sz w:val="20"/>
          <w:szCs w:val="20"/>
          <w:color w:val="auto"/>
        </w:rPr>
      </w:pPr>
      <w:r>
        <w:rPr>
          <w:rFonts w:ascii="Arial" w:cs="Arial" w:eastAsia="Arial" w:hAnsi="Arial"/>
          <w:sz w:val="3"/>
          <w:szCs w:val="3"/>
          <w:color w:val="FFFFFF"/>
        </w:rPr>
        <w:t>Employment1.WorldwideFrameworkWynn</w:t>
      </w:r>
    </w:p>
    <w:p>
      <w:pPr>
        <w:spacing w:after="0" w:line="181" w:lineRule="auto"/>
        <w:rPr>
          <w:sz w:val="20"/>
          <w:szCs w:val="20"/>
          <w:color w:val="auto"/>
        </w:rPr>
      </w:pPr>
      <w:r>
        <w:rPr>
          <w:rFonts w:ascii="Arial" w:cs="Arial" w:eastAsia="Arial" w:hAnsi="Arial"/>
          <w:sz w:val="10"/>
          <w:szCs w:val="10"/>
          <w:color w:val="FFFFFF"/>
        </w:rPr>
        <w:t>Agreements 41.4 5.3 72.9 9.4 139.5 17.9 153.2 19.7 177.2 22.8</w:t>
      </w:r>
    </w:p>
    <w:p>
      <w:pPr>
        <w:spacing w:after="0" w:line="188" w:lineRule="auto"/>
        <w:rPr>
          <w:sz w:val="20"/>
          <w:szCs w:val="20"/>
          <w:color w:val="auto"/>
        </w:rPr>
      </w:pPr>
      <w:r>
        <w:rPr>
          <w:rFonts w:ascii="Arial" w:cs="Arial" w:eastAsia="Arial" w:hAnsi="Arial"/>
          <w:sz w:val="9"/>
          <w:szCs w:val="9"/>
          <w:color w:val="FFFFFF"/>
          <w:vertAlign w:val="subscript"/>
        </w:rPr>
        <w:t>Secondment</w:t>
      </w:r>
      <w:r>
        <w:rPr>
          <w:rFonts w:ascii="Arial" w:cs="Arial" w:eastAsia="Arial" w:hAnsi="Arial"/>
          <w:sz w:val="7"/>
          <w:szCs w:val="7"/>
          <w:color w:val="FFFFFF"/>
        </w:rPr>
        <w:t>2.Marketig Servicesand</w:t>
      </w:r>
    </w:p>
    <w:p>
      <w:pPr>
        <w:spacing w:after="0" w:line="188" w:lineRule="auto"/>
        <w:rPr>
          <w:sz w:val="20"/>
          <w:szCs w:val="20"/>
          <w:color w:val="auto"/>
        </w:rPr>
      </w:pPr>
      <w:r>
        <w:rPr>
          <w:rFonts w:ascii="Arial" w:cs="Arial" w:eastAsia="Arial" w:hAnsi="Arial"/>
          <w:sz w:val="9"/>
          <w:szCs w:val="9"/>
          <w:color w:val="FFFFFF"/>
        </w:rPr>
        <w:t>3.FrameworkDesignServicesAgreements 106.2 13.6 107.4 13.9 58.3 7.5 64.1 8.2 70.5 9.1</w:t>
      </w:r>
    </w:p>
    <w:p>
      <w:pPr>
        <w:spacing w:after="0"/>
        <w:rPr>
          <w:sz w:val="20"/>
          <w:szCs w:val="20"/>
          <w:color w:val="auto"/>
        </w:rPr>
      </w:pPr>
      <w:r>
        <w:rPr>
          <w:rFonts w:ascii="Arial" w:cs="Arial" w:eastAsia="Arial" w:hAnsi="Arial"/>
          <w:sz w:val="3"/>
          <w:szCs w:val="3"/>
          <w:color w:val="FFFFFF"/>
        </w:rPr>
        <w:t>Note:Framework Agreement 31.6 4.1 37.8 4.9 78.7 10.1 84.4 10.8 78.8 10.1</w:t>
      </w:r>
    </w:p>
    <w:p>
      <w:pPr>
        <w:spacing w:after="0" w:line="5"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FFFFFF"/>
        </w:rPr>
        <w:t>(1)</w:t>
      </w:r>
      <w:r>
        <w:rPr>
          <w:sz w:val="20"/>
          <w:szCs w:val="20"/>
          <w:color w:val="auto"/>
        </w:rPr>
        <w:tab/>
      </w:r>
      <w:r>
        <w:rPr>
          <w:rFonts w:ascii="Arial" w:cs="Arial" w:eastAsia="Arial" w:hAnsi="Arial"/>
          <w:sz w:val="14"/>
          <w:szCs w:val="14"/>
          <w:color w:val="FFFFFF"/>
        </w:rPr>
        <w:t>The applicable annual cap will be the higher of the US$ limit and HK$ limit.</w:t>
      </w:r>
    </w:p>
    <w:p>
      <w:pPr>
        <w:sectPr>
          <w:pgSz w:w="11900" w:h="16838" w:orient="portrait"/>
          <w:cols w:equalWidth="0" w:num="1">
            <w:col w:w="11320"/>
          </w:cols>
          <w:pgMar w:left="240" w:top="1440" w:right="3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4"/>
          </w:tcPr>
          <w:p>
            <w:pPr>
              <w:spacing w:after="0"/>
              <w:rPr>
                <w:sz w:val="20"/>
                <w:szCs w:val="20"/>
                <w:color w:val="auto"/>
              </w:rPr>
            </w:pPr>
            <w:r>
              <w:rPr>
                <w:rFonts w:ascii="Arial" w:cs="Arial" w:eastAsia="Arial" w:hAnsi="Arial"/>
                <w:sz w:val="14"/>
                <w:szCs w:val="14"/>
                <w:color w:val="FFFFFF"/>
                <w:w w:val="97"/>
              </w:rPr>
              <w:t>Annual Report 2011 45</w:t>
            </w:r>
          </w:p>
        </w:tc>
        <w:tc>
          <w:tcPr>
            <w:tcW w:w="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20" w:type="dxa"/>
            <w:vAlign w:val="bottom"/>
            <w:gridSpan w:val="4"/>
          </w:tcPr>
          <w:p>
            <w:pPr>
              <w:spacing w:after="0"/>
              <w:rPr>
                <w:sz w:val="20"/>
                <w:szCs w:val="20"/>
                <w:color w:val="auto"/>
              </w:rPr>
            </w:pPr>
            <w:r>
              <w:rPr>
                <w:rFonts w:ascii="Arial" w:cs="Arial" w:eastAsia="Arial" w:hAnsi="Arial"/>
                <w:sz w:val="3"/>
                <w:szCs w:val="3"/>
                <w:color w:val="FFFFFF"/>
              </w:rPr>
              <w:t>Report of the Directors</w:t>
            </w: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80" w:type="dxa"/>
            <w:vAlign w:val="bottom"/>
            <w:gridSpan w:val="6"/>
          </w:tcPr>
          <w:p>
            <w:pPr>
              <w:spacing w:after="0"/>
              <w:rPr>
                <w:sz w:val="20"/>
                <w:szCs w:val="20"/>
                <w:color w:val="auto"/>
              </w:rPr>
            </w:pPr>
            <w:r>
              <w:rPr>
                <w:rFonts w:ascii="Arial" w:cs="Arial" w:eastAsia="Arial" w:hAnsi="Arial"/>
                <w:sz w:val="3"/>
                <w:szCs w:val="3"/>
                <w:color w:val="FFFFFF"/>
              </w:rPr>
              <w:t>CONNECTED TRANSACTIONS (continued)</w:t>
            </w: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gridSpan w:val="4"/>
          </w:tcPr>
          <w:p>
            <w:pPr>
              <w:spacing w:after="0"/>
              <w:rPr>
                <w:sz w:val="20"/>
                <w:szCs w:val="20"/>
                <w:color w:val="auto"/>
              </w:rPr>
            </w:pPr>
            <w:r>
              <w:rPr>
                <w:rFonts w:ascii="Arial" w:cs="Arial" w:eastAsia="Arial" w:hAnsi="Arial"/>
                <w:sz w:val="3"/>
                <w:szCs w:val="3"/>
                <w:color w:val="FFFFFF"/>
              </w:rPr>
              <w:t>Summary (continued)</w:t>
            </w: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5"/>
          </w:tcPr>
          <w:p>
            <w:pPr>
              <w:ind w:left="100"/>
              <w:spacing w:after="0"/>
              <w:rPr>
                <w:sz w:val="20"/>
                <w:szCs w:val="20"/>
                <w:color w:val="auto"/>
              </w:rPr>
            </w:pPr>
            <w:r>
              <w:rPr>
                <w:rFonts w:ascii="Arial" w:cs="Arial" w:eastAsia="Arial" w:hAnsi="Arial"/>
                <w:sz w:val="3"/>
                <w:szCs w:val="3"/>
                <w:color w:val="FFFFFF"/>
              </w:rPr>
              <w:t>nnual Cap Tables (continued)</w:t>
            </w: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Aggregate</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amount paid</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to counter</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20"/>
                <w:szCs w:val="20"/>
                <w:color w:val="auto"/>
              </w:rPr>
            </w:pPr>
            <w:r>
              <w:rPr>
                <w:rFonts w:ascii="Arial" w:cs="Arial" w:eastAsia="Arial" w:hAnsi="Arial"/>
                <w:sz w:val="3"/>
                <w:szCs w:val="3"/>
                <w:color w:val="FFFFFF"/>
              </w:rPr>
              <w:t>for</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80" w:type="dxa"/>
            <w:vAlign w:val="bottom"/>
            <w:gridSpan w:val="6"/>
          </w:tcPr>
          <w:p>
            <w:pPr>
              <w:spacing w:after="0"/>
              <w:rPr>
                <w:sz w:val="20"/>
                <w:szCs w:val="20"/>
                <w:color w:val="auto"/>
              </w:rPr>
            </w:pPr>
            <w:r>
              <w:rPr>
                <w:rFonts w:ascii="Arial" w:cs="Arial" w:eastAsia="Arial" w:hAnsi="Arial"/>
                <w:sz w:val="3"/>
                <w:szCs w:val="3"/>
                <w:color w:val="FFFFFF"/>
              </w:rPr>
              <w:t>partythe ar ended Annual Cap for the year ended 31 December(1)</w:t>
            </w: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31</w:t>
            </w:r>
          </w:p>
        </w:tc>
        <w:tc>
          <w:tcPr>
            <w:tcW w:w="900" w:type="dxa"/>
            <w:vAlign w:val="bottom"/>
            <w:gridSpan w:val="2"/>
          </w:tcPr>
          <w:p>
            <w:pPr>
              <w:spacing w:after="0"/>
              <w:rPr>
                <w:sz w:val="20"/>
                <w:szCs w:val="20"/>
                <w:color w:val="auto"/>
              </w:rPr>
            </w:pPr>
            <w:r>
              <w:rPr>
                <w:rFonts w:ascii="Arial" w:cs="Arial" w:eastAsia="Arial" w:hAnsi="Arial"/>
                <w:sz w:val="3"/>
                <w:szCs w:val="3"/>
                <w:color w:val="FFFFFF"/>
              </w:rPr>
              <w:t>December</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80" w:type="dxa"/>
            <w:vAlign w:val="bottom"/>
            <w:gridSpan w:val="6"/>
          </w:tcPr>
          <w:p>
            <w:pPr>
              <w:spacing w:after="0"/>
              <w:rPr>
                <w:sz w:val="20"/>
                <w:szCs w:val="20"/>
                <w:color w:val="auto"/>
              </w:rPr>
            </w:pPr>
            <w:r>
              <w:rPr>
                <w:rFonts w:ascii="Arial" w:cs="Arial" w:eastAsia="Arial" w:hAnsi="Arial"/>
                <w:sz w:val="3"/>
                <w:szCs w:val="3"/>
                <w:color w:val="FFFFFF"/>
              </w:rPr>
              <w:t>Discloseable continuing 2011 2011 2012 2013 2014 2015 2016 2017</w:t>
            </w: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20" w:type="dxa"/>
            <w:vAlign w:val="bottom"/>
            <w:gridSpan w:val="7"/>
          </w:tcPr>
          <w:p>
            <w:pPr>
              <w:spacing w:after="0"/>
              <w:rPr>
                <w:sz w:val="20"/>
                <w:szCs w:val="20"/>
                <w:color w:val="auto"/>
              </w:rPr>
            </w:pPr>
            <w:r>
              <w:rPr>
                <w:rFonts w:ascii="Arial" w:cs="Arial" w:eastAsia="Arial" w:hAnsi="Arial"/>
                <w:sz w:val="3"/>
                <w:szCs w:val="3"/>
                <w:color w:val="FFFFFF"/>
              </w:rPr>
              <w:t>connected transactions HK$ US$ HK$ US$ HK$ US$ HK$ US$ HK$ US$ HK$ US$ HK$ US$ HK$ US$</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(in millions)</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gridSpan w:val="4"/>
          </w:tcPr>
          <w:p>
            <w:pPr>
              <w:spacing w:after="0"/>
              <w:rPr>
                <w:sz w:val="20"/>
                <w:szCs w:val="20"/>
                <w:color w:val="auto"/>
              </w:rPr>
            </w:pPr>
            <w:r>
              <w:rPr>
                <w:rFonts w:ascii="Arial" w:cs="Arial" w:eastAsia="Arial" w:hAnsi="Arial"/>
                <w:sz w:val="3"/>
                <w:szCs w:val="3"/>
                <w:color w:val="FFFFFF"/>
              </w:rPr>
              <w:t>4. Corporate Allocation</w:t>
            </w: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Agreements</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 Wynn Resorts,</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Limited</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providing the</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20" w:type="dxa"/>
            <w:vAlign w:val="bottom"/>
            <w:gridSpan w:val="7"/>
          </w:tcPr>
          <w:p>
            <w:pPr>
              <w:spacing w:after="0"/>
              <w:rPr>
                <w:sz w:val="20"/>
                <w:szCs w:val="20"/>
                <w:color w:val="auto"/>
              </w:rPr>
            </w:pPr>
            <w:r>
              <w:rPr>
                <w:rFonts w:ascii="Arial" w:cs="Arial" w:eastAsia="Arial" w:hAnsi="Arial"/>
                <w:sz w:val="3"/>
                <w:szCs w:val="3"/>
                <w:color w:val="FFFFFF"/>
              </w:rPr>
              <w:t>services to us 181.6 23.3 183.7 23.7 197.5 25.5 212.3 27.4 228.3 29.5 245.4 31.7 263.8 34.0 276.8 35.7</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 Our Group</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providing the</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services to</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Wynn Resorts,</w:t>
            </w: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20" w:type="dxa"/>
            <w:vAlign w:val="bottom"/>
            <w:gridSpan w:val="7"/>
          </w:tcPr>
          <w:p>
            <w:pPr>
              <w:spacing w:after="0"/>
              <w:rPr>
                <w:sz w:val="20"/>
                <w:szCs w:val="20"/>
                <w:color w:val="auto"/>
              </w:rPr>
            </w:pPr>
            <w:r>
              <w:rPr>
                <w:rFonts w:ascii="Arial" w:cs="Arial" w:eastAsia="Arial" w:hAnsi="Arial"/>
                <w:sz w:val="3"/>
                <w:szCs w:val="3"/>
                <w:color w:val="FFFFFF"/>
              </w:rPr>
              <w:t>Limited — — 18.6 2.4 18.6 2.4 18.6 2.4 18.6 2.4 18.6 2.4 18.6 2.4 18.6 2.4</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gridSpan w:val="4"/>
          </w:tcPr>
          <w:p>
            <w:pPr>
              <w:spacing w:after="0"/>
              <w:rPr>
                <w:sz w:val="20"/>
                <w:szCs w:val="20"/>
                <w:color w:val="auto"/>
              </w:rPr>
            </w:pPr>
            <w:r>
              <w:rPr>
                <w:rFonts w:ascii="Arial" w:cs="Arial" w:eastAsia="Arial" w:hAnsi="Arial"/>
                <w:sz w:val="3"/>
                <w:szCs w:val="3"/>
                <w:color w:val="FFFFFF"/>
              </w:rPr>
              <w:t>5. Intellectual Property</w:t>
            </w:r>
          </w:p>
        </w:tc>
        <w:tc>
          <w:tcPr>
            <w:tcW w:w="4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20" w:type="dxa"/>
            <w:vAlign w:val="bottom"/>
            <w:gridSpan w:val="7"/>
          </w:tcPr>
          <w:p>
            <w:pPr>
              <w:spacing w:after="0"/>
              <w:rPr>
                <w:sz w:val="20"/>
                <w:szCs w:val="20"/>
                <w:color w:val="auto"/>
              </w:rPr>
            </w:pPr>
            <w:r>
              <w:rPr>
                <w:rFonts w:ascii="Arial" w:cs="Arial" w:eastAsia="Arial" w:hAnsi="Arial"/>
                <w:sz w:val="3"/>
                <w:szCs w:val="3"/>
                <w:color w:val="FFFFFF"/>
              </w:rPr>
              <w:t>License Agreements 1,186.9 152.5 The higher of (1) 3% of the intellectual property gross monthly revenues; and (2) US$1.5 million per month.</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gridSpan w:val="2"/>
          </w:tcPr>
          <w:p>
            <w:pPr>
              <w:spacing w:after="0"/>
              <w:rPr>
                <w:sz w:val="20"/>
                <w:szCs w:val="20"/>
                <w:color w:val="auto"/>
              </w:rPr>
            </w:pPr>
            <w:r>
              <w:rPr>
                <w:rFonts w:ascii="Arial" w:cs="Arial" w:eastAsia="Arial" w:hAnsi="Arial"/>
                <w:sz w:val="3"/>
                <w:szCs w:val="3"/>
                <w:color w:val="FFFFFF"/>
              </w:rPr>
              <w:t>Note:</w:t>
            </w:r>
          </w:p>
        </w:tc>
        <w:tc>
          <w:tcPr>
            <w:tcW w:w="9100" w:type="dxa"/>
            <w:vAlign w:val="bottom"/>
            <w:gridSpan w:val="5"/>
            <w:vMerge w:val="restart"/>
          </w:tcPr>
          <w:p>
            <w:pPr>
              <w:ind w:left="140"/>
              <w:spacing w:after="0" w:line="81" w:lineRule="exact"/>
              <w:rPr>
                <w:sz w:val="20"/>
                <w:szCs w:val="20"/>
                <w:color w:val="auto"/>
              </w:rPr>
            </w:pPr>
            <w:r>
              <w:rPr>
                <w:rFonts w:ascii="Arial" w:cs="Arial" w:eastAsia="Arial" w:hAnsi="Arial"/>
                <w:sz w:val="9"/>
                <w:szCs w:val="9"/>
                <w:color w:val="FFFFFF"/>
              </w:rPr>
              <w:t>The applicable annual cap will be the higher of the US$ limit and HK$ limit.</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(1)</w:t>
            </w:r>
          </w:p>
        </w:tc>
        <w:tc>
          <w:tcPr>
            <w:tcW w:w="140" w:type="dxa"/>
            <w:vAlign w:val="bottom"/>
          </w:tcPr>
          <w:p>
            <w:pPr>
              <w:spacing w:after="0"/>
              <w:rPr>
                <w:sz w:val="3"/>
                <w:szCs w:val="3"/>
                <w:color w:val="auto"/>
              </w:rPr>
            </w:pPr>
          </w:p>
        </w:tc>
        <w:tc>
          <w:tcPr>
            <w:tcW w:w="9100" w:type="dxa"/>
            <w:vAlign w:val="bottom"/>
            <w:gridSpan w:val="5"/>
            <w:vMerge w:val="continue"/>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420" w:type="dxa"/>
            <w:vAlign w:val="bottom"/>
            <w:gridSpan w:val="4"/>
          </w:tcPr>
          <w:p>
            <w:pPr>
              <w:spacing w:after="0" w:line="54" w:lineRule="exact"/>
              <w:rPr>
                <w:sz w:val="20"/>
                <w:szCs w:val="20"/>
                <w:color w:val="auto"/>
              </w:rPr>
            </w:pPr>
            <w:r>
              <w:rPr>
                <w:rFonts w:ascii="Arial" w:cs="Arial" w:eastAsia="Arial" w:hAnsi="Arial"/>
                <w:sz w:val="6"/>
                <w:szCs w:val="6"/>
                <w:color w:val="FFFFFF"/>
              </w:rPr>
              <w:t>Under Chapter 14A of the</w:t>
            </w:r>
          </w:p>
        </w:tc>
        <w:tc>
          <w:tcPr>
            <w:tcW w:w="440" w:type="dxa"/>
            <w:vAlign w:val="bottom"/>
          </w:tcPr>
          <w:p>
            <w:pPr>
              <w:spacing w:after="0"/>
              <w:rPr>
                <w:sz w:val="4"/>
                <w:szCs w:val="4"/>
                <w:color w:val="auto"/>
              </w:rPr>
            </w:pPr>
          </w:p>
        </w:tc>
        <w:tc>
          <w:tcPr>
            <w:tcW w:w="2020" w:type="dxa"/>
            <w:vAlign w:val="bottom"/>
          </w:tcPr>
          <w:p>
            <w:pPr>
              <w:spacing w:after="0" w:line="54" w:lineRule="exact"/>
              <w:rPr>
                <w:sz w:val="20"/>
                <w:szCs w:val="20"/>
                <w:color w:val="auto"/>
              </w:rPr>
            </w:pPr>
            <w:r>
              <w:rPr>
                <w:rFonts w:ascii="Arial" w:cs="Arial" w:eastAsia="Arial" w:hAnsi="Arial"/>
                <w:sz w:val="6"/>
                <w:szCs w:val="6"/>
                <w:color w:val="FFFFFF"/>
              </w:rPr>
              <w:t>Rules, the above transactions</w:t>
            </w:r>
          </w:p>
        </w:tc>
        <w:tc>
          <w:tcPr>
            <w:tcW w:w="7520" w:type="dxa"/>
            <w:vAlign w:val="bottom"/>
            <w:gridSpan w:val="2"/>
          </w:tcPr>
          <w:p>
            <w:pPr>
              <w:ind w:left="160"/>
              <w:spacing w:after="0" w:line="54" w:lineRule="exact"/>
              <w:rPr>
                <w:sz w:val="20"/>
                <w:szCs w:val="20"/>
                <w:color w:val="auto"/>
              </w:rPr>
            </w:pPr>
            <w:r>
              <w:rPr>
                <w:rFonts w:ascii="Arial" w:cs="Arial" w:eastAsia="Arial" w:hAnsi="Arial"/>
                <w:sz w:val="6"/>
                <w:szCs w:val="6"/>
                <w:color w:val="FFFFFF"/>
              </w:rPr>
              <w:t>non-exempt continuing connected transactions of the Group and require disclosure in the annual report of the Company.</w:t>
            </w:r>
          </w:p>
        </w:tc>
        <w:tc>
          <w:tcPr>
            <w:tcW w:w="0" w:type="dxa"/>
            <w:vAlign w:val="bottom"/>
          </w:tcPr>
          <w:p>
            <w:pPr>
              <w:spacing w:after="0"/>
              <w:rPr>
                <w:sz w:val="1"/>
                <w:szCs w:val="1"/>
                <w:color w:val="auto"/>
              </w:rPr>
            </w:pPr>
          </w:p>
        </w:tc>
      </w:tr>
      <w:tr>
        <w:trPr>
          <w:trHeight w:val="41"/>
        </w:trPr>
        <w:tc>
          <w:tcPr>
            <w:tcW w:w="1080" w:type="dxa"/>
            <w:vAlign w:val="bottom"/>
            <w:gridSpan w:val="3"/>
          </w:tcPr>
          <w:p>
            <w:pPr>
              <w:ind w:left="100"/>
              <w:spacing w:after="0"/>
              <w:rPr>
                <w:sz w:val="20"/>
                <w:szCs w:val="20"/>
                <w:color w:val="auto"/>
              </w:rPr>
            </w:pPr>
            <w:r>
              <w:rPr>
                <w:rFonts w:ascii="Arial" w:cs="Arial" w:eastAsia="Arial" w:hAnsi="Arial"/>
                <w:sz w:val="3"/>
                <w:szCs w:val="3"/>
                <w:color w:val="FFFFFF"/>
              </w:rPr>
              <w:t>rnst &amp; Young,</w:t>
            </w:r>
          </w:p>
        </w:tc>
        <w:tc>
          <w:tcPr>
            <w:tcW w:w="780" w:type="dxa"/>
            <w:vAlign w:val="bottom"/>
            <w:gridSpan w:val="2"/>
          </w:tcPr>
          <w:p>
            <w:pPr>
              <w:spacing w:after="0"/>
              <w:rPr>
                <w:sz w:val="20"/>
                <w:szCs w:val="20"/>
                <w:color w:val="auto"/>
              </w:rPr>
            </w:pPr>
            <w:r>
              <w:rPr>
                <w:rFonts w:ascii="Arial" w:cs="Arial" w:eastAsia="Arial" w:hAnsi="Arial"/>
                <w:sz w:val="3"/>
                <w:szCs w:val="3"/>
                <w:color w:val="FFFFFF"/>
              </w:rPr>
              <w:t>Company’Listing</w:t>
            </w:r>
          </w:p>
        </w:tc>
        <w:tc>
          <w:tcPr>
            <w:tcW w:w="9540" w:type="dxa"/>
            <w:vAlign w:val="bottom"/>
            <w:gridSpan w:val="3"/>
          </w:tcPr>
          <w:p>
            <w:pPr>
              <w:ind w:left="380"/>
              <w:spacing w:after="0"/>
              <w:rPr>
                <w:sz w:val="20"/>
                <w:szCs w:val="20"/>
                <w:color w:val="auto"/>
              </w:rPr>
            </w:pPr>
            <w:r>
              <w:rPr>
                <w:rFonts w:ascii="Arial" w:cs="Arial" w:eastAsia="Arial" w:hAnsi="Arial"/>
                <w:sz w:val="3"/>
                <w:szCs w:val="3"/>
                <w:color w:val="FFFFFF"/>
              </w:rPr>
              <w:t>were engaged   reportconstitutetheGroup’s continuing connected transactions in accordance with Hong Kong Standard on Assurance Engagements 3000 Assurance</w:t>
            </w: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Engagements Other</w:t>
            </w:r>
          </w:p>
        </w:tc>
        <w:tc>
          <w:tcPr>
            <w:tcW w:w="340" w:type="dxa"/>
            <w:vAlign w:val="bottom"/>
          </w:tcPr>
          <w:p>
            <w:pPr>
              <w:spacing w:after="0"/>
              <w:rPr>
                <w:sz w:val="3"/>
                <w:szCs w:val="3"/>
                <w:color w:val="auto"/>
              </w:rPr>
            </w:pPr>
          </w:p>
        </w:tc>
        <w:tc>
          <w:tcPr>
            <w:tcW w:w="8000" w:type="dxa"/>
            <w:vAlign w:val="bottom"/>
            <w:gridSpan w:val="3"/>
          </w:tcPr>
          <w:p>
            <w:pPr>
              <w:spacing w:after="0"/>
              <w:rPr>
                <w:sz w:val="20"/>
                <w:szCs w:val="20"/>
                <w:color w:val="auto"/>
              </w:rPr>
            </w:pPr>
            <w:r>
              <w:rPr>
                <w:rFonts w:ascii="Arial" w:cs="Arial" w:eastAsia="Arial" w:hAnsi="Arial"/>
                <w:sz w:val="3"/>
                <w:szCs w:val="3"/>
                <w:color w:val="FFFFFF"/>
              </w:rPr>
              <w:t>Auditsauditors,Reviews of Historical Financial Information and with reference to Practice Note 740 Auditor’ Letter on</w:t>
            </w:r>
          </w:p>
        </w:tc>
        <w:tc>
          <w:tcPr>
            <w:tcW w:w="1980" w:type="dxa"/>
            <w:vAlign w:val="bottom"/>
            <w:vMerge w:val="restart"/>
          </w:tcPr>
          <w:p>
            <w:pPr>
              <w:jc w:val="center"/>
              <w:spacing w:after="0" w:line="81" w:lineRule="exact"/>
              <w:rPr>
                <w:sz w:val="20"/>
                <w:szCs w:val="20"/>
                <w:color w:val="auto"/>
              </w:rPr>
            </w:pPr>
            <w:r>
              <w:rPr>
                <w:rFonts w:ascii="Arial" w:cs="Arial" w:eastAsia="Arial" w:hAnsi="Arial"/>
                <w:sz w:val="9"/>
                <w:szCs w:val="9"/>
                <w:color w:val="FFFFFF"/>
              </w:rPr>
              <w:t>unqualifi ed letter containing their fi</w:t>
            </w:r>
          </w:p>
        </w:tc>
        <w:tc>
          <w:tcPr>
            <w:tcW w:w="0" w:type="dxa"/>
            <w:vAlign w:val="bottom"/>
          </w:tcPr>
          <w:p>
            <w:pPr>
              <w:spacing w:after="0"/>
              <w:rPr>
                <w:sz w:val="1"/>
                <w:szCs w:val="1"/>
                <w:color w:val="auto"/>
              </w:rPr>
            </w:pPr>
          </w:p>
        </w:tc>
      </w:tr>
      <w:tr>
        <w:trPr>
          <w:trHeight w:val="41"/>
        </w:trPr>
        <w:tc>
          <w:tcPr>
            <w:tcW w:w="9420" w:type="dxa"/>
            <w:vAlign w:val="bottom"/>
            <w:gridSpan w:val="7"/>
          </w:tcPr>
          <w:p>
            <w:pPr>
              <w:spacing w:after="0"/>
              <w:rPr>
                <w:sz w:val="20"/>
                <w:szCs w:val="20"/>
                <w:color w:val="auto"/>
              </w:rPr>
            </w:pPr>
            <w:r>
              <w:rPr>
                <w:rFonts w:ascii="Arial" w:cs="Arial" w:eastAsia="Arial" w:hAnsi="Arial"/>
                <w:sz w:val="3"/>
                <w:szCs w:val="3"/>
                <w:color w:val="FFFFFF"/>
              </w:rPr>
              <w:t>Continuing ConnectedThanransactions under the Hong Kong Listing Rules issued by the Hong Kong Institute of Certifi ed Public Accountants. Ernst &amp; Young have issued</w:t>
            </w:r>
          </w:p>
        </w:tc>
        <w:tc>
          <w:tcPr>
            <w:tcW w:w="1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20" w:type="dxa"/>
            <w:vAlign w:val="bottom"/>
            <w:gridSpan w:val="7"/>
          </w:tcPr>
          <w:p>
            <w:pPr>
              <w:spacing w:after="0"/>
              <w:rPr>
                <w:sz w:val="20"/>
                <w:szCs w:val="20"/>
                <w:color w:val="auto"/>
              </w:rPr>
            </w:pPr>
            <w:r>
              <w:rPr>
                <w:rFonts w:ascii="Arial" w:cs="Arial" w:eastAsia="Arial" w:hAnsi="Arial"/>
                <w:sz w:val="3"/>
                <w:szCs w:val="3"/>
                <w:color w:val="FFFFFF"/>
              </w:rPr>
              <w:t>ndings and conclusions in respect of the continuing connected transactions disclosed above by the Group in accordance with Rule 14A.38 of the Listing Rules. A copy oftheir</w:t>
            </w:r>
          </w:p>
        </w:tc>
        <w:tc>
          <w:tcPr>
            <w:tcW w:w="1980" w:type="dxa"/>
            <w:vAlign w:val="bottom"/>
          </w:tcPr>
          <w:p>
            <w:pPr>
              <w:jc w:val="center"/>
              <w:spacing w:after="0"/>
              <w:rPr>
                <w:sz w:val="20"/>
                <w:szCs w:val="20"/>
                <w:color w:val="auto"/>
              </w:rPr>
            </w:pPr>
            <w:r>
              <w:rPr>
                <w:rFonts w:ascii="Arial" w:cs="Arial" w:eastAsia="Arial" w:hAnsi="Arial"/>
                <w:sz w:val="3"/>
                <w:szCs w:val="3"/>
                <w:color w:val="FFFFFF"/>
              </w:rPr>
              <w:t>uditors’ letter has been provided by</w:t>
            </w:r>
          </w:p>
        </w:tc>
        <w:tc>
          <w:tcPr>
            <w:tcW w:w="0" w:type="dxa"/>
            <w:vAlign w:val="bottom"/>
          </w:tcPr>
          <w:p>
            <w:pPr>
              <w:spacing w:after="0"/>
              <w:rPr>
                <w:sz w:val="1"/>
                <w:szCs w:val="1"/>
                <w:color w:val="auto"/>
              </w:rPr>
            </w:pPr>
          </w:p>
        </w:tc>
      </w:tr>
      <w:tr>
        <w:trPr>
          <w:trHeight w:val="41"/>
        </w:trPr>
        <w:tc>
          <w:tcPr>
            <w:tcW w:w="180" w:type="dxa"/>
            <w:vAlign w:val="bottom"/>
            <w:vMerge w:val="restart"/>
          </w:tcPr>
          <w:p>
            <w:pPr>
              <w:spacing w:after="0"/>
              <w:rPr>
                <w:sz w:val="20"/>
                <w:szCs w:val="20"/>
                <w:color w:val="auto"/>
              </w:rPr>
            </w:pPr>
            <w:r>
              <w:rPr>
                <w:rFonts w:ascii="Arial" w:cs="Arial" w:eastAsia="Arial" w:hAnsi="Arial"/>
                <w:sz w:val="14"/>
                <w:szCs w:val="14"/>
                <w:color w:val="FFFFFF"/>
                <w:w w:val="81"/>
              </w:rPr>
              <w:t>the</w:t>
            </w:r>
          </w:p>
        </w:tc>
        <w:tc>
          <w:tcPr>
            <w:tcW w:w="11220" w:type="dxa"/>
            <w:vAlign w:val="bottom"/>
            <w:gridSpan w:val="7"/>
          </w:tcPr>
          <w:p>
            <w:pPr>
              <w:ind w:left="20"/>
              <w:spacing w:after="0"/>
              <w:rPr>
                <w:sz w:val="20"/>
                <w:szCs w:val="20"/>
                <w:color w:val="auto"/>
              </w:rPr>
            </w:pPr>
            <w:r>
              <w:rPr>
                <w:rFonts w:ascii="Arial" w:cs="Arial" w:eastAsia="Arial" w:hAnsi="Arial"/>
                <w:sz w:val="3"/>
                <w:szCs w:val="3"/>
                <w:color w:val="FFFFFF"/>
              </w:rPr>
              <w:t>Company to the Hong Kong Stock Exchange. In addition, all of the non-exempted continuing connected transactions of the Company disclosed herein constitute related party transactions set out in note 27 to</w:t>
            </w:r>
          </w:p>
        </w:tc>
        <w:tc>
          <w:tcPr>
            <w:tcW w:w="0" w:type="dxa"/>
            <w:vAlign w:val="bottom"/>
          </w:tcPr>
          <w:p>
            <w:pPr>
              <w:spacing w:after="0"/>
              <w:rPr>
                <w:sz w:val="1"/>
                <w:szCs w:val="1"/>
                <w:color w:val="auto"/>
              </w:rPr>
            </w:pPr>
          </w:p>
        </w:tc>
      </w:tr>
      <w:tr>
        <w:trPr>
          <w:trHeight w:val="172"/>
        </w:trPr>
        <w:tc>
          <w:tcPr>
            <w:tcW w:w="180" w:type="dxa"/>
            <w:vAlign w:val="bottom"/>
            <w:vMerge w:val="continue"/>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FFFFFF"/>
                <w:w w:val="89"/>
              </w:rPr>
              <w:t>Financial Statements.</w:t>
            </w:r>
          </w:p>
        </w:tc>
        <w:tc>
          <w:tcPr>
            <w:tcW w:w="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46 Wynn Macau, Limited</w:t>
      </w:r>
    </w:p>
    <w:p>
      <w:pPr>
        <w:spacing w:after="0" w:line="187" w:lineRule="auto"/>
        <w:rPr>
          <w:sz w:val="20"/>
          <w:szCs w:val="20"/>
          <w:color w:val="auto"/>
        </w:rPr>
      </w:pPr>
      <w:r>
        <w:rPr>
          <w:rFonts w:ascii="Arial" w:cs="Arial" w:eastAsia="Arial" w:hAnsi="Arial"/>
          <w:sz w:val="9"/>
          <w:szCs w:val="9"/>
          <w:color w:val="FFFFFF"/>
        </w:rPr>
        <w:t>Report of the Directors</w:t>
      </w:r>
    </w:p>
    <w:p>
      <w:pPr>
        <w:spacing w:after="0"/>
        <w:rPr>
          <w:sz w:val="20"/>
          <w:szCs w:val="20"/>
          <w:color w:val="auto"/>
        </w:rPr>
      </w:pPr>
      <w:r>
        <w:rPr>
          <w:rFonts w:ascii="Arial" w:cs="Arial" w:eastAsia="Arial" w:hAnsi="Arial"/>
          <w:sz w:val="3"/>
          <w:szCs w:val="3"/>
          <w:color w:val="FFFFFF"/>
        </w:rPr>
        <w:t>SummaryCONNECTED(continued)TRANSACTIONS (continued)</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7"/>
          <w:szCs w:val="7"/>
          <w:color w:val="FFFFFF"/>
        </w:rPr>
        <w:t xml:space="preserve">The independent non-executive Directors of the Company have reviewed these transactions and the independent auditors’ report and confi rmed that the non-exempt continuing connected transactions have been entered </w:t>
      </w:r>
      <w:r>
        <w:rPr>
          <w:rFonts w:ascii="Arial" w:cs="Arial" w:eastAsia="Arial" w:hAnsi="Arial"/>
          <w:sz w:val="9"/>
          <w:szCs w:val="9"/>
          <w:color w:val="FFFFFF"/>
          <w:vertAlign w:val="subscript"/>
        </w:rPr>
        <w:t>into:</w:t>
      </w:r>
    </w:p>
    <w:p>
      <w:pPr>
        <w:spacing w:after="0" w:line="189" w:lineRule="auto"/>
        <w:tabs>
          <w:tab w:leader="none" w:pos="580" w:val="left"/>
        </w:tabs>
        <w:rPr>
          <w:sz w:val="20"/>
          <w:szCs w:val="20"/>
          <w:color w:val="auto"/>
        </w:rPr>
      </w:pPr>
      <w:r>
        <w:rPr>
          <w:rFonts w:ascii="Arial" w:cs="Arial" w:eastAsia="Arial" w:hAnsi="Arial"/>
          <w:sz w:val="6"/>
          <w:szCs w:val="6"/>
          <w:color w:val="FFFFFF"/>
        </w:rPr>
        <w:t>(a)</w:t>
      </w:r>
      <w:r>
        <w:rPr>
          <w:sz w:val="20"/>
          <w:szCs w:val="20"/>
          <w:color w:val="auto"/>
        </w:rPr>
        <w:tab/>
      </w:r>
      <w:r>
        <w:rPr>
          <w:rFonts w:ascii="Arial" w:cs="Arial" w:eastAsia="Arial" w:hAnsi="Arial"/>
          <w:sz w:val="6"/>
          <w:szCs w:val="6"/>
          <w:color w:val="FFFFFF"/>
        </w:rPr>
        <w:t>the ordinary and usual course of business of the Company;</w:t>
      </w:r>
    </w:p>
    <w:p>
      <w:pPr>
        <w:ind w:left="200" w:right="2160" w:hanging="183"/>
        <w:spacing w:after="0"/>
        <w:rPr>
          <w:sz w:val="20"/>
          <w:szCs w:val="20"/>
          <w:color w:val="auto"/>
        </w:rPr>
      </w:pPr>
      <w:r>
        <w:rPr>
          <w:rFonts w:ascii="Arial" w:cs="Arial" w:eastAsia="Arial" w:hAnsi="Arial"/>
          <w:sz w:val="7"/>
          <w:szCs w:val="7"/>
          <w:color w:val="FFFFFF"/>
          <w:vertAlign w:val="superscript"/>
        </w:rPr>
        <w:t>(c)</w:t>
      </w:r>
      <w:r>
        <w:rPr>
          <w:rFonts w:ascii="Arial" w:cs="Arial" w:eastAsia="Arial" w:hAnsi="Arial"/>
          <w:sz w:val="6"/>
          <w:szCs w:val="6"/>
          <w:color w:val="FFFFFF"/>
        </w:rPr>
        <w:t>b) either on normal commercial terms or, on terms no less favourable to the Company than the terms available to and from (as appropriate) independent third parties; and in accordance with the relevant agreement on terms that are fair and reasonable and in the interests of the Shareholders of the Company as a whole.</w:t>
      </w:r>
    </w:p>
    <w:p>
      <w:pPr>
        <w:spacing w:after="0"/>
        <w:rPr>
          <w:sz w:val="20"/>
          <w:szCs w:val="20"/>
          <w:color w:val="auto"/>
        </w:rPr>
      </w:pPr>
      <w:r>
        <w:rPr>
          <w:rFonts w:ascii="Arial" w:cs="Arial" w:eastAsia="Arial" w:hAnsi="Arial"/>
          <w:sz w:val="14"/>
          <w:szCs w:val="14"/>
          <w:color w:val="FFFFFF"/>
        </w:rPr>
        <w:t>The Directors confi rm that the Company has complied with the disclosure requirements in accordance with Chapter 14A of the Listing Rules.</w:t>
      </w:r>
    </w:p>
    <w:p>
      <w:pPr>
        <w:sectPr>
          <w:pgSz w:w="11900" w:h="16838" w:orient="portrait"/>
          <w:cols w:equalWidth="0" w:num="1">
            <w:col w:w="11360"/>
          </w:cols>
          <w:pgMar w:left="240" w:top="1440" w:right="29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AnnualReport ofReporttheDirectors201147</w:t>
      </w:r>
    </w:p>
    <w:p>
      <w:pPr>
        <w:ind w:right="760"/>
        <w:spacing w:after="0"/>
        <w:rPr>
          <w:sz w:val="20"/>
          <w:szCs w:val="20"/>
          <w:color w:val="auto"/>
        </w:rPr>
      </w:pPr>
      <w:r>
        <w:rPr>
          <w:rFonts w:ascii="Arial" w:cs="Arial" w:eastAsia="Arial" w:hAnsi="Arial"/>
          <w:sz w:val="9"/>
          <w:szCs w:val="9"/>
          <w:color w:val="FFFFFF"/>
        </w:rPr>
        <w:t>NoMANAGEMENTcontractsconcerningCONTRACTSthemanagement and administration of the whole or any substantial part of the business of the Company were entered into or existed for the year ended 31 December 2011. MAJOR CLIENTS AND SUPPLIERS</w:t>
      </w:r>
    </w:p>
    <w:p>
      <w:pPr>
        <w:spacing w:after="0" w:line="18" w:lineRule="exact"/>
        <w:rPr>
          <w:sz w:val="20"/>
          <w:szCs w:val="20"/>
          <w:color w:val="auto"/>
        </w:rPr>
      </w:pPr>
    </w:p>
    <w:p>
      <w:pPr>
        <w:ind w:right="160"/>
        <w:spacing w:after="0" w:line="181" w:lineRule="auto"/>
        <w:rPr>
          <w:sz w:val="20"/>
          <w:szCs w:val="20"/>
          <w:color w:val="auto"/>
        </w:rPr>
      </w:pPr>
      <w:r>
        <w:rPr>
          <w:rFonts w:ascii="Arial" w:cs="Arial" w:eastAsia="Arial" w:hAnsi="Arial"/>
          <w:sz w:val="7"/>
          <w:szCs w:val="7"/>
          <w:color w:val="FFFFFF"/>
        </w:rPr>
        <w:t>WeOur dependclients areon ourindividualsuppliersplayerstoprovideandourus fiwithve productslargestclients,andservicestogether,suchgenerateassecuritysubstantiallyandsurveillancelessthan systems,30%oftheretailGroup’goods,totalgamingoperatingequipmentrevenuesand foraccessories,theyear endedferry tickets,31Decemberfoodand2011.beverage products and construction and other administrative services. In 2011, our fi ve largest suppliers were Rolex (Hong Kong) Limited, Companhia de Electricidade de Macau — CEM, Leighton China State Joint Venture, East</w:t>
      </w:r>
    </w:p>
    <w:p>
      <w:pPr>
        <w:ind w:left="11080"/>
        <w:spacing w:after="0"/>
        <w:rPr>
          <w:sz w:val="20"/>
          <w:szCs w:val="20"/>
          <w:color w:val="auto"/>
        </w:rPr>
      </w:pPr>
      <w:r>
        <w:rPr>
          <w:rFonts w:ascii="Arial" w:cs="Arial" w:eastAsia="Arial" w:hAnsi="Arial"/>
          <w:sz w:val="1"/>
          <w:szCs w:val="1"/>
          <w:color w:val="FFFFFF"/>
        </w:rPr>
        <w:t>SaveAsia Airlinesasdisclosed,Ltd., toandtheAngelknowledgePlayingofCardstheBoard,Co.Ltd.,nonewhichofouraccountedDirectors for approximatelyMr.Kazuo20%,Okada*),8%,3%,their3% andrespective3%of ourassociatestotalpurchases,oranyof respectively.ourShareholders (which to the knowledge of the Directors own more</w:t>
      </w:r>
    </w:p>
    <w:p>
      <w:pPr>
        <w:spacing w:after="0"/>
        <w:rPr>
          <w:sz w:val="20"/>
          <w:szCs w:val="20"/>
          <w:color w:val="auto"/>
        </w:rPr>
      </w:pPr>
      <w:r>
        <w:rPr>
          <w:rFonts w:ascii="Arial" w:cs="Arial" w:eastAsia="Arial" w:hAnsi="Arial"/>
          <w:sz w:val="14"/>
          <w:szCs w:val="14"/>
          <w:color w:val="FFFFFF"/>
        </w:rPr>
        <w:t>than 5% of the Company’s issued share capital) had any material interest(includinganyof our top fi ve suppliers or single largest supplier in 2011.</w:t>
      </w:r>
    </w:p>
    <w:p>
      <w:pPr>
        <w:sectPr>
          <w:pgSz w:w="11900" w:h="16838" w:orient="portrait"/>
          <w:cols w:equalWidth="0" w:num="1">
            <w:col w:w="11360"/>
          </w:cols>
          <w:pgMar w:left="240" w:top="1440" w:right="29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48 Wynn Macau, Limited</w:t>
      </w:r>
    </w:p>
    <w:p>
      <w:pPr>
        <w:spacing w:after="0"/>
        <w:rPr>
          <w:sz w:val="20"/>
          <w:szCs w:val="20"/>
          <w:color w:val="auto"/>
        </w:rPr>
      </w:pPr>
      <w:r>
        <w:rPr>
          <w:rFonts w:ascii="Arial" w:cs="Arial" w:eastAsia="Arial" w:hAnsi="Arial"/>
          <w:sz w:val="3"/>
          <w:szCs w:val="3"/>
          <w:color w:val="FFFFFF"/>
        </w:rPr>
        <w:t>Report of the Directors</w:t>
      </w:r>
    </w:p>
    <w:p>
      <w:pPr>
        <w:spacing w:after="0" w:line="6" w:lineRule="exact"/>
        <w:rPr>
          <w:sz w:val="20"/>
          <w:szCs w:val="20"/>
          <w:color w:val="auto"/>
        </w:rPr>
      </w:pPr>
    </w:p>
    <w:p>
      <w:pPr>
        <w:ind w:right="200"/>
        <w:spacing w:after="0" w:line="187" w:lineRule="auto"/>
        <w:rPr>
          <w:sz w:val="20"/>
          <w:szCs w:val="20"/>
          <w:color w:val="auto"/>
        </w:rPr>
      </w:pPr>
      <w:r>
        <w:rPr>
          <w:rFonts w:ascii="Arial" w:cs="Arial" w:eastAsia="Arial" w:hAnsi="Arial"/>
          <w:sz w:val="9"/>
          <w:szCs w:val="9"/>
          <w:color w:val="FFFFFF"/>
        </w:rPr>
        <w:t>DIRECTORS’ (INCLUDING MR. KAZUO OKADA*) AND CHIEF EXECUTIVES’ INTEREST AND SHORT POSITIONS IN THE SHARES, UNDERLYING SHARES AND DEBENTURES OF THE COMPANY AND ANY ASSOCIATED CORPORATION</w:t>
      </w:r>
    </w:p>
    <w:p>
      <w:pPr>
        <w:spacing w:after="0" w:line="183" w:lineRule="auto"/>
        <w:rPr>
          <w:sz w:val="20"/>
          <w:szCs w:val="20"/>
          <w:color w:val="auto"/>
        </w:rPr>
      </w:pPr>
      <w:r>
        <w:rPr>
          <w:rFonts w:ascii="Arial" w:cs="Arial" w:eastAsia="Arial" w:hAnsi="Arial"/>
          <w:sz w:val="7"/>
          <w:szCs w:val="7"/>
          <w:color w:val="FFFFFF"/>
        </w:rPr>
        <w:t xml:space="preserve">As at 31 December 2011, the interests and short positions of each Director (including Mr. Kazuo Okada*) and chief executive of the Company (being Mr. Stephen A. Wynn) in the Shares, underlying Shares and debentures of the Company or any of its associated corporations within the meaning of Part XV of the SFO which (a) were required to be notifi ed to the Company and the Hong Kong Stock Exchange pursuant to Divisions 7 and 8 of Part XV of the SFO (including interests and short positions which the Director (including Mr. Kazuo Okada*) or chief executive is taken or deemed to have under such provisions of the SFO); (b) were </w:t>
      </w:r>
      <w:r>
        <w:rPr>
          <w:rFonts w:ascii="Arial" w:cs="Arial" w:eastAsia="Arial" w:hAnsi="Arial"/>
          <w:sz w:val="9"/>
          <w:szCs w:val="9"/>
          <w:color w:val="FFFFFF"/>
          <w:vertAlign w:val="subscript"/>
        </w:rPr>
        <w:t>required,</w:t>
      </w:r>
      <w:r>
        <w:rPr>
          <w:rFonts w:ascii="Arial" w:cs="Arial" w:eastAsia="Arial" w:hAnsi="Arial"/>
          <w:sz w:val="7"/>
          <w:szCs w:val="7"/>
          <w:color w:val="FFFFFF"/>
        </w:rPr>
        <w:t xml:space="preserve"> pursuant to section 352 of the SFO,</w:t>
      </w:r>
      <w:r>
        <w:rPr>
          <w:rFonts w:ascii="Arial" w:cs="Arial" w:eastAsia="Arial" w:hAnsi="Arial"/>
          <w:sz w:val="9"/>
          <w:szCs w:val="9"/>
          <w:color w:val="FFFFFF"/>
          <w:vertAlign w:val="subscript"/>
        </w:rPr>
        <w:t>Stock</w:t>
      </w:r>
      <w:r>
        <w:rPr>
          <w:rFonts w:ascii="Arial" w:cs="Arial" w:eastAsia="Arial" w:hAnsi="Arial"/>
          <w:sz w:val="7"/>
          <w:szCs w:val="7"/>
          <w:color w:val="FFFFFF"/>
        </w:rPr>
        <w:t>be entered in the register maintained by the Company referred to therein; (c) were required, pursuant to the Model Code contained in the Listing</w:t>
      </w:r>
    </w:p>
    <w:p>
      <w:pPr>
        <w:spacing w:after="0" w:line="1" w:lineRule="exact"/>
        <w:rPr>
          <w:sz w:val="20"/>
          <w:szCs w:val="20"/>
          <w:color w:val="auto"/>
        </w:rPr>
      </w:pPr>
    </w:p>
    <w:p>
      <w:pPr>
        <w:spacing w:after="0"/>
        <w:tabs>
          <w:tab w:leader="none" w:pos="1160" w:val="left"/>
          <w:tab w:leader="none" w:pos="3480" w:val="left"/>
        </w:tabs>
        <w:rPr>
          <w:sz w:val="20"/>
          <w:szCs w:val="20"/>
          <w:color w:val="auto"/>
        </w:rPr>
      </w:pPr>
      <w:r>
        <w:rPr>
          <w:rFonts w:ascii="Arial" w:cs="Arial" w:eastAsia="Arial" w:hAnsi="Arial"/>
          <w:sz w:val="3"/>
          <w:szCs w:val="3"/>
          <w:color w:val="FFFFFF"/>
        </w:rPr>
        <w:t>TotalRules,Approximatetobenotifi</w:t>
      </w:r>
      <w:r>
        <w:rPr>
          <w:sz w:val="20"/>
          <w:szCs w:val="20"/>
          <w:color w:val="auto"/>
        </w:rPr>
        <w:tab/>
      </w:r>
      <w:r>
        <w:rPr>
          <w:rFonts w:ascii="Arial" w:cs="Arial" w:eastAsia="Arial" w:hAnsi="Arial"/>
          <w:sz w:val="3"/>
          <w:szCs w:val="3"/>
          <w:color w:val="FFFFFF"/>
        </w:rPr>
        <w:t>to the Company and the Hong Kong</w:t>
      </w:r>
      <w:r>
        <w:rPr>
          <w:sz w:val="20"/>
          <w:szCs w:val="20"/>
          <w:color w:val="auto"/>
        </w:rPr>
        <w:tab/>
      </w:r>
      <w:r>
        <w:rPr>
          <w:rFonts w:ascii="Arial" w:cs="Arial" w:eastAsia="Arial" w:hAnsi="Arial"/>
          <w:sz w:val="3"/>
          <w:szCs w:val="3"/>
          <w:color w:val="FFFFFF"/>
        </w:rPr>
        <w:t>Exchange; or (d) were disclosed according to the knowledge of the Directors were as follows:</w:t>
      </w:r>
    </w:p>
    <w:p>
      <w:pPr>
        <w:spacing w:after="0" w:line="194" w:lineRule="auto"/>
        <w:rPr>
          <w:sz w:val="20"/>
          <w:szCs w:val="20"/>
          <w:color w:val="auto"/>
        </w:rPr>
      </w:pPr>
      <w:r>
        <w:rPr>
          <w:rFonts w:ascii="Arial" w:cs="Arial" w:eastAsia="Arial" w:hAnsi="Arial"/>
          <w:sz w:val="5"/>
          <w:szCs w:val="5"/>
          <w:color w:val="FFFFFF"/>
        </w:rPr>
        <w:t>Personal Family Corporate Other Number Percentage of</w:t>
      </w:r>
    </w:p>
    <w:p>
      <w:pPr>
        <w:spacing w:after="0" w:line="211" w:lineRule="auto"/>
        <w:rPr>
          <w:sz w:val="20"/>
          <w:szCs w:val="20"/>
          <w:color w:val="auto"/>
        </w:rPr>
      </w:pPr>
      <w:r>
        <w:rPr>
          <w:rFonts w:ascii="Arial" w:cs="Arial" w:eastAsia="Arial" w:hAnsi="Arial"/>
          <w:sz w:val="4"/>
          <w:szCs w:val="4"/>
          <w:color w:val="FFFFFF"/>
          <w:vertAlign w:val="superscript"/>
        </w:rPr>
        <w:t>Nicholas</w:t>
      </w:r>
    </w:p>
    <w:p>
      <w:pPr>
        <w:ind w:left="100"/>
        <w:spacing w:after="0"/>
        <w:rPr>
          <w:sz w:val="20"/>
          <w:szCs w:val="20"/>
          <w:color w:val="auto"/>
        </w:rPr>
      </w:pPr>
      <w:r>
        <w:rPr>
          <w:rFonts w:ascii="Arial" w:cs="Arial" w:eastAsia="Arial" w:hAnsi="Arial"/>
          <w:sz w:val="3"/>
          <w:szCs w:val="3"/>
          <w:color w:val="FFFFFF"/>
        </w:rPr>
        <w:t>ame of DirectorSallnow-NameSmith ofWynnCorporationMacau,LimitedInterest—Interest10,000Interest—— 10,000Interest0.00%ofShares Shareholding</w:t>
      </w:r>
    </w:p>
    <w:p>
      <w:pPr>
        <w:spacing w:after="0" w:line="194" w:lineRule="auto"/>
        <w:rPr>
          <w:sz w:val="20"/>
          <w:szCs w:val="20"/>
          <w:color w:val="auto"/>
        </w:rPr>
      </w:pPr>
      <w:r>
        <w:rPr>
          <w:rFonts w:ascii="Arial" w:cs="Arial" w:eastAsia="Arial" w:hAnsi="Arial"/>
          <w:sz w:val="5"/>
          <w:szCs w:val="5"/>
          <w:color w:val="FFFFFF"/>
          <w:vertAlign w:val="superscript"/>
        </w:rPr>
        <w:t>(Note</w:t>
      </w:r>
    </w:p>
    <w:p>
      <w:pPr>
        <w:ind w:left="60"/>
        <w:spacing w:after="0" w:line="188" w:lineRule="auto"/>
        <w:rPr>
          <w:sz w:val="20"/>
          <w:szCs w:val="20"/>
          <w:color w:val="auto"/>
        </w:rPr>
      </w:pPr>
      <w:r>
        <w:rPr>
          <w:rFonts w:ascii="Arial" w:cs="Arial" w:eastAsia="Arial" w:hAnsi="Arial"/>
          <w:sz w:val="9"/>
          <w:szCs w:val="9"/>
          <w:color w:val="FFFFFF"/>
        </w:rPr>
        <w:t>Long 1)Position)(Note1)(Long Position)</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Macau,Position)Limited(Long Position)350,000— — — 350,000 —</w:t>
      </w:r>
    </w:p>
    <w:p>
      <w:pPr>
        <w:ind w:left="340"/>
        <w:spacing w:after="0" w:line="188" w:lineRule="auto"/>
        <w:rPr>
          <w:sz w:val="20"/>
          <w:szCs w:val="20"/>
          <w:color w:val="auto"/>
        </w:rPr>
      </w:pPr>
      <w:r>
        <w:rPr>
          <w:rFonts w:ascii="Arial" w:cs="Arial" w:eastAsia="Arial" w:hAnsi="Arial"/>
          <w:sz w:val="9"/>
          <w:szCs w:val="9"/>
          <w:color w:val="FFFFFF"/>
        </w:rPr>
        <w:t>1) (Note 1)</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BruceLong RockowitzPosition)(LongWynnPosition)Macau, Limited 50,000 — — — 50,000 0.00%</w:t>
      </w:r>
    </w:p>
    <w:p>
      <w:pPr>
        <w:ind w:left="340"/>
        <w:spacing w:after="0" w:line="188" w:lineRule="auto"/>
        <w:rPr>
          <w:sz w:val="20"/>
          <w:szCs w:val="20"/>
          <w:color w:val="auto"/>
        </w:rPr>
      </w:pPr>
      <w:r>
        <w:rPr>
          <w:rFonts w:ascii="Arial" w:cs="Arial" w:eastAsia="Arial" w:hAnsi="Arial"/>
          <w:sz w:val="9"/>
          <w:szCs w:val="9"/>
          <w:color w:val="FFFFFF"/>
        </w:rPr>
        <w:t>2) (Note 2)</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Macau,Position)Limited(Long Position)300,000— — — 300,000 —</w:t>
      </w:r>
    </w:p>
    <w:p>
      <w:pPr>
        <w:ind w:left="340"/>
        <w:spacing w:after="0" w:line="188" w:lineRule="auto"/>
        <w:rPr>
          <w:sz w:val="20"/>
          <w:szCs w:val="20"/>
          <w:color w:val="auto"/>
        </w:rPr>
      </w:pPr>
      <w:r>
        <w:rPr>
          <w:rFonts w:ascii="Arial" w:cs="Arial" w:eastAsia="Arial" w:hAnsi="Arial"/>
          <w:sz w:val="9"/>
          <w:szCs w:val="9"/>
          <w:color w:val="FFFFFF"/>
        </w:rPr>
        <w:t>2) (Note 2)</w:t>
      </w:r>
    </w:p>
    <w:p>
      <w:pPr>
        <w:spacing w:after="0" w:line="212"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JeffreyLongPosition)Kin-fung(LongLam WynnPosition)Macau, Limited 350,000 — — — 350,000 —</w:t>
      </w:r>
    </w:p>
    <w:p>
      <w:pPr>
        <w:ind w:left="340"/>
        <w:spacing w:after="0" w:line="188" w:lineRule="auto"/>
        <w:rPr>
          <w:sz w:val="20"/>
          <w:szCs w:val="20"/>
          <w:color w:val="auto"/>
        </w:rPr>
      </w:pPr>
      <w:r>
        <w:rPr>
          <w:rFonts w:ascii="Arial" w:cs="Arial" w:eastAsia="Arial" w:hAnsi="Arial"/>
          <w:sz w:val="9"/>
          <w:szCs w:val="9"/>
          <w:color w:val="FFFFFF"/>
        </w:rPr>
        <w:t>3) (Note 3)</w:t>
      </w:r>
    </w:p>
    <w:p>
      <w:pPr>
        <w:spacing w:after="0" w:line="187" w:lineRule="auto"/>
        <w:rPr>
          <w:sz w:val="20"/>
          <w:szCs w:val="20"/>
          <w:color w:val="auto"/>
        </w:rPr>
      </w:pPr>
      <w:r>
        <w:rPr>
          <w:rFonts w:ascii="Arial" w:cs="Arial" w:eastAsia="Arial" w:hAnsi="Arial"/>
          <w:sz w:val="9"/>
          <w:szCs w:val="9"/>
          <w:color w:val="FFFFFF"/>
        </w:rPr>
        <w:t>(LongStephenPosition)A.Wynn(LongWynnPosition)Resorts, Limited 10,026,708 — — — 10,026,708 8.02%</w:t>
      </w:r>
    </w:p>
    <w:p>
      <w:pPr>
        <w:spacing w:after="0" w:line="213"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IanLongMichaelPosition)Coughlan(Long WynnPosition)Resorts, Limited 10,000 — — — 10,000 0.01%</w:t>
      </w:r>
    </w:p>
    <w:p>
      <w:pPr>
        <w:ind w:left="340"/>
        <w:spacing w:after="0" w:line="188" w:lineRule="auto"/>
        <w:rPr>
          <w:sz w:val="20"/>
          <w:szCs w:val="20"/>
          <w:color w:val="auto"/>
        </w:rPr>
      </w:pPr>
      <w:r>
        <w:rPr>
          <w:rFonts w:ascii="Arial" w:cs="Arial" w:eastAsia="Arial" w:hAnsi="Arial"/>
          <w:sz w:val="9"/>
          <w:szCs w:val="9"/>
          <w:color w:val="FFFFFF"/>
        </w:rPr>
        <w:t>4) (Note 4)</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50,000LongPosition)——— (Long50,000Position)—</w:t>
      </w:r>
    </w:p>
    <w:p>
      <w:pPr>
        <w:ind w:left="340"/>
        <w:spacing w:after="0" w:line="188" w:lineRule="auto"/>
        <w:rPr>
          <w:sz w:val="20"/>
          <w:szCs w:val="20"/>
          <w:color w:val="auto"/>
        </w:rPr>
      </w:pPr>
      <w:r>
        <w:rPr>
          <w:rFonts w:ascii="Arial" w:cs="Arial" w:eastAsia="Arial" w:hAnsi="Arial"/>
          <w:sz w:val="9"/>
          <w:szCs w:val="9"/>
          <w:color w:val="FFFFFF"/>
        </w:rPr>
        <w:t>4) (Note 4)</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LindaLong ChenPosition)Wynn(LongResorts,Position)Limited 265,000 — — — 265,000 0.21%</w:t>
      </w:r>
    </w:p>
    <w:p>
      <w:pPr>
        <w:ind w:left="340"/>
        <w:spacing w:after="0" w:line="188" w:lineRule="auto"/>
        <w:rPr>
          <w:sz w:val="20"/>
          <w:szCs w:val="20"/>
          <w:color w:val="auto"/>
        </w:rPr>
      </w:pPr>
      <w:r>
        <w:rPr>
          <w:rFonts w:ascii="Arial" w:cs="Arial" w:eastAsia="Arial" w:hAnsi="Arial"/>
          <w:sz w:val="9"/>
          <w:szCs w:val="9"/>
          <w:color w:val="FFFFFF"/>
        </w:rPr>
        <w:t>5) (Note 5)</w:t>
      </w:r>
    </w:p>
    <w:p>
      <w:pPr>
        <w:spacing w:after="0" w:line="212"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Resorts,Position)Limited(LongPosition)415,000 — — — 415,000 —</w:t>
      </w:r>
    </w:p>
    <w:p>
      <w:pPr>
        <w:ind w:left="340"/>
        <w:spacing w:after="0"/>
        <w:rPr>
          <w:sz w:val="20"/>
          <w:szCs w:val="20"/>
          <w:color w:val="auto"/>
        </w:rPr>
      </w:pPr>
      <w:r>
        <w:rPr>
          <w:rFonts w:ascii="Arial" w:cs="Arial" w:eastAsia="Arial" w:hAnsi="Arial"/>
          <w:sz w:val="3"/>
          <w:szCs w:val="3"/>
          <w:color w:val="FFFFFF"/>
        </w:rPr>
        <w:t>5) (Note 5)</w:t>
      </w:r>
    </w:p>
    <w:p>
      <w:pPr>
        <w:spacing w:after="0" w:line="5"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FFFFFF"/>
        </w:rPr>
        <w:t>*</w:t>
      </w:r>
      <w:r>
        <w:rPr>
          <w:sz w:val="20"/>
          <w:szCs w:val="20"/>
          <w:color w:val="auto"/>
        </w:rPr>
        <w:tab/>
      </w:r>
      <w:r>
        <w:rPr>
          <w:rFonts w:ascii="Arial" w:cs="Arial" w:eastAsia="Arial" w:hAnsi="Arial"/>
          <w:sz w:val="14"/>
          <w:szCs w:val="14"/>
          <w:color w:val="FFFFFF"/>
        </w:rPr>
        <w:t>Mr. Kazuo Okada ceased to be a member of our Board on 24 February 2012.</w:t>
      </w:r>
    </w:p>
    <w:p>
      <w:pPr>
        <w:sectPr>
          <w:pgSz w:w="11900" w:h="16838" w:orient="portrait"/>
          <w:cols w:equalWidth="0" w:num="1">
            <w:col w:w="11360"/>
          </w:cols>
          <w:pgMar w:left="240" w:top="1440" w:right="29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49</w:t>
      </w:r>
    </w:p>
    <w:p>
      <w:pPr>
        <w:spacing w:after="0"/>
        <w:rPr>
          <w:sz w:val="20"/>
          <w:szCs w:val="20"/>
          <w:color w:val="auto"/>
        </w:rPr>
      </w:pPr>
      <w:r>
        <w:rPr>
          <w:rFonts w:ascii="Arial" w:cs="Arial" w:eastAsia="Arial" w:hAnsi="Arial"/>
          <w:sz w:val="3"/>
          <w:szCs w:val="3"/>
          <w:color w:val="FFFFFF"/>
        </w:rPr>
        <w:t>Report of the Directors</w:t>
      </w:r>
    </w:p>
    <w:p>
      <w:pPr>
        <w:spacing w:after="0" w:line="6" w:lineRule="exact"/>
        <w:rPr>
          <w:sz w:val="20"/>
          <w:szCs w:val="20"/>
          <w:color w:val="auto"/>
        </w:rPr>
      </w:pPr>
    </w:p>
    <w:p>
      <w:pPr>
        <w:ind w:right="20"/>
        <w:spacing w:after="0" w:line="187" w:lineRule="auto"/>
        <w:rPr>
          <w:sz w:val="20"/>
          <w:szCs w:val="20"/>
          <w:color w:val="auto"/>
        </w:rPr>
      </w:pPr>
      <w:r>
        <w:rPr>
          <w:rFonts w:ascii="Arial" w:cs="Arial" w:eastAsia="Arial" w:hAnsi="Arial"/>
          <w:sz w:val="9"/>
          <w:szCs w:val="9"/>
          <w:color w:val="FFFFFF"/>
        </w:rPr>
        <w:t>DIRECTORS’ (INCLUDING MR. KAZUO OKADA*) AND CHIEF EXECUTIVES’ INTEREST AND SHORT POSITIONS IN THE SHARES, UNDERLYING SHARES AND DEBENTURES OF THE COMPANY AND ANY ASSOCIATED CORPORATION (continued)</w:t>
      </w:r>
    </w:p>
    <w:p>
      <w:pPr>
        <w:spacing w:after="0"/>
        <w:rPr>
          <w:sz w:val="20"/>
          <w:szCs w:val="20"/>
          <w:color w:val="auto"/>
        </w:rPr>
      </w:pPr>
      <w:r>
        <w:rPr>
          <w:rFonts w:ascii="Arial" w:cs="Arial" w:eastAsia="Arial" w:hAnsi="Arial"/>
          <w:sz w:val="3"/>
          <w:szCs w:val="3"/>
          <w:color w:val="FFFFFF"/>
        </w:rPr>
        <w:t>Total Approximate</w:t>
      </w:r>
    </w:p>
    <w:p>
      <w:pPr>
        <w:spacing w:after="0" w:line="181" w:lineRule="auto"/>
        <w:rPr>
          <w:sz w:val="20"/>
          <w:szCs w:val="20"/>
          <w:color w:val="auto"/>
        </w:rPr>
      </w:pPr>
      <w:r>
        <w:rPr>
          <w:rFonts w:ascii="Arial" w:cs="Arial" w:eastAsia="Arial" w:hAnsi="Arial"/>
          <w:sz w:val="10"/>
          <w:szCs w:val="10"/>
          <w:color w:val="FFFFFF"/>
        </w:rPr>
        <w:t>Personal Family Corporate Other Number Percentage of</w:t>
      </w:r>
    </w:p>
    <w:p>
      <w:pPr>
        <w:spacing w:after="0"/>
        <w:rPr>
          <w:sz w:val="20"/>
          <w:szCs w:val="20"/>
          <w:color w:val="auto"/>
        </w:rPr>
      </w:pPr>
      <w:r>
        <w:rPr>
          <w:rFonts w:ascii="Arial" w:cs="Arial" w:eastAsia="Arial" w:hAnsi="Arial"/>
          <w:sz w:val="3"/>
          <w:szCs w:val="3"/>
          <w:color w:val="FFFFFF"/>
        </w:rPr>
        <w:t>AllanName ZemanofDirectorWynnNameMacau,ofCorporationLimited350,000Interest— Interest——350,000Interest—Interest of Shares Shareholding</w:t>
      </w:r>
    </w:p>
    <w:p>
      <w:pPr>
        <w:spacing w:after="0" w:line="194" w:lineRule="auto"/>
        <w:rPr>
          <w:sz w:val="20"/>
          <w:szCs w:val="20"/>
          <w:color w:val="auto"/>
        </w:rPr>
      </w:pPr>
      <w:r>
        <w:rPr>
          <w:rFonts w:ascii="Arial" w:cs="Arial" w:eastAsia="Arial" w:hAnsi="Arial"/>
          <w:sz w:val="5"/>
          <w:szCs w:val="5"/>
          <w:color w:val="FFFFFF"/>
          <w:vertAlign w:val="superscript"/>
        </w:rPr>
        <w:t>(Note</w:t>
      </w:r>
    </w:p>
    <w:p>
      <w:pPr>
        <w:ind w:left="60"/>
        <w:spacing w:after="0" w:line="188" w:lineRule="auto"/>
        <w:rPr>
          <w:sz w:val="20"/>
          <w:szCs w:val="20"/>
          <w:color w:val="auto"/>
        </w:rPr>
      </w:pPr>
      <w:r>
        <w:rPr>
          <w:rFonts w:ascii="Arial" w:cs="Arial" w:eastAsia="Arial" w:hAnsi="Arial"/>
          <w:sz w:val="9"/>
          <w:szCs w:val="9"/>
          <w:color w:val="FFFFFF"/>
        </w:rPr>
        <w:t>Long 6)Position)(Note6)(Long Position)</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Resorts,Position)Limited(LongPosition)7,500— — — 7,500 0.01%</w:t>
      </w:r>
    </w:p>
    <w:p>
      <w:pPr>
        <w:ind w:left="340"/>
        <w:spacing w:after="0" w:line="188" w:lineRule="auto"/>
        <w:rPr>
          <w:sz w:val="20"/>
          <w:szCs w:val="20"/>
          <w:color w:val="auto"/>
        </w:rPr>
      </w:pPr>
      <w:r>
        <w:rPr>
          <w:rFonts w:ascii="Arial" w:cs="Arial" w:eastAsia="Arial" w:hAnsi="Arial"/>
          <w:sz w:val="9"/>
          <w:szCs w:val="9"/>
          <w:color w:val="FFFFFF"/>
        </w:rPr>
        <w:t>6) (Note 6)</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Resorts,Position)Limited(LongPosition)38,600— — — 38,600 —</w:t>
      </w:r>
    </w:p>
    <w:p>
      <w:pPr>
        <w:ind w:left="340"/>
        <w:spacing w:after="0" w:line="188" w:lineRule="auto"/>
        <w:rPr>
          <w:sz w:val="20"/>
          <w:szCs w:val="20"/>
          <w:color w:val="auto"/>
        </w:rPr>
      </w:pPr>
      <w:r>
        <w:rPr>
          <w:rFonts w:ascii="Arial" w:cs="Arial" w:eastAsia="Arial" w:hAnsi="Arial"/>
          <w:sz w:val="9"/>
          <w:szCs w:val="9"/>
          <w:color w:val="FFFFFF"/>
        </w:rPr>
        <w:t>6) (Note 6)</w:t>
      </w:r>
    </w:p>
    <w:p>
      <w:pPr>
        <w:spacing w:after="0"/>
        <w:rPr>
          <w:sz w:val="20"/>
          <w:szCs w:val="20"/>
          <w:color w:val="auto"/>
        </w:rPr>
      </w:pPr>
      <w:r>
        <w:rPr>
          <w:rFonts w:ascii="Arial" w:cs="Arial" w:eastAsia="Arial" w:hAnsi="Arial"/>
          <w:sz w:val="3"/>
          <w:szCs w:val="3"/>
          <w:color w:val="FFFFFF"/>
        </w:rPr>
        <w:t>MarcLongD.Position)Schorr Wynn(Long Resorts, Limited 250,000 — — 250,000 0.20%</w:t>
      </w:r>
    </w:p>
    <w:p>
      <w:pPr>
        <w:spacing w:after="0" w:line="190" w:lineRule="auto"/>
        <w:rPr>
          <w:sz w:val="20"/>
          <w:szCs w:val="20"/>
          <w:color w:val="auto"/>
        </w:rPr>
      </w:pPr>
      <w:r>
        <w:rPr>
          <w:rFonts w:ascii="Arial" w:cs="Arial" w:eastAsia="Arial" w:hAnsi="Arial"/>
          <w:sz w:val="14"/>
          <w:szCs w:val="14"/>
          <w:color w:val="FFFFFF"/>
          <w:vertAlign w:val="subscript"/>
        </w:rPr>
        <w:t>(Note 7)</w:t>
      </w:r>
      <w:r>
        <w:rPr>
          <w:rFonts w:ascii="Arial" w:cs="Arial" w:eastAsia="Arial" w:hAnsi="Arial"/>
          <w:sz w:val="9"/>
          <w:szCs w:val="9"/>
          <w:color w:val="FFFFFF"/>
        </w:rPr>
        <w:t xml:space="preserve"> Position)</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Resorts,Position)Limited(LongPosition)400,000 — — — 400,000 —</w:t>
      </w:r>
    </w:p>
    <w:p>
      <w:pPr>
        <w:ind w:left="340"/>
        <w:spacing w:after="0" w:line="188" w:lineRule="auto"/>
        <w:rPr>
          <w:sz w:val="20"/>
          <w:szCs w:val="20"/>
          <w:color w:val="auto"/>
        </w:rPr>
      </w:pPr>
      <w:r>
        <w:rPr>
          <w:rFonts w:ascii="Arial" w:cs="Arial" w:eastAsia="Arial" w:hAnsi="Arial"/>
          <w:sz w:val="9"/>
          <w:szCs w:val="9"/>
          <w:color w:val="FFFFFF"/>
        </w:rPr>
        <w:t>7) (Note 7)</w:t>
      </w:r>
    </w:p>
    <w:p>
      <w:pPr>
        <w:spacing w:after="0" w:line="212"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KazuoLong Position)Okada*Wynn(LongResorts,Position)Limited — — 24,549,222 — 24,549,222 19.63%</w:t>
      </w:r>
    </w:p>
    <w:p>
      <w:pPr>
        <w:ind w:left="340"/>
        <w:spacing w:after="0" w:line="188" w:lineRule="auto"/>
        <w:rPr>
          <w:sz w:val="20"/>
          <w:szCs w:val="20"/>
          <w:color w:val="auto"/>
        </w:rPr>
      </w:pPr>
      <w:r>
        <w:rPr>
          <w:rFonts w:ascii="Arial" w:cs="Arial" w:eastAsia="Arial" w:hAnsi="Arial"/>
          <w:sz w:val="9"/>
          <w:szCs w:val="9"/>
          <w:color w:val="FFFFFF"/>
        </w:rPr>
        <w:t>8) (Note 8)</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—Short—2,000,000Position) (Short—2,000,000Position)1.60%</w:t>
      </w:r>
    </w:p>
    <w:p>
      <w:pPr>
        <w:ind w:left="340"/>
        <w:spacing w:after="0" w:line="197" w:lineRule="auto"/>
        <w:rPr>
          <w:sz w:val="20"/>
          <w:szCs w:val="20"/>
          <w:color w:val="auto"/>
        </w:rPr>
      </w:pPr>
      <w:r>
        <w:rPr>
          <w:rFonts w:ascii="Arial" w:cs="Arial" w:eastAsia="Arial" w:hAnsi="Arial"/>
          <w:sz w:val="10"/>
          <w:szCs w:val="10"/>
          <w:color w:val="FFFFFF"/>
        </w:rPr>
        <w:t>9) (Note 9)</w:t>
      </w:r>
    </w:p>
    <w:p>
      <w:pPr>
        <w:spacing w:after="0"/>
        <w:rPr>
          <w:sz w:val="20"/>
          <w:szCs w:val="20"/>
          <w:color w:val="auto"/>
        </w:rPr>
      </w:pPr>
      <w:r>
        <w:rPr>
          <w:rFonts w:ascii="Arial" w:cs="Arial" w:eastAsia="Arial" w:hAnsi="Arial"/>
          <w:sz w:val="3"/>
          <w:szCs w:val="3"/>
          <w:color w:val="FFFFFF"/>
        </w:rPr>
        <w:t>Notes:*  Mr. Kazuo Okada ceased to be a member of our Board on 24 February 2012.</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(1) Mr. Nicholas Sallnow-Smith’s spouse, Ms. Lora Sallnow-Smith, was interested in 10,000 Shares. Mr. Nicholas Sallnow-Smith is deemed to be interested in the 10,000 Shares held by his spouse under the SFO. Pursuant to the Company’s share option</w:t>
      </w:r>
    </w:p>
    <w:p>
      <w:pPr>
        <w:spacing w:after="0"/>
        <w:rPr>
          <w:sz w:val="20"/>
          <w:szCs w:val="20"/>
          <w:color w:val="auto"/>
        </w:rPr>
      </w:pPr>
      <w:r>
        <w:rPr>
          <w:rFonts w:ascii="Arial" w:cs="Arial" w:eastAsia="Arial" w:hAnsi="Arial"/>
          <w:sz w:val="14"/>
          <w:szCs w:val="14"/>
          <w:color w:val="FFFFFF"/>
        </w:rPr>
        <w:t>scheme, share options for 350,000 Shares have been granted to Mr. Nicholas Sallnow-Smith, of which share options for 100,000 Shares vested by 25 March 2012.</w:t>
      </w:r>
    </w:p>
    <w:p>
      <w:pPr>
        <w:sectPr>
          <w:pgSz w:w="11900" w:h="16838" w:orient="portrait"/>
          <w:cols w:equalWidth="0" w:num="1">
            <w:col w:w="11180"/>
          </w:cols>
          <w:pgMar w:left="240" w:top="1440" w:right="47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gridSpan w:val="3"/>
          </w:tcPr>
          <w:p>
            <w:pPr>
              <w:spacing w:after="0"/>
              <w:rPr>
                <w:sz w:val="20"/>
                <w:szCs w:val="20"/>
                <w:color w:val="auto"/>
              </w:rPr>
            </w:pPr>
            <w:r>
              <w:rPr>
                <w:rFonts w:ascii="Arial" w:cs="Arial" w:eastAsia="Arial" w:hAnsi="Arial"/>
                <w:sz w:val="14"/>
                <w:szCs w:val="14"/>
                <w:color w:val="FFFFFF"/>
              </w:rPr>
              <w:t>50 Wynn Macau, Limited</w:t>
            </w:r>
          </w:p>
        </w:tc>
        <w:tc>
          <w:tcPr>
            <w:tcW w:w="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040" w:type="dxa"/>
            <w:vAlign w:val="bottom"/>
            <w:gridSpan w:val="3"/>
          </w:tcPr>
          <w:p>
            <w:pPr>
              <w:spacing w:after="0"/>
              <w:rPr>
                <w:sz w:val="20"/>
                <w:szCs w:val="20"/>
                <w:color w:val="auto"/>
              </w:rPr>
            </w:pPr>
            <w:r>
              <w:rPr>
                <w:rFonts w:ascii="Arial" w:cs="Arial" w:eastAsia="Arial" w:hAnsi="Arial"/>
                <w:sz w:val="3"/>
                <w:szCs w:val="3"/>
                <w:color w:val="FFFFFF"/>
              </w:rPr>
              <w:t>Report of the Directors</w:t>
            </w:r>
          </w:p>
        </w:tc>
        <w:tc>
          <w:tcPr>
            <w:tcW w:w="840" w:type="dxa"/>
            <w:vAlign w:val="bottom"/>
          </w:tcPr>
          <w:p>
            <w:pPr>
              <w:spacing w:after="0"/>
              <w:rPr>
                <w:sz w:val="3"/>
                <w:szCs w:val="3"/>
                <w:color w:val="auto"/>
              </w:rPr>
            </w:pPr>
          </w:p>
        </w:tc>
        <w:tc>
          <w:tcPr>
            <w:tcW w:w="40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DIRECTORS’ (INCLUDING MR. KAZUO OKADA*) AND CHIEF EXECUTIVES’ INTEREST AND SHORT POSITIONS IN THE SHARES, UNDERLYING SHARES AND DEBENTURES OF THE</w:t>
            </w:r>
          </w:p>
        </w:tc>
        <w:tc>
          <w:tcPr>
            <w:tcW w:w="0" w:type="dxa"/>
            <w:vAlign w:val="bottom"/>
          </w:tcPr>
          <w:p>
            <w:pPr>
              <w:spacing w:after="0"/>
              <w:rPr>
                <w:sz w:val="1"/>
                <w:szCs w:val="1"/>
                <w:color w:val="auto"/>
              </w:rPr>
            </w:pPr>
          </w:p>
        </w:tc>
      </w:tr>
      <w:tr>
        <w:trPr>
          <w:trHeight w:val="41"/>
        </w:trPr>
        <w:tc>
          <w:tcPr>
            <w:tcW w:w="3880" w:type="dxa"/>
            <w:vAlign w:val="bottom"/>
            <w:gridSpan w:val="4"/>
          </w:tcPr>
          <w:p>
            <w:pPr>
              <w:spacing w:after="0"/>
              <w:rPr>
                <w:sz w:val="20"/>
                <w:szCs w:val="20"/>
                <w:color w:val="auto"/>
              </w:rPr>
            </w:pPr>
            <w:r>
              <w:rPr>
                <w:rFonts w:ascii="Arial" w:cs="Arial" w:eastAsia="Arial" w:hAnsi="Arial"/>
                <w:sz w:val="3"/>
                <w:szCs w:val="3"/>
                <w:color w:val="FFFFFF"/>
              </w:rPr>
              <w:t>COMPANY AND ANY ASSOCIATED CORPORATION (continued)</w:t>
            </w:r>
          </w:p>
        </w:tc>
        <w:tc>
          <w:tcPr>
            <w:tcW w:w="40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(2)</w:t>
            </w:r>
          </w:p>
        </w:tc>
        <w:tc>
          <w:tcPr>
            <w:tcW w:w="11200" w:type="dxa"/>
            <w:vAlign w:val="bottom"/>
            <w:gridSpan w:val="5"/>
          </w:tcPr>
          <w:p>
            <w:pPr>
              <w:ind w:left="20"/>
              <w:spacing w:after="0"/>
              <w:rPr>
                <w:sz w:val="20"/>
                <w:szCs w:val="20"/>
                <w:color w:val="auto"/>
              </w:rPr>
            </w:pPr>
            <w:r>
              <w:rPr>
                <w:rFonts w:ascii="Arial" w:cs="Arial" w:eastAsia="Arial" w:hAnsi="Arial"/>
                <w:sz w:val="3"/>
                <w:szCs w:val="3"/>
                <w:color w:val="FFFFFF"/>
              </w:rPr>
              <w:t>Pursuant to the Company’s share option scheme, share options for 350,000 Shares have been granted to Mr. Bruce Rockowitz, of which share options for 50,000 have vested and were exercised in the year</w:t>
            </w:r>
          </w:p>
        </w:tc>
        <w:tc>
          <w:tcPr>
            <w:tcW w:w="0" w:type="dxa"/>
            <w:vAlign w:val="bottom"/>
          </w:tcPr>
          <w:p>
            <w:pPr>
              <w:spacing w:after="0"/>
              <w:rPr>
                <w:sz w:val="1"/>
                <w:szCs w:val="1"/>
                <w:color w:val="auto"/>
              </w:rPr>
            </w:pPr>
          </w:p>
        </w:tc>
      </w:tr>
      <w:tr>
        <w:trPr>
          <w:trHeight w:val="41"/>
        </w:trPr>
        <w:tc>
          <w:tcPr>
            <w:tcW w:w="7880" w:type="dxa"/>
            <w:vAlign w:val="bottom"/>
            <w:gridSpan w:val="5"/>
          </w:tcPr>
          <w:p>
            <w:pPr>
              <w:spacing w:after="0"/>
              <w:rPr>
                <w:sz w:val="20"/>
                <w:szCs w:val="20"/>
                <w:color w:val="auto"/>
              </w:rPr>
            </w:pPr>
            <w:r>
              <w:rPr>
                <w:rFonts w:ascii="Arial" w:cs="Arial" w:eastAsia="Arial" w:hAnsi="Arial"/>
                <w:sz w:val="3"/>
                <w:szCs w:val="3"/>
                <w:color w:val="FFFFFF"/>
              </w:rPr>
              <w:t>ended 31 December 2011 and became 50,000 Shares held by Mr. Bruce Rockowitz. Share options for 50,000 Shares vested on 25 March 2012.</w:t>
            </w: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3)</w:t>
            </w:r>
          </w:p>
        </w:tc>
        <w:tc>
          <w:tcPr>
            <w:tcW w:w="660" w:type="dxa"/>
            <w:vAlign w:val="bottom"/>
          </w:tcPr>
          <w:p>
            <w:pPr>
              <w:spacing w:after="0"/>
              <w:rPr>
                <w:sz w:val="3"/>
                <w:szCs w:val="3"/>
                <w:color w:val="auto"/>
              </w:rPr>
            </w:pPr>
          </w:p>
        </w:tc>
        <w:tc>
          <w:tcPr>
            <w:tcW w:w="10540" w:type="dxa"/>
            <w:vAlign w:val="bottom"/>
            <w:gridSpan w:val="4"/>
          </w:tcPr>
          <w:p>
            <w:pPr>
              <w:ind w:left="200"/>
              <w:spacing w:after="0"/>
              <w:rPr>
                <w:sz w:val="20"/>
                <w:szCs w:val="20"/>
                <w:color w:val="auto"/>
              </w:rPr>
            </w:pPr>
            <w:r>
              <w:rPr>
                <w:rFonts w:ascii="Arial" w:cs="Arial" w:eastAsia="Arial" w:hAnsi="Arial"/>
                <w:sz w:val="3"/>
                <w:szCs w:val="3"/>
                <w:color w:val="FFFFFF"/>
              </w:rPr>
              <w:t>Company’s share option scheme, share options for 350,000 Shares have been granted to Mr. Jeffrey Kin-fung Lam, of which share options for 100,000 Shares vested by 25 March 2012.</w:t>
            </w: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(4)</w:t>
            </w:r>
          </w:p>
        </w:tc>
        <w:tc>
          <w:tcPr>
            <w:tcW w:w="11200" w:type="dxa"/>
            <w:vAlign w:val="bottom"/>
            <w:gridSpan w:val="5"/>
          </w:tcPr>
          <w:p>
            <w:pPr>
              <w:ind w:left="20"/>
              <w:spacing w:after="0"/>
              <w:rPr>
                <w:sz w:val="20"/>
                <w:szCs w:val="20"/>
                <w:color w:val="auto"/>
              </w:rPr>
            </w:pPr>
            <w:r>
              <w:rPr>
                <w:rFonts w:ascii="Arial" w:cs="Arial" w:eastAsia="Arial" w:hAnsi="Arial"/>
                <w:sz w:val="3"/>
                <w:szCs w:val="3"/>
                <w:color w:val="FFFFFF"/>
              </w:rPr>
              <w:t>Pursuant to the 2002 Stock Incentive Plan of Wynn Resorts, Limited (the “Stock Plan”), Mr. Ian Michael Coughlan holds (i) 10,000 non-vested shares which vested on 1 January 2012 and became 10,000</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shares in common stock of Wynn Resorts, Limited and; (ii) 50,000 stock options in the common stock of Wynn Resorts, Limited of which share options for 10,000 shares have vested.</w:t>
            </w: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(5)</w:t>
            </w:r>
          </w:p>
        </w:tc>
        <w:tc>
          <w:tcPr>
            <w:tcW w:w="11200" w:type="dxa"/>
            <w:vAlign w:val="bottom"/>
            <w:gridSpan w:val="5"/>
          </w:tcPr>
          <w:p>
            <w:pPr>
              <w:ind w:left="20"/>
              <w:spacing w:after="0"/>
              <w:rPr>
                <w:sz w:val="20"/>
                <w:szCs w:val="20"/>
                <w:color w:val="auto"/>
              </w:rPr>
            </w:pPr>
            <w:r>
              <w:rPr>
                <w:rFonts w:ascii="Arial" w:cs="Arial" w:eastAsia="Arial" w:hAnsi="Arial"/>
                <w:sz w:val="3"/>
                <w:szCs w:val="3"/>
                <w:color w:val="FFFFFF"/>
              </w:rPr>
              <w:t>Pursuant to the Stock Plan, Ms. Linda Chen holds (i) 200,000 non-vested shares; and (ii) 415,000 unvested stock options in the common stock of Wynn Resorts, Limited. 65,000 shares in the common stock</w:t>
            </w:r>
          </w:p>
        </w:tc>
        <w:tc>
          <w:tcPr>
            <w:tcW w:w="0" w:type="dxa"/>
            <w:vAlign w:val="bottom"/>
          </w:tcPr>
          <w:p>
            <w:pPr>
              <w:spacing w:after="0"/>
              <w:rPr>
                <w:sz w:val="1"/>
                <w:szCs w:val="1"/>
                <w:color w:val="auto"/>
              </w:rPr>
            </w:pPr>
          </w:p>
        </w:tc>
      </w:tr>
      <w:tr>
        <w:trPr>
          <w:trHeight w:val="41"/>
        </w:trPr>
        <w:tc>
          <w:tcPr>
            <w:tcW w:w="3880" w:type="dxa"/>
            <w:vAlign w:val="bottom"/>
            <w:gridSpan w:val="4"/>
          </w:tcPr>
          <w:p>
            <w:pPr>
              <w:spacing w:after="0"/>
              <w:rPr>
                <w:sz w:val="20"/>
                <w:szCs w:val="20"/>
                <w:color w:val="auto"/>
              </w:rPr>
            </w:pPr>
            <w:r>
              <w:rPr>
                <w:rFonts w:ascii="Arial" w:cs="Arial" w:eastAsia="Arial" w:hAnsi="Arial"/>
                <w:sz w:val="3"/>
                <w:szCs w:val="3"/>
                <w:color w:val="FFFFFF"/>
              </w:rPr>
              <w:t>of Wynn Resorts, Limited are held by Ms. Linda Chen personally.</w:t>
            </w:r>
          </w:p>
        </w:tc>
        <w:tc>
          <w:tcPr>
            <w:tcW w:w="40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(6)</w:t>
            </w:r>
          </w:p>
        </w:tc>
        <w:tc>
          <w:tcPr>
            <w:tcW w:w="11200" w:type="dxa"/>
            <w:vAlign w:val="bottom"/>
            <w:gridSpan w:val="5"/>
          </w:tcPr>
          <w:p>
            <w:pPr>
              <w:ind w:left="20"/>
              <w:spacing w:after="0"/>
              <w:rPr>
                <w:sz w:val="20"/>
                <w:szCs w:val="20"/>
                <w:color w:val="auto"/>
              </w:rPr>
            </w:pPr>
            <w:r>
              <w:rPr>
                <w:rFonts w:ascii="Arial" w:cs="Arial" w:eastAsia="Arial" w:hAnsi="Arial"/>
                <w:sz w:val="3"/>
                <w:szCs w:val="3"/>
                <w:color w:val="FFFFFF"/>
              </w:rPr>
              <w:t>Pursuant to the Company’s stock option scheme, share options for 350,000 Shares have been granted to Dr. Allan Zeman, of which share options for 100,000 Shares vested by 25 March 2012. Pursuant to the</w:t>
            </w:r>
          </w:p>
        </w:tc>
        <w:tc>
          <w:tcPr>
            <w:tcW w:w="0" w:type="dxa"/>
            <w:vAlign w:val="bottom"/>
          </w:tcPr>
          <w:p>
            <w:pPr>
              <w:spacing w:after="0"/>
              <w:rPr>
                <w:sz w:val="1"/>
                <w:szCs w:val="1"/>
                <w:color w:val="auto"/>
              </w:rPr>
            </w:pPr>
          </w:p>
        </w:tc>
      </w:tr>
      <w:tr>
        <w:trPr>
          <w:trHeight w:val="41"/>
        </w:trPr>
        <w:tc>
          <w:tcPr>
            <w:tcW w:w="840" w:type="dxa"/>
            <w:vAlign w:val="bottom"/>
            <w:gridSpan w:val="2"/>
          </w:tcPr>
          <w:p>
            <w:pPr>
              <w:spacing w:after="0"/>
              <w:rPr>
                <w:sz w:val="20"/>
                <w:szCs w:val="20"/>
                <w:color w:val="auto"/>
              </w:rPr>
            </w:pPr>
            <w:r>
              <w:rPr>
                <w:rFonts w:ascii="Arial" w:cs="Arial" w:eastAsia="Arial" w:hAnsi="Arial"/>
                <w:sz w:val="3"/>
                <w:szCs w:val="3"/>
                <w:color w:val="FFFFFF"/>
              </w:rPr>
              <w:t>Stock Plan, Dr.</w:t>
            </w:r>
          </w:p>
        </w:tc>
        <w:tc>
          <w:tcPr>
            <w:tcW w:w="2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Allan Zeman holds (i) 2,500 shares in the common stock of Wynn Resorts, Limited which were non-vested shares which had vested in the year ended 31 December 2011; (ii) 5,000 non-vested shares; and (iii) in</w:t>
            </w:r>
          </w:p>
        </w:tc>
        <w:tc>
          <w:tcPr>
            <w:tcW w:w="0" w:type="dxa"/>
            <w:vAlign w:val="bottom"/>
          </w:tcPr>
          <w:p>
            <w:pPr>
              <w:spacing w:after="0"/>
              <w:rPr>
                <w:sz w:val="1"/>
                <w:szCs w:val="1"/>
                <w:color w:val="auto"/>
              </w:rPr>
            </w:pPr>
          </w:p>
        </w:tc>
      </w:tr>
      <w:tr>
        <w:trPr>
          <w:trHeight w:val="41"/>
        </w:trPr>
        <w:tc>
          <w:tcPr>
            <w:tcW w:w="7880" w:type="dxa"/>
            <w:vAlign w:val="bottom"/>
            <w:gridSpan w:val="5"/>
          </w:tcPr>
          <w:p>
            <w:pPr>
              <w:spacing w:after="0"/>
              <w:rPr>
                <w:sz w:val="20"/>
                <w:szCs w:val="20"/>
                <w:color w:val="auto"/>
              </w:rPr>
            </w:pPr>
            <w:r>
              <w:rPr>
                <w:rFonts w:ascii="Arial" w:cs="Arial" w:eastAsia="Arial" w:hAnsi="Arial"/>
                <w:sz w:val="3"/>
                <w:szCs w:val="3"/>
                <w:color w:val="FFFFFF"/>
              </w:rPr>
              <w:t>aggregate 38,600 stock options in the common stock of Wynn Resorts, Limited, of which share options for 23,000 shares have vested.</w:t>
            </w: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7)</w:t>
            </w:r>
          </w:p>
        </w:tc>
        <w:tc>
          <w:tcPr>
            <w:tcW w:w="11200" w:type="dxa"/>
            <w:vAlign w:val="bottom"/>
            <w:gridSpan w:val="5"/>
          </w:tcPr>
          <w:p>
            <w:pPr>
              <w:ind w:left="100"/>
              <w:spacing w:after="0"/>
              <w:rPr>
                <w:sz w:val="20"/>
                <w:szCs w:val="20"/>
                <w:color w:val="auto"/>
              </w:rPr>
            </w:pPr>
            <w:r>
              <w:rPr>
                <w:rFonts w:ascii="Arial" w:cs="Arial" w:eastAsia="Arial" w:hAnsi="Arial"/>
                <w:sz w:val="3"/>
                <w:szCs w:val="3"/>
                <w:color w:val="FFFFFF"/>
              </w:rPr>
              <w:t>ursuant to the Stock Plan, Mr. Marc D. Schorr holds (i) 250,000 non-vested shares; and (ii) 400,000 unvested stock options in the common stock of Wynn Resorts, Limited.</w:t>
            </w: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(8)</w:t>
            </w:r>
          </w:p>
        </w:tc>
        <w:tc>
          <w:tcPr>
            <w:tcW w:w="7700" w:type="dxa"/>
            <w:vAlign w:val="bottom"/>
            <w:gridSpan w:val="4"/>
          </w:tcPr>
          <w:p>
            <w:pPr>
              <w:ind w:left="20"/>
              <w:spacing w:after="0"/>
              <w:rPr>
                <w:sz w:val="20"/>
                <w:szCs w:val="20"/>
                <w:color w:val="auto"/>
              </w:rPr>
            </w:pPr>
            <w:r>
              <w:rPr>
                <w:rFonts w:ascii="Arial" w:cs="Arial" w:eastAsia="Arial" w:hAnsi="Arial"/>
                <w:sz w:val="3"/>
                <w:szCs w:val="3"/>
                <w:color w:val="FFFFFF"/>
              </w:rPr>
              <w:t>Prior to the Redemption Event (as described on page 56 of this Annual Report), Aruze USA, Inc. was directly interested in 24,549,222</w:t>
            </w:r>
          </w:p>
        </w:tc>
        <w:tc>
          <w:tcPr>
            <w:tcW w:w="3500" w:type="dxa"/>
            <w:vAlign w:val="bottom"/>
          </w:tcPr>
          <w:p>
            <w:pPr>
              <w:ind w:left="140"/>
              <w:spacing w:after="0"/>
              <w:rPr>
                <w:sz w:val="20"/>
                <w:szCs w:val="20"/>
                <w:color w:val="auto"/>
              </w:rPr>
            </w:pPr>
            <w:r>
              <w:rPr>
                <w:rFonts w:ascii="Arial" w:cs="Arial" w:eastAsia="Arial" w:hAnsi="Arial"/>
                <w:sz w:val="3"/>
                <w:szCs w:val="3"/>
                <w:color w:val="FFFFFF"/>
              </w:rPr>
              <w:t>the common stock of Wynn Resorts, Limited. Aruze USA,</w:t>
            </w:r>
          </w:p>
        </w:tc>
        <w:tc>
          <w:tcPr>
            <w:tcW w:w="0" w:type="dxa"/>
            <w:vAlign w:val="bottom"/>
          </w:tcPr>
          <w:p>
            <w:pPr>
              <w:spacing w:after="0"/>
              <w:rPr>
                <w:sz w:val="1"/>
                <w:szCs w:val="1"/>
                <w:color w:val="auto"/>
              </w:rPr>
            </w:pPr>
          </w:p>
        </w:tc>
      </w:tr>
      <w:tr>
        <w:trPr>
          <w:trHeight w:val="41"/>
        </w:trPr>
        <w:tc>
          <w:tcPr>
            <w:tcW w:w="3040" w:type="dxa"/>
            <w:vAlign w:val="bottom"/>
            <w:gridSpan w:val="3"/>
          </w:tcPr>
          <w:p>
            <w:pPr>
              <w:spacing w:after="0"/>
              <w:rPr>
                <w:sz w:val="20"/>
                <w:szCs w:val="20"/>
                <w:color w:val="auto"/>
              </w:rPr>
            </w:pPr>
            <w:r>
              <w:rPr>
                <w:rFonts w:ascii="Arial" w:cs="Arial" w:eastAsia="Arial" w:hAnsi="Arial"/>
                <w:sz w:val="3"/>
                <w:szCs w:val="3"/>
                <w:color w:val="FFFFFF"/>
              </w:rPr>
              <w:t>Inc. is a wholly owned subsidiary of Universal</w:t>
            </w:r>
          </w:p>
        </w:tc>
        <w:tc>
          <w:tcPr>
            <w:tcW w:w="8340" w:type="dxa"/>
            <w:vAlign w:val="bottom"/>
            <w:gridSpan w:val="3"/>
          </w:tcPr>
          <w:p>
            <w:pPr>
              <w:ind w:left="320"/>
              <w:spacing w:after="0"/>
              <w:rPr>
                <w:sz w:val="20"/>
                <w:szCs w:val="20"/>
                <w:color w:val="auto"/>
              </w:rPr>
            </w:pPr>
            <w:r>
              <w:rPr>
                <w:rFonts w:ascii="Arial" w:cs="Arial" w:eastAsia="Arial" w:hAnsi="Arial"/>
                <w:sz w:val="3"/>
                <w:szCs w:val="3"/>
                <w:color w:val="FFFFFF"/>
              </w:rPr>
              <w:t>Corporation (formerly known as Aruze Corp.), in which Mr. Kazuo Okada ownssharescontrolling interest and is the Chairman. Prior to the Redemption</w:t>
            </w:r>
          </w:p>
        </w:tc>
        <w:tc>
          <w:tcPr>
            <w:tcW w:w="0" w:type="dxa"/>
            <w:vAlign w:val="bottom"/>
          </w:tcPr>
          <w:p>
            <w:pPr>
              <w:spacing w:after="0"/>
              <w:rPr>
                <w:sz w:val="1"/>
                <w:szCs w:val="1"/>
                <w:color w:val="auto"/>
              </w:rPr>
            </w:pPr>
          </w:p>
        </w:tc>
      </w:tr>
      <w:tr>
        <w:trPr>
          <w:trHeight w:val="41"/>
        </w:trPr>
        <w:tc>
          <w:tcPr>
            <w:tcW w:w="7880" w:type="dxa"/>
            <w:vAlign w:val="bottom"/>
            <w:gridSpan w:val="5"/>
          </w:tcPr>
          <w:p>
            <w:pPr>
              <w:spacing w:after="0"/>
              <w:rPr>
                <w:sz w:val="20"/>
                <w:szCs w:val="20"/>
                <w:color w:val="auto"/>
              </w:rPr>
            </w:pPr>
            <w:r>
              <w:rPr>
                <w:rFonts w:ascii="Arial" w:cs="Arial" w:eastAsia="Arial" w:hAnsi="Arial"/>
                <w:sz w:val="3"/>
                <w:szCs w:val="3"/>
                <w:color w:val="FFFFFF"/>
              </w:rPr>
              <w:t>Event, Mr. Kazuo Okada was deemed to be interestedEntertainment24,549,222 shares in Wynn Resorts, Limited under the SFO.</w:t>
            </w: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(9)</w:t>
            </w:r>
          </w:p>
        </w:tc>
        <w:tc>
          <w:tcPr>
            <w:tcW w:w="11200" w:type="dxa"/>
            <w:vAlign w:val="bottom"/>
            <w:gridSpan w:val="5"/>
          </w:tcPr>
          <w:p>
            <w:pPr>
              <w:ind w:left="20"/>
              <w:spacing w:after="0"/>
              <w:rPr>
                <w:sz w:val="20"/>
                <w:szCs w:val="20"/>
                <w:color w:val="auto"/>
              </w:rPr>
            </w:pPr>
            <w:r>
              <w:rPr>
                <w:rFonts w:ascii="Arial" w:cs="Arial" w:eastAsia="Arial" w:hAnsi="Arial"/>
                <w:sz w:val="3"/>
                <w:szCs w:val="3"/>
                <w:color w:val="FFFFFF"/>
              </w:rPr>
              <w:t>On 17 April 2010, Aruze USA, Inc. pledged 2,000,000 shares in the common stock of Wynn Resorts, Limited, thus creating a short position in those shares. Prior to the Redemption Event (as described on</w:t>
            </w:r>
          </w:p>
        </w:tc>
        <w:tc>
          <w:tcPr>
            <w:tcW w:w="0" w:type="dxa"/>
            <w:vAlign w:val="bottom"/>
          </w:tcPr>
          <w:p>
            <w:pPr>
              <w:spacing w:after="0"/>
              <w:rPr>
                <w:sz w:val="1"/>
                <w:szCs w:val="1"/>
                <w:color w:val="auto"/>
              </w:rPr>
            </w:pPr>
          </w:p>
        </w:tc>
      </w:tr>
      <w:tr>
        <w:trPr>
          <w:trHeight w:val="41"/>
        </w:trPr>
        <w:tc>
          <w:tcPr>
            <w:tcW w:w="840" w:type="dxa"/>
            <w:vAlign w:val="bottom"/>
            <w:gridSpan w:val="2"/>
          </w:tcPr>
          <w:p>
            <w:pPr>
              <w:spacing w:after="0"/>
              <w:rPr>
                <w:sz w:val="20"/>
                <w:szCs w:val="20"/>
                <w:color w:val="auto"/>
              </w:rPr>
            </w:pPr>
            <w:r>
              <w:rPr>
                <w:rFonts w:ascii="Arial" w:cs="Arial" w:eastAsia="Arial" w:hAnsi="Arial"/>
                <w:sz w:val="3"/>
                <w:szCs w:val="3"/>
                <w:color w:val="FFFFFF"/>
              </w:rPr>
              <w:t>page 56 of this</w:t>
            </w:r>
          </w:p>
        </w:tc>
        <w:tc>
          <w:tcPr>
            <w:tcW w:w="2200" w:type="dxa"/>
            <w:vAlign w:val="bottom"/>
          </w:tcPr>
          <w:p>
            <w:pPr>
              <w:ind w:left="440"/>
              <w:spacing w:after="0"/>
              <w:rPr>
                <w:sz w:val="20"/>
                <w:szCs w:val="20"/>
                <w:color w:val="auto"/>
              </w:rPr>
            </w:pPr>
            <w:r>
              <w:rPr>
                <w:rFonts w:ascii="Arial" w:cs="Arial" w:eastAsia="Arial" w:hAnsi="Arial"/>
                <w:sz w:val="3"/>
                <w:szCs w:val="3"/>
                <w:color w:val="FFFFFF"/>
              </w:rPr>
              <w:t>Report), Mr. Kazuo Okada</w:t>
            </w:r>
          </w:p>
        </w:tc>
        <w:tc>
          <w:tcPr>
            <w:tcW w:w="840" w:type="dxa"/>
            <w:vAlign w:val="bottom"/>
          </w:tcPr>
          <w:p>
            <w:pPr>
              <w:spacing w:after="0"/>
              <w:rPr>
                <w:sz w:val="3"/>
                <w:szCs w:val="3"/>
                <w:color w:val="auto"/>
              </w:rPr>
            </w:pPr>
          </w:p>
        </w:tc>
        <w:tc>
          <w:tcPr>
            <w:tcW w:w="400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stock of Wynn Resorts, Limited.</w:t>
            </w: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gridSpan w:val="2"/>
          </w:tcPr>
          <w:p>
            <w:pPr>
              <w:spacing w:after="0"/>
              <w:rPr>
                <w:sz w:val="20"/>
                <w:szCs w:val="20"/>
                <w:color w:val="auto"/>
              </w:rPr>
            </w:pPr>
            <w:r>
              <w:rPr>
                <w:rFonts w:ascii="Arial" w:cs="Arial" w:eastAsia="Arial" w:hAnsi="Arial"/>
                <w:sz w:val="3"/>
                <w:szCs w:val="3"/>
                <w:color w:val="FFFFFF"/>
              </w:rPr>
              <w:t>was deemed to</w:t>
            </w:r>
          </w:p>
        </w:tc>
        <w:tc>
          <w:tcPr>
            <w:tcW w:w="3040" w:type="dxa"/>
            <w:vAlign w:val="bottom"/>
            <w:gridSpan w:val="2"/>
          </w:tcPr>
          <w:p>
            <w:pPr>
              <w:spacing w:after="0"/>
              <w:rPr>
                <w:sz w:val="20"/>
                <w:szCs w:val="20"/>
                <w:color w:val="auto"/>
              </w:rPr>
            </w:pPr>
            <w:r>
              <w:rPr>
                <w:rFonts w:ascii="Arial" w:cs="Arial" w:eastAsia="Arial" w:hAnsi="Arial"/>
                <w:sz w:val="3"/>
                <w:szCs w:val="3"/>
                <w:color w:val="FFFFFF"/>
              </w:rPr>
              <w:t>Annualhaveshort position in 2,000,000 shares in the</w:t>
            </w:r>
          </w:p>
        </w:tc>
        <w:tc>
          <w:tcPr>
            <w:tcW w:w="4000" w:type="dxa"/>
            <w:vAlign w:val="bottom"/>
            <w:vMerge w:val="continue"/>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20"/>
                <w:szCs w:val="20"/>
                <w:color w:val="auto"/>
              </w:rPr>
            </w:pPr>
            <w:r>
              <w:rPr>
                <w:rFonts w:ascii="Arial" w:cs="Arial" w:eastAsia="Arial" w:hAnsi="Arial"/>
                <w:sz w:val="14"/>
                <w:szCs w:val="14"/>
                <w:color w:val="FFFFFF"/>
              </w:rPr>
              <w:t>*</w:t>
            </w:r>
          </w:p>
        </w:tc>
        <w:tc>
          <w:tcPr>
            <w:tcW w:w="7700" w:type="dxa"/>
            <w:vAlign w:val="bottom"/>
            <w:gridSpan w:val="4"/>
          </w:tcPr>
          <w:p>
            <w:pPr>
              <w:ind w:left="280"/>
              <w:spacing w:after="0"/>
              <w:rPr>
                <w:sz w:val="20"/>
                <w:szCs w:val="20"/>
                <w:color w:val="auto"/>
              </w:rPr>
            </w:pPr>
            <w:r>
              <w:rPr>
                <w:rFonts w:ascii="Arial" w:cs="Arial" w:eastAsia="Arial" w:hAnsi="Arial"/>
                <w:sz w:val="14"/>
                <w:szCs w:val="14"/>
                <w:color w:val="FFFFFF"/>
              </w:rPr>
              <w:t>Mr. Kazuo Okada ceased to be a member of our Board common24February 2012.</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40" w:right="27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AnnualReport ofReporttheDirectors201151</w:t>
      </w:r>
    </w:p>
    <w:p>
      <w:pPr>
        <w:spacing w:after="0" w:line="181" w:lineRule="auto"/>
        <w:rPr>
          <w:sz w:val="20"/>
          <w:szCs w:val="20"/>
          <w:color w:val="auto"/>
        </w:rPr>
      </w:pPr>
      <w:r>
        <w:rPr>
          <w:rFonts w:ascii="Arial" w:cs="Arial" w:eastAsia="Arial" w:hAnsi="Arial"/>
          <w:sz w:val="7"/>
          <w:szCs w:val="7"/>
          <w:color w:val="FFFFFF"/>
        </w:rPr>
        <w:t>TheSUBSTANTIALregisterofsubstantialSHAREHOLDERS’shareholdersINTERESTSrequiredtobeANDkeptSHORTbytheCompanyPOSITIONSunderINsectionTHESHARES336ofPartANDXVUNDERLYINGoftheSFOshowsSHARESthatas atOF31THEDecemberCOMPANY2011, the Company had been notifi ed of the following substantial shareholders’ interests and short positions(includingthe shares and underlying shares of the Company, being interests of 5% or more of the Company’s issued share capital. These interests are addition to</w:t>
      </w:r>
    </w:p>
    <w:p>
      <w:pPr>
        <w:spacing w:after="0" w:line="197" w:lineRule="auto"/>
        <w:rPr>
          <w:sz w:val="20"/>
          <w:szCs w:val="20"/>
          <w:color w:val="auto"/>
        </w:rPr>
      </w:pPr>
      <w:r>
        <w:rPr>
          <w:rFonts w:ascii="Arial" w:cs="Arial" w:eastAsia="Arial" w:hAnsi="Arial"/>
          <w:sz w:val="10"/>
          <w:szCs w:val="10"/>
          <w:color w:val="FFFFFF"/>
        </w:rPr>
        <w:t>*those disclosedMr.KazuoaboveOkadainrespectceasedoftothebe Directorsamember of our BoardMr. onKazuo24FebruaryOkada*)2012.andchief executives of the Company.</w:t>
      </w:r>
    </w:p>
    <w:p>
      <w:pPr>
        <w:spacing w:after="0"/>
        <w:rPr>
          <w:sz w:val="20"/>
          <w:szCs w:val="20"/>
          <w:color w:val="auto"/>
        </w:rPr>
      </w:pPr>
      <w:r>
        <w:rPr>
          <w:rFonts w:ascii="Arial" w:cs="Arial" w:eastAsia="Arial" w:hAnsi="Arial"/>
          <w:sz w:val="3"/>
          <w:szCs w:val="3"/>
          <w:color w:val="FFFFFF"/>
        </w:rPr>
        <w:t>PercentageSharesofHKof$0.001 each in the Company</w:t>
      </w:r>
    </w:p>
    <w:p>
      <w:pPr>
        <w:spacing w:after="0" w:line="181" w:lineRule="auto"/>
        <w:rPr>
          <w:sz w:val="20"/>
          <w:szCs w:val="20"/>
          <w:color w:val="auto"/>
        </w:rPr>
      </w:pPr>
      <w:r>
        <w:rPr>
          <w:rFonts w:ascii="Arial" w:cs="Arial" w:eastAsia="Arial" w:hAnsi="Arial"/>
          <w:sz w:val="10"/>
          <w:szCs w:val="10"/>
          <w:color w:val="FFFFFF"/>
        </w:rPr>
        <w:t>the issued share</w:t>
      </w:r>
    </w:p>
    <w:p>
      <w:pPr>
        <w:spacing w:after="0" w:line="188" w:lineRule="auto"/>
        <w:rPr>
          <w:sz w:val="20"/>
          <w:szCs w:val="20"/>
          <w:color w:val="auto"/>
        </w:rPr>
      </w:pPr>
      <w:r>
        <w:rPr>
          <w:rFonts w:ascii="Arial" w:cs="Arial" w:eastAsia="Arial" w:hAnsi="Arial"/>
          <w:sz w:val="9"/>
          <w:szCs w:val="9"/>
          <w:color w:val="FFFFFF"/>
        </w:rPr>
        <w:t>NameCapacity/NatureNumberofInterestofcapitalSharesof theCompany</w:t>
      </w:r>
    </w:p>
    <w:p>
      <w:pPr>
        <w:spacing w:after="0" w:line="188" w:lineRule="auto"/>
        <w:rPr>
          <w:sz w:val="20"/>
          <w:szCs w:val="20"/>
          <w:color w:val="auto"/>
        </w:rPr>
      </w:pPr>
      <w:r>
        <w:rPr>
          <w:rFonts w:ascii="Arial" w:cs="Arial" w:eastAsia="Arial" w:hAnsi="Arial"/>
          <w:sz w:val="9"/>
          <w:szCs w:val="9"/>
          <w:color w:val="FFFFFF"/>
        </w:rPr>
        <w:t>(NoteWMCayman1)(LongHoldingsPosition)Limited I Beneficial interest 3,750,000,000 72.29%</w:t>
      </w:r>
    </w:p>
    <w:p>
      <w:pPr>
        <w:spacing w:after="0" w:line="188" w:lineRule="auto"/>
        <w:rPr>
          <w:sz w:val="20"/>
          <w:szCs w:val="20"/>
          <w:color w:val="auto"/>
        </w:rPr>
      </w:pPr>
      <w:r>
        <w:rPr>
          <w:rFonts w:ascii="Arial" w:cs="Arial" w:eastAsia="Arial" w:hAnsi="Arial"/>
          <w:sz w:val="9"/>
          <w:szCs w:val="9"/>
          <w:color w:val="FFFFFF"/>
        </w:rPr>
        <w:t>corporationWynnGroup(LongAsia, Position)Inc.(Note 1) Interest of a controlled 3,750,000,000 72.29%</w:t>
      </w:r>
    </w:p>
    <w:p>
      <w:pPr>
        <w:spacing w:after="0" w:line="188" w:lineRule="auto"/>
        <w:rPr>
          <w:sz w:val="20"/>
          <w:szCs w:val="20"/>
          <w:color w:val="auto"/>
        </w:rPr>
      </w:pPr>
      <w:r>
        <w:rPr>
          <w:rFonts w:ascii="Arial" w:cs="Arial" w:eastAsia="Arial" w:hAnsi="Arial"/>
          <w:sz w:val="9"/>
          <w:szCs w:val="9"/>
          <w:color w:val="FFFFFF"/>
        </w:rPr>
        <w:t>corporationWynnResorts,(LongLimitedPosition)(Note 1) Interest of a controlled 3,750,000,000 72.29%</w:t>
      </w:r>
    </w:p>
    <w:p>
      <w:pPr>
        <w:spacing w:after="0"/>
        <w:rPr>
          <w:sz w:val="20"/>
          <w:szCs w:val="20"/>
          <w:color w:val="auto"/>
        </w:rPr>
      </w:pPr>
      <w:r>
        <w:rPr>
          <w:rFonts w:ascii="Arial" w:cs="Arial" w:eastAsia="Arial" w:hAnsi="Arial"/>
          <w:sz w:val="3"/>
          <w:szCs w:val="3"/>
          <w:color w:val="FFFFFF"/>
        </w:rPr>
        <w:t>ManagementCapitalResearchCompanyandInvestment(LongPosition)manager 262,961,600 5.07%</w:t>
      </w:r>
    </w:p>
    <w:p>
      <w:pPr>
        <w:spacing w:after="0" w:line="194" w:lineRule="auto"/>
        <w:rPr>
          <w:sz w:val="20"/>
          <w:szCs w:val="20"/>
          <w:color w:val="auto"/>
        </w:rPr>
      </w:pPr>
      <w:r>
        <w:rPr>
          <w:rFonts w:ascii="Arial" w:cs="Arial" w:eastAsia="Arial" w:hAnsi="Arial"/>
          <w:sz w:val="5"/>
          <w:szCs w:val="5"/>
          <w:color w:val="FFFFFF"/>
        </w:rPr>
        <w:t>Note:</w:t>
      </w:r>
    </w:p>
    <w:p>
      <w:pPr>
        <w:ind w:right="120"/>
        <w:spacing w:after="0" w:line="187" w:lineRule="auto"/>
        <w:rPr>
          <w:sz w:val="20"/>
          <w:szCs w:val="20"/>
          <w:color w:val="auto"/>
        </w:rPr>
      </w:pPr>
      <w:r>
        <w:rPr>
          <w:rFonts w:ascii="Arial" w:cs="Arial" w:eastAsia="Arial" w:hAnsi="Arial"/>
          <w:sz w:val="7"/>
          <w:szCs w:val="7"/>
          <w:color w:val="FFFFFF"/>
        </w:rPr>
        <w:t>(1) WM Cayman Holdings Limited I is a wholly owned subsidiary of Wynn Group Asia, Inc., which in turn is wholly owned by Wynn Resorts, Limited. Therefore Wynn Group Asia, Inc. and Wynn Resorts, Limited are deemed or taken to be interested</w:t>
      </w:r>
      <w:r>
        <w:rPr>
          <w:rFonts w:ascii="Arial" w:cs="Arial" w:eastAsia="Arial" w:hAnsi="Arial"/>
          <w:sz w:val="9"/>
          <w:szCs w:val="9"/>
          <w:color w:val="FFFFFF"/>
          <w:vertAlign w:val="subscript"/>
        </w:rPr>
        <w:t>register</w:t>
      </w:r>
      <w:r>
        <w:rPr>
          <w:rFonts w:ascii="Arial" w:cs="Arial" w:eastAsia="Arial" w:hAnsi="Arial"/>
          <w:sz w:val="7"/>
          <w:szCs w:val="7"/>
          <w:color w:val="FFFFFF"/>
        </w:rPr>
        <w:t>n3,750,000,000 Shares which are benefi cially owned by WM Cayman Holdings Limited I.</w:t>
      </w:r>
    </w:p>
    <w:p>
      <w:pPr>
        <w:spacing w:after="0" w:line="190" w:lineRule="auto"/>
        <w:rPr>
          <w:sz w:val="20"/>
          <w:szCs w:val="20"/>
          <w:color w:val="auto"/>
        </w:rPr>
      </w:pPr>
      <w:r>
        <w:rPr>
          <w:rFonts w:ascii="Arial" w:cs="Arial" w:eastAsia="Arial" w:hAnsi="Arial"/>
          <w:sz w:val="11"/>
          <w:szCs w:val="11"/>
          <w:color w:val="FFFFFF"/>
        </w:rPr>
        <w:t>Save as disclosed above, according to the kept by the Company under Section 336 of the SFO, there was no other person who had an interest or short positions in the Shares or underlying Shares of the Company as at 31 December 2011.</w:t>
      </w:r>
    </w:p>
    <w:p>
      <w:pPr>
        <w:sectPr>
          <w:pgSz w:w="11900" w:h="16838" w:orient="portrait"/>
          <w:cols w:equalWidth="0" w:num="1">
            <w:col w:w="11280"/>
          </w:cols>
          <w:pgMar w:left="240" w:top="1440" w:right="37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52 Wynn Macau, Limited</w:t>
      </w:r>
    </w:p>
    <w:p>
      <w:pPr>
        <w:spacing w:after="0" w:line="187" w:lineRule="auto"/>
        <w:rPr>
          <w:sz w:val="20"/>
          <w:szCs w:val="20"/>
          <w:color w:val="auto"/>
        </w:rPr>
      </w:pPr>
      <w:r>
        <w:rPr>
          <w:rFonts w:ascii="Arial" w:cs="Arial" w:eastAsia="Arial" w:hAnsi="Arial"/>
          <w:sz w:val="9"/>
          <w:szCs w:val="9"/>
          <w:color w:val="FFFFFF"/>
        </w:rPr>
        <w:t>REMUNERAeportoftheTIONDirectorsPOLICY</w:t>
      </w:r>
    </w:p>
    <w:p>
      <w:pPr>
        <w:ind w:right="320"/>
        <w:spacing w:after="0" w:line="181" w:lineRule="auto"/>
        <w:rPr>
          <w:sz w:val="20"/>
          <w:szCs w:val="20"/>
          <w:color w:val="auto"/>
        </w:rPr>
      </w:pPr>
      <w:r>
        <w:rPr>
          <w:rFonts w:ascii="Arial" w:cs="Arial" w:eastAsia="Arial" w:hAnsi="Arial"/>
          <w:sz w:val="7"/>
          <w:szCs w:val="7"/>
          <w:color w:val="FFFFFF"/>
        </w:rPr>
        <w:t>competenceAsat31Decemberandcontribution2011,the toGrouptheGroup.hadapproximately 7,400 full-time equivalent employees. Employees of the Group are selected, remunerated and promoted on the basis of their merit, qualifi cations, Compensation of key executives of the Group is determined by the Company’s remuneration committee which reviews and determines executives’ compensation based on the Group’s performance and the</w:t>
      </w:r>
    </w:p>
    <w:p>
      <w:pPr>
        <w:spacing w:after="0"/>
        <w:tabs>
          <w:tab w:leader="none" w:pos="2640" w:val="left"/>
        </w:tabs>
        <w:rPr>
          <w:sz w:val="20"/>
          <w:szCs w:val="20"/>
          <w:color w:val="auto"/>
        </w:rPr>
      </w:pPr>
      <w:r>
        <w:rPr>
          <w:rFonts w:ascii="Arial" w:cs="Arial" w:eastAsia="Arial" w:hAnsi="Arial"/>
          <w:sz w:val="3"/>
          <w:szCs w:val="3"/>
          <w:color w:val="FFFFFF"/>
        </w:rPr>
        <w:t>executives’ respective contributions to the</w:t>
      </w:r>
      <w:r>
        <w:rPr>
          <w:sz w:val="20"/>
          <w:szCs w:val="20"/>
          <w:color w:val="auto"/>
        </w:rPr>
        <w:tab/>
      </w:r>
      <w:r>
        <w:rPr>
          <w:rFonts w:ascii="Arial" w:cs="Arial" w:eastAsia="Arial" w:hAnsi="Arial"/>
          <w:sz w:val="3"/>
          <w:szCs w:val="3"/>
          <w:color w:val="FFFFFF"/>
        </w:rPr>
        <w:t>.</w:t>
      </w:r>
    </w:p>
    <w:p>
      <w:pPr>
        <w:spacing w:after="0" w:line="181" w:lineRule="auto"/>
        <w:rPr>
          <w:sz w:val="20"/>
          <w:szCs w:val="20"/>
          <w:color w:val="auto"/>
        </w:rPr>
      </w:pPr>
      <w:r>
        <w:rPr>
          <w:rFonts w:ascii="Arial" w:cs="Arial" w:eastAsia="Arial" w:hAnsi="Arial"/>
          <w:sz w:val="10"/>
          <w:szCs w:val="10"/>
          <w:color w:val="FFFFFF"/>
        </w:rPr>
        <w:t>SHARETheCompanyOPTIONalsoSCHEMEhasaprovident fund setGroupfor its employees and a share options scheme. Further details on the Company’s share options scheme are set out below.</w:t>
      </w:r>
    </w:p>
    <w:p>
      <w:pPr>
        <w:ind w:right="20"/>
        <w:spacing w:after="0"/>
        <w:rPr>
          <w:sz w:val="20"/>
          <w:szCs w:val="20"/>
          <w:color w:val="auto"/>
        </w:rPr>
      </w:pPr>
      <w:r>
        <w:rPr>
          <w:rFonts w:ascii="Arial" w:cs="Arial" w:eastAsia="Arial" w:hAnsi="Arial"/>
          <w:sz w:val="3"/>
          <w:szCs w:val="3"/>
          <w:color w:val="FFFFFF"/>
        </w:rPr>
        <w:t>purposeTheCompanyofthe approvedshareoptiontheschemeadoptionis ofto arewardshare optionparticipants,schemewhichon16maySeptemberinclude 2009Directorswithandthe employeesimplementationoftheofGroup,theschemewhohaveconditionalcontributeddotheto Company’stheGroupandlistingtoencourageontheHongthemKongtoworkStocktowardsExchange.enhancingThe the value of the and its Shares for the benefi of the Company and its Shareholders as whole. The options granted under the scheme not give immediate ownership of the underlying Shares as they</w:t>
      </w:r>
    </w:p>
    <w:p>
      <w:pPr>
        <w:spacing w:after="0" w:line="190" w:lineRule="auto"/>
        <w:rPr>
          <w:sz w:val="20"/>
          <w:szCs w:val="20"/>
          <w:color w:val="auto"/>
        </w:rPr>
      </w:pPr>
      <w:r>
        <w:rPr>
          <w:rFonts w:ascii="Arial" w:cs="Arial" w:eastAsia="Arial" w:hAnsi="Arial"/>
          <w:sz w:val="14"/>
          <w:szCs w:val="14"/>
          <w:color w:val="FFFFFF"/>
        </w:rPr>
        <w:t>require paymentCompanyofsubscription price which is based on the then prevailing market price of the Shares.</w:t>
      </w:r>
    </w:p>
    <w:p>
      <w:pPr>
        <w:spacing w:after="0" w:line="211" w:lineRule="auto"/>
        <w:rPr>
          <w:sz w:val="20"/>
          <w:szCs w:val="20"/>
          <w:color w:val="auto"/>
        </w:rPr>
      </w:pPr>
      <w:r>
        <w:rPr>
          <w:rFonts w:ascii="Arial" w:cs="Arial" w:eastAsia="Arial" w:hAnsi="Arial"/>
          <w:sz w:val="2"/>
          <w:szCs w:val="2"/>
          <w:color w:val="FFFFFF"/>
        </w:rPr>
        <w:t>D</w:t>
      </w:r>
      <w:r>
        <w:rPr>
          <w:rFonts w:ascii="Arial" w:cs="Arial" w:eastAsia="Arial" w:hAnsi="Arial"/>
          <w:sz w:val="4"/>
          <w:szCs w:val="4"/>
          <w:color w:val="FFFFFF"/>
          <w:vertAlign w:val="subscript"/>
        </w:rPr>
        <w:t>Number</w:t>
      </w:r>
      <w:r>
        <w:rPr>
          <w:rFonts w:ascii="Arial" w:cs="Arial" w:eastAsia="Arial" w:hAnsi="Arial"/>
          <w:sz w:val="2"/>
          <w:szCs w:val="2"/>
          <w:color w:val="FFFFFF"/>
        </w:rPr>
        <w:t>ringtheof yearSharesendedAvailable31DecemberforIssue2011,undera thetotalSchemeof400,000 Shares were granted (2010: 1 million Shares). A summary of the terms of the share option scheme is set out below:</w:t>
      </w:r>
    </w:p>
    <w:p>
      <w:pPr>
        <w:ind w:right="300"/>
        <w:spacing w:after="0" w:line="187" w:lineRule="auto"/>
        <w:rPr>
          <w:sz w:val="20"/>
          <w:szCs w:val="20"/>
          <w:color w:val="auto"/>
        </w:rPr>
      </w:pPr>
      <w:r>
        <w:rPr>
          <w:rFonts w:ascii="Arial" w:cs="Arial" w:eastAsia="Arial" w:hAnsi="Arial"/>
          <w:sz w:val="9"/>
          <w:szCs w:val="9"/>
          <w:color w:val="FFFFFF"/>
        </w:rPr>
        <w:t>A maximum of 518.75 million Shares have been reserved for issuance under the share option scheme, representing 10.0% in nominal amount in the aggregate of Shares in issue as at the date of this Annual Report.</w:t>
      </w:r>
    </w:p>
    <w:p>
      <w:pPr>
        <w:spacing w:after="0"/>
        <w:rPr>
          <w:sz w:val="20"/>
          <w:szCs w:val="20"/>
          <w:color w:val="auto"/>
        </w:rPr>
      </w:pPr>
      <w:r>
        <w:rPr>
          <w:rFonts w:ascii="Arial" w:cs="Arial" w:eastAsia="Arial" w:hAnsi="Arial"/>
          <w:sz w:val="3"/>
          <w:szCs w:val="3"/>
          <w:color w:val="FFFFFF"/>
        </w:rPr>
        <w:t>Maximum Entitlement of Participant</w:t>
      </w:r>
    </w:p>
    <w:p>
      <w:pPr>
        <w:spacing w:after="0" w:line="194" w:lineRule="auto"/>
        <w:rPr>
          <w:sz w:val="20"/>
          <w:szCs w:val="20"/>
          <w:color w:val="auto"/>
        </w:rPr>
      </w:pPr>
      <w:r>
        <w:rPr>
          <w:rFonts w:ascii="Arial" w:cs="Arial" w:eastAsia="Arial" w:hAnsi="Arial"/>
          <w:sz w:val="3"/>
          <w:szCs w:val="3"/>
          <w:color w:val="FFFFFF"/>
        </w:rPr>
        <w:t>The maximum number of Shares issued and to be issued upon exercise of the share options granted to each participant under the</w:t>
      </w:r>
      <w:r>
        <w:rPr>
          <w:rFonts w:ascii="Arial" w:cs="Arial" w:eastAsia="Arial" w:hAnsi="Arial"/>
          <w:sz w:val="5"/>
          <w:szCs w:val="5"/>
          <w:color w:val="FFFFFF"/>
          <w:vertAlign w:val="superscript"/>
        </w:rPr>
        <w:t>other</w:t>
      </w:r>
      <w:r>
        <w:rPr>
          <w:rFonts w:ascii="Arial" w:cs="Arial" w:eastAsia="Arial" w:hAnsi="Arial"/>
          <w:sz w:val="3"/>
          <w:szCs w:val="3"/>
          <w:color w:val="FFFFFF"/>
        </w:rPr>
        <w:t>sae option scheme (including both exercised and outstanding share options) in</w:t>
      </w:r>
    </w:p>
    <w:p>
      <w:pPr>
        <w:spacing w:after="0"/>
        <w:tabs>
          <w:tab w:leader="none" w:pos="7220" w:val="left"/>
        </w:tabs>
        <w:rPr>
          <w:sz w:val="20"/>
          <w:szCs w:val="20"/>
          <w:color w:val="auto"/>
        </w:rPr>
      </w:pPr>
      <w:r>
        <w:rPr>
          <w:rFonts w:ascii="Arial" w:cs="Arial" w:eastAsia="Arial" w:hAnsi="Arial"/>
          <w:sz w:val="2"/>
          <w:szCs w:val="2"/>
          <w:color w:val="FFFFFF"/>
        </w:rPr>
        <w:t>any 12-month</w:t>
      </w:r>
      <w:r>
        <w:rPr>
          <w:rFonts w:ascii="Arial" w:cs="Arial" w:eastAsia="Arial" w:hAnsi="Arial"/>
          <w:sz w:val="4"/>
          <w:szCs w:val="4"/>
          <w:color w:val="FFFFFF"/>
          <w:vertAlign w:val="subscript"/>
        </w:rPr>
        <w:t>specifi</w:t>
      </w:r>
      <w:r>
        <w:rPr>
          <w:rFonts w:ascii="Arial" w:cs="Arial" w:eastAsia="Arial" w:hAnsi="Arial"/>
          <w:sz w:val="2"/>
          <w:szCs w:val="2"/>
          <w:color w:val="FFFFFF"/>
        </w:rPr>
        <w:t>perod shall not (when aggregated with any Shares subject to share options granted during such period under any</w:t>
      </w:r>
      <w:r>
        <w:rPr>
          <w:sz w:val="20"/>
          <w:szCs w:val="20"/>
          <w:color w:val="auto"/>
        </w:rPr>
        <w:tab/>
      </w:r>
      <w:r>
        <w:rPr>
          <w:rFonts w:ascii="Arial" w:cs="Arial" w:eastAsia="Arial" w:hAnsi="Arial"/>
          <w:sz w:val="3"/>
          <w:szCs w:val="3"/>
          <w:color w:val="FFFFFF"/>
        </w:rPr>
        <w:t>share option schemes of the Company other than those share options granted</w:t>
      </w:r>
    </w:p>
    <w:p>
      <w:pPr>
        <w:spacing w:after="0"/>
        <w:tabs>
          <w:tab w:leader="none" w:pos="1020" w:val="left"/>
        </w:tabs>
        <w:rPr>
          <w:sz w:val="20"/>
          <w:szCs w:val="20"/>
          <w:color w:val="auto"/>
        </w:rPr>
      </w:pPr>
      <w:r>
        <w:rPr>
          <w:rFonts w:ascii="Arial" w:cs="Arial" w:eastAsia="Arial" w:hAnsi="Arial"/>
          <w:sz w:val="14"/>
          <w:szCs w:val="14"/>
          <w:color w:val="FFFFFF"/>
        </w:rPr>
        <w:t>pursuant to</w:t>
      </w:r>
      <w:r>
        <w:rPr>
          <w:sz w:val="20"/>
          <w:szCs w:val="20"/>
          <w:color w:val="auto"/>
        </w:rPr>
        <w:tab/>
      </w:r>
      <w:r>
        <w:rPr>
          <w:rFonts w:ascii="Arial" w:cs="Arial" w:eastAsia="Arial" w:hAnsi="Arial"/>
          <w:sz w:val="12"/>
          <w:szCs w:val="12"/>
          <w:color w:val="FFFFFF"/>
        </w:rPr>
        <w:t>c approval by the Shareholders in a general meeting) exceed one percent of the Shares in issue for the time being.</w:t>
      </w:r>
    </w:p>
    <w:p>
      <w:pPr>
        <w:sectPr>
          <w:pgSz w:w="11900" w:h="16838" w:orient="portrait"/>
          <w:cols w:equalWidth="0" w:num="1">
            <w:col w:w="11380"/>
          </w:cols>
          <w:pgMar w:left="240" w:top="1440" w:right="27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53</w:t>
      </w:r>
    </w:p>
    <w:p>
      <w:pPr>
        <w:spacing w:after="0" w:line="187" w:lineRule="auto"/>
        <w:rPr>
          <w:sz w:val="20"/>
          <w:szCs w:val="20"/>
          <w:color w:val="auto"/>
        </w:rPr>
      </w:pPr>
      <w:r>
        <w:rPr>
          <w:rFonts w:ascii="Arial" w:cs="Arial" w:eastAsia="Arial" w:hAnsi="Arial"/>
          <w:sz w:val="9"/>
          <w:szCs w:val="9"/>
          <w:color w:val="FFFFFF"/>
        </w:rPr>
        <w:t>SHAREReportofOPTIONtheDirectorsSCHEME (continued)</w:t>
      </w:r>
    </w:p>
    <w:p>
      <w:pPr>
        <w:ind w:right="200"/>
        <w:spacing w:after="0" w:line="181" w:lineRule="auto"/>
        <w:rPr>
          <w:sz w:val="20"/>
          <w:szCs w:val="20"/>
          <w:color w:val="auto"/>
        </w:rPr>
      </w:pPr>
      <w:r>
        <w:rPr>
          <w:rFonts w:ascii="Arial" w:cs="Arial" w:eastAsia="Arial" w:hAnsi="Arial"/>
          <w:sz w:val="7"/>
          <w:szCs w:val="7"/>
          <w:color w:val="FFFFFF"/>
        </w:rPr>
        <w:t>WhereMaximumany EntitlementfurthergrantofofParticipantshareoptions)(continued)toaparticipant would result in the Shares issued and to be issued upon exercise of all share options granted and to be granted to such person (including exercised, cancellseparatelydand outstanding share in the 12-month period up to and including the date of such further grant representing in aggregate over one percent of the Shares in issue, such further grant must be</w:t>
      </w:r>
    </w:p>
    <w:p>
      <w:pPr>
        <w:ind w:left="580"/>
        <w:spacing w:after="0"/>
        <w:rPr>
          <w:sz w:val="20"/>
          <w:szCs w:val="20"/>
          <w:color w:val="auto"/>
        </w:rPr>
      </w:pPr>
      <w:r>
        <w:rPr>
          <w:rFonts w:ascii="Arial" w:cs="Arial" w:eastAsia="Arial" w:hAnsi="Arial"/>
          <w:sz w:val="3"/>
          <w:szCs w:val="3"/>
          <w:color w:val="FFFFFF"/>
        </w:rPr>
        <w:t>approved by Shareholders in general meeting with such participant and his associates abstaining from voting.</w:t>
      </w:r>
    </w:p>
    <w:p>
      <w:pPr>
        <w:spacing w:after="0" w:line="181" w:lineRule="auto"/>
        <w:rPr>
          <w:sz w:val="20"/>
          <w:szCs w:val="20"/>
          <w:color w:val="auto"/>
        </w:rPr>
      </w:pPr>
      <w:r>
        <w:rPr>
          <w:rFonts w:ascii="Arial" w:cs="Arial" w:eastAsia="Arial" w:hAnsi="Arial"/>
          <w:sz w:val="10"/>
          <w:szCs w:val="10"/>
          <w:color w:val="FFFFFF"/>
        </w:rPr>
        <w:t>SubjectExercisetoPeriodanyrestrictions applicable under the Listing Rules and notwitthestanding the terms of grant thereof, a share option may be exercised by sharetgrantee in accordance with the terms of the share option</w:t>
      </w:r>
    </w:p>
    <w:p>
      <w:pPr>
        <w:ind w:right="60"/>
        <w:spacing w:after="0" w:line="181" w:lineRule="auto"/>
        <w:rPr>
          <w:sz w:val="20"/>
          <w:szCs w:val="20"/>
          <w:color w:val="auto"/>
        </w:rPr>
      </w:pPr>
      <w:r>
        <w:rPr>
          <w:rFonts w:ascii="Arial" w:cs="Arial" w:eastAsia="Arial" w:hAnsi="Arial"/>
          <w:sz w:val="7"/>
          <w:szCs w:val="7"/>
          <w:color w:val="FFFFFF"/>
        </w:rPr>
        <w:t>dateschemeon whichatany ittimeisgranted.duringtheTheperiodminimumtobeperioddeterminedwhichand anotifishareedoptionby mustBoardbe toheldeachbeforegranteeitcanat betheexercisedtimeofmakingisdeterminedanofferandofthenotifigranted ofbyathe Boardoptionstoeachwhichgrantee.shall not expire later than 10 years from the Payment on Acceptance of Share Option</w:t>
      </w:r>
    </w:p>
    <w:p>
      <w:pPr>
        <w:ind w:left="10280"/>
        <w:spacing w:after="0" w:line="2" w:lineRule="auto"/>
        <w:rPr>
          <w:sz w:val="20"/>
          <w:szCs w:val="20"/>
          <w:color w:val="auto"/>
        </w:rPr>
      </w:pPr>
      <w:r>
        <w:rPr>
          <w:rFonts w:ascii="Arial" w:cs="Arial" w:eastAsia="Arial" w:hAnsi="Arial"/>
          <w:sz w:val="1"/>
          <w:szCs w:val="1"/>
          <w:color w:val="FFFFFF"/>
        </w:rPr>
        <w:t>DeterminationAnamountof HKof$1.00 mustPricebe paid as consideration for the grant of a share option and such payment must be made within 28 days from the date the share option grant offer is made by the Board.</w:t>
      </w:r>
    </w:p>
    <w:p>
      <w:pPr>
        <w:spacing w:after="0" w:line="188" w:lineRule="auto"/>
        <w:rPr>
          <w:sz w:val="20"/>
          <w:szCs w:val="20"/>
          <w:color w:val="auto"/>
        </w:rPr>
      </w:pPr>
      <w:r>
        <w:rPr>
          <w:rFonts w:ascii="Arial" w:cs="Arial" w:eastAsia="Arial" w:hAnsi="Arial"/>
          <w:sz w:val="9"/>
          <w:szCs w:val="9"/>
          <w:color w:val="FFFFFF"/>
        </w:rPr>
        <w:t>The exercise priceExercisedetermined by the Board in its absolute discretion but in any event shall not be less than the higher of:</w:t>
      </w:r>
    </w:p>
    <w:p>
      <w:pPr>
        <w:spacing w:after="0" w:line="211" w:lineRule="auto"/>
        <w:rPr>
          <w:sz w:val="20"/>
          <w:szCs w:val="20"/>
          <w:color w:val="auto"/>
        </w:rPr>
      </w:pPr>
      <w:r>
        <w:rPr>
          <w:rFonts w:ascii="Arial" w:cs="Arial" w:eastAsia="Arial" w:hAnsi="Arial"/>
          <w:sz w:val="4"/>
          <w:szCs w:val="4"/>
          <w:color w:val="FFFFFF"/>
          <w:vertAlign w:val="subscript"/>
        </w:rPr>
        <w:t>(ii)</w:t>
      </w:r>
      <w:r>
        <w:rPr>
          <w:rFonts w:ascii="Arial" w:cs="Arial" w:eastAsia="Arial" w:hAnsi="Arial"/>
          <w:sz w:val="2"/>
          <w:szCs w:val="2"/>
          <w:color w:val="FFFFFF"/>
        </w:rPr>
        <w:t>the closing price of the Shares as stated in the daily quotations sheets issued by the Hong Kong Stock Exchange on the date of the granting of the share option which must be a business day</w:t>
      </w:r>
      <w:r>
        <w:rPr>
          <w:rFonts w:ascii="Arial" w:cs="Arial" w:eastAsia="Arial" w:hAnsi="Arial"/>
          <w:sz w:val="4"/>
          <w:szCs w:val="4"/>
          <w:color w:val="FFFFFF"/>
          <w:vertAlign w:val="subscript"/>
        </w:rPr>
        <w:t>granting</w:t>
      </w:r>
      <w:r>
        <w:rPr>
          <w:rFonts w:ascii="Arial" w:cs="Arial" w:eastAsia="Arial" w:hAnsi="Arial"/>
          <w:sz w:val="2"/>
          <w:szCs w:val="2"/>
          <w:color w:val="FFFFFF"/>
        </w:rPr>
        <w:t>Hong Kong;</w:t>
      </w:r>
    </w:p>
    <w:p>
      <w:pPr>
        <w:ind w:firstLine="199"/>
        <w:spacing w:after="0" w:line="230" w:lineRule="auto"/>
        <w:rPr>
          <w:sz w:val="20"/>
          <w:szCs w:val="20"/>
          <w:color w:val="auto"/>
        </w:rPr>
      </w:pPr>
      <w:r>
        <w:rPr>
          <w:rFonts w:ascii="Arial" w:cs="Arial" w:eastAsia="Arial" w:hAnsi="Arial"/>
          <w:sz w:val="11"/>
          <w:szCs w:val="11"/>
          <w:color w:val="FFFFFF"/>
        </w:rPr>
        <w:t>the average closing price of the Shares as stated in the daily quotations sheets issued by the Hong Kong Stock Exchange for the fi ve business days immediately preceding the date of the of the share option; and</w:t>
      </w:r>
    </w:p>
    <w:p>
      <w:pPr>
        <w:spacing w:after="0" w:line="213" w:lineRule="auto"/>
        <w:rPr>
          <w:sz w:val="20"/>
          <w:szCs w:val="20"/>
          <w:color w:val="auto"/>
        </w:rPr>
      </w:pPr>
      <w:r>
        <w:rPr>
          <w:rFonts w:ascii="Arial" w:cs="Arial" w:eastAsia="Arial" w:hAnsi="Arial"/>
          <w:sz w:val="2"/>
          <w:szCs w:val="2"/>
          <w:color w:val="FFFFFF"/>
        </w:rPr>
        <w:t>(i</w:t>
      </w:r>
      <w:r>
        <w:rPr>
          <w:rFonts w:ascii="Arial" w:cs="Arial" w:eastAsia="Arial" w:hAnsi="Arial"/>
          <w:sz w:val="4"/>
          <w:szCs w:val="4"/>
          <w:color w:val="FFFFFF"/>
          <w:vertAlign w:val="subscript"/>
        </w:rPr>
        <w:t>Life</w:t>
      </w:r>
      <w:r>
        <w:rPr>
          <w:rFonts w:ascii="Arial" w:cs="Arial" w:eastAsia="Arial" w:hAnsi="Arial"/>
          <w:sz w:val="2"/>
          <w:szCs w:val="2"/>
          <w:color w:val="FFFFFF"/>
        </w:rPr>
        <w:t>i) theof thenominalShare valueOptionof SchemetheShares.</w:t>
      </w:r>
    </w:p>
    <w:p>
      <w:pPr>
        <w:spacing w:after="0"/>
        <w:rPr>
          <w:sz w:val="20"/>
          <w:szCs w:val="20"/>
          <w:color w:val="auto"/>
        </w:rPr>
      </w:pPr>
      <w:r>
        <w:rPr>
          <w:rFonts w:ascii="Arial" w:cs="Arial" w:eastAsia="Arial" w:hAnsi="Arial"/>
          <w:sz w:val="14"/>
          <w:szCs w:val="14"/>
          <w:color w:val="FFFFFF"/>
        </w:rPr>
        <w:t>The Company’s share option scheme is effective for a period of 10 years from 16 September 2009.</w:t>
      </w:r>
    </w:p>
    <w:p>
      <w:pPr>
        <w:sectPr>
          <w:pgSz w:w="11900" w:h="16838" w:orient="portrait"/>
          <w:cols w:equalWidth="0" w:num="1">
            <w:col w:w="11360"/>
          </w:cols>
          <w:pgMar w:left="240" w:top="1440" w:right="29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54 Wynn Macau, Limited</w:t>
      </w:r>
    </w:p>
    <w:p>
      <w:pPr>
        <w:spacing w:after="0"/>
        <w:rPr>
          <w:sz w:val="20"/>
          <w:szCs w:val="20"/>
          <w:color w:val="auto"/>
        </w:rPr>
      </w:pPr>
      <w:r>
        <w:rPr>
          <w:rFonts w:ascii="Arial" w:cs="Arial" w:eastAsia="Arial" w:hAnsi="Arial"/>
          <w:sz w:val="3"/>
          <w:szCs w:val="3"/>
          <w:color w:val="FFFFFF"/>
        </w:rPr>
        <w:t>Report of the Directors</w:t>
      </w:r>
    </w:p>
    <w:p>
      <w:pPr>
        <w:spacing w:after="0" w:line="194" w:lineRule="auto"/>
        <w:rPr>
          <w:sz w:val="20"/>
          <w:szCs w:val="20"/>
          <w:color w:val="auto"/>
        </w:rPr>
      </w:pPr>
      <w:r>
        <w:rPr>
          <w:rFonts w:ascii="Arial" w:cs="Arial" w:eastAsia="Arial" w:hAnsi="Arial"/>
          <w:sz w:val="5"/>
          <w:szCs w:val="5"/>
          <w:color w:val="FFFFFF"/>
        </w:rPr>
        <w:t>SHARE OPTION SCHEME (continued)</w:t>
      </w:r>
    </w:p>
    <w:p>
      <w:pPr>
        <w:spacing w:after="0"/>
        <w:rPr>
          <w:sz w:val="20"/>
          <w:szCs w:val="20"/>
          <w:color w:val="auto"/>
        </w:rPr>
      </w:pPr>
      <w:r>
        <w:rPr>
          <w:rFonts w:ascii="Arial" w:cs="Arial" w:eastAsia="Arial" w:hAnsi="Arial"/>
          <w:sz w:val="3"/>
          <w:szCs w:val="3"/>
          <w:color w:val="FFFFFF"/>
        </w:rPr>
        <w:t>2011 Share Option Grants</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The following table discloses movements in the Company’s share option outstanding during the year ended 31 December 2011. Other details of the scheme are disclosed in note 23 to the fi nancial statements. Number of share options</w:t>
      </w:r>
    </w:p>
    <w:p>
      <w:pPr>
        <w:spacing w:after="0" w:line="188" w:lineRule="auto"/>
        <w:rPr>
          <w:sz w:val="20"/>
          <w:szCs w:val="20"/>
          <w:color w:val="auto"/>
        </w:rPr>
      </w:pPr>
      <w:r>
        <w:rPr>
          <w:rFonts w:ascii="Arial" w:cs="Arial" w:eastAsia="Arial" w:hAnsi="Arial"/>
          <w:sz w:val="7"/>
          <w:szCs w:val="7"/>
          <w:color w:val="FFFFFF"/>
        </w:rPr>
        <w:t>Expired/</w:t>
      </w:r>
      <w:r>
        <w:rPr>
          <w:rFonts w:ascii="Arial" w:cs="Arial" w:eastAsia="Arial" w:hAnsi="Arial"/>
          <w:sz w:val="9"/>
          <w:szCs w:val="9"/>
          <w:color w:val="FFFFFF"/>
          <w:vertAlign w:val="superscript"/>
        </w:rPr>
        <w:t>ercise</w:t>
      </w:r>
    </w:p>
    <w:p>
      <w:pPr>
        <w:spacing w:after="0"/>
        <w:rPr>
          <w:sz w:val="20"/>
          <w:szCs w:val="20"/>
          <w:color w:val="auto"/>
        </w:rPr>
      </w:pPr>
      <w:r>
        <w:rPr>
          <w:rFonts w:ascii="Arial" w:cs="Arial" w:eastAsia="Arial" w:hAnsi="Arial"/>
          <w:sz w:val="3"/>
          <w:szCs w:val="3"/>
          <w:color w:val="FFFFFF"/>
        </w:rPr>
        <w:t>lapsed/ shareprice of</w:t>
      </w:r>
    </w:p>
    <w:p>
      <w:pPr>
        <w:spacing w:after="0" w:line="194" w:lineRule="auto"/>
        <w:rPr>
          <w:sz w:val="20"/>
          <w:szCs w:val="20"/>
          <w:color w:val="auto"/>
        </w:rPr>
      </w:pPr>
      <w:r>
        <w:rPr>
          <w:rFonts w:ascii="Arial" w:cs="Arial" w:eastAsia="Arial" w:hAnsi="Arial"/>
          <w:sz w:val="5"/>
          <w:szCs w:val="5"/>
          <w:color w:val="FFFFFF"/>
        </w:rPr>
        <w:t>At Granted Exercised canceled At 31 Date of grant options</w:t>
      </w:r>
    </w:p>
    <w:p>
      <w:pPr>
        <w:spacing w:after="0" w:line="197" w:lineRule="auto"/>
        <w:tabs>
          <w:tab w:leader="none" w:pos="440" w:val="left"/>
        </w:tabs>
        <w:rPr>
          <w:sz w:val="20"/>
          <w:szCs w:val="20"/>
          <w:color w:val="auto"/>
        </w:rPr>
      </w:pPr>
      <w:r>
        <w:rPr>
          <w:rFonts w:ascii="Arial" w:cs="Arial" w:eastAsia="Arial" w:hAnsi="Arial"/>
          <w:sz w:val="10"/>
          <w:szCs w:val="10"/>
          <w:color w:val="FFFFFF"/>
        </w:rPr>
        <w:t>1</w:t>
      </w:r>
      <w:r>
        <w:rPr>
          <w:sz w:val="20"/>
          <w:szCs w:val="20"/>
          <w:color w:val="auto"/>
        </w:rPr>
        <w:tab/>
      </w:r>
      <w:r>
        <w:rPr>
          <w:rFonts w:ascii="Arial" w:cs="Arial" w:eastAsia="Arial" w:hAnsi="Arial"/>
          <w:sz w:val="10"/>
          <w:szCs w:val="10"/>
          <w:color w:val="FFFFFF"/>
        </w:rPr>
        <w:t>January during during during December of share Exercise period of per Share</w:t>
      </w:r>
    </w:p>
    <w:p>
      <w:pPr>
        <w:spacing w:after="0"/>
        <w:rPr>
          <w:sz w:val="20"/>
          <w:szCs w:val="20"/>
          <w:color w:val="auto"/>
        </w:rPr>
      </w:pPr>
      <w:r>
        <w:rPr>
          <w:rFonts w:ascii="Arial" w:cs="Arial" w:eastAsia="Arial" w:hAnsi="Arial"/>
          <w:sz w:val="3"/>
          <w:szCs w:val="3"/>
          <w:color w:val="FFFFFF"/>
        </w:rPr>
        <w:t>Dr.NameAllanof DirectorZeman250,0002011the—year— —the 250,000yearthe 25yearMarch20112010options25 shareMarchoptions201110.92(HK$)</w:t>
      </w:r>
    </w:p>
    <w:p>
      <w:pPr>
        <w:spacing w:after="0" w:line="181" w:lineRule="auto"/>
        <w:rPr>
          <w:sz w:val="20"/>
          <w:szCs w:val="20"/>
          <w:color w:val="auto"/>
        </w:rPr>
      </w:pPr>
      <w:r>
        <w:rPr>
          <w:rFonts w:ascii="Arial" w:cs="Arial" w:eastAsia="Arial" w:hAnsi="Arial"/>
          <w:sz w:val="10"/>
          <w:szCs w:val="10"/>
          <w:color w:val="FFFFFF"/>
        </w:rPr>
        <w:t>to 24 March 2020</w:t>
      </w:r>
    </w:p>
    <w:p>
      <w:pPr>
        <w:spacing w:after="0"/>
        <w:rPr>
          <w:sz w:val="20"/>
          <w:szCs w:val="20"/>
          <w:color w:val="auto"/>
        </w:rPr>
      </w:pPr>
      <w:r>
        <w:rPr>
          <w:rFonts w:ascii="Arial" w:cs="Arial" w:eastAsia="Arial" w:hAnsi="Arial"/>
          <w:sz w:val="3"/>
          <w:szCs w:val="3"/>
          <w:color w:val="FFFFFF"/>
        </w:rPr>
        <w:t>to— 16100,000(1)May2021— — 100,000 17 May 2011 17 May 2012 25.96</w:t>
      </w:r>
    </w:p>
    <w:p>
      <w:pPr>
        <w:spacing w:after="0" w:line="181" w:lineRule="auto"/>
        <w:rPr>
          <w:sz w:val="20"/>
          <w:szCs w:val="20"/>
          <w:color w:val="auto"/>
        </w:rPr>
      </w:pPr>
      <w:r>
        <w:rPr>
          <w:rFonts w:ascii="Arial" w:cs="Arial" w:eastAsia="Arial" w:hAnsi="Arial"/>
          <w:sz w:val="10"/>
          <w:szCs w:val="10"/>
          <w:color w:val="FFFFFF"/>
        </w:rPr>
        <w:t>250,000 100,000 — — 350,000</w:t>
      </w:r>
    </w:p>
    <w:p>
      <w:pPr>
        <w:spacing w:after="0" w:line="188" w:lineRule="auto"/>
        <w:rPr>
          <w:sz w:val="20"/>
          <w:szCs w:val="20"/>
          <w:color w:val="auto"/>
        </w:rPr>
      </w:pPr>
      <w:r>
        <w:rPr>
          <w:rFonts w:ascii="Arial" w:cs="Arial" w:eastAsia="Arial" w:hAnsi="Arial"/>
          <w:sz w:val="9"/>
          <w:szCs w:val="9"/>
          <w:color w:val="FFFFFF"/>
        </w:rPr>
        <w:t>SallnowMr.Nicholas-Smith250,000to24March—— 2020—250,000 25 March 2010 25 March 2011 10.92</w:t>
      </w:r>
    </w:p>
    <w:p>
      <w:pPr>
        <w:spacing w:after="0"/>
        <w:rPr>
          <w:sz w:val="20"/>
          <w:szCs w:val="20"/>
          <w:color w:val="auto"/>
        </w:rPr>
      </w:pPr>
      <w:r>
        <w:rPr>
          <w:rFonts w:ascii="Arial" w:cs="Arial" w:eastAsia="Arial" w:hAnsi="Arial"/>
          <w:sz w:val="3"/>
          <w:szCs w:val="3"/>
          <w:color w:val="FFFFFF"/>
        </w:rPr>
        <w:t>to— 16100,000(1)May2021— — 100,000 17 May 2011 17 May 2012 25.96</w:t>
      </w:r>
    </w:p>
    <w:p>
      <w:pPr>
        <w:spacing w:after="0" w:line="181" w:lineRule="auto"/>
        <w:rPr>
          <w:sz w:val="20"/>
          <w:szCs w:val="20"/>
          <w:color w:val="auto"/>
        </w:rPr>
      </w:pPr>
      <w:r>
        <w:rPr>
          <w:rFonts w:ascii="Arial" w:cs="Arial" w:eastAsia="Arial" w:hAnsi="Arial"/>
          <w:sz w:val="10"/>
          <w:szCs w:val="10"/>
          <w:color w:val="FFFFFF"/>
        </w:rPr>
        <w:t>250,000 100,000 — — 350,000</w:t>
      </w:r>
    </w:p>
    <w:p>
      <w:pPr>
        <w:spacing w:after="0" w:line="188" w:lineRule="auto"/>
        <w:rPr>
          <w:sz w:val="20"/>
          <w:szCs w:val="20"/>
          <w:color w:val="auto"/>
        </w:rPr>
      </w:pPr>
      <w:r>
        <w:rPr>
          <w:rFonts w:ascii="Arial" w:cs="Arial" w:eastAsia="Arial" w:hAnsi="Arial"/>
          <w:sz w:val="9"/>
          <w:szCs w:val="9"/>
          <w:color w:val="FFFFFF"/>
        </w:rPr>
        <w:t>toMr.24BruceMarchRockowitz2020 250,000 — (50,000)(2) — 200,000 25 March 2010 25 March 2011 10.92</w:t>
      </w:r>
    </w:p>
    <w:p>
      <w:pPr>
        <w:spacing w:after="0"/>
        <w:rPr>
          <w:sz w:val="20"/>
          <w:szCs w:val="20"/>
          <w:color w:val="auto"/>
        </w:rPr>
      </w:pPr>
      <w:r>
        <w:rPr>
          <w:rFonts w:ascii="Arial" w:cs="Arial" w:eastAsia="Arial" w:hAnsi="Arial"/>
          <w:sz w:val="3"/>
          <w:szCs w:val="3"/>
          <w:color w:val="FFFFFF"/>
        </w:rPr>
        <w:t>to— 16100,000(1)May2021— — 100,000 17 May 2011 17 May 2012 25.96</w:t>
      </w:r>
    </w:p>
    <w:p>
      <w:pPr>
        <w:spacing w:after="0" w:line="181" w:lineRule="auto"/>
        <w:rPr>
          <w:sz w:val="20"/>
          <w:szCs w:val="20"/>
          <w:color w:val="auto"/>
        </w:rPr>
      </w:pPr>
      <w:r>
        <w:rPr>
          <w:rFonts w:ascii="Arial" w:cs="Arial" w:eastAsia="Arial" w:hAnsi="Arial"/>
          <w:sz w:val="10"/>
          <w:szCs w:val="10"/>
          <w:color w:val="FFFFFF"/>
        </w:rPr>
        <w:t>250,000 100,000 (50,000) — 300,000</w:t>
      </w:r>
    </w:p>
    <w:p>
      <w:pPr>
        <w:spacing w:after="0" w:line="188" w:lineRule="auto"/>
        <w:rPr>
          <w:sz w:val="20"/>
          <w:szCs w:val="20"/>
          <w:color w:val="auto"/>
        </w:rPr>
      </w:pPr>
      <w:r>
        <w:rPr>
          <w:rFonts w:ascii="Arial" w:cs="Arial" w:eastAsia="Arial" w:hAnsi="Arial"/>
          <w:sz w:val="9"/>
          <w:szCs w:val="9"/>
          <w:color w:val="FFFFFF"/>
        </w:rPr>
        <w:t>KinMr.-JeffreyfungLam250,000to24 —March——2020250,000 25 March 2010 25 March 2011 10.92</w:t>
      </w:r>
    </w:p>
    <w:p>
      <w:pPr>
        <w:spacing w:after="0" w:line="188" w:lineRule="auto"/>
        <w:rPr>
          <w:sz w:val="20"/>
          <w:szCs w:val="20"/>
          <w:color w:val="auto"/>
        </w:rPr>
      </w:pPr>
      <w:r>
        <w:rPr>
          <w:rFonts w:ascii="Arial" w:cs="Arial" w:eastAsia="Arial" w:hAnsi="Arial"/>
          <w:sz w:val="9"/>
          <w:szCs w:val="9"/>
          <w:color w:val="FFFFFF"/>
        </w:rPr>
        <w:t>to— 16100,000(1)May2021— — 100,000 17 May 2011 17 May 2012 25.96</w:t>
      </w:r>
    </w:p>
    <w:p>
      <w:pPr>
        <w:spacing w:after="0" w:line="186" w:lineRule="auto"/>
        <w:rPr>
          <w:sz w:val="20"/>
          <w:szCs w:val="20"/>
          <w:color w:val="auto"/>
        </w:rPr>
      </w:pPr>
      <w:r>
        <w:rPr>
          <w:rFonts w:ascii="Arial" w:cs="Arial" w:eastAsia="Arial" w:hAnsi="Arial"/>
          <w:sz w:val="18"/>
          <w:szCs w:val="18"/>
          <w:color w:val="FFFFFF"/>
          <w:vertAlign w:val="subscript"/>
        </w:rPr>
        <w:t>1,000,000</w:t>
      </w:r>
      <w:r>
        <w:rPr>
          <w:rFonts w:ascii="Arial" w:cs="Arial" w:eastAsia="Arial" w:hAnsi="Arial"/>
          <w:sz w:val="10"/>
          <w:szCs w:val="10"/>
          <w:color w:val="FFFFFF"/>
        </w:rPr>
        <w:t>250,100,</w:t>
      </w:r>
      <w:r>
        <w:rPr>
          <w:rFonts w:ascii="Arial" w:cs="Arial" w:eastAsia="Arial" w:hAnsi="Arial"/>
          <w:sz w:val="18"/>
          <w:szCs w:val="18"/>
          <w:color w:val="FFFFFF"/>
          <w:vertAlign w:val="subscript"/>
        </w:rPr>
        <w:t>400,000</w:t>
      </w:r>
      <w:r>
        <w:rPr>
          <w:rFonts w:ascii="Arial" w:cs="Arial" w:eastAsia="Arial" w:hAnsi="Arial"/>
          <w:sz w:val="10"/>
          <w:szCs w:val="10"/>
          <w:color w:val="FFFFFF"/>
        </w:rPr>
        <w:t>—(50,000)—350,000—1,350,000</w:t>
      </w:r>
    </w:p>
    <w:p>
      <w:pPr>
        <w:sectPr>
          <w:pgSz w:w="11900" w:h="16838" w:orient="portrait"/>
          <w:cols w:equalWidth="0" w:num="1">
            <w:col w:w="11240"/>
          </w:cols>
          <w:pgMar w:left="240" w:top="1440" w:right="41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gridSpan w:val="2"/>
          </w:tcPr>
          <w:p>
            <w:pPr>
              <w:spacing w:after="0"/>
              <w:rPr>
                <w:sz w:val="20"/>
                <w:szCs w:val="20"/>
                <w:color w:val="auto"/>
              </w:rPr>
            </w:pPr>
            <w:r>
              <w:rPr>
                <w:rFonts w:ascii="Arial" w:cs="Arial" w:eastAsia="Arial" w:hAnsi="Arial"/>
                <w:sz w:val="14"/>
                <w:szCs w:val="14"/>
                <w:color w:val="FFFFFF"/>
              </w:rPr>
              <w:t>Annual Report 2011 55</w:t>
            </w:r>
          </w:p>
        </w:tc>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SHARE OPTION SCHEME (continued)</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2011 Share Option Grants (continued)</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The vesting periods of the above share options are 20% vesting on each of the anniversary date of the date of grant.</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Notes:</w:t>
            </w:r>
          </w:p>
        </w:tc>
        <w:tc>
          <w:tcPr>
            <w:tcW w:w="736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closing price of the Company’s Shares immediately before the date on which the options were granted during the year was HK$25.60.</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ind w:left="60"/>
              <w:spacing w:after="0"/>
              <w:rPr>
                <w:sz w:val="20"/>
                <w:szCs w:val="20"/>
                <w:color w:val="auto"/>
              </w:rPr>
            </w:pPr>
            <w:r>
              <w:rPr>
                <w:rFonts w:ascii="Arial" w:cs="Arial" w:eastAsia="Arial" w:hAnsi="Arial"/>
                <w:sz w:val="3"/>
                <w:szCs w:val="3"/>
                <w:color w:val="FFFFFF"/>
              </w:rPr>
              <w:t>1)</w:t>
            </w:r>
          </w:p>
        </w:tc>
        <w:tc>
          <w:tcPr>
            <w:tcW w:w="736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(2) The weighted average closing price of the Company’s Shares immediately before the exercise date of the share options was HK$26.79.</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PURCHASE, SALE OR REDEMPTION OF COMPANY’S LISTED SECURITIES</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There have been no convertible securities issued or granted by the Group, no exercise of any conversion or subscription rights, nor any purchase, sale or redemption by the Group of its listed Shares during the</w:t>
            </w: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year ended 31 December 2011.</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SUFFICIENCY OF PUBLIC FLOAT</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Based on the information available to the Company and within the knowledge of the Directors, as at the date of this Annual Report, the Company maintained the prescribed public fl oat under the Listing Rules.</w:t>
            </w: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PRE-EMPTIVE RIGHTS</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There</w:t>
            </w:r>
          </w:p>
        </w:tc>
        <w:tc>
          <w:tcPr>
            <w:tcW w:w="11000" w:type="dxa"/>
            <w:vAlign w:val="bottom"/>
            <w:gridSpan w:val="3"/>
          </w:tcPr>
          <w:p>
            <w:pPr>
              <w:jc w:val="right"/>
              <w:spacing w:after="0"/>
              <w:rPr>
                <w:sz w:val="20"/>
                <w:szCs w:val="20"/>
                <w:color w:val="auto"/>
              </w:rPr>
            </w:pPr>
            <w:r>
              <w:rPr>
                <w:rFonts w:ascii="Arial" w:cs="Arial" w:eastAsia="Arial" w:hAnsi="Arial"/>
                <w:sz w:val="3"/>
                <w:szCs w:val="3"/>
                <w:color w:val="FFFFFF"/>
              </w:rPr>
              <w:t>no provisions for pre-emptive rights under the laws of the Cayman Islands or under the Company’s articles of association that require the Company to offer new Shares on a pro-rata basis to its existing</w:t>
            </w: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Shareholders.</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AUDITORS</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Our external auditors, Ernst &amp; Young, will retire and a resolution for their reappointment as auditors of the Company will be proposed at the forthcoming annual general meeting of the Company.</w:t>
            </w:r>
          </w:p>
        </w:tc>
        <w:tc>
          <w:tcPr>
            <w:tcW w:w="0" w:type="dxa"/>
            <w:vAlign w:val="bottom"/>
          </w:tcPr>
          <w:p>
            <w:pPr>
              <w:spacing w:after="0"/>
              <w:rPr>
                <w:sz w:val="1"/>
                <w:szCs w:val="1"/>
                <w:color w:val="auto"/>
              </w:rPr>
            </w:pPr>
          </w:p>
        </w:tc>
      </w:tr>
      <w:tr>
        <w:trPr>
          <w:trHeight w:val="41"/>
        </w:trPr>
        <w:tc>
          <w:tcPr>
            <w:tcW w:w="7760" w:type="dxa"/>
            <w:vAlign w:val="bottom"/>
            <w:gridSpan w:val="2"/>
          </w:tcPr>
          <w:p>
            <w:pPr>
              <w:spacing w:after="0"/>
              <w:rPr>
                <w:sz w:val="20"/>
                <w:szCs w:val="20"/>
                <w:color w:val="auto"/>
              </w:rPr>
            </w:pPr>
            <w:r>
              <w:rPr>
                <w:rFonts w:ascii="Arial" w:cs="Arial" w:eastAsia="Arial" w:hAnsi="Arial"/>
                <w:sz w:val="3"/>
                <w:szCs w:val="3"/>
                <w:color w:val="FFFFFF"/>
              </w:rPr>
              <w:t>INFORMATION CONCERNING MR. KAZUO OKADA</w:t>
            </w: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On 18 February 2012, WRL’ Gaming Compliance Committee concluded  year-long investigation after receiving an independent report by Freeh, Sporkin &amp; Sullivan, LLP (the “Freeh Report”) detailing</w:t>
            </w:r>
          </w:p>
        </w:tc>
        <w:tc>
          <w:tcPr>
            <w:tcW w:w="0" w:type="dxa"/>
            <w:vAlign w:val="bottom"/>
          </w:tcPr>
          <w:p>
            <w:pPr>
              <w:spacing w:after="0"/>
              <w:rPr>
                <w:sz w:val="1"/>
                <w:szCs w:val="1"/>
                <w:color w:val="auto"/>
              </w:rPr>
            </w:pPr>
          </w:p>
        </w:tc>
      </w:tr>
      <w:tr>
        <w:trPr>
          <w:trHeight w:val="0"/>
        </w:trPr>
        <w:tc>
          <w:tcPr>
            <w:tcW w:w="7760" w:type="dxa"/>
            <w:vAlign w:val="bottom"/>
            <w:gridSpan w:val="2"/>
          </w:tcPr>
          <w:p>
            <w:pPr>
              <w:spacing w:after="0" w:line="80" w:lineRule="exact"/>
              <w:rPr>
                <w:sz w:val="20"/>
                <w:szCs w:val="20"/>
                <w:color w:val="auto"/>
              </w:rPr>
            </w:pPr>
            <w:r>
              <w:rPr>
                <w:rFonts w:ascii="Arial" w:cs="Arial" w:eastAsia="Arial" w:hAnsi="Arial"/>
                <w:sz w:val="9"/>
                <w:szCs w:val="9"/>
                <w:color w:val="FFFFFF"/>
              </w:rPr>
              <w:t>numerous prima facie violations of the United States Foreign Corrupt Practices Act (the “FCPA”) by Aruze USA, Inc., at the time a</w:t>
            </w:r>
          </w:p>
        </w:tc>
        <w:tc>
          <w:tcPr>
            <w:tcW w:w="1500" w:type="dxa"/>
            <w:vAlign w:val="bottom"/>
          </w:tcPr>
          <w:p>
            <w:pPr>
              <w:ind w:left="60"/>
              <w:spacing w:after="0" w:line="80" w:lineRule="exact"/>
              <w:rPr>
                <w:sz w:val="20"/>
                <w:szCs w:val="20"/>
                <w:color w:val="auto"/>
              </w:rPr>
            </w:pPr>
            <w:r>
              <w:rPr>
                <w:rFonts w:ascii="Arial" w:cs="Arial" w:eastAsia="Arial" w:hAnsi="Arial"/>
                <w:sz w:val="9"/>
                <w:szCs w:val="9"/>
                <w:color w:val="FFFFFF"/>
              </w:rPr>
              <w:t>of WRL, Universal</w:t>
            </w:r>
          </w:p>
        </w:tc>
        <w:tc>
          <w:tcPr>
            <w:tcW w:w="2140" w:type="dxa"/>
            <w:vAlign w:val="bottom"/>
          </w:tcPr>
          <w:p>
            <w:pPr>
              <w:jc w:val="right"/>
              <w:spacing w:after="0" w:line="80" w:lineRule="exact"/>
              <w:rPr>
                <w:sz w:val="20"/>
                <w:szCs w:val="20"/>
                <w:color w:val="auto"/>
              </w:rPr>
            </w:pPr>
            <w:r>
              <w:rPr>
                <w:rFonts w:ascii="Arial" w:cs="Arial" w:eastAsia="Arial" w:hAnsi="Arial"/>
                <w:sz w:val="9"/>
                <w:szCs w:val="9"/>
                <w:color w:val="FFFFFF"/>
              </w:rPr>
              <w:t>Corporation, Aruze USA, Inc.’s</w:t>
            </w:r>
          </w:p>
        </w:tc>
        <w:tc>
          <w:tcPr>
            <w:tcW w:w="0" w:type="dxa"/>
            <w:vAlign w:val="bottom"/>
          </w:tcPr>
          <w:p>
            <w:pPr>
              <w:spacing w:after="0" w:line="20" w:lineRule="exact"/>
              <w:rPr>
                <w:sz w:val="1"/>
                <w:szCs w:val="1"/>
                <w:color w:val="auto"/>
              </w:rPr>
            </w:pPr>
          </w:p>
        </w:tc>
      </w:tr>
    </w:tbl>
    <w:p>
      <w:pPr>
        <w:spacing w:after="0" w:line="229" w:lineRule="auto"/>
        <w:rPr>
          <w:sz w:val="20"/>
          <w:szCs w:val="20"/>
          <w:color w:val="auto"/>
        </w:rPr>
      </w:pPr>
      <w:r>
        <w:rPr>
          <w:rFonts w:ascii="Arial" w:cs="Arial" w:eastAsia="Arial" w:hAnsi="Arial"/>
          <w:sz w:val="11"/>
          <w:szCs w:val="11"/>
          <w:color w:val="FFFFFF"/>
        </w:rPr>
        <w:t>parent company, and Kazuo Okada, the majority shareholder of Universal Entertainment Corporation, who is also a member of WRL’stockholderboardof directors and was at EntertainmentthetimeDirector of the Company.</w:t>
      </w:r>
    </w:p>
    <w:p>
      <w:pPr>
        <w:sectPr>
          <w:pgSz w:w="11900" w:h="16838" w:orient="portrait"/>
          <w:cols w:equalWidth="0" w:num="1">
            <w:col w:w="11400"/>
          </w:cols>
          <w:pgMar w:left="240" w:top="1440" w:right="25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3"/>
          </w:tcPr>
          <w:p>
            <w:pPr>
              <w:spacing w:after="0"/>
              <w:rPr>
                <w:sz w:val="20"/>
                <w:szCs w:val="20"/>
                <w:color w:val="auto"/>
              </w:rPr>
            </w:pPr>
            <w:r>
              <w:rPr>
                <w:rFonts w:ascii="Arial" w:cs="Arial" w:eastAsia="Arial" w:hAnsi="Arial"/>
                <w:sz w:val="14"/>
                <w:szCs w:val="14"/>
                <w:color w:val="FFFFFF"/>
              </w:rPr>
              <w:t>56 Wynn Macau, Limited</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340" w:type="dxa"/>
            <w:vAlign w:val="bottom"/>
          </w:tcPr>
          <w:p>
            <w:pPr>
              <w:spacing w:after="0"/>
              <w:rPr>
                <w:sz w:val="14"/>
                <w:szCs w:val="14"/>
                <w:color w:val="auto"/>
              </w:rPr>
            </w:pPr>
          </w:p>
        </w:tc>
      </w:tr>
      <w:tr>
        <w:trPr>
          <w:trHeight w:val="41"/>
        </w:trPr>
        <w:tc>
          <w:tcPr>
            <w:tcW w:w="132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340" w:type="dxa"/>
            <w:vAlign w:val="bottom"/>
          </w:tcPr>
          <w:p>
            <w:pPr>
              <w:spacing w:after="0"/>
              <w:rPr>
                <w:sz w:val="3"/>
                <w:szCs w:val="3"/>
                <w:color w:val="auto"/>
              </w:rPr>
            </w:pPr>
          </w:p>
        </w:tc>
      </w:tr>
      <w:tr>
        <w:trPr>
          <w:trHeight w:val="41"/>
        </w:trPr>
        <w:tc>
          <w:tcPr>
            <w:tcW w:w="5080" w:type="dxa"/>
            <w:vAlign w:val="bottom"/>
            <w:gridSpan w:val="5"/>
          </w:tcPr>
          <w:p>
            <w:pPr>
              <w:spacing w:after="0"/>
              <w:rPr>
                <w:sz w:val="20"/>
                <w:szCs w:val="20"/>
                <w:color w:val="auto"/>
              </w:rPr>
            </w:pPr>
            <w:r>
              <w:rPr>
                <w:rFonts w:ascii="Arial" w:cs="Arial" w:eastAsia="Arial" w:hAnsi="Arial"/>
                <w:sz w:val="3"/>
                <w:szCs w:val="3"/>
                <w:color w:val="FFFFFF"/>
              </w:rPr>
              <w:t>INFORMATION CONCERNING MR. KAZUO OKADA (continued)</w:t>
            </w:r>
          </w:p>
        </w:tc>
        <w:tc>
          <w:tcPr>
            <w:tcW w:w="6340" w:type="dxa"/>
            <w:vAlign w:val="bottom"/>
          </w:tcPr>
          <w:p>
            <w:pPr>
              <w:spacing w:after="0"/>
              <w:rPr>
                <w:sz w:val="3"/>
                <w:szCs w:val="3"/>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Based   the Freeh Report, the boa  of directors of WRL determined that Aruze USA, Inc., Universal Entertainment Corporation and Mr. Okada are “unsuitable” under Article VII of the WRL articles of</w:t>
            </w: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in</w:t>
            </w:r>
          </w:p>
        </w:tc>
        <w:tc>
          <w:tcPr>
            <w:tcW w:w="11240" w:type="dxa"/>
            <w:vAlign w:val="bottom"/>
            <w:gridSpan w:val="5"/>
          </w:tcPr>
          <w:p>
            <w:pPr>
              <w:jc w:val="right"/>
              <w:ind w:right="509"/>
              <w:spacing w:after="0"/>
              <w:rPr>
                <w:sz w:val="20"/>
                <w:szCs w:val="20"/>
                <w:color w:val="auto"/>
              </w:rPr>
            </w:pPr>
            <w:r>
              <w:rPr>
                <w:rFonts w:ascii="Arial" w:cs="Arial" w:eastAsia="Arial" w:hAnsi="Arial"/>
                <w:sz w:val="3"/>
                <w:szCs w:val="3"/>
                <w:color w:val="FFFFFF"/>
              </w:rPr>
              <w:t>rporation. The board of directors of WRL was unanimous (other than Mr. Okada) in its determination. The board of directors of WRL also requested that Mr. Okada resign as a director of WRL and</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recommended that Mr. Okada be removed as a member of the Board of Directors of the Company. On 18 February 2012, Mr. Okada was removed from the Board of Directors of Wynn Las Vegas Capital Corp.,</w:t>
            </w:r>
          </w:p>
        </w:tc>
      </w:tr>
      <w:tr>
        <w:trPr>
          <w:trHeight w:val="41"/>
        </w:trPr>
        <w:tc>
          <w:tcPr>
            <w:tcW w:w="2400" w:type="dxa"/>
            <w:vAlign w:val="bottom"/>
            <w:gridSpan w:val="3"/>
          </w:tcPr>
          <w:p>
            <w:pPr>
              <w:ind w:left="100"/>
              <w:spacing w:after="0"/>
              <w:rPr>
                <w:sz w:val="20"/>
                <w:szCs w:val="20"/>
                <w:color w:val="auto"/>
              </w:rPr>
            </w:pPr>
            <w:r>
              <w:rPr>
                <w:rFonts w:ascii="Arial" w:cs="Arial" w:eastAsia="Arial" w:hAnsi="Arial"/>
                <w:sz w:val="3"/>
                <w:szCs w:val="3"/>
                <w:color w:val="FFFFFF"/>
              </w:rPr>
              <w:t>wholly owned subsidiary of WRL.</w:t>
            </w:r>
          </w:p>
        </w:tc>
        <w:tc>
          <w:tcPr>
            <w:tcW w:w="10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340" w:type="dxa"/>
            <w:vAlign w:val="bottom"/>
          </w:tcPr>
          <w:p>
            <w:pPr>
              <w:spacing w:after="0"/>
              <w:rPr>
                <w:sz w:val="3"/>
                <w:szCs w:val="3"/>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Based on the board of directors of WRL’ fi nding of “unsuitability”, on 18 February 2012, WRL redeemed Aruze USA, Inc.’s 24,549,222 shares of WRL’s common stock (the “Redemption Event”). Following a</w:t>
            </w:r>
          </w:p>
        </w:tc>
      </w:tr>
      <w:tr>
        <w:trPr>
          <w:trHeight w:val="41"/>
        </w:trPr>
        <w:tc>
          <w:tcPr>
            <w:tcW w:w="1320" w:type="dxa"/>
            <w:vAlign w:val="bottom"/>
            <w:gridSpan w:val="2"/>
          </w:tcPr>
          <w:p>
            <w:pPr>
              <w:spacing w:after="0"/>
              <w:rPr>
                <w:sz w:val="20"/>
                <w:szCs w:val="20"/>
                <w:color w:val="auto"/>
              </w:rPr>
            </w:pPr>
            <w:r>
              <w:rPr>
                <w:rFonts w:ascii="Arial" w:cs="Arial" w:eastAsia="Arial" w:hAnsi="Arial"/>
                <w:sz w:val="3"/>
                <w:szCs w:val="3"/>
                <w:color w:val="FFFFFF"/>
              </w:rPr>
              <w:t>fi nding of</w:t>
            </w:r>
          </w:p>
        </w:tc>
        <w:tc>
          <w:tcPr>
            <w:tcW w:w="2160" w:type="dxa"/>
            <w:vAlign w:val="bottom"/>
            <w:gridSpan w:val="2"/>
          </w:tcPr>
          <w:p>
            <w:pPr>
              <w:ind w:left="160"/>
              <w:spacing w:after="0"/>
              <w:rPr>
                <w:sz w:val="20"/>
                <w:szCs w:val="20"/>
                <w:color w:val="auto"/>
              </w:rPr>
            </w:pPr>
            <w:r>
              <w:rPr>
                <w:rFonts w:ascii="Arial" w:cs="Arial" w:eastAsia="Arial" w:hAnsi="Arial"/>
                <w:sz w:val="3"/>
                <w:szCs w:val="3"/>
                <w:color w:val="FFFFFF"/>
              </w:rPr>
              <w:t>WRL’s articles authorize redemption</w:t>
            </w:r>
          </w:p>
        </w:tc>
        <w:tc>
          <w:tcPr>
            <w:tcW w:w="7940" w:type="dxa"/>
            <w:vAlign w:val="bottom"/>
            <w:gridSpan w:val="2"/>
          </w:tcPr>
          <w:p>
            <w:pPr>
              <w:jc w:val="right"/>
              <w:ind w:right="49"/>
              <w:spacing w:after="0"/>
              <w:rPr>
                <w:sz w:val="20"/>
                <w:szCs w:val="20"/>
                <w:color w:val="auto"/>
              </w:rPr>
            </w:pPr>
            <w:r>
              <w:rPr>
                <w:rFonts w:ascii="Arial" w:cs="Arial" w:eastAsia="Arial" w:hAnsi="Arial"/>
                <w:sz w:val="3"/>
                <w:szCs w:val="3"/>
                <w:color w:val="FFFFFF"/>
              </w:rPr>
              <w:t>“fair value” of the shares held by unsuitable persons. WRL engaged an independent fi nancial advisor to assist in the fair value calculation and</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concluded that“unsuitability”,discountto the then-current trading price was appropriate because of, among other things, restrictions on most of the shares held by Aruze USA, Inc under the terms of an existing stockholders</w:t>
            </w:r>
          </w:p>
        </w:tc>
      </w:tr>
      <w:tr>
        <w:trPr>
          <w:trHeight w:val="41"/>
        </w:trPr>
        <w:tc>
          <w:tcPr>
            <w:tcW w:w="3480" w:type="dxa"/>
            <w:vAlign w:val="bottom"/>
            <w:gridSpan w:val="4"/>
          </w:tcPr>
          <w:p>
            <w:pPr>
              <w:spacing w:after="0"/>
              <w:rPr>
                <w:sz w:val="20"/>
                <w:szCs w:val="20"/>
                <w:color w:val="auto"/>
              </w:rPr>
            </w:pPr>
            <w:r>
              <w:rPr>
                <w:rFonts w:ascii="Arial" w:cs="Arial" w:eastAsia="Arial" w:hAnsi="Arial"/>
                <w:sz w:val="3"/>
                <w:szCs w:val="3"/>
                <w:color w:val="FFFFFF"/>
              </w:rPr>
              <w:t>agreement. Pursuant to the articles of incorporation of WRL,</w:t>
            </w:r>
          </w:p>
        </w:tc>
        <w:tc>
          <w:tcPr>
            <w:tcW w:w="7940" w:type="dxa"/>
            <w:vAlign w:val="bottom"/>
            <w:gridSpan w:val="2"/>
          </w:tcPr>
          <w:p>
            <w:pPr>
              <w:jc w:val="right"/>
              <w:ind w:right="209"/>
              <w:spacing w:after="0"/>
              <w:rPr>
                <w:sz w:val="20"/>
                <w:szCs w:val="20"/>
                <w:color w:val="auto"/>
              </w:rPr>
            </w:pPr>
            <w:r>
              <w:rPr>
                <w:rFonts w:ascii="Arial" w:cs="Arial" w:eastAsia="Arial" w:hAnsi="Arial"/>
                <w:sz w:val="3"/>
                <w:szCs w:val="3"/>
                <w:color w:val="FFFFFF"/>
              </w:rPr>
              <w:t>18 February 2012, WRL issued  subordinated promiss ry note in redemption of all of the shares of WRL common stock held by Aruze USA,</w:t>
            </w:r>
          </w:p>
        </w:tc>
      </w:tr>
      <w:tr>
        <w:trPr>
          <w:trHeight w:val="41"/>
        </w:trPr>
        <w:tc>
          <w:tcPr>
            <w:tcW w:w="5080" w:type="dxa"/>
            <w:vAlign w:val="bottom"/>
            <w:gridSpan w:val="5"/>
          </w:tcPr>
          <w:p>
            <w:pPr>
              <w:spacing w:after="0"/>
              <w:rPr>
                <w:sz w:val="20"/>
                <w:szCs w:val="20"/>
                <w:color w:val="auto"/>
              </w:rPr>
            </w:pPr>
            <w:r>
              <w:rPr>
                <w:rFonts w:ascii="Arial" w:cs="Arial" w:eastAsia="Arial" w:hAnsi="Arial"/>
                <w:sz w:val="3"/>
                <w:szCs w:val="3"/>
                <w:color w:val="FFFFFF"/>
              </w:rPr>
              <w:t>Inc. (the “Redemption Price Promissory Note”). The Redemption Price Promissory Note has</w:t>
            </w:r>
          </w:p>
        </w:tc>
        <w:tc>
          <w:tcPr>
            <w:tcW w:w="6340" w:type="dxa"/>
            <w:vAlign w:val="bottom"/>
          </w:tcPr>
          <w:p>
            <w:pPr>
              <w:jc w:val="right"/>
              <w:ind w:right="49"/>
              <w:spacing w:after="0"/>
              <w:rPr>
                <w:sz w:val="20"/>
                <w:szCs w:val="20"/>
                <w:color w:val="auto"/>
              </w:rPr>
            </w:pPr>
            <w:r>
              <w:rPr>
                <w:rFonts w:ascii="Arial" w:cs="Arial" w:eastAsia="Arial" w:hAnsi="Arial"/>
                <w:sz w:val="3"/>
                <w:szCs w:val="3"/>
                <w:color w:val="FFFFFF"/>
              </w:rPr>
              <w:t>principal amount of approximately US$1.9 billion (approximately HK$14.7 billion), matures   18 February 2022</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and bears interest at the rate of 2% per annum, payable annually in arrears on each anniversary of the date of the Redemption Price Promissory Note. WRL may, in its sole and absolute discretion, at any time and</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from time to time, and without penalty or premium, prepay the whole or any portion of the principal or interest due under the Redemption Price Promissory Note. In no instance shall any payment obligation</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under the Redemption Price Promissory Note be accelerated except in the sole and absolute discretion of WRL or as specifi cally mandated by law. The indebtedness evidenced by the Redemption Price</w:t>
            </w:r>
          </w:p>
        </w:tc>
      </w:tr>
      <w:tr>
        <w:trPr>
          <w:trHeight w:val="41"/>
        </w:trPr>
        <w:tc>
          <w:tcPr>
            <w:tcW w:w="2400" w:type="dxa"/>
            <w:vAlign w:val="bottom"/>
            <w:gridSpan w:val="3"/>
          </w:tcPr>
          <w:p>
            <w:pPr>
              <w:spacing w:after="0"/>
              <w:rPr>
                <w:sz w:val="20"/>
                <w:szCs w:val="20"/>
                <w:color w:val="auto"/>
              </w:rPr>
            </w:pPr>
            <w:r>
              <w:rPr>
                <w:rFonts w:ascii="Arial" w:cs="Arial" w:eastAsia="Arial" w:hAnsi="Arial"/>
                <w:sz w:val="3"/>
                <w:szCs w:val="3"/>
                <w:color w:val="FFFFFF"/>
              </w:rPr>
              <w:t>Promissory Note is and shall be</w:t>
            </w:r>
          </w:p>
        </w:tc>
        <w:tc>
          <w:tcPr>
            <w:tcW w:w="9020" w:type="dxa"/>
            <w:vAlign w:val="bottom"/>
            <w:gridSpan w:val="3"/>
          </w:tcPr>
          <w:p>
            <w:pPr>
              <w:ind w:left="80"/>
              <w:spacing w:after="0"/>
              <w:rPr>
                <w:sz w:val="20"/>
                <w:szCs w:val="20"/>
                <w:color w:val="auto"/>
              </w:rPr>
            </w:pPr>
            <w:r>
              <w:rPr>
                <w:rFonts w:ascii="Arial" w:cs="Arial" w:eastAsia="Arial" w:hAnsi="Arial"/>
                <w:sz w:val="3"/>
                <w:szCs w:val="3"/>
                <w:color w:val="FFFFFF"/>
              </w:rPr>
              <w:t>in right of payment, to the extent and in the manner provided in the Redemption Price Promissory Note, to the prior payment in full of all existing and future</w:t>
            </w:r>
          </w:p>
        </w:tc>
      </w:tr>
      <w:tr>
        <w:trPr>
          <w:trHeight w:val="20"/>
        </w:trPr>
        <w:tc>
          <w:tcPr>
            <w:tcW w:w="11420" w:type="dxa"/>
            <w:vAlign w:val="bottom"/>
            <w:gridSpan w:val="6"/>
          </w:tcPr>
          <w:p>
            <w:pPr>
              <w:spacing w:after="0" w:line="21" w:lineRule="exact"/>
              <w:rPr>
                <w:sz w:val="20"/>
                <w:szCs w:val="20"/>
                <w:color w:val="auto"/>
              </w:rPr>
            </w:pPr>
            <w:r>
              <w:rPr>
                <w:rFonts w:ascii="Arial" w:cs="Arial" w:eastAsia="Arial" w:hAnsi="Arial"/>
                <w:sz w:val="2"/>
                <w:szCs w:val="2"/>
                <w:color w:val="FFFFFF"/>
              </w:rPr>
              <w:t>On 19 February 2012, WRL fi ledsubordinatedcomplaint in the District Court of Clark County, Nevada against Mr. Okada, Aruze USA, Inc. and Universal Entertainment Corporation alleging breaches of fi duciary duty</w:t>
            </w:r>
          </w:p>
        </w:tc>
      </w:tr>
      <w:tr>
        <w:trPr>
          <w:trHeight w:val="20"/>
        </w:trPr>
        <w:tc>
          <w:tcPr>
            <w:tcW w:w="2400" w:type="dxa"/>
            <w:vAlign w:val="bottom"/>
            <w:gridSpan w:val="3"/>
          </w:tcPr>
          <w:p>
            <w:pPr>
              <w:spacing w:after="0" w:line="21" w:lineRule="exact"/>
              <w:rPr>
                <w:sz w:val="20"/>
                <w:szCs w:val="20"/>
                <w:color w:val="auto"/>
              </w:rPr>
            </w:pPr>
            <w:r>
              <w:rPr>
                <w:rFonts w:ascii="Arial" w:cs="Arial" w:eastAsia="Arial" w:hAnsi="Arial"/>
                <w:sz w:val="2"/>
                <w:szCs w:val="2"/>
                <w:color w:val="FFFFFF"/>
              </w:rPr>
              <w:t>obligations of WRL or any of its affi liates</w:t>
            </w:r>
          </w:p>
        </w:tc>
        <w:tc>
          <w:tcPr>
            <w:tcW w:w="9020" w:type="dxa"/>
            <w:vAlign w:val="bottom"/>
            <w:gridSpan w:val="3"/>
          </w:tcPr>
          <w:p>
            <w:pPr>
              <w:ind w:left="80"/>
              <w:spacing w:after="0" w:line="21" w:lineRule="exact"/>
              <w:rPr>
                <w:sz w:val="20"/>
                <w:szCs w:val="20"/>
                <w:color w:val="auto"/>
              </w:rPr>
            </w:pPr>
            <w:r>
              <w:rPr>
                <w:rFonts w:ascii="Arial" w:cs="Arial" w:eastAsia="Arial" w:hAnsi="Arial"/>
                <w:sz w:val="2"/>
                <w:szCs w:val="2"/>
                <w:color w:val="FFFFFF"/>
              </w:rPr>
              <w:t>respect of indebtedness for borrowed money of any kind or nature.</w:t>
            </w:r>
          </w:p>
        </w:tc>
      </w:tr>
      <w:tr>
        <w:trPr>
          <w:trHeight w:val="81"/>
        </w:trPr>
        <w:tc>
          <w:tcPr>
            <w:tcW w:w="5080" w:type="dxa"/>
            <w:vAlign w:val="bottom"/>
            <w:gridSpan w:val="5"/>
          </w:tcPr>
          <w:p>
            <w:pPr>
              <w:spacing w:after="0" w:line="81" w:lineRule="exact"/>
              <w:rPr>
                <w:sz w:val="20"/>
                <w:szCs w:val="20"/>
                <w:color w:val="auto"/>
              </w:rPr>
            </w:pPr>
            <w:r>
              <w:rPr>
                <w:rFonts w:ascii="Arial" w:cs="Arial" w:eastAsia="Arial" w:hAnsi="Arial"/>
                <w:sz w:val="9"/>
                <w:szCs w:val="9"/>
                <w:color w:val="FFFFFF"/>
              </w:rPr>
              <w:t>and related claims. On 12 March 2012, Aruze USA, Inc. and Universal Entertainment</w:t>
            </w:r>
          </w:p>
        </w:tc>
        <w:tc>
          <w:tcPr>
            <w:tcW w:w="6340" w:type="dxa"/>
            <w:vAlign w:val="bottom"/>
          </w:tcPr>
          <w:p>
            <w:pPr>
              <w:jc w:val="right"/>
              <w:ind w:right="249"/>
              <w:spacing w:after="0" w:line="81" w:lineRule="exact"/>
              <w:rPr>
                <w:sz w:val="20"/>
                <w:szCs w:val="20"/>
                <w:color w:val="auto"/>
              </w:rPr>
            </w:pPr>
            <w:r>
              <w:rPr>
                <w:rFonts w:ascii="Arial" w:cs="Arial" w:eastAsia="Arial" w:hAnsi="Arial"/>
                <w:sz w:val="9"/>
                <w:szCs w:val="9"/>
                <w:color w:val="FFFFFF"/>
              </w:rPr>
              <w:t>removed the action to the United States District Court for the District of Nevada. On that same date, Aruze</w:t>
            </w:r>
          </w:p>
        </w:tc>
      </w:tr>
      <w:tr>
        <w:trPr>
          <w:trHeight w:val="41"/>
        </w:trPr>
        <w:tc>
          <w:tcPr>
            <w:tcW w:w="1320" w:type="dxa"/>
            <w:vAlign w:val="bottom"/>
            <w:gridSpan w:val="2"/>
          </w:tcPr>
          <w:p>
            <w:pPr>
              <w:spacing w:after="0"/>
              <w:rPr>
                <w:sz w:val="20"/>
                <w:szCs w:val="20"/>
                <w:color w:val="auto"/>
              </w:rPr>
            </w:pPr>
            <w:r>
              <w:rPr>
                <w:rFonts w:ascii="Arial" w:cs="Arial" w:eastAsia="Arial" w:hAnsi="Arial"/>
                <w:sz w:val="3"/>
                <w:szCs w:val="3"/>
                <w:color w:val="FFFFFF"/>
              </w:rPr>
              <w:t>USA, Inc. and</w:t>
            </w:r>
          </w:p>
        </w:tc>
        <w:tc>
          <w:tcPr>
            <w:tcW w:w="10100" w:type="dxa"/>
            <w:vAlign w:val="bottom"/>
            <w:gridSpan w:val="4"/>
          </w:tcPr>
          <w:p>
            <w:pPr>
              <w:jc w:val="right"/>
              <w:ind w:right="509"/>
              <w:spacing w:after="0"/>
              <w:rPr>
                <w:sz w:val="20"/>
                <w:szCs w:val="20"/>
                <w:color w:val="auto"/>
              </w:rPr>
            </w:pPr>
            <w:r>
              <w:rPr>
                <w:rFonts w:ascii="Arial" w:cs="Arial" w:eastAsia="Arial" w:hAnsi="Arial"/>
                <w:sz w:val="3"/>
                <w:szCs w:val="3"/>
                <w:color w:val="FFFFFF"/>
              </w:rPr>
              <w:t>Enter ainment Corporation fi led an answer denying the claimsCorporationandcounterclaim that purports to assert claims against WRL, each of the members of WRL’s board (other than</w:t>
            </w:r>
          </w:p>
        </w:tc>
      </w:tr>
      <w:tr>
        <w:trPr>
          <w:trHeight w:val="213"/>
        </w:trPr>
        <w:tc>
          <w:tcPr>
            <w:tcW w:w="5080" w:type="dxa"/>
            <w:vAlign w:val="bottom"/>
            <w:gridSpan w:val="5"/>
          </w:tcPr>
          <w:p>
            <w:pPr>
              <w:spacing w:after="0"/>
              <w:rPr>
                <w:sz w:val="20"/>
                <w:szCs w:val="20"/>
                <w:color w:val="auto"/>
              </w:rPr>
            </w:pPr>
            <w:r>
              <w:rPr>
                <w:rFonts w:ascii="Arial" w:cs="Arial" w:eastAsia="Arial" w:hAnsi="Arial"/>
                <w:sz w:val="14"/>
                <w:szCs w:val="14"/>
                <w:color w:val="FFFFFF"/>
              </w:rPr>
              <w:t>Mr. Okada) andUniversalsenior executive of WRL. Among other relief, the</w:t>
            </w:r>
          </w:p>
        </w:tc>
        <w:tc>
          <w:tcPr>
            <w:tcW w:w="6340" w:type="dxa"/>
            <w:vAlign w:val="bottom"/>
          </w:tcPr>
          <w:p>
            <w:pPr>
              <w:spacing w:after="0"/>
              <w:rPr>
                <w:sz w:val="18"/>
                <w:szCs w:val="18"/>
                <w:color w:val="auto"/>
              </w:rPr>
            </w:pPr>
          </w:p>
        </w:tc>
      </w:tr>
    </w:tbl>
    <w:p>
      <w:pPr>
        <w:sectPr>
          <w:pgSz w:w="11900" w:h="16838" w:orient="portrait"/>
          <w:cols w:equalWidth="0" w:num="1">
            <w:col w:w="11420"/>
          </w:cols>
          <w:pgMar w:left="240" w:top="1440" w:right="2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20"/>
                <w:szCs w:val="20"/>
                <w:color w:val="auto"/>
              </w:rPr>
            </w:pPr>
            <w:r>
              <w:rPr>
                <w:rFonts w:ascii="Arial" w:cs="Arial" w:eastAsia="Arial" w:hAnsi="Arial"/>
                <w:sz w:val="14"/>
                <w:szCs w:val="14"/>
                <w:color w:val="FFFFFF"/>
              </w:rPr>
              <w:t>Annual Report 2011 57</w:t>
            </w:r>
          </w:p>
        </w:tc>
        <w:tc>
          <w:tcPr>
            <w:tcW w:w="2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76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2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INFORMATION CONCERNING MR. KAZUO OKADA (continued) counterclaim seeks a declaration that the redemption of Aruze USA, Inc.’s shares was void, an injunction restoring Aruze USA, Inc.’s share</w:t>
            </w:r>
          </w:p>
        </w:tc>
        <w:tc>
          <w:tcPr>
            <w:tcW w:w="0" w:type="dxa"/>
            <w:vAlign w:val="bottom"/>
          </w:tcPr>
          <w:p>
            <w:pPr>
              <w:spacing w:after="0"/>
              <w:rPr>
                <w:sz w:val="1"/>
                <w:szCs w:val="1"/>
                <w:color w:val="auto"/>
              </w:rPr>
            </w:pPr>
          </w:p>
        </w:tc>
      </w:tr>
      <w:tr>
        <w:trPr>
          <w:trHeight w:val="41"/>
        </w:trPr>
        <w:tc>
          <w:tcPr>
            <w:tcW w:w="3760" w:type="dxa"/>
            <w:vAlign w:val="bottom"/>
          </w:tcPr>
          <w:p>
            <w:pPr>
              <w:spacing w:after="0"/>
              <w:rPr>
                <w:sz w:val="20"/>
                <w:szCs w:val="20"/>
                <w:color w:val="auto"/>
              </w:rPr>
            </w:pPr>
            <w:r>
              <w:rPr>
                <w:rFonts w:ascii="Arial" w:cs="Arial" w:eastAsia="Arial" w:hAnsi="Arial"/>
                <w:sz w:val="3"/>
                <w:szCs w:val="3"/>
                <w:color w:val="FFFFFF"/>
              </w:rPr>
              <w:t>ownership and damages in an unspecifi   amount.</w:t>
            </w:r>
          </w:p>
        </w:tc>
        <w:tc>
          <w:tcPr>
            <w:tcW w:w="2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On 24 February 2012, the Board considered the information disclosed by WRL concerning the Freeh Report. After due consideration of the Freeh Report, taking into account the Company’s high ethical</w:t>
            </w:r>
          </w:p>
        </w:tc>
        <w:tc>
          <w:tcPr>
            <w:tcW w:w="0" w:type="dxa"/>
            <w:vAlign w:val="bottom"/>
          </w:tcPr>
          <w:p>
            <w:pPr>
              <w:spacing w:after="0"/>
              <w:rPr>
                <w:sz w:val="1"/>
                <w:szCs w:val="1"/>
                <w:color w:val="auto"/>
              </w:rPr>
            </w:pPr>
          </w:p>
        </w:tc>
      </w:tr>
      <w:tr>
        <w:trPr>
          <w:trHeight w:val="41"/>
        </w:trPr>
        <w:tc>
          <w:tcPr>
            <w:tcW w:w="3760" w:type="dxa"/>
            <w:vAlign w:val="bottom"/>
          </w:tcPr>
          <w:p>
            <w:pPr>
              <w:spacing w:after="0"/>
              <w:rPr>
                <w:sz w:val="20"/>
                <w:szCs w:val="20"/>
                <w:color w:val="auto"/>
              </w:rPr>
            </w:pPr>
            <w:r>
              <w:rPr>
                <w:rFonts w:ascii="Arial" w:cs="Arial" w:eastAsia="Arial" w:hAnsi="Arial"/>
                <w:sz w:val="3"/>
                <w:szCs w:val="3"/>
                <w:color w:val="FFFFFF"/>
              </w:rPr>
              <w:t>standards, the Board determined that it was obligated to remove Mr.</w:t>
            </w:r>
          </w:p>
        </w:tc>
        <w:tc>
          <w:tcPr>
            <w:tcW w:w="4980" w:type="dxa"/>
            <w:vAlign w:val="bottom"/>
            <w:gridSpan w:val="4"/>
          </w:tcPr>
          <w:p>
            <w:pPr>
              <w:ind w:left="340"/>
              <w:spacing w:after="0"/>
              <w:rPr>
                <w:sz w:val="20"/>
                <w:szCs w:val="20"/>
                <w:color w:val="auto"/>
              </w:rPr>
            </w:pPr>
            <w:r>
              <w:rPr>
                <w:rFonts w:ascii="Arial" w:cs="Arial" w:eastAsia="Arial" w:hAnsi="Arial"/>
                <w:sz w:val="3"/>
                <w:szCs w:val="3"/>
                <w:color w:val="FFFFFF"/>
              </w:rPr>
              <w:t>Okada as a non-executive Director given the unacceptable conduct by Mr. Okada, his</w:t>
            </w:r>
          </w:p>
        </w:tc>
        <w:tc>
          <w:tcPr>
            <w:tcW w:w="2660" w:type="dxa"/>
            <w:vAlign w:val="bottom"/>
          </w:tcPr>
          <w:p>
            <w:pPr>
              <w:ind w:left="620"/>
              <w:spacing w:after="0"/>
              <w:rPr>
                <w:sz w:val="20"/>
                <w:szCs w:val="20"/>
                <w:color w:val="auto"/>
              </w:rPr>
            </w:pPr>
            <w:r>
              <w:rPr>
                <w:rFonts w:ascii="Arial" w:cs="Arial" w:eastAsia="Arial" w:hAnsi="Arial"/>
                <w:sz w:val="3"/>
                <w:szCs w:val="3"/>
                <w:color w:val="FFFFFF"/>
              </w:rPr>
              <w:t>and associates detailed in the Freeh</w:t>
            </w:r>
          </w:p>
        </w:tc>
        <w:tc>
          <w:tcPr>
            <w:tcW w:w="0" w:type="dxa"/>
            <w:vAlign w:val="bottom"/>
          </w:tcPr>
          <w:p>
            <w:pPr>
              <w:spacing w:after="0"/>
              <w:rPr>
                <w:sz w:val="1"/>
                <w:szCs w:val="1"/>
                <w:color w:val="auto"/>
              </w:rPr>
            </w:pPr>
          </w:p>
        </w:tc>
      </w:tr>
      <w:tr>
        <w:trPr>
          <w:trHeight w:val="41"/>
        </w:trPr>
        <w:tc>
          <w:tcPr>
            <w:tcW w:w="8740" w:type="dxa"/>
            <w:vAlign w:val="bottom"/>
            <w:gridSpan w:val="5"/>
          </w:tcPr>
          <w:p>
            <w:pPr>
              <w:spacing w:after="0"/>
              <w:rPr>
                <w:sz w:val="20"/>
                <w:szCs w:val="20"/>
                <w:color w:val="auto"/>
              </w:rPr>
            </w:pPr>
            <w:r>
              <w:rPr>
                <w:rFonts w:ascii="Arial" w:cs="Arial" w:eastAsia="Arial" w:hAnsi="Arial"/>
                <w:sz w:val="3"/>
                <w:szCs w:val="3"/>
                <w:color w:val="FFFFFF"/>
              </w:rPr>
              <w:t>Report. A cordingly, the Board resolved to remove Mr. Kazuo OkadaKazuoasnon-executive director of the Company and Mr. Kazuo Okada was so removed (“Mr.</w:t>
            </w:r>
          </w:p>
        </w:tc>
        <w:tc>
          <w:tcPr>
            <w:tcW w:w="2660" w:type="dxa"/>
            <w:vAlign w:val="bottom"/>
          </w:tcPr>
          <w:p>
            <w:pPr>
              <w:spacing w:after="0"/>
              <w:rPr>
                <w:sz w:val="20"/>
                <w:szCs w:val="20"/>
                <w:color w:val="auto"/>
              </w:rPr>
            </w:pPr>
            <w:r>
              <w:rPr>
                <w:rFonts w:ascii="Arial" w:cs="Arial" w:eastAsia="Arial" w:hAnsi="Arial"/>
                <w:sz w:val="3"/>
                <w:szCs w:val="3"/>
                <w:color w:val="FFFFFF"/>
              </w:rPr>
              <w:t>employeesRemoval”).</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On 7 March 2012, WRL fi led with the SEC a preliminary proxy statement for a special meeting of stockholders of WRL to be held for the purpose of voting onOkada’proposal to remove Mr. Okada as a director of</w:t>
            </w:r>
          </w:p>
        </w:tc>
        <w:tc>
          <w:tcPr>
            <w:tcW w:w="0" w:type="dxa"/>
            <w:vAlign w:val="bottom"/>
          </w:tcPr>
          <w:p>
            <w:pPr>
              <w:spacing w:after="0"/>
              <w:rPr>
                <w:sz w:val="1"/>
                <w:szCs w:val="1"/>
                <w:color w:val="auto"/>
              </w:rPr>
            </w:pPr>
          </w:p>
        </w:tc>
      </w:tr>
      <w:tr>
        <w:trPr>
          <w:trHeight w:val="41"/>
        </w:trPr>
        <w:tc>
          <w:tcPr>
            <w:tcW w:w="3760" w:type="dxa"/>
            <w:vAlign w:val="bottom"/>
          </w:tcPr>
          <w:p>
            <w:pPr>
              <w:spacing w:after="0"/>
              <w:rPr>
                <w:sz w:val="20"/>
                <w:szCs w:val="20"/>
                <w:color w:val="auto"/>
              </w:rPr>
            </w:pPr>
            <w:r>
              <w:rPr>
                <w:rFonts w:ascii="Arial" w:cs="Arial" w:eastAsia="Arial" w:hAnsi="Arial"/>
                <w:sz w:val="3"/>
                <w:szCs w:val="3"/>
                <w:color w:val="FFFFFF"/>
              </w:rPr>
              <w:t>WRL.</w:t>
            </w:r>
          </w:p>
        </w:tc>
        <w:tc>
          <w:tcPr>
            <w:tcW w:w="2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60" w:type="dxa"/>
            <w:vAlign w:val="bottom"/>
          </w:tcPr>
          <w:p>
            <w:pPr>
              <w:spacing w:after="0"/>
              <w:rPr>
                <w:sz w:val="20"/>
                <w:szCs w:val="20"/>
                <w:color w:val="auto"/>
              </w:rPr>
            </w:pPr>
            <w:r>
              <w:rPr>
                <w:rFonts w:ascii="Arial" w:cs="Arial" w:eastAsia="Arial" w:hAnsi="Arial"/>
                <w:sz w:val="3"/>
                <w:szCs w:val="3"/>
                <w:color w:val="FFFFFF"/>
              </w:rPr>
              <w:t>Litigation commenced by Mr. Okada and related matters</w:t>
            </w:r>
          </w:p>
        </w:tc>
        <w:tc>
          <w:tcPr>
            <w:tcW w:w="2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As previously disclosed in May 2011, the Company made a commitment to the University of Macau Development Foundation in support of the new Asia-Pacifi c Academy of Economics and Management. This</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contribution consists of  MOP200.0 million (equivalent to HK$194.2 million) payment made in May 2011 and  commitment for additional donations of MOP80.0 million (equivalent to HK$77.7 million) each</w:t>
            </w:r>
          </w:p>
        </w:tc>
        <w:tc>
          <w:tcPr>
            <w:tcW w:w="0" w:type="dxa"/>
            <w:vAlign w:val="bottom"/>
          </w:tcPr>
          <w:p>
            <w:pPr>
              <w:spacing w:after="0"/>
              <w:rPr>
                <w:sz w:val="1"/>
                <w:szCs w:val="1"/>
                <w:color w:val="auto"/>
              </w:rPr>
            </w:pPr>
          </w:p>
        </w:tc>
      </w:tr>
      <w:tr>
        <w:trPr>
          <w:trHeight w:val="41"/>
        </w:trPr>
        <w:tc>
          <w:tcPr>
            <w:tcW w:w="5760" w:type="dxa"/>
            <w:vAlign w:val="bottom"/>
            <w:gridSpan w:val="2"/>
          </w:tcPr>
          <w:p>
            <w:pPr>
              <w:spacing w:after="0"/>
              <w:rPr>
                <w:sz w:val="20"/>
                <w:szCs w:val="20"/>
                <w:color w:val="auto"/>
              </w:rPr>
            </w:pPr>
            <w:r>
              <w:rPr>
                <w:rFonts w:ascii="Arial" w:cs="Arial" w:eastAsia="Arial" w:hAnsi="Arial"/>
                <w:sz w:val="3"/>
                <w:szCs w:val="3"/>
                <w:color w:val="FFFFFF"/>
              </w:rPr>
              <w:t>year for the calendar years 2012 through 2022 inclusive. The pledge was consistent with WRL’ long-</w:t>
            </w:r>
          </w:p>
        </w:tc>
        <w:tc>
          <w:tcPr>
            <w:tcW w:w="5640" w:type="dxa"/>
            <w:vAlign w:val="bottom"/>
            <w:gridSpan w:val="4"/>
          </w:tcPr>
          <w:p>
            <w:pPr>
              <w:ind w:left="240"/>
              <w:spacing w:after="0"/>
              <w:rPr>
                <w:sz w:val="20"/>
                <w:szCs w:val="20"/>
                <w:color w:val="auto"/>
              </w:rPr>
            </w:pPr>
            <w:r>
              <w:rPr>
                <w:rFonts w:ascii="Arial" w:cs="Arial" w:eastAsia="Arial" w:hAnsi="Arial"/>
                <w:sz w:val="3"/>
                <w:szCs w:val="3"/>
                <w:color w:val="FFFFFF"/>
              </w:rPr>
              <w:t>practice of providing philanthropic support for deserving institutions in the markets in which it</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operates. The pledge was made following an extensive analysis which concluded that the gift was madestandingaccordance with all applicable laws. The pledge was considered by the boards of directors of both WRL</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and the Company and approved by 15 of the 16 directors who serve on those boards. The sole dissenting vote was cast by Mr. Kazuo Okada whose stated objection was to the length of time over which the</w:t>
            </w:r>
          </w:p>
        </w:tc>
        <w:tc>
          <w:tcPr>
            <w:tcW w:w="0" w:type="dxa"/>
            <w:vAlign w:val="bottom"/>
          </w:tcPr>
          <w:p>
            <w:pPr>
              <w:spacing w:after="0"/>
              <w:rPr>
                <w:sz w:val="1"/>
                <w:szCs w:val="1"/>
                <w:color w:val="auto"/>
              </w:rPr>
            </w:pPr>
          </w:p>
        </w:tc>
      </w:tr>
      <w:tr>
        <w:trPr>
          <w:trHeight w:val="41"/>
        </w:trPr>
        <w:tc>
          <w:tcPr>
            <w:tcW w:w="3760" w:type="dxa"/>
            <w:vAlign w:val="bottom"/>
          </w:tcPr>
          <w:p>
            <w:pPr>
              <w:spacing w:after="0"/>
              <w:rPr>
                <w:sz w:val="20"/>
                <w:szCs w:val="20"/>
                <w:color w:val="auto"/>
              </w:rPr>
            </w:pPr>
            <w:r>
              <w:rPr>
                <w:rFonts w:ascii="Arial" w:cs="Arial" w:eastAsia="Arial" w:hAnsi="Arial"/>
                <w:sz w:val="3"/>
                <w:szCs w:val="3"/>
                <w:color w:val="FFFFFF"/>
              </w:rPr>
              <w:t>donation would occur, not its propriety.</w:t>
            </w:r>
          </w:p>
        </w:tc>
        <w:tc>
          <w:tcPr>
            <w:tcW w:w="7640" w:type="dxa"/>
            <w:vAlign w:val="bottom"/>
            <w:gridSpan w:val="5"/>
            <w:vMerge w:val="restart"/>
          </w:tcPr>
          <w:p>
            <w:pPr>
              <w:ind w:left="60"/>
              <w:spacing w:after="0" w:line="81" w:lineRule="exact"/>
              <w:rPr>
                <w:sz w:val="20"/>
                <w:szCs w:val="20"/>
                <w:color w:val="auto"/>
              </w:rPr>
            </w:pPr>
            <w:r>
              <w:rPr>
                <w:rFonts w:ascii="Arial" w:cs="Arial" w:eastAsia="Arial" w:hAnsi="Arial"/>
                <w:sz w:val="9"/>
                <w:szCs w:val="9"/>
                <w:color w:val="FFFFFF"/>
              </w:rPr>
              <w:t>court seeking to compel WRL to produce information relating to the donation to the University of Macau, among other things.</w:t>
            </w:r>
          </w:p>
        </w:tc>
        <w:tc>
          <w:tcPr>
            <w:tcW w:w="0" w:type="dxa"/>
            <w:vAlign w:val="bottom"/>
          </w:tcPr>
          <w:p>
            <w:pPr>
              <w:spacing w:after="0"/>
              <w:rPr>
                <w:sz w:val="1"/>
                <w:szCs w:val="1"/>
                <w:color w:val="auto"/>
              </w:rPr>
            </w:pPr>
          </w:p>
        </w:tc>
      </w:tr>
      <w:tr>
        <w:trPr>
          <w:trHeight w:val="41"/>
        </w:trPr>
        <w:tc>
          <w:tcPr>
            <w:tcW w:w="3760" w:type="dxa"/>
            <w:vAlign w:val="bottom"/>
          </w:tcPr>
          <w:p>
            <w:pPr>
              <w:spacing w:after="0"/>
              <w:rPr>
                <w:sz w:val="20"/>
                <w:szCs w:val="20"/>
                <w:color w:val="auto"/>
              </w:rPr>
            </w:pPr>
            <w:r>
              <w:rPr>
                <w:rFonts w:ascii="Arial" w:cs="Arial" w:eastAsia="Arial" w:hAnsi="Arial"/>
                <w:sz w:val="3"/>
                <w:szCs w:val="3"/>
                <w:color w:val="FFFFFF"/>
              </w:rPr>
              <w:t>Mr. Okada commenced litigation on 11 January 2012, in Nevada</w:t>
            </w:r>
          </w:p>
        </w:tc>
        <w:tc>
          <w:tcPr>
            <w:tcW w:w="76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20" w:type="dxa"/>
            <w:vAlign w:val="bottom"/>
            <w:gridSpan w:val="3"/>
          </w:tcPr>
          <w:p>
            <w:pPr>
              <w:spacing w:after="0"/>
              <w:rPr>
                <w:sz w:val="20"/>
                <w:szCs w:val="20"/>
                <w:color w:val="auto"/>
              </w:rPr>
            </w:pPr>
            <w:r>
              <w:rPr>
                <w:rFonts w:ascii="Arial" w:cs="Arial" w:eastAsia="Arial" w:hAnsi="Arial"/>
                <w:sz w:val="3"/>
                <w:szCs w:val="3"/>
                <w:color w:val="FFFFFF"/>
              </w:rPr>
              <w:t>On 8 February 2012, following Mr. Okada’s lawsuit, WRL receivedstate letter from the Salt Lake Regional Offi ce of</w:t>
            </w:r>
          </w:p>
        </w:tc>
        <w:tc>
          <w:tcPr>
            <w:tcW w:w="5080" w:type="dxa"/>
            <w:vAlign w:val="bottom"/>
            <w:gridSpan w:val="3"/>
          </w:tcPr>
          <w:p>
            <w:pPr>
              <w:ind w:left="120"/>
              <w:spacing w:after="0"/>
              <w:rPr>
                <w:sz w:val="20"/>
                <w:szCs w:val="20"/>
                <w:color w:val="auto"/>
              </w:rPr>
            </w:pPr>
            <w:r>
              <w:rPr>
                <w:rFonts w:ascii="Arial" w:cs="Arial" w:eastAsia="Arial" w:hAnsi="Arial"/>
                <w:sz w:val="3"/>
                <w:szCs w:val="3"/>
                <w:color w:val="FFFFFF"/>
              </w:rPr>
              <w:t>SEC requesting that, in connection with an informal inquiry by the SEC, WRL preserve</w:t>
            </w:r>
          </w:p>
        </w:tc>
        <w:tc>
          <w:tcPr>
            <w:tcW w:w="0" w:type="dxa"/>
            <w:vAlign w:val="bottom"/>
          </w:tcPr>
          <w:p>
            <w:pPr>
              <w:spacing w:after="0"/>
              <w:rPr>
                <w:sz w:val="1"/>
                <w:szCs w:val="1"/>
                <w:color w:val="auto"/>
              </w:rPr>
            </w:pPr>
          </w:p>
        </w:tc>
      </w:tr>
      <w:tr>
        <w:trPr>
          <w:trHeight w:val="0"/>
        </w:trPr>
        <w:tc>
          <w:tcPr>
            <w:tcW w:w="7420" w:type="dxa"/>
            <w:vAlign w:val="bottom"/>
            <w:gridSpan w:val="4"/>
          </w:tcPr>
          <w:p>
            <w:pPr>
              <w:spacing w:after="0" w:line="80" w:lineRule="exact"/>
              <w:rPr>
                <w:sz w:val="20"/>
                <w:szCs w:val="20"/>
                <w:color w:val="auto"/>
              </w:rPr>
            </w:pPr>
            <w:r>
              <w:rPr>
                <w:rFonts w:ascii="Arial" w:cs="Arial" w:eastAsia="Arial" w:hAnsi="Arial"/>
                <w:sz w:val="9"/>
                <w:szCs w:val="9"/>
                <w:color w:val="FFFFFF"/>
              </w:rPr>
              <w:t>information relating to, but not limited to, the donation to the University of Macau, any donations by WRL to any other educational</w:t>
            </w:r>
          </w:p>
        </w:tc>
        <w:tc>
          <w:tcPr>
            <w:tcW w:w="3980" w:type="dxa"/>
            <w:vAlign w:val="bottom"/>
            <w:gridSpan w:val="2"/>
          </w:tcPr>
          <w:p>
            <w:pPr>
              <w:ind w:left="300"/>
              <w:spacing w:after="0" w:line="80" w:lineRule="exact"/>
              <w:rPr>
                <w:sz w:val="20"/>
                <w:szCs w:val="20"/>
                <w:color w:val="auto"/>
              </w:rPr>
            </w:pPr>
            <w:r>
              <w:rPr>
                <w:rFonts w:ascii="Arial" w:cs="Arial" w:eastAsia="Arial" w:hAnsi="Arial"/>
                <w:sz w:val="9"/>
                <w:szCs w:val="9"/>
                <w:color w:val="FFFFFF"/>
              </w:rPr>
              <w:t>institutions, including the University of Macau Development</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Foundation, and WRL’s casino or concession gaming licenses or renewals in Macau. WRL has informed the Salt Lake Regional Officharitablecethat intends to fully comply with the SEC’s request.</w:t>
      </w:r>
    </w:p>
    <w:p>
      <w:pPr>
        <w:sectPr>
          <w:pgSz w:w="11900" w:h="16838" w:orient="portrait"/>
          <w:cols w:equalWidth="0" w:num="1">
            <w:col w:w="11400"/>
          </w:cols>
          <w:pgMar w:left="240" w:top="1440" w:right="25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58 Wynn Macau, Limited</w:t>
      </w:r>
    </w:p>
    <w:p>
      <w:pPr>
        <w:spacing w:after="0"/>
        <w:rPr>
          <w:sz w:val="20"/>
          <w:szCs w:val="20"/>
          <w:color w:val="auto"/>
        </w:rPr>
      </w:pPr>
      <w:r>
        <w:rPr>
          <w:rFonts w:ascii="Arial" w:cs="Arial" w:eastAsia="Arial" w:hAnsi="Arial"/>
          <w:sz w:val="3"/>
          <w:szCs w:val="3"/>
          <w:color w:val="FFFFFF"/>
        </w:rPr>
        <w:t>Report of the Directors</w:t>
      </w:r>
    </w:p>
    <w:p>
      <w:pPr>
        <w:spacing w:after="0" w:line="181" w:lineRule="auto"/>
        <w:rPr>
          <w:sz w:val="20"/>
          <w:szCs w:val="20"/>
          <w:color w:val="auto"/>
        </w:rPr>
      </w:pPr>
      <w:r>
        <w:rPr>
          <w:rFonts w:ascii="Arial" w:cs="Arial" w:eastAsia="Arial" w:hAnsi="Arial"/>
          <w:sz w:val="10"/>
          <w:szCs w:val="10"/>
          <w:color w:val="FFFFFF"/>
        </w:rPr>
        <w:t>LitigationINFORMATIONcommencedCONCERNINGbyMr.OkadaMR.andKAZUOrelated mattersOKADA(continued)(continued)</w:t>
      </w:r>
    </w:p>
    <w:p>
      <w:pPr>
        <w:spacing w:after="0" w:line="181" w:lineRule="auto"/>
        <w:rPr>
          <w:sz w:val="20"/>
          <w:szCs w:val="20"/>
          <w:color w:val="auto"/>
        </w:rPr>
      </w:pPr>
      <w:r>
        <w:rPr>
          <w:rFonts w:ascii="Arial" w:cs="Arial" w:eastAsia="Arial" w:hAnsi="Arial"/>
          <w:sz w:val="7"/>
          <w:szCs w:val="7"/>
          <w:color w:val="FFFFFF"/>
        </w:rPr>
        <w:t>WRLAthearingreleasedoncertain9FebruaryWRL2012,documentstheNevadatoMr.stateOkadacourtforstatedhisinspectionthat,asadditionala.AtdirectorsubsequentofWRL,hearingMr.Okadaon8 hadMarchthe 2012,right tothemakecourta consideredreasonable Mr.inspectionOkada’sofrequestWRL’sthatcorporateWRL’sbooksboardandmakerecords.additionalFollowingdocumentsthehearing, available to him, and ruled that Mr. Okada was entitled to inspect two pages of WRL documents. WRL promptly complied with the court’s ruling.</w:t>
      </w:r>
    </w:p>
    <w:p>
      <w:pPr>
        <w:spacing w:after="0"/>
        <w:rPr>
          <w:sz w:val="20"/>
          <w:szCs w:val="20"/>
          <w:color w:val="auto"/>
        </w:rPr>
      </w:pPr>
      <w:r>
        <w:rPr>
          <w:rFonts w:ascii="Arial" w:cs="Arial" w:eastAsia="Arial" w:hAnsi="Arial"/>
          <w:sz w:val="3"/>
          <w:szCs w:val="3"/>
          <w:color w:val="FFFFFF"/>
        </w:rPr>
        <w:t>CHANGES IN INFORMATION OF DIRECTORS</w:t>
      </w:r>
    </w:p>
    <w:p>
      <w:pPr>
        <w:spacing w:after="0" w:line="227" w:lineRule="auto"/>
        <w:rPr>
          <w:sz w:val="20"/>
          <w:szCs w:val="20"/>
          <w:color w:val="auto"/>
        </w:rPr>
      </w:pPr>
      <w:r>
        <w:rPr>
          <w:rFonts w:ascii="Arial" w:cs="Arial" w:eastAsia="Arial" w:hAnsi="Arial"/>
          <w:sz w:val="8"/>
          <w:szCs w:val="8"/>
          <w:color w:val="FFFFFF"/>
        </w:rPr>
        <w:t>(a)PursuantMr.JeffreytoRuleKin13.51(B)(1)-fungLam,ofantheindependentListingRules,non-theexecutivechangesDirectorininformationoftheCompany,ofDirectorswasofappointedtheCompanyasan areindependentsetoutbelow:non-executive director of Chow Tai Fook Jewellery Group Limited on 17 November</w:t>
      </w:r>
    </w:p>
    <w:p>
      <w:pPr>
        <w:spacing w:after="0"/>
        <w:tabs>
          <w:tab w:leader="none" w:pos="2100" w:val="left"/>
          <w:tab w:leader="none" w:pos="5400" w:val="left"/>
        </w:tabs>
        <w:rPr>
          <w:sz w:val="20"/>
          <w:szCs w:val="20"/>
          <w:color w:val="auto"/>
        </w:rPr>
      </w:pPr>
      <w:r>
        <w:rPr>
          <w:rFonts w:ascii="Arial" w:cs="Arial" w:eastAsia="Arial" w:hAnsi="Arial"/>
          <w:sz w:val="3"/>
          <w:szCs w:val="3"/>
          <w:color w:val="FFFFFF"/>
        </w:rPr>
        <w:t>2011, the shares of which are listed</w:t>
      </w:r>
      <w:r>
        <w:rPr>
          <w:sz w:val="20"/>
          <w:szCs w:val="20"/>
          <w:color w:val="auto"/>
        </w:rPr>
        <w:tab/>
      </w:r>
      <w:r>
        <w:rPr>
          <w:rFonts w:ascii="Arial" w:cs="Arial" w:eastAsia="Arial" w:hAnsi="Arial"/>
          <w:sz w:val="3"/>
          <w:szCs w:val="3"/>
          <w:color w:val="FFFFFF"/>
        </w:rPr>
        <w:t>the Hong Kong Stock Exchange. He was also appointed as</w:t>
      </w:r>
      <w:r>
        <w:rPr>
          <w:sz w:val="20"/>
          <w:szCs w:val="20"/>
          <w:color w:val="auto"/>
        </w:rPr>
        <w:tab/>
      </w:r>
      <w:r>
        <w:rPr>
          <w:rFonts w:ascii="Arial" w:cs="Arial" w:eastAsia="Arial" w:hAnsi="Arial"/>
          <w:sz w:val="3"/>
          <w:szCs w:val="3"/>
          <w:color w:val="FFFFFF"/>
        </w:rPr>
        <w:t>member of the board of Hong Kong Airport Authority in June 2011.</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(c)Inb)JulyMr. 2011,BruceheRockowitz,wasawardedanindependentthehonorofnonthe-GoldexecutiveBauhiniaDirectorStarofin theHongCompany,Kong.Mr.wasLamawardedwas appointedthe2011AlumniasamemberAchievementoftheFightAwardCrimeby theCommitteeUniversityin ofHongVermont,Kong forUnitedatermStatesoftwoinOctoberyears. 2011.</w:t>
      </w:r>
    </w:p>
    <w:p>
      <w:pPr>
        <w:spacing w:after="0" w:line="1" w:lineRule="exact"/>
        <w:rPr>
          <w:sz w:val="20"/>
          <w:szCs w:val="20"/>
          <w:color w:val="auto"/>
        </w:rPr>
      </w:pPr>
    </w:p>
    <w:p>
      <w:pPr>
        <w:ind w:left="10920"/>
        <w:spacing w:after="0"/>
        <w:rPr>
          <w:sz w:val="20"/>
          <w:szCs w:val="20"/>
          <w:color w:val="auto"/>
        </w:rPr>
      </w:pPr>
      <w:r>
        <w:rPr>
          <w:rFonts w:ascii="Arial" w:cs="Arial" w:eastAsia="Arial" w:hAnsi="Arial"/>
          <w:sz w:val="1"/>
          <w:szCs w:val="1"/>
          <w:color w:val="FFFFFF"/>
        </w:rPr>
        <w:t>independentMr.Nicholasnon-Sallnowexecutive-Smith,directoran ofindependentDahSing Financialnon-executiveHoldiDirectorgsLimited,ofthe Company,companylistedwas appointedontheHongas aKongnon-executiveStockExchange;directorDahofAvivaSing Bank,LifeInsuranceLimited, Limitedasubsidiary(inHongofDahKong)Sing. HeBankinghasresignedGroup Limitedasan</w:t>
      </w:r>
    </w:p>
    <w:p>
      <w:pPr>
        <w:ind w:left="3420"/>
        <w:spacing w:after="0" w:line="187" w:lineRule="auto"/>
        <w:tabs>
          <w:tab w:leader="none" w:pos="3840" w:val="left"/>
        </w:tabs>
        <w:rPr>
          <w:sz w:val="20"/>
          <w:szCs w:val="20"/>
          <w:color w:val="auto"/>
        </w:rPr>
      </w:pPr>
      <w:r>
        <w:rPr>
          <w:rFonts w:ascii="Arial" w:cs="Arial" w:eastAsia="Arial" w:hAnsi="Arial"/>
          <w:sz w:val="9"/>
          <w:szCs w:val="9"/>
          <w:color w:val="FFFFFF"/>
        </w:rPr>
        <w:t>and</w:t>
      </w:r>
      <w:r>
        <w:rPr>
          <w:sz w:val="20"/>
          <w:szCs w:val="20"/>
          <w:color w:val="auto"/>
        </w:rPr>
        <w:tab/>
      </w:r>
      <w:r>
        <w:rPr>
          <w:rFonts w:ascii="Arial" w:cs="Arial" w:eastAsia="Arial" w:hAnsi="Arial"/>
          <w:sz w:val="9"/>
          <w:szCs w:val="9"/>
          <w:color w:val="FFFFFF"/>
        </w:rPr>
        <w:t>Chairman</w:t>
      </w:r>
    </w:p>
    <w:p>
      <w:pPr>
        <w:spacing w:after="0" w:line="209" w:lineRule="auto"/>
        <w:tabs>
          <w:tab w:leader="none" w:pos="3640" w:val="left"/>
          <w:tab w:leader="none" w:pos="4400" w:val="left"/>
        </w:tabs>
        <w:rPr>
          <w:sz w:val="20"/>
          <w:szCs w:val="20"/>
          <w:color w:val="auto"/>
        </w:rPr>
      </w:pPr>
      <w:r>
        <w:rPr>
          <w:rFonts w:ascii="Arial" w:cs="Arial" w:eastAsia="Arial" w:hAnsi="Arial"/>
          <w:sz w:val="10"/>
          <w:szCs w:val="10"/>
          <w:color w:val="FFFFFF"/>
        </w:rPr>
        <w:t>Onwhichbehalfisa ofcompanytheBoardlisted on the Hong Kong Stock Exchange;</w:t>
      </w:r>
      <w:r>
        <w:rPr>
          <w:sz w:val="20"/>
          <w:szCs w:val="20"/>
          <w:color w:val="auto"/>
        </w:rPr>
        <w:tab/>
      </w:r>
      <w:r>
        <w:rPr>
          <w:rFonts w:ascii="Arial" w:cs="Arial" w:eastAsia="Arial" w:hAnsi="Arial"/>
          <w:sz w:val="12"/>
          <w:szCs w:val="12"/>
          <w:color w:val="FFFFFF"/>
        </w:rPr>
        <w:t>the</w:t>
      </w:r>
      <w:r>
        <w:rPr>
          <w:sz w:val="20"/>
          <w:szCs w:val="20"/>
          <w:color w:val="auto"/>
        </w:rPr>
        <w:tab/>
      </w:r>
      <w:r>
        <w:rPr>
          <w:rFonts w:ascii="Arial" w:cs="Arial" w:eastAsia="Arial" w:hAnsi="Arial"/>
          <w:sz w:val="12"/>
          <w:szCs w:val="12"/>
          <w:color w:val="FFFFFF"/>
        </w:rPr>
        <w:t>of LionRock Master Fund Limited in Singapore.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FFFFFF"/>
        </w:rPr>
        <w:t>Hong Kong, 27 March 2012</w:t>
      </w:r>
    </w:p>
    <w:p>
      <w:pPr>
        <w:sectPr>
          <w:pgSz w:w="11900" w:h="16838" w:orient="portrait"/>
          <w:cols w:equalWidth="0" w:num="1">
            <w:col w:w="11360"/>
          </w:cols>
          <w:pgMar w:left="240" w:top="1440" w:right="29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20"/>
                <w:szCs w:val="20"/>
                <w:color w:val="auto"/>
              </w:rPr>
            </w:pPr>
            <w:r>
              <w:rPr>
                <w:rFonts w:ascii="Arial" w:cs="Arial" w:eastAsia="Arial" w:hAnsi="Arial"/>
                <w:sz w:val="14"/>
                <w:szCs w:val="14"/>
                <w:color w:val="FFFFFF"/>
              </w:rPr>
              <w:t>Annual Report 2011 59</w:t>
            </w:r>
          </w:p>
        </w:tc>
        <w:tc>
          <w:tcPr>
            <w:tcW w:w="3320" w:type="dxa"/>
            <w:vAlign w:val="bottom"/>
          </w:tcPr>
          <w:p>
            <w:pPr>
              <w:spacing w:after="0"/>
              <w:rPr>
                <w:sz w:val="14"/>
                <w:szCs w:val="14"/>
                <w:color w:val="auto"/>
              </w:rPr>
            </w:pPr>
          </w:p>
        </w:tc>
      </w:tr>
      <w:tr>
        <w:trPr>
          <w:trHeight w:val="41"/>
        </w:trPr>
        <w:tc>
          <w:tcPr>
            <w:tcW w:w="8080" w:type="dxa"/>
            <w:vAlign w:val="bottom"/>
          </w:tcPr>
          <w:p>
            <w:pPr>
              <w:ind w:left="100"/>
              <w:spacing w:after="0"/>
              <w:rPr>
                <w:sz w:val="20"/>
                <w:szCs w:val="20"/>
                <w:color w:val="auto"/>
              </w:rPr>
            </w:pPr>
            <w:r>
              <w:rPr>
                <w:rFonts w:ascii="Arial" w:cs="Arial" w:eastAsia="Arial" w:hAnsi="Arial"/>
                <w:sz w:val="3"/>
                <w:szCs w:val="3"/>
                <w:color w:val="FFFFFF"/>
              </w:rPr>
              <w:t>orporate Governance Report</w:t>
            </w:r>
          </w:p>
        </w:tc>
        <w:tc>
          <w:tcPr>
            <w:tcW w:w="3320" w:type="dxa"/>
            <w:vAlign w:val="bottom"/>
          </w:tcPr>
          <w:p>
            <w:pPr>
              <w:spacing w:after="0"/>
              <w:rPr>
                <w:sz w:val="3"/>
                <w:szCs w:val="3"/>
                <w:color w:val="auto"/>
              </w:rPr>
            </w:pPr>
          </w:p>
        </w:tc>
      </w:tr>
      <w:tr>
        <w:trPr>
          <w:trHeight w:val="41"/>
        </w:trPr>
        <w:tc>
          <w:tcPr>
            <w:tcW w:w="8080" w:type="dxa"/>
            <w:vAlign w:val="bottom"/>
          </w:tcPr>
          <w:p>
            <w:pPr>
              <w:spacing w:after="0"/>
              <w:rPr>
                <w:sz w:val="20"/>
                <w:szCs w:val="20"/>
                <w:color w:val="auto"/>
              </w:rPr>
            </w:pPr>
            <w:r>
              <w:rPr>
                <w:rFonts w:ascii="Arial" w:cs="Arial" w:eastAsia="Arial" w:hAnsi="Arial"/>
                <w:sz w:val="3"/>
                <w:szCs w:val="3"/>
                <w:color w:val="FFFFFF"/>
              </w:rPr>
              <w:t>CORPORATE GOVERNANCE PRACTICES</w:t>
            </w:r>
          </w:p>
        </w:tc>
        <w:tc>
          <w:tcPr>
            <w:tcW w:w="332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Company is dedicated to maintaining and ensuring high standards of corporate governance practices and the corporate governance principles of the Company are adopted in the best interest of the Company</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and its Shareholders. The Company’s corporate  overnance practices are based on the principles, code provisions and certain recommended best practices as set out in the Code on Corporate Governance</w:t>
            </w:r>
          </w:p>
        </w:tc>
      </w:tr>
      <w:tr>
        <w:trPr>
          <w:trHeight w:val="41"/>
        </w:trPr>
        <w:tc>
          <w:tcPr>
            <w:tcW w:w="8080" w:type="dxa"/>
            <w:vAlign w:val="bottom"/>
          </w:tcPr>
          <w:p>
            <w:pPr>
              <w:spacing w:after="0"/>
              <w:rPr>
                <w:sz w:val="20"/>
                <w:szCs w:val="20"/>
                <w:color w:val="auto"/>
              </w:rPr>
            </w:pPr>
            <w:r>
              <w:rPr>
                <w:rFonts w:ascii="Arial" w:cs="Arial" w:eastAsia="Arial" w:hAnsi="Arial"/>
                <w:sz w:val="3"/>
                <w:szCs w:val="3"/>
                <w:color w:val="FFFFFF"/>
              </w:rPr>
              <w:t>Practices contained in Appendix 14 to the Listing Rules.</w:t>
            </w:r>
          </w:p>
        </w:tc>
        <w:tc>
          <w:tcPr>
            <w:tcW w:w="332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Company has complied with the code provisions in the Code on Corporate Governance Practices for the year ended 31 December 2011, except for the following deviation from provision A.2.1 of the Code</w:t>
            </w:r>
          </w:p>
        </w:tc>
      </w:tr>
      <w:tr>
        <w:trPr>
          <w:trHeight w:val="41"/>
        </w:trPr>
        <w:tc>
          <w:tcPr>
            <w:tcW w:w="8080" w:type="dxa"/>
            <w:vAlign w:val="bottom"/>
          </w:tcPr>
          <w:p>
            <w:pPr>
              <w:spacing w:after="0"/>
              <w:rPr>
                <w:sz w:val="20"/>
                <w:szCs w:val="20"/>
                <w:color w:val="auto"/>
              </w:rPr>
            </w:pPr>
            <w:r>
              <w:rPr>
                <w:rFonts w:ascii="Arial" w:cs="Arial" w:eastAsia="Arial" w:hAnsi="Arial"/>
                <w:sz w:val="3"/>
                <w:szCs w:val="3"/>
                <w:color w:val="FFFFFF"/>
              </w:rPr>
              <w:t>on Corporate Governance Practices.</w:t>
            </w:r>
          </w:p>
        </w:tc>
        <w:tc>
          <w:tcPr>
            <w:tcW w:w="3320" w:type="dxa"/>
            <w:vAlign w:val="bottom"/>
          </w:tcPr>
          <w:p>
            <w:pPr>
              <w:spacing w:after="0"/>
              <w:rPr>
                <w:sz w:val="3"/>
                <w:szCs w:val="3"/>
                <w:color w:val="auto"/>
              </w:rPr>
            </w:pPr>
          </w:p>
        </w:tc>
      </w:tr>
      <w:tr>
        <w:trPr>
          <w:trHeight w:val="41"/>
        </w:trPr>
        <w:tc>
          <w:tcPr>
            <w:tcW w:w="8080" w:type="dxa"/>
            <w:vAlign w:val="bottom"/>
          </w:tcPr>
          <w:p>
            <w:pPr>
              <w:spacing w:after="0"/>
              <w:rPr>
                <w:sz w:val="20"/>
                <w:szCs w:val="20"/>
                <w:color w:val="auto"/>
              </w:rPr>
            </w:pPr>
            <w:r>
              <w:rPr>
                <w:rFonts w:ascii="Arial" w:cs="Arial" w:eastAsia="Arial" w:hAnsi="Arial"/>
                <w:sz w:val="3"/>
                <w:szCs w:val="3"/>
                <w:color w:val="FFFFFF"/>
              </w:rPr>
              <w:t>Stephen A. Wynn as our Chairman and Chief Executive Offi cer</w:t>
            </w:r>
          </w:p>
        </w:tc>
        <w:tc>
          <w:tcPr>
            <w:tcW w:w="332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Under code provision A.2.1 of the Code, the roles of chairman and chief executive offi cer should be separate and should not be performed by the same individual. The Company does not at present separate the</w:t>
            </w:r>
          </w:p>
        </w:tc>
      </w:tr>
      <w:tr>
        <w:trPr>
          <w:trHeight w:val="41"/>
        </w:trPr>
        <w:tc>
          <w:tcPr>
            <w:tcW w:w="8080" w:type="dxa"/>
            <w:vAlign w:val="bottom"/>
          </w:tcPr>
          <w:p>
            <w:pPr>
              <w:spacing w:after="0"/>
              <w:rPr>
                <w:sz w:val="20"/>
                <w:szCs w:val="20"/>
                <w:color w:val="auto"/>
              </w:rPr>
            </w:pPr>
            <w:r>
              <w:rPr>
                <w:rFonts w:ascii="Arial" w:cs="Arial" w:eastAsia="Arial" w:hAnsi="Arial"/>
                <w:sz w:val="3"/>
                <w:szCs w:val="3"/>
                <w:color w:val="FFFFFF"/>
              </w:rPr>
              <w:t>roles of the chairman and chief executive offi cer.</w:t>
            </w:r>
          </w:p>
        </w:tc>
        <w:tc>
          <w:tcPr>
            <w:tcW w:w="3320" w:type="dxa"/>
            <w:vAlign w:val="bottom"/>
          </w:tcPr>
          <w:p>
            <w:pPr>
              <w:spacing w:after="0"/>
              <w:rPr>
                <w:sz w:val="3"/>
                <w:szCs w:val="3"/>
                <w:color w:val="auto"/>
              </w:rPr>
            </w:pPr>
          </w:p>
        </w:tc>
      </w:tr>
      <w:tr>
        <w:trPr>
          <w:trHeight w:val="41"/>
        </w:trPr>
        <w:tc>
          <w:tcPr>
            <w:tcW w:w="11400" w:type="dxa"/>
            <w:vAlign w:val="bottom"/>
            <w:gridSpan w:val="2"/>
          </w:tcPr>
          <w:p>
            <w:pPr>
              <w:ind w:left="560"/>
              <w:spacing w:after="0"/>
              <w:rPr>
                <w:sz w:val="20"/>
                <w:szCs w:val="20"/>
                <w:color w:val="auto"/>
              </w:rPr>
            </w:pPr>
            <w:r>
              <w:rPr>
                <w:rFonts w:ascii="Arial" w:cs="Arial" w:eastAsia="Arial" w:hAnsi="Arial"/>
                <w:sz w:val="3"/>
                <w:szCs w:val="3"/>
                <w:color w:val="FFFFFF"/>
              </w:rPr>
              <w:t>, the founder of the Company and Wynn Macau, serves as the Chairman and Chief Executive Offi cer of the Company. The Board has determined that the combination of these roles held singularly by</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Mr. Wynn is in the best interest of the Company and all Shareholders. The Board believes that the issue of whether to combine or separate the offi ces of Chairman of the Board and Chief Executive Offi cer is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p rt of the succession planning process and that it is in the best interests of the Company for the Board to make a determination whether to combine or separate the roles based upon the circumstances. The Board</w:t>
            </w:r>
          </w:p>
        </w:tc>
      </w:tr>
      <w:tr>
        <w:trPr>
          <w:trHeight w:val="0"/>
        </w:trPr>
        <w:tc>
          <w:tcPr>
            <w:tcW w:w="8080" w:type="dxa"/>
            <w:vAlign w:val="bottom"/>
          </w:tcPr>
          <w:p>
            <w:pPr>
              <w:spacing w:after="0" w:line="80" w:lineRule="exact"/>
              <w:rPr>
                <w:sz w:val="20"/>
                <w:szCs w:val="20"/>
                <w:color w:val="auto"/>
              </w:rPr>
            </w:pPr>
            <w:r>
              <w:rPr>
                <w:rFonts w:ascii="Arial" w:cs="Arial" w:eastAsia="Arial" w:hAnsi="Arial"/>
                <w:sz w:val="9"/>
                <w:szCs w:val="9"/>
                <w:color w:val="FFFFFF"/>
              </w:rPr>
              <w:t>has given careful consideration to separating the roles of Chairman and Chief Executive Offi cer and has determined that the Company and its</w:t>
            </w:r>
          </w:p>
        </w:tc>
        <w:tc>
          <w:tcPr>
            <w:tcW w:w="3320" w:type="dxa"/>
            <w:vAlign w:val="bottom"/>
          </w:tcPr>
          <w:p>
            <w:pPr>
              <w:ind w:left="380"/>
              <w:spacing w:after="0" w:line="80" w:lineRule="exact"/>
              <w:rPr>
                <w:sz w:val="20"/>
                <w:szCs w:val="20"/>
                <w:color w:val="auto"/>
              </w:rPr>
            </w:pPr>
            <w:r>
              <w:rPr>
                <w:rFonts w:ascii="Arial" w:cs="Arial" w:eastAsia="Arial" w:hAnsi="Arial"/>
                <w:sz w:val="9"/>
                <w:szCs w:val="9"/>
                <w:color w:val="FFFFFF"/>
              </w:rPr>
              <w:t>are best served by the current structure. Mr. Wynn’s</w:t>
            </w:r>
          </w:p>
        </w:tc>
      </w:tr>
    </w:tbl>
    <w:p>
      <w:pPr>
        <w:spacing w:after="0" w:line="25" w:lineRule="auto"/>
        <w:rPr>
          <w:sz w:val="20"/>
          <w:szCs w:val="20"/>
          <w:color w:val="auto"/>
        </w:rPr>
      </w:pPr>
      <w:r>
        <w:rPr>
          <w:rFonts w:ascii="Arial" w:cs="Arial" w:eastAsia="Arial" w:hAnsi="Arial"/>
          <w:sz w:val="1"/>
          <w:szCs w:val="1"/>
          <w:color w:val="FFFFFF"/>
        </w:rPr>
        <w:t>combined role promotes unifi ed leadership and direction for the Board and executive management and allows for</w:t>
      </w:r>
      <w:r>
        <w:rPr>
          <w:rFonts w:ascii="Arial" w:cs="Arial" w:eastAsia="Arial" w:hAnsi="Arial"/>
          <w:sz w:val="1"/>
          <w:szCs w:val="1"/>
          <w:color w:val="FFFFFF"/>
          <w:vertAlign w:val="subscript"/>
        </w:rPr>
        <w:t>governance</w:t>
      </w:r>
      <w:r>
        <w:rPr>
          <w:rFonts w:ascii="Arial" w:cs="Arial" w:eastAsia="Arial" w:hAnsi="Arial"/>
          <w:sz w:val="1"/>
          <w:szCs w:val="1"/>
          <w:color w:val="FFFFFF"/>
        </w:rPr>
        <w:t>single, clear focus for the Company’Shareholdersoperational and strategic efforts.</w:t>
      </w:r>
    </w:p>
    <w:p>
      <w:pPr>
        <w:spacing w:after="0" w:line="183" w:lineRule="auto"/>
        <w:rPr>
          <w:sz w:val="20"/>
          <w:szCs w:val="20"/>
          <w:color w:val="auto"/>
        </w:rPr>
      </w:pPr>
      <w:r>
        <w:rPr>
          <w:rFonts w:ascii="Arial" w:cs="Arial" w:eastAsia="Arial" w:hAnsi="Arial"/>
          <w:sz w:val="9"/>
          <w:szCs w:val="9"/>
          <w:color w:val="FFFFFF"/>
        </w:rPr>
        <w:t xml:space="preserve">The combined role of Mr. Wynn as both Chairman and Chief Executive Offi cer is balanced by the Company’s structure, policies and controls. All major decisions are made in consultation with members of the Board and the relevant Board </w:t>
      </w:r>
      <w:r>
        <w:rPr>
          <w:rFonts w:ascii="Arial" w:cs="Arial" w:eastAsia="Arial" w:hAnsi="Arial"/>
          <w:sz w:val="14"/>
          <w:szCs w:val="14"/>
          <w:color w:val="FFFFFF"/>
          <w:vertAlign w:val="superscript"/>
        </w:rPr>
        <w:t>non</w:t>
      </w:r>
      <w:r>
        <w:rPr>
          <w:rFonts w:ascii="Arial" w:cs="Arial" w:eastAsia="Arial" w:hAnsi="Arial"/>
          <w:sz w:val="9"/>
          <w:szCs w:val="9"/>
          <w:color w:val="FFFFFF"/>
        </w:rPr>
        <w:t>cmmittees. The Company has three Board committees, namely the audit committee, the remuneration committee, and the nomination and corporate governance committee. Each Board committee comprises -executive Directors only and is chaired by an independent non-executive Director. In addition, there are three independent non-executive Directors on the Board offering independent perspectives.</w:t>
      </w:r>
    </w:p>
    <w:p>
      <w:pPr>
        <w:sectPr>
          <w:pgSz w:w="11900" w:h="16838" w:orient="portrait"/>
          <w:cols w:equalWidth="0" w:num="1">
            <w:col w:w="11420"/>
          </w:cols>
          <w:pgMar w:left="240" w:top="1440" w:right="2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60 Wynn Macau, Limited</w:t>
      </w:r>
    </w:p>
    <w:p>
      <w:pPr>
        <w:spacing w:after="0" w:line="211" w:lineRule="auto"/>
        <w:rPr>
          <w:sz w:val="20"/>
          <w:szCs w:val="20"/>
          <w:color w:val="auto"/>
        </w:rPr>
      </w:pPr>
      <w:r>
        <w:rPr>
          <w:rFonts w:ascii="Arial" w:cs="Arial" w:eastAsia="Arial" w:hAnsi="Arial"/>
          <w:sz w:val="4"/>
          <w:szCs w:val="4"/>
          <w:color w:val="FFFFFF"/>
          <w:vertAlign w:val="subscript"/>
        </w:rPr>
        <w:t>CORPORA</w:t>
      </w:r>
      <w:r>
        <w:rPr>
          <w:rFonts w:ascii="Arial" w:cs="Arial" w:eastAsia="Arial" w:hAnsi="Arial"/>
          <w:sz w:val="2"/>
          <w:szCs w:val="2"/>
          <w:color w:val="FFFFFF"/>
        </w:rPr>
        <w:t>orporateGovernance Report</w:t>
      </w:r>
    </w:p>
    <w:p>
      <w:pPr>
        <w:ind w:left="640"/>
        <w:spacing w:after="0"/>
        <w:rPr>
          <w:sz w:val="20"/>
          <w:szCs w:val="20"/>
          <w:color w:val="auto"/>
        </w:rPr>
      </w:pPr>
      <w:r>
        <w:rPr>
          <w:rFonts w:ascii="Arial" w:cs="Arial" w:eastAsia="Arial" w:hAnsi="Arial"/>
          <w:sz w:val="3"/>
          <w:szCs w:val="3"/>
          <w:color w:val="FFFFFF"/>
        </w:rPr>
        <w:t>TE GOVERNANCE PRACTICES (continued)</w:t>
      </w:r>
    </w:p>
    <w:p>
      <w:pPr>
        <w:ind w:left="580"/>
        <w:spacing w:after="0" w:line="125" w:lineRule="auto"/>
        <w:tabs>
          <w:tab w:leader="none" w:pos="560" w:val="left"/>
          <w:tab w:leader="none" w:pos="1340" w:val="left"/>
        </w:tabs>
        <w:rPr>
          <w:sz w:val="20"/>
          <w:szCs w:val="20"/>
          <w:color w:val="auto"/>
        </w:rPr>
      </w:pPr>
      <w:r>
        <w:rPr>
          <w:rFonts w:ascii="Arial" w:cs="Arial" w:eastAsia="Arial" w:hAnsi="Arial"/>
          <w:sz w:val="1"/>
          <w:szCs w:val="1"/>
          <w:color w:val="FFFFFF"/>
        </w:rPr>
        <w:t>Stephen</w:t>
      </w:r>
      <w:r>
        <w:rPr>
          <w:sz w:val="20"/>
          <w:szCs w:val="20"/>
          <w:color w:val="auto"/>
        </w:rPr>
        <w:tab/>
      </w:r>
      <w:r>
        <w:rPr>
          <w:rFonts w:ascii="Arial" w:cs="Arial" w:eastAsia="Arial" w:hAnsi="Arial"/>
          <w:sz w:val="1"/>
          <w:szCs w:val="1"/>
          <w:color w:val="FFFFFF"/>
        </w:rPr>
        <w:t>. Wynn as</w:t>
      </w:r>
      <w:r>
        <w:rPr>
          <w:sz w:val="20"/>
          <w:szCs w:val="20"/>
          <w:color w:val="auto"/>
        </w:rPr>
        <w:tab/>
      </w:r>
      <w:r>
        <w:rPr>
          <w:rFonts w:ascii="Arial" w:cs="Arial" w:eastAsia="Arial" w:hAnsi="Arial"/>
          <w:sz w:val="1"/>
          <w:szCs w:val="1"/>
          <w:color w:val="FFFFFF"/>
        </w:rPr>
        <w:t>Chairman and Chief Executive Offi cer (continued)</w:t>
      </w:r>
    </w:p>
    <w:p>
      <w:pPr>
        <w:spacing w:after="0" w:line="187" w:lineRule="auto"/>
        <w:rPr>
          <w:sz w:val="20"/>
          <w:szCs w:val="20"/>
          <w:color w:val="auto"/>
        </w:rPr>
      </w:pPr>
      <w:r>
        <w:rPr>
          <w:rFonts w:ascii="Arial" w:cs="Arial" w:eastAsia="Arial" w:hAnsi="Arial"/>
          <w:sz w:val="7"/>
          <w:szCs w:val="7"/>
          <w:color w:val="FFFFFF"/>
        </w:rPr>
        <w:t>This structure encourages independent and effective oversight of the Company’</w:t>
      </w:r>
      <w:r>
        <w:rPr>
          <w:rFonts w:ascii="Arial" w:cs="Arial" w:eastAsia="Arial" w:hAnsi="Arial"/>
          <w:sz w:val="9"/>
          <w:szCs w:val="9"/>
          <w:color w:val="FFFFFF"/>
          <w:vertAlign w:val="subscript"/>
        </w:rPr>
        <w:t>procedures</w:t>
      </w:r>
      <w:r>
        <w:rPr>
          <w:rFonts w:ascii="Arial" w:cs="Arial" w:eastAsia="Arial" w:hAnsi="Arial"/>
          <w:sz w:val="7"/>
          <w:szCs w:val="7"/>
          <w:color w:val="FFFFFF"/>
        </w:rPr>
        <w:t>operations and prudent management of risk.</w:t>
      </w:r>
    </w:p>
    <w:p>
      <w:pPr>
        <w:spacing w:after="0" w:line="187" w:lineRule="auto"/>
        <w:rPr>
          <w:sz w:val="20"/>
          <w:szCs w:val="20"/>
          <w:color w:val="auto"/>
        </w:rPr>
      </w:pPr>
      <w:r>
        <w:rPr>
          <w:rFonts w:ascii="Arial" w:cs="Arial" w:eastAsia="Arial" w:hAnsi="Arial"/>
          <w:sz w:val="9"/>
          <w:szCs w:val="9"/>
          <w:color w:val="FFFFFF"/>
        </w:rPr>
        <w:t>For the reasons stated above and as a result of the structure, policies and outlined above, and in light of the historical success of Mr. Wynn’s leadership, the Board has concluded that the current Board leadership structure is in the best interests of the Company and its Shareholders.</w:t>
      </w:r>
    </w:p>
    <w:p>
      <w:pPr>
        <w:spacing w:after="0"/>
        <w:rPr>
          <w:sz w:val="20"/>
          <w:szCs w:val="20"/>
          <w:color w:val="auto"/>
        </w:rPr>
      </w:pPr>
      <w:r>
        <w:rPr>
          <w:rFonts w:ascii="Arial" w:cs="Arial" w:eastAsia="Arial" w:hAnsi="Arial"/>
          <w:sz w:val="3"/>
          <w:szCs w:val="3"/>
          <w:color w:val="FFFFFF"/>
        </w:rPr>
        <w:t>MODEL CODE</w:t>
      </w:r>
    </w:p>
    <w:p>
      <w:pPr>
        <w:spacing w:after="0" w:line="194" w:lineRule="auto"/>
        <w:rPr>
          <w:sz w:val="20"/>
          <w:szCs w:val="20"/>
          <w:color w:val="auto"/>
        </w:rPr>
      </w:pPr>
      <w:r>
        <w:rPr>
          <w:rFonts w:ascii="Arial" w:cs="Arial" w:eastAsia="Arial" w:hAnsi="Arial"/>
          <w:sz w:val="3"/>
          <w:szCs w:val="3"/>
          <w:color w:val="FFFFFF"/>
        </w:rPr>
        <w:t>The Company adopted the Model</w:t>
      </w:r>
      <w:r>
        <w:rPr>
          <w:rFonts w:ascii="Arial" w:cs="Arial" w:eastAsia="Arial" w:hAnsi="Arial"/>
          <w:sz w:val="5"/>
          <w:szCs w:val="5"/>
          <w:color w:val="FFFFFF"/>
          <w:vertAlign w:val="subscript"/>
        </w:rPr>
        <w:t>transactions,</w:t>
      </w:r>
      <w:r>
        <w:rPr>
          <w:rFonts w:ascii="Arial" w:cs="Arial" w:eastAsia="Arial" w:hAnsi="Arial"/>
          <w:sz w:val="3"/>
          <w:szCs w:val="3"/>
          <w:color w:val="FFFFFF"/>
        </w:rPr>
        <w:t>Code 16 September 2009 as its code of conduct for securities transactions by Directors (including Mr. Kazuo Okada*). On 23 March 2010, the Company adopted its own</w:t>
      </w:r>
    </w:p>
    <w:p>
      <w:pPr>
        <w:jc w:val="both"/>
        <w:ind w:right="60"/>
        <w:spacing w:after="0" w:line="181" w:lineRule="auto"/>
        <w:rPr>
          <w:sz w:val="20"/>
          <w:szCs w:val="20"/>
          <w:color w:val="auto"/>
        </w:rPr>
      </w:pPr>
      <w:r>
        <w:rPr>
          <w:rFonts w:ascii="Arial" w:cs="Arial" w:eastAsia="Arial" w:hAnsi="Arial"/>
          <w:sz w:val="7"/>
          <w:szCs w:val="7"/>
          <w:color w:val="FFFFFF"/>
        </w:rPr>
        <w:t>code of conduct for securities the terms of such code being no less exacting than those set out in the Model Code. Having made specifi c enquiry of the Directors (including Mr. Kazuo Okada*), all Directors (except Mr. Kazuo Okada*) have confi rmed that they have complied with the required standard of dealings and code of conduct regarding securities dealings by directors as set out in the Model Code and the Company’s own code of conduct for the year ended</w:t>
      </w:r>
    </w:p>
    <w:p>
      <w:pPr>
        <w:spacing w:after="0"/>
        <w:rPr>
          <w:sz w:val="20"/>
          <w:szCs w:val="20"/>
          <w:color w:val="auto"/>
        </w:rPr>
      </w:pPr>
      <w:r>
        <w:rPr>
          <w:rFonts w:ascii="Arial" w:cs="Arial" w:eastAsia="Arial" w:hAnsi="Arial"/>
          <w:sz w:val="3"/>
          <w:szCs w:val="3"/>
          <w:color w:val="FFFFFF"/>
        </w:rPr>
        <w:t>31 December 2011.</w:t>
      </w:r>
    </w:p>
    <w:p>
      <w:pPr>
        <w:spacing w:after="0" w:line="181" w:lineRule="auto"/>
        <w:rPr>
          <w:sz w:val="20"/>
          <w:szCs w:val="20"/>
          <w:color w:val="auto"/>
        </w:rPr>
      </w:pPr>
      <w:r>
        <w:rPr>
          <w:rFonts w:ascii="Arial" w:cs="Arial" w:eastAsia="Arial" w:hAnsi="Arial"/>
          <w:sz w:val="10"/>
          <w:szCs w:val="10"/>
          <w:color w:val="FFFFFF"/>
        </w:rPr>
        <w:t>* Mr. Kazuo Okada ceased to be a member of our Board on 24 February 2012.</w:t>
      </w:r>
    </w:p>
    <w:p>
      <w:pPr>
        <w:spacing w:after="0"/>
        <w:rPr>
          <w:sz w:val="20"/>
          <w:szCs w:val="20"/>
          <w:color w:val="auto"/>
        </w:rPr>
      </w:pPr>
      <w:r>
        <w:rPr>
          <w:rFonts w:ascii="Arial" w:cs="Arial" w:eastAsia="Arial" w:hAnsi="Arial"/>
          <w:sz w:val="3"/>
          <w:szCs w:val="3"/>
          <w:color w:val="FFFFFF"/>
        </w:rPr>
        <w:t>RoleBOARDoftheOFBoardDIRECTORS</w:t>
      </w:r>
    </w:p>
    <w:p>
      <w:pPr>
        <w:spacing w:after="0" w:line="6" w:lineRule="exact"/>
        <w:rPr>
          <w:sz w:val="20"/>
          <w:szCs w:val="20"/>
          <w:color w:val="auto"/>
        </w:rPr>
      </w:pPr>
    </w:p>
    <w:p>
      <w:pPr>
        <w:ind w:left="620" w:right="120" w:hanging="607"/>
        <w:spacing w:after="0"/>
        <w:rPr>
          <w:sz w:val="20"/>
          <w:szCs w:val="20"/>
          <w:color w:val="auto"/>
        </w:rPr>
      </w:pPr>
      <w:r>
        <w:rPr>
          <w:rFonts w:ascii="Arial" w:cs="Arial" w:eastAsia="Arial" w:hAnsi="Arial"/>
          <w:sz w:val="7"/>
          <w:szCs w:val="7"/>
          <w:color w:val="FFFFFF"/>
          <w:vertAlign w:val="superscript"/>
        </w:rPr>
        <w:t>The Board</w:t>
      </w:r>
      <w:r>
        <w:rPr>
          <w:rFonts w:ascii="Arial" w:cs="Arial" w:eastAsia="Arial" w:hAnsi="Arial"/>
          <w:sz w:val="6"/>
          <w:szCs w:val="6"/>
          <w:color w:val="FFFFFF"/>
        </w:rPr>
        <w:t xml:space="preserve"> governs the Company and is responsible for overall leadership of the Group. The Board works to promote the success of the Group through oversight and direction of the Group’s business dealings. implements overall strategic</w:t>
      </w:r>
      <w:r>
        <w:rPr>
          <w:rFonts w:ascii="Arial" w:cs="Arial" w:eastAsia="Arial" w:hAnsi="Arial"/>
          <w:sz w:val="7"/>
          <w:szCs w:val="7"/>
          <w:color w:val="FFFFFF"/>
          <w:vertAlign w:val="superscript"/>
        </w:rPr>
        <w:t>advice</w:t>
      </w:r>
      <w:r>
        <w:rPr>
          <w:rFonts w:ascii="Arial" w:cs="Arial" w:eastAsia="Arial" w:hAnsi="Arial"/>
          <w:sz w:val="6"/>
          <w:szCs w:val="6"/>
          <w:color w:val="FFFFFF"/>
        </w:rPr>
        <w:t>priorities for the Company, reviews and approves budgetary affairs and oversees and monitors the overall performance of management. The Board is provided with all</w:t>
      </w:r>
    </w:p>
    <w:p>
      <w:pPr>
        <w:spacing w:after="0"/>
        <w:tabs>
          <w:tab w:leader="none" w:pos="2220" w:val="left"/>
        </w:tabs>
        <w:rPr>
          <w:sz w:val="20"/>
          <w:szCs w:val="20"/>
          <w:color w:val="auto"/>
        </w:rPr>
      </w:pPr>
      <w:r>
        <w:rPr>
          <w:rFonts w:ascii="Arial" w:cs="Arial" w:eastAsia="Arial" w:hAnsi="Arial"/>
          <w:sz w:val="14"/>
          <w:szCs w:val="14"/>
          <w:color w:val="FFFFFF"/>
        </w:rPr>
        <w:t>necessary resources including the</w:t>
      </w:r>
      <w:r>
        <w:rPr>
          <w:sz w:val="20"/>
          <w:szCs w:val="20"/>
          <w:color w:val="auto"/>
        </w:rPr>
        <w:tab/>
      </w:r>
      <w:r>
        <w:rPr>
          <w:rFonts w:ascii="Arial" w:cs="Arial" w:eastAsia="Arial" w:hAnsi="Arial"/>
          <w:sz w:val="12"/>
          <w:szCs w:val="12"/>
          <w:color w:val="FFFFFF"/>
        </w:rPr>
        <w:t>of external auditors, external attorneys and other independent professional advisors as needed.</w:t>
      </w:r>
    </w:p>
    <w:p>
      <w:pPr>
        <w:sectPr>
          <w:pgSz w:w="11900" w:h="16838" w:orient="portrait"/>
          <w:cols w:equalWidth="0" w:num="1">
            <w:col w:w="11380"/>
          </w:cols>
          <w:pgMar w:left="240" w:top="1440" w:right="27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Arial" w:cs="Arial" w:eastAsia="Arial" w:hAnsi="Arial"/>
                <w:sz w:val="14"/>
                <w:szCs w:val="14"/>
                <w:color w:val="FFFFFF"/>
              </w:rPr>
              <w:t>Annual Report 2011 61</w:t>
            </w:r>
          </w:p>
        </w:tc>
        <w:tc>
          <w:tcPr>
            <w:tcW w:w="8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Corporate Governance Report</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ind w:left="100"/>
              <w:spacing w:after="0"/>
              <w:rPr>
                <w:sz w:val="20"/>
                <w:szCs w:val="20"/>
                <w:color w:val="auto"/>
              </w:rPr>
            </w:pPr>
            <w:r>
              <w:rPr>
                <w:rFonts w:ascii="Arial" w:cs="Arial" w:eastAsia="Arial" w:hAnsi="Arial"/>
                <w:sz w:val="3"/>
                <w:szCs w:val="3"/>
                <w:color w:val="FFFFFF"/>
              </w:rPr>
              <w:t>OARD OF DIRECTORS (continued)</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Board</w:t>
            </w:r>
          </w:p>
        </w:tc>
        <w:tc>
          <w:tcPr>
            <w:tcW w:w="1880" w:type="dxa"/>
            <w:vAlign w:val="bottom"/>
          </w:tcPr>
          <w:p>
            <w:pPr>
              <w:ind w:left="20"/>
              <w:spacing w:after="0"/>
              <w:rPr>
                <w:sz w:val="20"/>
                <w:szCs w:val="20"/>
                <w:color w:val="auto"/>
              </w:rPr>
            </w:pPr>
            <w:r>
              <w:rPr>
                <w:rFonts w:ascii="Arial" w:cs="Arial" w:eastAsia="Arial" w:hAnsi="Arial"/>
                <w:sz w:val="3"/>
                <w:szCs w:val="3"/>
                <w:color w:val="FFFFFF"/>
              </w:rPr>
              <w:t>Composition</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ind w:left="260"/>
              <w:spacing w:after="0"/>
              <w:rPr>
                <w:sz w:val="20"/>
                <w:szCs w:val="20"/>
                <w:color w:val="auto"/>
              </w:rPr>
            </w:pPr>
            <w:r>
              <w:rPr>
                <w:rFonts w:ascii="Arial" w:cs="Arial" w:eastAsia="Arial" w:hAnsi="Arial"/>
                <w:sz w:val="3"/>
                <w:szCs w:val="3"/>
                <w:color w:val="FFFFFF"/>
              </w:rPr>
              <w:t>C</w:t>
            </w:r>
          </w:p>
        </w:tc>
        <w:tc>
          <w:tcPr>
            <w:tcW w:w="9940" w:type="dxa"/>
            <w:vAlign w:val="bottom"/>
            <w:gridSpan w:val="2"/>
          </w:tcPr>
          <w:p>
            <w:pPr>
              <w:ind w:left="40"/>
              <w:spacing w:after="0"/>
              <w:rPr>
                <w:sz w:val="20"/>
                <w:szCs w:val="20"/>
                <w:color w:val="auto"/>
              </w:rPr>
            </w:pPr>
            <w:r>
              <w:rPr>
                <w:rFonts w:ascii="Arial" w:cs="Arial" w:eastAsia="Arial" w:hAnsi="Arial"/>
                <w:sz w:val="3"/>
                <w:szCs w:val="3"/>
                <w:color w:val="FFFFFF"/>
              </w:rPr>
              <w:t>mpany has a Board with a balanced composition of executive and non-executive Directors (including independent non-executive Directors).</w:t>
            </w:r>
          </w:p>
        </w:tc>
        <w:tc>
          <w:tcPr>
            <w:tcW w:w="0" w:type="dxa"/>
            <w:vAlign w:val="bottom"/>
          </w:tcPr>
          <w:p>
            <w:pPr>
              <w:spacing w:after="0"/>
              <w:rPr>
                <w:sz w:val="1"/>
                <w:szCs w:val="1"/>
                <w:color w:val="auto"/>
              </w:rPr>
            </w:pPr>
          </w:p>
        </w:tc>
      </w:tr>
      <w:tr>
        <w:trPr>
          <w:trHeight w:val="41"/>
        </w:trPr>
        <w:tc>
          <w:tcPr>
            <w:tcW w:w="10300" w:type="dxa"/>
            <w:vAlign w:val="bottom"/>
            <w:gridSpan w:val="3"/>
          </w:tcPr>
          <w:p>
            <w:pPr>
              <w:spacing w:after="0"/>
              <w:rPr>
                <w:sz w:val="20"/>
                <w:szCs w:val="20"/>
                <w:color w:val="auto"/>
              </w:rPr>
            </w:pPr>
            <w:r>
              <w:rPr>
                <w:rFonts w:ascii="Arial" w:cs="Arial" w:eastAsia="Arial" w:hAnsi="Arial"/>
                <w:sz w:val="3"/>
                <w:szCs w:val="3"/>
                <w:color w:val="FFFFFF"/>
              </w:rPr>
              <w:t>The Board is currently composed as follows:</w:t>
            </w:r>
          </w:p>
        </w:tc>
        <w:tc>
          <w:tcPr>
            <w:tcW w:w="0" w:type="dxa"/>
            <w:vAlign w:val="bottom"/>
          </w:tcPr>
          <w:p>
            <w:pPr>
              <w:spacing w:after="0"/>
              <w:rPr>
                <w:sz w:val="1"/>
                <w:szCs w:val="1"/>
                <w:color w:val="auto"/>
              </w:rPr>
            </w:pPr>
          </w:p>
        </w:tc>
      </w:tr>
      <w:tr>
        <w:trPr>
          <w:trHeight w:val="41"/>
        </w:trPr>
        <w:tc>
          <w:tcPr>
            <w:tcW w:w="10300" w:type="dxa"/>
            <w:vAlign w:val="bottom"/>
            <w:gridSpan w:val="3"/>
          </w:tcPr>
          <w:p>
            <w:pPr>
              <w:ind w:left="80"/>
              <w:spacing w:after="0"/>
              <w:rPr>
                <w:sz w:val="20"/>
                <w:szCs w:val="20"/>
                <w:color w:val="auto"/>
              </w:rPr>
            </w:pPr>
            <w:r>
              <w:rPr>
                <w:rFonts w:ascii="Arial" w:cs="Arial" w:eastAsia="Arial" w:hAnsi="Arial"/>
                <w:sz w:val="3"/>
                <w:szCs w:val="3"/>
                <w:color w:val="FFFFFF"/>
              </w:rPr>
              <w:t>Executive Directors: Mr. Stephen A. Wynn (who is also Chief Executive Offi cer and President), Ms. Linda Chen, and Mr. Ian Michael Coughlan;</w:t>
            </w:r>
          </w:p>
        </w:tc>
        <w:tc>
          <w:tcPr>
            <w:tcW w:w="0" w:type="dxa"/>
            <w:vAlign w:val="bottom"/>
          </w:tcPr>
          <w:p>
            <w:pPr>
              <w:spacing w:after="0"/>
              <w:rPr>
                <w:sz w:val="1"/>
                <w:szCs w:val="1"/>
                <w:color w:val="auto"/>
              </w:rPr>
            </w:pPr>
          </w:p>
        </w:tc>
      </w:tr>
      <w:tr>
        <w:trPr>
          <w:trHeight w:val="41"/>
        </w:trPr>
        <w:tc>
          <w:tcPr>
            <w:tcW w:w="10300" w:type="dxa"/>
            <w:vAlign w:val="bottom"/>
            <w:gridSpan w:val="3"/>
          </w:tcPr>
          <w:p>
            <w:pPr>
              <w:ind w:left="80"/>
              <w:spacing w:after="0"/>
              <w:rPr>
                <w:sz w:val="20"/>
                <w:szCs w:val="20"/>
                <w:color w:val="auto"/>
              </w:rPr>
            </w:pPr>
            <w:r>
              <w:rPr>
                <w:rFonts w:ascii="Arial" w:cs="Arial" w:eastAsia="Arial" w:hAnsi="Arial"/>
                <w:sz w:val="3"/>
                <w:szCs w:val="3"/>
                <w:color w:val="FFFFFF"/>
              </w:rPr>
              <w:t>Non-executive Directors: Mr. Marc D. Schorr, and Dr. Allan Zeman; and</w:t>
            </w:r>
          </w:p>
        </w:tc>
        <w:tc>
          <w:tcPr>
            <w:tcW w:w="0" w:type="dxa"/>
            <w:vAlign w:val="bottom"/>
          </w:tcPr>
          <w:p>
            <w:pPr>
              <w:spacing w:after="0"/>
              <w:rPr>
                <w:sz w:val="1"/>
                <w:szCs w:val="1"/>
                <w:color w:val="auto"/>
              </w:rPr>
            </w:pPr>
          </w:p>
        </w:tc>
      </w:tr>
      <w:tr>
        <w:trPr>
          <w:trHeight w:val="41"/>
        </w:trPr>
        <w:tc>
          <w:tcPr>
            <w:tcW w:w="10300" w:type="dxa"/>
            <w:vAlign w:val="bottom"/>
            <w:gridSpan w:val="3"/>
          </w:tcPr>
          <w:p>
            <w:pPr>
              <w:spacing w:after="0"/>
              <w:rPr>
                <w:sz w:val="20"/>
                <w:szCs w:val="20"/>
                <w:color w:val="auto"/>
              </w:rPr>
            </w:pPr>
            <w:r>
              <w:rPr>
                <w:rFonts w:ascii="Arial" w:cs="Arial" w:eastAsia="Arial" w:hAnsi="Arial"/>
                <w:sz w:val="3"/>
                <w:szCs w:val="3"/>
                <w:color w:val="FFFFFF"/>
              </w:rPr>
              <w:t>• Independent non-executive Directors: Mr. Jeffrey Kin-fung Lam, Mr. Bruce Rockowitz and Mr. Nicholas Sallnow-Smith.</w:t>
            </w:r>
          </w:p>
        </w:tc>
        <w:tc>
          <w:tcPr>
            <w:tcW w:w="0" w:type="dxa"/>
            <w:vAlign w:val="bottom"/>
          </w:tcPr>
          <w:p>
            <w:pPr>
              <w:spacing w:after="0"/>
              <w:rPr>
                <w:sz w:val="1"/>
                <w:szCs w:val="1"/>
                <w:color w:val="auto"/>
              </w:rPr>
            </w:pPr>
          </w:p>
        </w:tc>
      </w:tr>
      <w:tr>
        <w:trPr>
          <w:trHeight w:val="41"/>
        </w:trPr>
        <w:tc>
          <w:tcPr>
            <w:tcW w:w="10300" w:type="dxa"/>
            <w:vAlign w:val="bottom"/>
            <w:gridSpan w:val="3"/>
          </w:tcPr>
          <w:p>
            <w:pPr>
              <w:spacing w:after="0"/>
              <w:rPr>
                <w:sz w:val="20"/>
                <w:szCs w:val="20"/>
                <w:color w:val="auto"/>
              </w:rPr>
            </w:pPr>
            <w:r>
              <w:rPr>
                <w:rFonts w:ascii="Arial" w:cs="Arial" w:eastAsia="Arial" w:hAnsi="Arial"/>
                <w:sz w:val="3"/>
                <w:szCs w:val="3"/>
                <w:color w:val="FFFFFF"/>
              </w:rPr>
              <w:t>Mr. Stephen A. Wynn is our Chairman and Dr. Allan Zeman is our Vice Chairman.</w:t>
            </w: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Board Meetings Held in 2011</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gridSpan w:val="3"/>
          </w:tcPr>
          <w:p>
            <w:pPr>
              <w:spacing w:after="0"/>
              <w:rPr>
                <w:sz w:val="20"/>
                <w:szCs w:val="20"/>
                <w:color w:val="auto"/>
              </w:rPr>
            </w:pPr>
            <w:r>
              <w:rPr>
                <w:rFonts w:ascii="Arial" w:cs="Arial" w:eastAsia="Arial" w:hAnsi="Arial"/>
                <w:sz w:val="3"/>
                <w:szCs w:val="3"/>
                <w:color w:val="FFFFFF"/>
              </w:rPr>
              <w:t>In 2011, the Company convened six board meetings including four regular meetings. The attendance record of the Directors (including Mr. Kazuo Okada*) at these meetings, is set out below.</w:t>
            </w: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Number of</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meetings</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attended/</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gridSpan w:val="3"/>
          </w:tcPr>
          <w:p>
            <w:pPr>
              <w:spacing w:after="0"/>
              <w:rPr>
                <w:sz w:val="20"/>
                <w:szCs w:val="20"/>
                <w:color w:val="auto"/>
              </w:rPr>
            </w:pPr>
            <w:r>
              <w:rPr>
                <w:rFonts w:ascii="Arial" w:cs="Arial" w:eastAsia="Arial" w:hAnsi="Arial"/>
                <w:sz w:val="3"/>
                <w:szCs w:val="3"/>
                <w:color w:val="FFFFFF"/>
              </w:rPr>
              <w:t>Name of Director held during 2011 Attendance rate</w:t>
            </w: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EXECUTIVE DIRECTORS</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ind w:left="160"/>
              <w:spacing w:after="0"/>
              <w:rPr>
                <w:sz w:val="20"/>
                <w:szCs w:val="20"/>
                <w:color w:val="auto"/>
              </w:rPr>
            </w:pPr>
            <w:r>
              <w:rPr>
                <w:rFonts w:ascii="Arial" w:cs="Arial" w:eastAsia="Arial" w:hAnsi="Arial"/>
                <w:sz w:val="3"/>
                <w:szCs w:val="3"/>
                <w:color w:val="FFFFFF"/>
              </w:rPr>
              <w:t>. Stephen A. Wynn 6/6 100%</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ind w:left="120"/>
              <w:spacing w:after="0"/>
              <w:rPr>
                <w:sz w:val="20"/>
                <w:szCs w:val="20"/>
                <w:color w:val="auto"/>
              </w:rPr>
            </w:pPr>
            <w:r>
              <w:rPr>
                <w:rFonts w:ascii="Arial" w:cs="Arial" w:eastAsia="Arial" w:hAnsi="Arial"/>
                <w:sz w:val="3"/>
                <w:szCs w:val="3"/>
                <w:color w:val="FFFFFF"/>
              </w:rPr>
              <w:t>s. Linda Chen 6/6 100%</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Mr. Ian Michael Coughlan 6/6 100%</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NON-EXECUTIVE DIRECTORS</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Mr. Marc D. Schorr 6/6 100%</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Dr. Allan Zem n 6/6 100%</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Mr. Kazuo Okada* 5/6 83%</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gridSpan w:val="3"/>
          </w:tcPr>
          <w:p>
            <w:pPr>
              <w:spacing w:after="0"/>
              <w:rPr>
                <w:sz w:val="20"/>
                <w:szCs w:val="20"/>
                <w:color w:val="auto"/>
              </w:rPr>
            </w:pPr>
            <w:r>
              <w:rPr>
                <w:rFonts w:ascii="Arial" w:cs="Arial" w:eastAsia="Arial" w:hAnsi="Arial"/>
                <w:sz w:val="3"/>
                <w:szCs w:val="3"/>
                <w:color w:val="FFFFFF"/>
              </w:rPr>
              <w:t>INDEPENDENT NON-EXECUTIVE DIRECTORS</w:t>
            </w:r>
          </w:p>
        </w:tc>
        <w:tc>
          <w:tcPr>
            <w:tcW w:w="0" w:type="dxa"/>
            <w:vAlign w:val="bottom"/>
          </w:tcPr>
          <w:p>
            <w:pPr>
              <w:spacing w:after="0"/>
              <w:rPr>
                <w:sz w:val="1"/>
                <w:szCs w:val="1"/>
                <w:color w:val="auto"/>
              </w:rPr>
            </w:pPr>
          </w:p>
        </w:tc>
      </w:tr>
      <w:tr>
        <w:trPr>
          <w:trHeight w:val="41"/>
        </w:trPr>
        <w:tc>
          <w:tcPr>
            <w:tcW w:w="2240" w:type="dxa"/>
            <w:vAlign w:val="bottom"/>
            <w:gridSpan w:val="2"/>
          </w:tcPr>
          <w:p>
            <w:pPr>
              <w:ind w:left="240"/>
              <w:spacing w:after="0"/>
              <w:rPr>
                <w:sz w:val="20"/>
                <w:szCs w:val="20"/>
                <w:color w:val="auto"/>
              </w:rPr>
            </w:pPr>
            <w:r>
              <w:rPr>
                <w:rFonts w:ascii="Arial" w:cs="Arial" w:eastAsia="Arial" w:hAnsi="Arial"/>
                <w:sz w:val="3"/>
                <w:szCs w:val="3"/>
                <w:color w:val="FFFFFF"/>
              </w:rPr>
              <w:t>Jeffrey Kin-fung Lam 6/6 100%</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ind w:left="240"/>
              <w:spacing w:after="0"/>
              <w:rPr>
                <w:sz w:val="20"/>
                <w:szCs w:val="20"/>
                <w:color w:val="auto"/>
              </w:rPr>
            </w:pPr>
            <w:r>
              <w:rPr>
                <w:rFonts w:ascii="Arial" w:cs="Arial" w:eastAsia="Arial" w:hAnsi="Arial"/>
                <w:sz w:val="3"/>
                <w:szCs w:val="3"/>
                <w:color w:val="FFFFFF"/>
              </w:rPr>
              <w:t>Bruce Rockowitz 6/6 100%</w:t>
            </w:r>
          </w:p>
        </w:tc>
        <w:tc>
          <w:tcPr>
            <w:tcW w:w="8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40" w:type="dxa"/>
            <w:vAlign w:val="bottom"/>
            <w:gridSpan w:val="2"/>
          </w:tcPr>
          <w:p>
            <w:pPr>
              <w:spacing w:after="0"/>
              <w:rPr>
                <w:sz w:val="20"/>
                <w:szCs w:val="20"/>
                <w:color w:val="auto"/>
              </w:rPr>
            </w:pPr>
            <w:r>
              <w:rPr>
                <w:rFonts w:ascii="Arial" w:cs="Arial" w:eastAsia="Arial" w:hAnsi="Arial"/>
                <w:sz w:val="3"/>
                <w:szCs w:val="3"/>
                <w:color w:val="FFFFFF"/>
              </w:rPr>
              <w:t>Mr. Nicholas Sallnow-Smith 6/6 100%</w:t>
            </w:r>
          </w:p>
        </w:tc>
        <w:tc>
          <w:tcPr>
            <w:tcW w:w="8060" w:type="dxa"/>
            <w:vAlign w:val="bottom"/>
            <w:vMerge w:val="restart"/>
          </w:tcPr>
          <w:p>
            <w:pPr>
              <w:ind w:left="140"/>
              <w:spacing w:after="0"/>
              <w:rPr>
                <w:sz w:val="20"/>
                <w:szCs w:val="20"/>
                <w:color w:val="auto"/>
              </w:rPr>
            </w:pPr>
            <w:r>
              <w:rPr>
                <w:rFonts w:ascii="Arial" w:cs="Arial" w:eastAsia="Arial" w:hAnsi="Arial"/>
                <w:sz w:val="14"/>
                <w:szCs w:val="14"/>
                <w:color w:val="FFFFFF"/>
              </w:rPr>
              <w:t>of our Board on 24 February 2012.</w:t>
            </w:r>
          </w:p>
        </w:tc>
        <w:tc>
          <w:tcPr>
            <w:tcW w:w="0" w:type="dxa"/>
            <w:vAlign w:val="bottom"/>
          </w:tcPr>
          <w:p>
            <w:pPr>
              <w:spacing w:after="0"/>
              <w:rPr>
                <w:sz w:val="1"/>
                <w:szCs w:val="1"/>
                <w:color w:val="auto"/>
              </w:rPr>
            </w:pPr>
          </w:p>
        </w:tc>
      </w:tr>
      <w:tr>
        <w:trPr>
          <w:trHeight w:val="0"/>
        </w:trPr>
        <w:tc>
          <w:tcPr>
            <w:tcW w:w="2240" w:type="dxa"/>
            <w:vAlign w:val="bottom"/>
            <w:gridSpan w:val="2"/>
          </w:tcPr>
          <w:p>
            <w:pPr>
              <w:spacing w:after="0"/>
              <w:rPr>
                <w:sz w:val="20"/>
                <w:szCs w:val="20"/>
                <w:color w:val="auto"/>
              </w:rPr>
            </w:pPr>
            <w:r>
              <w:rPr>
                <w:rFonts w:ascii="Arial" w:cs="Arial" w:eastAsia="Arial" w:hAnsi="Arial"/>
                <w:sz w:val="14"/>
                <w:szCs w:val="14"/>
                <w:color w:val="FFFFFF"/>
              </w:rPr>
              <w:t>* Mr. Kazuo Okada ceased to be a</w:t>
            </w:r>
          </w:p>
        </w:tc>
        <w:tc>
          <w:tcPr>
            <w:tcW w:w="8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At least four regular meetings will memberconvened each year.</w:t>
      </w:r>
    </w:p>
    <w:p>
      <w:pPr>
        <w:sectPr>
          <w:pgSz w:w="11900" w:h="16838" w:orient="portrait"/>
          <w:cols w:equalWidth="0" w:num="1">
            <w:col w:w="10300"/>
          </w:cols>
          <w:pgMar w:left="240" w:top="1440" w:right="135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62CorporateWynnMacau,GovernanceLimitedReport</w:t>
      </w:r>
    </w:p>
    <w:p>
      <w:pPr>
        <w:spacing w:after="0"/>
        <w:rPr>
          <w:sz w:val="20"/>
          <w:szCs w:val="20"/>
          <w:color w:val="auto"/>
        </w:rPr>
      </w:pPr>
      <w:r>
        <w:rPr>
          <w:rFonts w:ascii="Arial" w:cs="Arial" w:eastAsia="Arial" w:hAnsi="Arial"/>
          <w:sz w:val="3"/>
          <w:szCs w:val="3"/>
          <w:color w:val="FFFFFF"/>
        </w:rPr>
        <w:t>IndependentBOARDOF nonDIRECTORS-executive (continued)Directors</w:t>
      </w:r>
    </w:p>
    <w:p>
      <w:pPr>
        <w:spacing w:after="0" w:line="6" w:lineRule="exact"/>
        <w:rPr>
          <w:sz w:val="20"/>
          <w:szCs w:val="20"/>
          <w:color w:val="auto"/>
        </w:rPr>
      </w:pPr>
    </w:p>
    <w:p>
      <w:pPr>
        <w:ind w:right="320"/>
        <w:spacing w:after="0"/>
        <w:rPr>
          <w:sz w:val="20"/>
          <w:szCs w:val="20"/>
          <w:color w:val="auto"/>
        </w:rPr>
      </w:pPr>
      <w:r>
        <w:rPr>
          <w:rFonts w:ascii="Arial" w:cs="Arial" w:eastAsia="Arial" w:hAnsi="Arial"/>
          <w:sz w:val="7"/>
          <w:szCs w:val="7"/>
          <w:color w:val="FFFFFF"/>
        </w:rPr>
        <w:t>The Company has received from each of the independent non-executive Directors an annual confi rmation of his independence pursuant to Rule 3.13 of the Listing Rules and considers each of them to be independent. Each has been appointed for an additional term of two years commencing from 16 September 2011.</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Non-executive Directors</w:t>
      </w:r>
    </w:p>
    <w:p>
      <w:pPr>
        <w:spacing w:after="0" w:line="194" w:lineRule="auto"/>
        <w:rPr>
          <w:sz w:val="20"/>
          <w:szCs w:val="20"/>
          <w:color w:val="auto"/>
        </w:rPr>
      </w:pPr>
      <w:r>
        <w:rPr>
          <w:rFonts w:ascii="Arial" w:cs="Arial" w:eastAsia="Arial" w:hAnsi="Arial"/>
          <w:sz w:val="3"/>
          <w:szCs w:val="3"/>
          <w:color w:val="FFFFFF"/>
        </w:rPr>
        <w:t>Mr. Marc D. Schorr and Dr. Allan Zeman, have separately been appointed</w:t>
      </w:r>
      <w:r>
        <w:rPr>
          <w:rFonts w:ascii="Arial" w:cs="Arial" w:eastAsia="Arial" w:hAnsi="Arial"/>
          <w:sz w:val="5"/>
          <w:szCs w:val="5"/>
          <w:color w:val="FFFFFF"/>
          <w:vertAlign w:val="subscript"/>
        </w:rPr>
        <w:t>commencing</w:t>
      </w:r>
      <w:r>
        <w:rPr>
          <w:rFonts w:ascii="Arial" w:cs="Arial" w:eastAsia="Arial" w:hAnsi="Arial"/>
          <w:sz w:val="3"/>
          <w:szCs w:val="3"/>
          <w:color w:val="FFFFFF"/>
        </w:rPr>
        <w:t>asanon-executive Director for an initial term of three years commencing from 16 September 2009. Mr. Kazuo Okada had been</w:t>
      </w:r>
    </w:p>
    <w:p>
      <w:pPr>
        <w:spacing w:after="0"/>
        <w:tabs>
          <w:tab w:leader="none" w:pos="4560" w:val="left"/>
        </w:tabs>
        <w:rPr>
          <w:sz w:val="20"/>
          <w:szCs w:val="20"/>
          <w:color w:val="auto"/>
        </w:rPr>
      </w:pPr>
      <w:r>
        <w:rPr>
          <w:rFonts w:ascii="Arial" w:cs="Arial" w:eastAsia="Arial" w:hAnsi="Arial"/>
          <w:sz w:val="3"/>
          <w:szCs w:val="3"/>
          <w:color w:val="FFFFFF"/>
        </w:rPr>
        <w:t>appointed as a non-executive Director for an initial term of three years</w:t>
      </w:r>
      <w:r>
        <w:rPr>
          <w:sz w:val="20"/>
          <w:szCs w:val="20"/>
          <w:color w:val="auto"/>
        </w:rPr>
        <w:tab/>
      </w:r>
      <w:r>
        <w:rPr>
          <w:rFonts w:ascii="Arial" w:cs="Arial" w:eastAsia="Arial" w:hAnsi="Arial"/>
          <w:sz w:val="3"/>
          <w:szCs w:val="3"/>
          <w:color w:val="FFFFFF"/>
        </w:rPr>
        <w:t>from</w:t>
      </w:r>
    </w:p>
    <w:p>
      <w:pPr>
        <w:spacing w:after="0" w:line="194" w:lineRule="auto"/>
        <w:rPr>
          <w:sz w:val="20"/>
          <w:szCs w:val="20"/>
          <w:color w:val="auto"/>
        </w:rPr>
      </w:pPr>
      <w:r>
        <w:rPr>
          <w:rFonts w:ascii="Arial" w:cs="Arial" w:eastAsia="Arial" w:hAnsi="Arial"/>
          <w:sz w:val="3"/>
          <w:szCs w:val="3"/>
          <w:color w:val="FFFFFF"/>
        </w:rPr>
        <w:t xml:space="preserve">16 </w:t>
      </w:r>
      <w:r>
        <w:rPr>
          <w:rFonts w:ascii="Arial" w:cs="Arial" w:eastAsia="Arial" w:hAnsi="Arial"/>
          <w:sz w:val="5"/>
          <w:szCs w:val="5"/>
          <w:color w:val="FFFFFF"/>
          <w:vertAlign w:val="subscript"/>
        </w:rPr>
        <w:t>February</w:t>
      </w:r>
      <w:r>
        <w:rPr>
          <w:rFonts w:ascii="Arial" w:cs="Arial" w:eastAsia="Arial" w:hAnsi="Arial"/>
          <w:sz w:val="3"/>
          <w:szCs w:val="3"/>
          <w:color w:val="FFFFFF"/>
        </w:rPr>
        <w:t>Sptember 2009 until the Company served him written notice to terminate such appointment on</w:t>
      </w:r>
    </w:p>
    <w:p>
      <w:pPr>
        <w:spacing w:after="0"/>
        <w:tabs>
          <w:tab w:leader="none" w:pos="680" w:val="left"/>
        </w:tabs>
        <w:rPr>
          <w:sz w:val="20"/>
          <w:szCs w:val="20"/>
          <w:color w:val="auto"/>
        </w:rPr>
      </w:pPr>
      <w:r>
        <w:rPr>
          <w:rFonts w:ascii="Arial" w:cs="Arial" w:eastAsia="Arial" w:hAnsi="Arial"/>
          <w:sz w:val="3"/>
          <w:szCs w:val="3"/>
          <w:color w:val="FFFFFF"/>
        </w:rPr>
        <w:t>24</w:t>
      </w:r>
      <w:r>
        <w:rPr>
          <w:sz w:val="20"/>
          <w:szCs w:val="20"/>
          <w:color w:val="auto"/>
        </w:rPr>
        <w:tab/>
      </w:r>
      <w:r>
        <w:rPr>
          <w:rFonts w:ascii="Arial" w:cs="Arial" w:eastAsia="Arial" w:hAnsi="Arial"/>
          <w:sz w:val="3"/>
          <w:szCs w:val="3"/>
          <w:color w:val="FFFFFF"/>
        </w:rPr>
        <w:t>2012.</w:t>
      </w:r>
    </w:p>
    <w:p>
      <w:pPr>
        <w:spacing w:after="0" w:line="194" w:lineRule="auto"/>
        <w:rPr>
          <w:sz w:val="20"/>
          <w:szCs w:val="20"/>
          <w:color w:val="auto"/>
        </w:rPr>
      </w:pPr>
      <w:r>
        <w:rPr>
          <w:rFonts w:ascii="Arial" w:cs="Arial" w:eastAsia="Arial" w:hAnsi="Arial"/>
          <w:sz w:val="5"/>
          <w:szCs w:val="5"/>
          <w:color w:val="FFFFFF"/>
        </w:rPr>
        <w:t>Appointment and Re-election of Directors</w:t>
      </w:r>
    </w:p>
    <w:p>
      <w:pPr>
        <w:spacing w:after="0"/>
        <w:rPr>
          <w:sz w:val="20"/>
          <w:szCs w:val="20"/>
          <w:color w:val="auto"/>
        </w:rPr>
      </w:pPr>
      <w:r>
        <w:rPr>
          <w:rFonts w:ascii="Arial" w:cs="Arial" w:eastAsia="Arial" w:hAnsi="Arial"/>
          <w:sz w:val="3"/>
          <w:szCs w:val="3"/>
          <w:color w:val="FFFFFF"/>
        </w:rPr>
        <w:t>Please refer to information in “Nomination and Corporate Governance Committee” as set below regarding the process of appointment of Directors in the Company.</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In addition to the aforesaid term of appointment of directors in the Company, all the Directors are subject to retirement by rotation at least once every three years and any new Director appointed to fi ll a casual vacancy or as an addition to the Board shall be re-elected at the next following annual general meeting after appointment.</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BOARD COMMITTEES</w:t>
      </w:r>
    </w:p>
    <w:p>
      <w:pPr>
        <w:spacing w:after="0" w:line="6" w:lineRule="exact"/>
        <w:rPr>
          <w:sz w:val="20"/>
          <w:szCs w:val="20"/>
          <w:color w:val="auto"/>
        </w:rPr>
      </w:pPr>
    </w:p>
    <w:p>
      <w:pPr>
        <w:ind w:right="60"/>
        <w:spacing w:after="0"/>
        <w:rPr>
          <w:sz w:val="20"/>
          <w:szCs w:val="20"/>
          <w:color w:val="auto"/>
        </w:rPr>
      </w:pPr>
      <w:r>
        <w:rPr>
          <w:rFonts w:ascii="Arial" w:cs="Arial" w:eastAsia="Arial" w:hAnsi="Arial"/>
          <w:sz w:val="6"/>
          <w:szCs w:val="6"/>
          <w:color w:val="FFFFFF"/>
        </w:rPr>
        <w:t>The Board</w:t>
      </w:r>
      <w:r>
        <w:rPr>
          <w:rFonts w:ascii="Arial" w:cs="Arial" w:eastAsia="Arial" w:hAnsi="Arial"/>
          <w:sz w:val="7"/>
          <w:szCs w:val="7"/>
          <w:color w:val="FFFFFF"/>
          <w:vertAlign w:val="superscript"/>
        </w:rPr>
        <w:t>the</w:t>
      </w:r>
      <w:r>
        <w:rPr>
          <w:rFonts w:ascii="Arial" w:cs="Arial" w:eastAsia="Arial" w:hAnsi="Arial"/>
          <w:sz w:val="6"/>
          <w:szCs w:val="6"/>
          <w:color w:val="FFFFFF"/>
        </w:rPr>
        <w:t xml:space="preserve">as received appropriate delegation of its functions and powers and has established appropriate Board committees, with specifi c written terms of reference in order to manage and monitor specifi c </w:t>
      </w:r>
      <w:r>
        <w:rPr>
          <w:rFonts w:ascii="Arial" w:cs="Arial" w:eastAsia="Arial" w:hAnsi="Arial"/>
          <w:sz w:val="7"/>
          <w:szCs w:val="7"/>
          <w:color w:val="FFFFFF"/>
          <w:vertAlign w:val="subscript"/>
        </w:rPr>
        <w:t>advisors</w:t>
      </w:r>
      <w:r>
        <w:rPr>
          <w:rFonts w:ascii="Arial" w:cs="Arial" w:eastAsia="Arial" w:hAnsi="Arial"/>
          <w:sz w:val="6"/>
          <w:szCs w:val="6"/>
          <w:color w:val="FFFFFF"/>
        </w:rPr>
        <w:t>spectsof Group’s affairs. The Board and the Board committees are provided with all necessary resources including the advice of external auditors, external attorneys and other independent professional</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
          <w:szCs w:val="3"/>
          <w:color w:val="FFFFFF"/>
        </w:rPr>
        <w:t>as needed.</w:t>
      </w:r>
    </w:p>
    <w:p>
      <w:pPr>
        <w:spacing w:after="0" w:line="194" w:lineRule="auto"/>
        <w:rPr>
          <w:sz w:val="20"/>
          <w:szCs w:val="20"/>
          <w:color w:val="auto"/>
        </w:rPr>
      </w:pPr>
      <w:r>
        <w:rPr>
          <w:rFonts w:ascii="Arial" w:cs="Arial" w:eastAsia="Arial" w:hAnsi="Arial"/>
          <w:sz w:val="5"/>
          <w:szCs w:val="5"/>
          <w:color w:val="FFFFFF"/>
        </w:rPr>
        <w:t>Audit Committee</w:t>
      </w:r>
    </w:p>
    <w:p>
      <w:pPr>
        <w:ind w:right="280"/>
        <w:spacing w:after="0" w:line="190" w:lineRule="auto"/>
        <w:rPr>
          <w:sz w:val="20"/>
          <w:szCs w:val="20"/>
          <w:color w:val="auto"/>
        </w:rPr>
      </w:pPr>
      <w:r>
        <w:rPr>
          <w:rFonts w:ascii="Arial" w:cs="Arial" w:eastAsia="Arial" w:hAnsi="Arial"/>
          <w:sz w:val="11"/>
          <w:szCs w:val="11"/>
          <w:color w:val="FFFFFF"/>
        </w:rPr>
        <w:t>The Company has set up an audit committee in compliance with Rule 3.21 of the Listing Rules, the primary duties of which are to review and supervise the fi nancial reporting process and internal control system of the Group, maintain an appropriate relationship with the Company’s auditors, review and approve connected transactions, and provide advice and comments to the Board.</w:t>
      </w:r>
    </w:p>
    <w:p>
      <w:pPr>
        <w:sectPr>
          <w:pgSz w:w="11900" w:h="16838" w:orient="portrait"/>
          <w:cols w:equalWidth="0" w:num="1">
            <w:col w:w="11300"/>
          </w:cols>
          <w:pgMar w:left="240" w:top="1440" w:right="35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63</w:t>
      </w:r>
    </w:p>
    <w:p>
      <w:pPr>
        <w:spacing w:after="0" w:line="187" w:lineRule="auto"/>
        <w:rPr>
          <w:sz w:val="20"/>
          <w:szCs w:val="20"/>
          <w:color w:val="auto"/>
        </w:rPr>
      </w:pPr>
      <w:r>
        <w:rPr>
          <w:rFonts w:ascii="Arial" w:cs="Arial" w:eastAsia="Arial" w:hAnsi="Arial"/>
          <w:sz w:val="9"/>
          <w:szCs w:val="9"/>
          <w:color w:val="FFFFFF"/>
        </w:rPr>
        <w:t>BOARDCorporateCOMMITTEESGovernanceReport(continued)</w:t>
      </w:r>
    </w:p>
    <w:p>
      <w:pPr>
        <w:spacing w:after="0"/>
        <w:rPr>
          <w:sz w:val="20"/>
          <w:szCs w:val="20"/>
          <w:color w:val="auto"/>
        </w:rPr>
      </w:pPr>
      <w:r>
        <w:rPr>
          <w:rFonts w:ascii="Arial" w:cs="Arial" w:eastAsia="Arial" w:hAnsi="Arial"/>
          <w:sz w:val="3"/>
          <w:szCs w:val="3"/>
          <w:color w:val="FFFFFF"/>
        </w:rPr>
        <w:t>Audit Committee (continued)</w:t>
      </w:r>
    </w:p>
    <w:p>
      <w:pPr>
        <w:spacing w:after="0" w:line="201" w:lineRule="auto"/>
        <w:rPr>
          <w:sz w:val="20"/>
          <w:szCs w:val="20"/>
          <w:color w:val="auto"/>
        </w:rPr>
      </w:pPr>
      <w:r>
        <w:rPr>
          <w:rFonts w:ascii="Arial" w:cs="Arial" w:eastAsia="Arial" w:hAnsi="Arial"/>
          <w:sz w:val="9"/>
          <w:szCs w:val="9"/>
          <w:color w:val="FFFFFF"/>
        </w:rPr>
        <w:t>Mr.The NicholasauditcommitteeSallnowconsists-Smith isofthethreechairmanmembers:oftheMr.auditNicholascommittee.Sallnow-Smith and Mr. Bruce Rockowitz, both of whom are independent non-executive Directors, and Dr. Allan Zeman, a non- executive Director.</w:t>
      </w:r>
    </w:p>
    <w:p>
      <w:pPr>
        <w:spacing w:after="0"/>
        <w:rPr>
          <w:sz w:val="20"/>
          <w:szCs w:val="20"/>
          <w:color w:val="auto"/>
        </w:rPr>
      </w:pPr>
      <w:r>
        <w:rPr>
          <w:rFonts w:ascii="Arial" w:cs="Arial" w:eastAsia="Arial" w:hAnsi="Arial"/>
          <w:sz w:val="3"/>
          <w:szCs w:val="3"/>
          <w:color w:val="FFFFFF"/>
        </w:rPr>
        <w:t>The audit committee held three meetings during the year ended 31 December 2011. The attendance record of these meetings is set out below.</w:t>
      </w:r>
    </w:p>
    <w:p>
      <w:pPr>
        <w:spacing w:after="0" w:line="181" w:lineRule="auto"/>
        <w:rPr>
          <w:sz w:val="20"/>
          <w:szCs w:val="20"/>
          <w:color w:val="auto"/>
        </w:rPr>
      </w:pPr>
      <w:r>
        <w:rPr>
          <w:rFonts w:ascii="Arial" w:cs="Arial" w:eastAsia="Arial" w:hAnsi="Arial"/>
          <w:sz w:val="10"/>
          <w:szCs w:val="10"/>
          <w:color w:val="FFFFFF"/>
        </w:rPr>
        <w:t>meetingsNumberof</w:t>
      </w:r>
    </w:p>
    <w:p>
      <w:pPr>
        <w:spacing w:after="0"/>
        <w:rPr>
          <w:sz w:val="20"/>
          <w:szCs w:val="20"/>
          <w:color w:val="auto"/>
        </w:rPr>
      </w:pPr>
      <w:r>
        <w:rPr>
          <w:rFonts w:ascii="Arial" w:cs="Arial" w:eastAsia="Arial" w:hAnsi="Arial"/>
          <w:sz w:val="3"/>
          <w:szCs w:val="3"/>
          <w:color w:val="FFFFFF"/>
        </w:rPr>
        <w:t>attended/</w:t>
      </w:r>
    </w:p>
    <w:p>
      <w:pPr>
        <w:spacing w:after="0" w:line="181" w:lineRule="auto"/>
        <w:rPr>
          <w:sz w:val="20"/>
          <w:szCs w:val="20"/>
          <w:color w:val="auto"/>
        </w:rPr>
      </w:pPr>
      <w:r>
        <w:rPr>
          <w:rFonts w:ascii="Arial" w:cs="Arial" w:eastAsia="Arial" w:hAnsi="Arial"/>
          <w:sz w:val="10"/>
          <w:szCs w:val="10"/>
          <w:color w:val="FFFFFF"/>
        </w:rPr>
        <w:t>Name.BruceofcommitteeRockowitzmember3/3100%held during 2011 Attendance rate</w:t>
      </w:r>
    </w:p>
    <w:p>
      <w:pPr>
        <w:ind w:left="240"/>
        <w:spacing w:after="0"/>
        <w:rPr>
          <w:sz w:val="20"/>
          <w:szCs w:val="20"/>
          <w:color w:val="auto"/>
        </w:rPr>
      </w:pPr>
      <w:r>
        <w:rPr>
          <w:rFonts w:ascii="Arial" w:cs="Arial" w:eastAsia="Arial" w:hAnsi="Arial"/>
          <w:sz w:val="3"/>
          <w:szCs w:val="3"/>
          <w:color w:val="FFFFFF"/>
        </w:rPr>
        <w:t>Nicholas Sallnow-Smith 3/3 100%</w:t>
      </w:r>
    </w:p>
    <w:p>
      <w:pPr>
        <w:spacing w:after="0" w:line="181" w:lineRule="auto"/>
        <w:rPr>
          <w:sz w:val="20"/>
          <w:szCs w:val="20"/>
          <w:color w:val="auto"/>
        </w:rPr>
      </w:pPr>
      <w:r>
        <w:rPr>
          <w:rFonts w:ascii="Arial" w:cs="Arial" w:eastAsia="Arial" w:hAnsi="Arial"/>
          <w:sz w:val="10"/>
          <w:szCs w:val="10"/>
          <w:color w:val="FFFFFF"/>
        </w:rPr>
        <w:t>MrDuring.AllantheZemanmeetings,3/3 100%theendedauit committee met with the external auditors and/or senior management, reviewed the fi nancial statements, results announcements and reports for the year ended 31 December 2010</w:t>
      </w:r>
    </w:p>
    <w:p>
      <w:pPr>
        <w:ind w:right="120"/>
        <w:spacing w:after="0" w:line="181" w:lineRule="auto"/>
        <w:rPr>
          <w:sz w:val="20"/>
          <w:szCs w:val="20"/>
          <w:color w:val="auto"/>
        </w:rPr>
      </w:pPr>
      <w:r>
        <w:rPr>
          <w:rFonts w:ascii="Arial" w:cs="Arial" w:eastAsia="Arial" w:hAnsi="Arial"/>
          <w:sz w:val="7"/>
          <w:szCs w:val="7"/>
          <w:color w:val="FFFFFF"/>
        </w:rPr>
        <w:t>and effectivenessforthesixmonthsofthe Company’s30Junefi 2011,nancialthereportingaccountingsystem,principlesinternalandcontrolpracticessystemadoptedand riskbythemanagementGroupand systemtherelevantandassociatedauditfindings,proceduresreviewedand andconsidereddiscussedthewithinternalthe auditorsplanof andreportreport.on the adequacy There are no material uncertainties relating to events conditions that may cast signifi cant doubt on the Company’s ability to continue as a going concern. There is no disagreement between the Board and the</w:t>
      </w:r>
    </w:p>
    <w:p>
      <w:pPr>
        <w:ind w:left="140" w:hanging="138"/>
        <w:spacing w:after="0"/>
        <w:rPr>
          <w:sz w:val="20"/>
          <w:szCs w:val="20"/>
          <w:color w:val="auto"/>
        </w:rPr>
      </w:pPr>
      <w:r>
        <w:rPr>
          <w:rFonts w:ascii="Arial" w:cs="Arial" w:eastAsia="Arial" w:hAnsi="Arial"/>
          <w:sz w:val="3"/>
          <w:szCs w:val="3"/>
          <w:color w:val="FFFFFF"/>
        </w:rPr>
        <w:t>Havingauditcommitteereviewedregardingthenewrequirements,theselection andcodeappointmentprovisionsandofexternalbestrecommendedauditors. practices in relation to corporate governance practices and associated Listing Rules announced by the Hong Kong Stock Exchange October 2011, the audit committee and the nomination and corporate governance presented to the Board amendm nts to the committee’ written terms of reference, which were subsequently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approved by the Board and adopted by the audit committee on 27 March 2012. The committee’s terms of reference are available for viewing on the websites of the Company and the Hong Kong Stock Exchange.</w:t>
      </w:r>
    </w:p>
    <w:p>
      <w:pPr>
        <w:sectPr>
          <w:pgSz w:w="11900" w:h="16838" w:orient="portrait"/>
          <w:cols w:equalWidth="0" w:num="1">
            <w:col w:w="11420"/>
          </w:cols>
          <w:pgMar w:left="240" w:top="1440" w:right="2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64 Wynn Macau, Limited</w:t>
      </w:r>
    </w:p>
    <w:p>
      <w:pPr>
        <w:spacing w:after="0"/>
        <w:rPr>
          <w:sz w:val="20"/>
          <w:szCs w:val="20"/>
          <w:color w:val="auto"/>
        </w:rPr>
      </w:pPr>
      <w:r>
        <w:rPr>
          <w:rFonts w:ascii="Arial" w:cs="Arial" w:eastAsia="Arial" w:hAnsi="Arial"/>
          <w:sz w:val="3"/>
          <w:szCs w:val="3"/>
          <w:color w:val="FFFFFF"/>
        </w:rPr>
        <w:t>Corporate Governance Report</w:t>
      </w:r>
    </w:p>
    <w:p>
      <w:pPr>
        <w:spacing w:after="0" w:line="181" w:lineRule="auto"/>
        <w:rPr>
          <w:sz w:val="20"/>
          <w:szCs w:val="20"/>
          <w:color w:val="auto"/>
        </w:rPr>
      </w:pPr>
      <w:r>
        <w:rPr>
          <w:rFonts w:ascii="Arial" w:cs="Arial" w:eastAsia="Arial" w:hAnsi="Arial"/>
          <w:sz w:val="10"/>
          <w:szCs w:val="10"/>
          <w:color w:val="FFFFFF"/>
        </w:rPr>
        <w:t>RemunerationBOARDCOMMITTEESCommittee (continued)</w:t>
      </w:r>
    </w:p>
    <w:p>
      <w:pPr>
        <w:ind w:left="11260"/>
        <w:spacing w:after="0"/>
        <w:rPr>
          <w:sz w:val="20"/>
          <w:szCs w:val="20"/>
          <w:color w:val="auto"/>
        </w:rPr>
      </w:pPr>
      <w:r>
        <w:rPr>
          <w:rFonts w:ascii="Arial" w:cs="Arial" w:eastAsia="Arial" w:hAnsi="Arial"/>
          <w:sz w:val="1"/>
          <w:szCs w:val="1"/>
          <w:color w:val="FFFFFF"/>
        </w:rPr>
        <w:t>The Companyandseniorhassetmanagement,upremunerationreviewingcommittee,incentivetheschemesprimaryanddutiesDirectors’ofwhichserviceareto assist the andBoardfixingdeterminingtheremunerationthepolicypackagesandstructureforallDirectorsfortheremunerationandseniormanagement.ofDirectors, Theevaluatingremunerationtheperformancepackages ofof all</w:t>
      </w:r>
    </w:p>
    <w:p>
      <w:pPr>
        <w:ind w:right="160"/>
        <w:spacing w:after="0"/>
        <w:rPr>
          <w:sz w:val="20"/>
          <w:szCs w:val="20"/>
          <w:color w:val="auto"/>
        </w:rPr>
      </w:pPr>
      <w:r>
        <w:rPr>
          <w:rFonts w:ascii="Arial" w:cs="Arial" w:eastAsia="Arial" w:hAnsi="Arial"/>
          <w:sz w:val="7"/>
          <w:szCs w:val="7"/>
          <w:color w:val="FFFFFF"/>
        </w:rPr>
        <w:t>Directors is determined by the remuneration committee in accordance with the committee’contractswritten terms of reference, and with the delegated authority of the Board. Determination of such matters is based on the Group’s performance and the Directors’ and senior management members’ respective contributions to the Group.</w:t>
      </w:r>
    </w:p>
    <w:p>
      <w:pPr>
        <w:spacing w:after="0" w:line="189" w:lineRule="auto"/>
        <w:rPr>
          <w:sz w:val="20"/>
          <w:szCs w:val="20"/>
          <w:color w:val="auto"/>
        </w:rPr>
      </w:pPr>
      <w:r>
        <w:rPr>
          <w:rFonts w:ascii="Arial" w:cs="Arial" w:eastAsia="Arial" w:hAnsi="Arial"/>
          <w:sz w:val="7"/>
          <w:szCs w:val="7"/>
          <w:color w:val="FFFFFF"/>
        </w:rPr>
        <w:t>The remuneration committee consists of four members: Mr. Marc D. Schorr,</w:t>
      </w:r>
      <w:r>
        <w:rPr>
          <w:rFonts w:ascii="Arial" w:cs="Arial" w:eastAsia="Arial" w:hAnsi="Arial"/>
          <w:sz w:val="9"/>
          <w:szCs w:val="9"/>
          <w:color w:val="FFFFFF"/>
          <w:vertAlign w:val="subscript"/>
        </w:rPr>
        <w:t>chairman</w:t>
      </w:r>
      <w:r>
        <w:rPr>
          <w:rFonts w:ascii="Arial" w:cs="Arial" w:eastAsia="Arial" w:hAnsi="Arial"/>
          <w:sz w:val="7"/>
          <w:szCs w:val="7"/>
          <w:color w:val="FFFFFF"/>
        </w:rPr>
        <w:t>non-executive Director, and Mr. Nicholas Sallnow-Smith, Mr. Bruce Rockowitz and Mr. Jeffrey Kin-fung Lam, all of whom are</w:t>
      </w:r>
    </w:p>
    <w:p>
      <w:pPr>
        <w:spacing w:after="0" w:line="188" w:lineRule="auto"/>
        <w:tabs>
          <w:tab w:leader="none" w:pos="4500" w:val="left"/>
        </w:tabs>
        <w:rPr>
          <w:sz w:val="20"/>
          <w:szCs w:val="20"/>
          <w:color w:val="auto"/>
        </w:rPr>
      </w:pPr>
      <w:r>
        <w:rPr>
          <w:rFonts w:ascii="Arial" w:cs="Arial" w:eastAsia="Arial" w:hAnsi="Arial"/>
          <w:sz w:val="9"/>
          <w:szCs w:val="9"/>
          <w:color w:val="FFFFFF"/>
        </w:rPr>
        <w:t>independent non-executive Directors. Mr. Nicholas Sallnow-Smith is the</w:t>
      </w:r>
      <w:r>
        <w:rPr>
          <w:sz w:val="20"/>
          <w:szCs w:val="20"/>
          <w:color w:val="auto"/>
        </w:rPr>
        <w:tab/>
      </w:r>
      <w:r>
        <w:rPr>
          <w:rFonts w:ascii="Arial" w:cs="Arial" w:eastAsia="Arial" w:hAnsi="Arial"/>
          <w:sz w:val="9"/>
          <w:szCs w:val="9"/>
          <w:color w:val="FFFFFF"/>
        </w:rPr>
        <w:t>of the remuneration committee.</w:t>
      </w:r>
    </w:p>
    <w:p>
      <w:pPr>
        <w:spacing w:after="0" w:line="188" w:lineRule="auto"/>
        <w:rPr>
          <w:sz w:val="20"/>
          <w:szCs w:val="20"/>
          <w:color w:val="auto"/>
        </w:rPr>
      </w:pPr>
      <w:r>
        <w:rPr>
          <w:rFonts w:ascii="Arial" w:cs="Arial" w:eastAsia="Arial" w:hAnsi="Arial"/>
          <w:sz w:val="9"/>
          <w:szCs w:val="9"/>
          <w:color w:val="FFFFFF"/>
        </w:rPr>
        <w:t>NumberTheremunerationof committee held two meetings during the year ended 31 December 2011. The attendance record of these meetings is set out below.</w:t>
      </w:r>
    </w:p>
    <w:p>
      <w:pPr>
        <w:spacing w:after="0" w:line="187" w:lineRule="auto"/>
        <w:rPr>
          <w:sz w:val="20"/>
          <w:szCs w:val="20"/>
          <w:color w:val="auto"/>
        </w:rPr>
      </w:pPr>
      <w:r>
        <w:rPr>
          <w:rFonts w:ascii="Arial" w:cs="Arial" w:eastAsia="Arial" w:hAnsi="Arial"/>
          <w:sz w:val="9"/>
          <w:szCs w:val="9"/>
          <w:color w:val="FFFFFF"/>
        </w:rPr>
        <w:t>attended/meetings</w:t>
      </w:r>
    </w:p>
    <w:p>
      <w:pPr>
        <w:spacing w:after="0"/>
        <w:rPr>
          <w:sz w:val="20"/>
          <w:szCs w:val="20"/>
          <w:color w:val="auto"/>
        </w:rPr>
      </w:pPr>
      <w:r>
        <w:rPr>
          <w:rFonts w:ascii="Arial" w:cs="Arial" w:eastAsia="Arial" w:hAnsi="Arial"/>
          <w:sz w:val="3"/>
          <w:szCs w:val="3"/>
          <w:color w:val="FFFFFF"/>
        </w:rPr>
        <w:t>NameJeffreyofcommitteeKin-fungmemberLam2/2held100%during 2011 Attendance rate</w:t>
      </w:r>
    </w:p>
    <w:p>
      <w:pPr>
        <w:ind w:left="240"/>
        <w:spacing w:after="0" w:line="194" w:lineRule="auto"/>
        <w:rPr>
          <w:sz w:val="20"/>
          <w:szCs w:val="20"/>
          <w:color w:val="auto"/>
        </w:rPr>
      </w:pPr>
      <w:r>
        <w:rPr>
          <w:rFonts w:ascii="Arial" w:cs="Arial" w:eastAsia="Arial" w:hAnsi="Arial"/>
          <w:sz w:val="5"/>
          <w:szCs w:val="5"/>
          <w:color w:val="FFFFFF"/>
        </w:rPr>
        <w:t>Bruce Rockowitz 2/2 100%</w:t>
      </w:r>
    </w:p>
    <w:p>
      <w:pPr>
        <w:spacing w:after="0" w:line="211" w:lineRule="auto"/>
        <w:rPr>
          <w:sz w:val="20"/>
          <w:szCs w:val="20"/>
          <w:color w:val="auto"/>
        </w:rPr>
      </w:pPr>
      <w:r>
        <w:rPr>
          <w:rFonts w:ascii="Arial" w:cs="Arial" w:eastAsia="Arial" w:hAnsi="Arial"/>
          <w:sz w:val="4"/>
          <w:szCs w:val="4"/>
          <w:color w:val="FFFFFF"/>
          <w:vertAlign w:val="superscript"/>
        </w:rPr>
        <w:t>Mr.</w:t>
      </w:r>
    </w:p>
    <w:p>
      <w:pPr>
        <w:ind w:left="240"/>
        <w:spacing w:after="0"/>
        <w:rPr>
          <w:sz w:val="20"/>
          <w:szCs w:val="20"/>
          <w:color w:val="auto"/>
        </w:rPr>
      </w:pPr>
      <w:r>
        <w:rPr>
          <w:rFonts w:ascii="Arial" w:cs="Arial" w:eastAsia="Arial" w:hAnsi="Arial"/>
          <w:sz w:val="3"/>
          <w:szCs w:val="3"/>
          <w:color w:val="FFFFFF"/>
        </w:rPr>
        <w:t>MarcNicholasD. SchorrSallnow2/2-Smith100%2/2 100%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During the meetings, the remuneration committee made recommendations of the performance-based remuneration and bonuses to the senior management of the Group.</w:t>
      </w:r>
    </w:p>
    <w:p>
      <w:pPr>
        <w:sectPr>
          <w:pgSz w:w="11900" w:h="16838" w:orient="portrait"/>
          <w:cols w:equalWidth="0" w:num="1">
            <w:col w:w="11400"/>
          </w:cols>
          <w:pgMar w:left="240" w:top="1440" w:right="2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3"/>
          </w:tcPr>
          <w:p>
            <w:pPr>
              <w:spacing w:after="0"/>
              <w:rPr>
                <w:sz w:val="20"/>
                <w:szCs w:val="20"/>
                <w:color w:val="auto"/>
              </w:rPr>
            </w:pPr>
            <w:r>
              <w:rPr>
                <w:rFonts w:ascii="Arial" w:cs="Arial" w:eastAsia="Arial" w:hAnsi="Arial"/>
                <w:sz w:val="14"/>
                <w:szCs w:val="14"/>
                <w:color w:val="FFFFFF"/>
              </w:rPr>
              <w:t>Annual Report 2011 65</w:t>
            </w:r>
          </w:p>
        </w:tc>
        <w:tc>
          <w:tcPr>
            <w:tcW w:w="4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780" w:type="dxa"/>
            <w:vAlign w:val="bottom"/>
            <w:gridSpan w:val="3"/>
          </w:tcPr>
          <w:p>
            <w:pPr>
              <w:spacing w:after="0"/>
              <w:rPr>
                <w:sz w:val="20"/>
                <w:szCs w:val="20"/>
                <w:color w:val="auto"/>
              </w:rPr>
            </w:pPr>
            <w:r>
              <w:rPr>
                <w:rFonts w:ascii="Arial" w:cs="Arial" w:eastAsia="Arial" w:hAnsi="Arial"/>
                <w:sz w:val="3"/>
                <w:szCs w:val="3"/>
                <w:color w:val="FFFFFF"/>
              </w:rPr>
              <w:t>Corporate Governance Report</w:t>
            </w:r>
          </w:p>
        </w:tc>
        <w:tc>
          <w:tcPr>
            <w:tcW w:w="47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80" w:type="dxa"/>
            <w:vAlign w:val="bottom"/>
            <w:gridSpan w:val="3"/>
          </w:tcPr>
          <w:p>
            <w:pPr>
              <w:spacing w:after="0"/>
              <w:rPr>
                <w:sz w:val="20"/>
                <w:szCs w:val="20"/>
                <w:color w:val="auto"/>
              </w:rPr>
            </w:pPr>
            <w:r>
              <w:rPr>
                <w:rFonts w:ascii="Arial" w:cs="Arial" w:eastAsia="Arial" w:hAnsi="Arial"/>
                <w:sz w:val="3"/>
                <w:szCs w:val="3"/>
                <w:color w:val="FFFFFF"/>
              </w:rPr>
              <w:t>BOARD COMMITTEES (continued)</w:t>
            </w:r>
          </w:p>
        </w:tc>
        <w:tc>
          <w:tcPr>
            <w:tcW w:w="47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80" w:type="dxa"/>
            <w:vAlign w:val="bottom"/>
            <w:gridSpan w:val="3"/>
          </w:tcPr>
          <w:p>
            <w:pPr>
              <w:spacing w:after="0"/>
              <w:rPr>
                <w:sz w:val="20"/>
                <w:szCs w:val="20"/>
                <w:color w:val="auto"/>
              </w:rPr>
            </w:pPr>
            <w:r>
              <w:rPr>
                <w:rFonts w:ascii="Arial" w:cs="Arial" w:eastAsia="Arial" w:hAnsi="Arial"/>
                <w:sz w:val="3"/>
                <w:szCs w:val="3"/>
                <w:color w:val="FFFFFF"/>
              </w:rPr>
              <w:t>Remuneration Committee (continued)</w:t>
            </w:r>
          </w:p>
        </w:tc>
        <w:tc>
          <w:tcPr>
            <w:tcW w:w="47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11000" w:type="dxa"/>
            <w:vAlign w:val="bottom"/>
            <w:gridSpan w:val="4"/>
          </w:tcPr>
          <w:p>
            <w:pPr>
              <w:ind w:left="20"/>
              <w:spacing w:after="0"/>
              <w:rPr>
                <w:sz w:val="20"/>
                <w:szCs w:val="20"/>
                <w:color w:val="auto"/>
              </w:rPr>
            </w:pPr>
            <w:r>
              <w:rPr>
                <w:rFonts w:ascii="Arial" w:cs="Arial" w:eastAsia="Arial" w:hAnsi="Arial"/>
                <w:sz w:val="3"/>
                <w:szCs w:val="3"/>
                <w:color w:val="FFFFFF"/>
              </w:rPr>
              <w:t>reviewed the new requirements, code provisions and best recommended practices in relation to corporate governance practices and associated Listing Rules announced by the Hong Kong Stock Exchange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HavingOctober 2011, the remuneration committee and the nomination and corporate governance committee presented to the Board amendments to the committee’s written terms of reference, which were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subsequently approved by the Board and adopted by the remuneration committee on 27 March 2012. The committee’s terms of reference are available for viewing on the websites of the Company and the Hong</w:t>
            </w:r>
          </w:p>
        </w:tc>
        <w:tc>
          <w:tcPr>
            <w:tcW w:w="0" w:type="dxa"/>
            <w:vAlign w:val="bottom"/>
          </w:tcPr>
          <w:p>
            <w:pPr>
              <w:spacing w:after="0"/>
              <w:rPr>
                <w:sz w:val="1"/>
                <w:szCs w:val="1"/>
                <w:color w:val="auto"/>
              </w:rPr>
            </w:pPr>
          </w:p>
        </w:tc>
      </w:tr>
      <w:tr>
        <w:trPr>
          <w:trHeight w:val="41"/>
        </w:trPr>
        <w:tc>
          <w:tcPr>
            <w:tcW w:w="4780" w:type="dxa"/>
            <w:vAlign w:val="bottom"/>
            <w:gridSpan w:val="3"/>
          </w:tcPr>
          <w:p>
            <w:pPr>
              <w:spacing w:after="0"/>
              <w:rPr>
                <w:sz w:val="20"/>
                <w:szCs w:val="20"/>
                <w:color w:val="auto"/>
              </w:rPr>
            </w:pPr>
            <w:r>
              <w:rPr>
                <w:rFonts w:ascii="Arial" w:cs="Arial" w:eastAsia="Arial" w:hAnsi="Arial"/>
                <w:sz w:val="3"/>
                <w:szCs w:val="3"/>
                <w:color w:val="FFFFFF"/>
              </w:rPr>
              <w:t>Kong Stock Exchange.</w:t>
            </w:r>
          </w:p>
        </w:tc>
        <w:tc>
          <w:tcPr>
            <w:tcW w:w="47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Details of the remuneration of each Director (including Mr. Kazuo Okada*) of the Company for the year ended 31 December 2011 are set out in note 25 to the fi nancial statements contained in this Annual</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Report.</w:t>
            </w:r>
          </w:p>
        </w:tc>
        <w:tc>
          <w:tcPr>
            <w:tcW w:w="436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FFFFFF"/>
              </w:rPr>
              <w:t>Mr. Kazuo Okada ceased to be a member of our Board on 24 February 2012.</w:t>
            </w:r>
          </w:p>
        </w:tc>
        <w:tc>
          <w:tcPr>
            <w:tcW w:w="47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w:t>
            </w:r>
          </w:p>
        </w:tc>
        <w:tc>
          <w:tcPr>
            <w:tcW w:w="4360" w:type="dxa"/>
            <w:vAlign w:val="bottom"/>
            <w:gridSpan w:val="2"/>
            <w:vMerge w:val="continue"/>
          </w:tcPr>
          <w:p>
            <w:pPr>
              <w:spacing w:after="0"/>
              <w:rPr>
                <w:sz w:val="3"/>
                <w:szCs w:val="3"/>
                <w:color w:val="auto"/>
              </w:rPr>
            </w:pPr>
          </w:p>
        </w:tc>
        <w:tc>
          <w:tcPr>
            <w:tcW w:w="47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000" w:type="dxa"/>
            <w:vAlign w:val="bottom"/>
            <w:gridSpan w:val="2"/>
          </w:tcPr>
          <w:p>
            <w:pPr>
              <w:spacing w:after="0" w:line="54" w:lineRule="exact"/>
              <w:rPr>
                <w:sz w:val="20"/>
                <w:szCs w:val="20"/>
                <w:color w:val="auto"/>
              </w:rPr>
            </w:pPr>
            <w:r>
              <w:rPr>
                <w:rFonts w:ascii="Arial" w:cs="Arial" w:eastAsia="Arial" w:hAnsi="Arial"/>
                <w:sz w:val="6"/>
                <w:szCs w:val="6"/>
                <w:color w:val="FFFFFF"/>
              </w:rPr>
              <w:t>Nomination and</w:t>
            </w:r>
          </w:p>
        </w:tc>
        <w:tc>
          <w:tcPr>
            <w:tcW w:w="3780" w:type="dxa"/>
            <w:vAlign w:val="bottom"/>
          </w:tcPr>
          <w:p>
            <w:pPr>
              <w:ind w:left="480"/>
              <w:spacing w:after="0" w:line="54" w:lineRule="exact"/>
              <w:rPr>
                <w:sz w:val="20"/>
                <w:szCs w:val="20"/>
                <w:color w:val="auto"/>
              </w:rPr>
            </w:pPr>
            <w:r>
              <w:rPr>
                <w:rFonts w:ascii="Arial" w:cs="Arial" w:eastAsia="Arial" w:hAnsi="Arial"/>
                <w:sz w:val="6"/>
                <w:szCs w:val="6"/>
                <w:color w:val="FFFFFF"/>
              </w:rPr>
              <w:t>Governance Committee</w:t>
            </w:r>
          </w:p>
        </w:tc>
        <w:tc>
          <w:tcPr>
            <w:tcW w:w="4760" w:type="dxa"/>
            <w:vAlign w:val="bottom"/>
          </w:tcPr>
          <w:p>
            <w:pPr>
              <w:spacing w:after="0"/>
              <w:rPr>
                <w:sz w:val="4"/>
                <w:szCs w:val="4"/>
                <w:color w:val="auto"/>
              </w:rPr>
            </w:pPr>
          </w:p>
        </w:tc>
        <w:tc>
          <w:tcPr>
            <w:tcW w:w="1880" w:type="dxa"/>
            <w:vAlign w:val="bottom"/>
            <w:vMerge w:val="restart"/>
          </w:tcPr>
          <w:p>
            <w:pPr>
              <w:ind w:left="220"/>
              <w:spacing w:after="0" w:line="95" w:lineRule="exact"/>
              <w:rPr>
                <w:sz w:val="20"/>
                <w:szCs w:val="20"/>
                <w:color w:val="auto"/>
              </w:rPr>
            </w:pPr>
            <w:r>
              <w:rPr>
                <w:rFonts w:ascii="Arial" w:cs="Arial" w:eastAsia="Arial" w:hAnsi="Arial"/>
                <w:sz w:val="10"/>
                <w:szCs w:val="10"/>
                <w:color w:val="FFFFFF"/>
              </w:rPr>
              <w:t>to serve as directors of the</w:t>
            </w:r>
          </w:p>
        </w:tc>
        <w:tc>
          <w:tcPr>
            <w:tcW w:w="0" w:type="dxa"/>
            <w:vAlign w:val="bottom"/>
          </w:tcPr>
          <w:p>
            <w:pPr>
              <w:spacing w:after="0"/>
              <w:rPr>
                <w:sz w:val="1"/>
                <w:szCs w:val="1"/>
                <w:color w:val="auto"/>
              </w:rPr>
            </w:pPr>
          </w:p>
        </w:tc>
      </w:tr>
      <w:tr>
        <w:trPr>
          <w:trHeight w:val="41"/>
        </w:trPr>
        <w:tc>
          <w:tcPr>
            <w:tcW w:w="9540" w:type="dxa"/>
            <w:vAlign w:val="bottom"/>
            <w:gridSpan w:val="4"/>
          </w:tcPr>
          <w:p>
            <w:pPr>
              <w:spacing w:after="0"/>
              <w:rPr>
                <w:sz w:val="20"/>
                <w:szCs w:val="20"/>
                <w:color w:val="auto"/>
              </w:rPr>
            </w:pPr>
            <w:r>
              <w:rPr>
                <w:rFonts w:ascii="Arial" w:cs="Arial" w:eastAsia="Arial" w:hAnsi="Arial"/>
                <w:sz w:val="3"/>
                <w:szCs w:val="3"/>
                <w:color w:val="FFFFFF"/>
              </w:rPr>
              <w:t>The Company hasCorporatesetup nomination and corporate governance committee, the primary duties of which are to identify, screen and recommend to the Board appropriate</w:t>
            </w:r>
          </w:p>
        </w:tc>
        <w:tc>
          <w:tcPr>
            <w:tcW w:w="1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780" w:type="dxa"/>
            <w:vAlign w:val="bottom"/>
            <w:gridSpan w:val="3"/>
          </w:tcPr>
          <w:p>
            <w:pPr>
              <w:spacing w:after="0" w:line="21" w:lineRule="exact"/>
              <w:rPr>
                <w:sz w:val="20"/>
                <w:szCs w:val="20"/>
                <w:color w:val="auto"/>
              </w:rPr>
            </w:pPr>
            <w:r>
              <w:rPr>
                <w:rFonts w:ascii="Arial" w:cs="Arial" w:eastAsia="Arial" w:hAnsi="Arial"/>
                <w:sz w:val="2"/>
                <w:szCs w:val="2"/>
                <w:color w:val="FFFFFF"/>
              </w:rPr>
              <w:t>principles for the Company, which shall be consistent with any applicable laws,</w:t>
            </w:r>
          </w:p>
        </w:tc>
        <w:tc>
          <w:tcPr>
            <w:tcW w:w="6640" w:type="dxa"/>
            <w:vAlign w:val="bottom"/>
            <w:gridSpan w:val="2"/>
          </w:tcPr>
          <w:p>
            <w:pPr>
              <w:ind w:left="200"/>
              <w:spacing w:after="0" w:line="21" w:lineRule="exact"/>
              <w:rPr>
                <w:sz w:val="20"/>
                <w:szCs w:val="20"/>
                <w:color w:val="auto"/>
              </w:rPr>
            </w:pPr>
            <w:r>
              <w:rPr>
                <w:rFonts w:ascii="Arial" w:cs="Arial" w:eastAsia="Arial" w:hAnsi="Arial"/>
                <w:sz w:val="2"/>
                <w:szCs w:val="2"/>
                <w:color w:val="FFFFFF"/>
              </w:rPr>
              <w:t>and listing standards. In reviewing the composition of the Board, the nominationcandidatescorporate governance committee</w:t>
            </w:r>
          </w:p>
        </w:tc>
        <w:tc>
          <w:tcPr>
            <w:tcW w:w="0" w:type="dxa"/>
            <w:vAlign w:val="bottom"/>
          </w:tcPr>
          <w:p>
            <w:pPr>
              <w:spacing w:after="0" w:line="20" w:lineRule="exact"/>
              <w:rPr>
                <w:sz w:val="1"/>
                <w:szCs w:val="1"/>
                <w:color w:val="auto"/>
              </w:rPr>
            </w:pPr>
          </w:p>
        </w:tc>
      </w:tr>
      <w:tr>
        <w:trPr>
          <w:trHeight w:val="20"/>
        </w:trPr>
        <w:tc>
          <w:tcPr>
            <w:tcW w:w="9540" w:type="dxa"/>
            <w:vAlign w:val="bottom"/>
            <w:gridSpan w:val="4"/>
          </w:tcPr>
          <w:p>
            <w:pPr>
              <w:spacing w:after="0" w:line="21" w:lineRule="exact"/>
              <w:rPr>
                <w:sz w:val="20"/>
                <w:szCs w:val="20"/>
                <w:color w:val="auto"/>
              </w:rPr>
            </w:pPr>
            <w:r>
              <w:rPr>
                <w:rFonts w:ascii="Arial" w:cs="Arial" w:eastAsia="Arial" w:hAnsi="Arial"/>
                <w:sz w:val="2"/>
                <w:szCs w:val="2"/>
                <w:color w:val="FFFFFF"/>
              </w:rPr>
              <w:t>Company, to oversee the process for evaluating the performance of the Board, to develop and recommend to the Board nomination guidelines for the Company, and to develop</w:t>
            </w:r>
          </w:p>
        </w:tc>
        <w:tc>
          <w:tcPr>
            <w:tcW w:w="1880" w:type="dxa"/>
            <w:vAlign w:val="bottom"/>
          </w:tcPr>
          <w:p>
            <w:pPr>
              <w:ind w:left="60"/>
              <w:spacing w:after="0" w:line="21" w:lineRule="exact"/>
              <w:rPr>
                <w:sz w:val="20"/>
                <w:szCs w:val="20"/>
                <w:color w:val="auto"/>
              </w:rPr>
            </w:pPr>
            <w:r>
              <w:rPr>
                <w:rFonts w:ascii="Arial" w:cs="Arial" w:eastAsia="Arial" w:hAnsi="Arial"/>
                <w:sz w:val="2"/>
                <w:szCs w:val="2"/>
                <w:color w:val="FFFFFF"/>
              </w:rPr>
              <w:t>set of corporate governance</w:t>
            </w:r>
          </w:p>
        </w:tc>
        <w:tc>
          <w:tcPr>
            <w:tcW w:w="0" w:type="dxa"/>
            <w:vAlign w:val="bottom"/>
          </w:tcPr>
          <w:p>
            <w:pPr>
              <w:spacing w:after="0" w:line="20" w:lineRule="exact"/>
              <w:rPr>
                <w:sz w:val="1"/>
                <w:szCs w:val="1"/>
                <w:color w:val="auto"/>
              </w:rPr>
            </w:pPr>
          </w:p>
        </w:tc>
      </w:tr>
      <w:tr>
        <w:trPr>
          <w:trHeight w:val="81"/>
        </w:trPr>
        <w:tc>
          <w:tcPr>
            <w:tcW w:w="11420" w:type="dxa"/>
            <w:vAlign w:val="bottom"/>
            <w:gridSpan w:val="5"/>
          </w:tcPr>
          <w:p>
            <w:pPr>
              <w:spacing w:after="0" w:line="81" w:lineRule="exact"/>
              <w:rPr>
                <w:sz w:val="20"/>
                <w:szCs w:val="20"/>
                <w:color w:val="auto"/>
              </w:rPr>
            </w:pPr>
            <w:r>
              <w:rPr>
                <w:rFonts w:ascii="Arial" w:cs="Arial" w:eastAsia="Arial" w:hAnsi="Arial"/>
                <w:sz w:val="9"/>
                <w:szCs w:val="9"/>
                <w:color w:val="FFFFFF"/>
              </w:rPr>
              <w:t>considers the skills, knowledge and experience and also the desirability of maintainingregulationsbalanced composition of executive and non-executive Directors (including independent non-executive Directors).</w:t>
            </w:r>
          </w:p>
        </w:tc>
        <w:tc>
          <w:tcPr>
            <w:tcW w:w="0" w:type="dxa"/>
            <w:vAlign w:val="bottom"/>
          </w:tcPr>
          <w:p>
            <w:pPr>
              <w:spacing w:after="0"/>
              <w:rPr>
                <w:sz w:val="1"/>
                <w:szCs w:val="1"/>
                <w:color w:val="auto"/>
              </w:rPr>
            </w:pPr>
          </w:p>
        </w:tc>
      </w:tr>
      <w:tr>
        <w:trPr>
          <w:trHeight w:val="41"/>
        </w:trPr>
        <w:tc>
          <w:tcPr>
            <w:tcW w:w="1000" w:type="dxa"/>
            <w:vAlign w:val="bottom"/>
            <w:gridSpan w:val="2"/>
          </w:tcPr>
          <w:p>
            <w:pPr>
              <w:spacing w:after="0"/>
              <w:rPr>
                <w:sz w:val="20"/>
                <w:szCs w:val="20"/>
                <w:color w:val="auto"/>
              </w:rPr>
            </w:pPr>
            <w:r>
              <w:rPr>
                <w:rFonts w:ascii="Arial" w:cs="Arial" w:eastAsia="Arial" w:hAnsi="Arial"/>
                <w:sz w:val="3"/>
                <w:szCs w:val="3"/>
                <w:color w:val="FFFFFF"/>
              </w:rPr>
              <w:t>The nomination</w:t>
            </w:r>
          </w:p>
        </w:tc>
        <w:tc>
          <w:tcPr>
            <w:tcW w:w="10420" w:type="dxa"/>
            <w:vAlign w:val="bottom"/>
            <w:gridSpan w:val="3"/>
          </w:tcPr>
          <w:p>
            <w:pPr>
              <w:ind w:left="120"/>
              <w:spacing w:after="0"/>
              <w:rPr>
                <w:sz w:val="20"/>
                <w:szCs w:val="20"/>
                <w:color w:val="auto"/>
              </w:rPr>
            </w:pPr>
            <w:r>
              <w:rPr>
                <w:rFonts w:ascii="Arial" w:cs="Arial" w:eastAsia="Arial" w:hAnsi="Arial"/>
                <w:sz w:val="3"/>
                <w:szCs w:val="3"/>
                <w:color w:val="FFFFFF"/>
              </w:rPr>
              <w:t>corporate governance committee consists of three members: Mr. Nicholas Sallnow-Smith and Mr. Jeffrey Kin-fung Lam, both of whom are independent non-executive Directors, and</w:t>
            </w:r>
          </w:p>
        </w:tc>
        <w:tc>
          <w:tcPr>
            <w:tcW w:w="0" w:type="dxa"/>
            <w:vAlign w:val="bottom"/>
          </w:tcPr>
          <w:p>
            <w:pPr>
              <w:spacing w:after="0"/>
              <w:rPr>
                <w:sz w:val="1"/>
                <w:szCs w:val="1"/>
                <w:color w:val="auto"/>
              </w:rPr>
            </w:pPr>
          </w:p>
        </w:tc>
      </w:tr>
      <w:tr>
        <w:trPr>
          <w:trHeight w:val="213"/>
        </w:trPr>
        <w:tc>
          <w:tcPr>
            <w:tcW w:w="9540" w:type="dxa"/>
            <w:vAlign w:val="bottom"/>
            <w:gridSpan w:val="4"/>
          </w:tcPr>
          <w:p>
            <w:pPr>
              <w:spacing w:after="0"/>
              <w:rPr>
                <w:sz w:val="20"/>
                <w:szCs w:val="20"/>
                <w:color w:val="auto"/>
              </w:rPr>
            </w:pPr>
            <w:r>
              <w:rPr>
                <w:rFonts w:ascii="Arial" w:cs="Arial" w:eastAsia="Arial" w:hAnsi="Arial"/>
                <w:sz w:val="14"/>
                <w:szCs w:val="14"/>
                <w:color w:val="FFFFFF"/>
              </w:rPr>
              <w:t>Dr. Allan Zeman,andnon-executive Director. Mr. Jeffrey Kin-fung Lam is the chairman of the nomination and corporate governance committee.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20"/>
                <w:szCs w:val="20"/>
                <w:color w:val="auto"/>
              </w:rPr>
            </w:pPr>
            <w:r>
              <w:rPr>
                <w:rFonts w:ascii="Arial" w:cs="Arial" w:eastAsia="Arial" w:hAnsi="Arial"/>
                <w:sz w:val="14"/>
                <w:szCs w:val="14"/>
                <w:color w:val="FFFFFF"/>
              </w:rPr>
              <w:t>66 Wynn Macau, Limited</w:t>
            </w:r>
          </w:p>
        </w:tc>
        <w:tc>
          <w:tcPr>
            <w:tcW w:w="48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Corporate Governance Report</w:t>
            </w:r>
          </w:p>
        </w:tc>
        <w:tc>
          <w:tcPr>
            <w:tcW w:w="480" w:type="dxa"/>
            <w:vAlign w:val="bottom"/>
          </w:tcPr>
          <w:p>
            <w:pPr>
              <w:spacing w:after="0"/>
              <w:rPr>
                <w:sz w:val="3"/>
                <w:szCs w:val="3"/>
                <w:color w:val="auto"/>
              </w:rPr>
            </w:pP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60" w:type="dxa"/>
            <w:vAlign w:val="bottom"/>
            <w:gridSpan w:val="2"/>
          </w:tcPr>
          <w:p>
            <w:pPr>
              <w:spacing w:after="0"/>
              <w:rPr>
                <w:sz w:val="20"/>
                <w:szCs w:val="20"/>
                <w:color w:val="auto"/>
              </w:rPr>
            </w:pPr>
            <w:r>
              <w:rPr>
                <w:rFonts w:ascii="Arial" w:cs="Arial" w:eastAsia="Arial" w:hAnsi="Arial"/>
                <w:sz w:val="3"/>
                <w:szCs w:val="3"/>
                <w:color w:val="FFFFFF"/>
              </w:rPr>
              <w:t>BOARD COMMITTEES (continued)</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Nomination and Corporate Governance Committee (continued)</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nomination and corporate governance committee held one meeting during the year ended 31 December 2011. The attendance record of the said meeting is set out below.</w:t>
            </w: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Number of</w:t>
            </w:r>
          </w:p>
        </w:tc>
        <w:tc>
          <w:tcPr>
            <w:tcW w:w="480" w:type="dxa"/>
            <w:vAlign w:val="bottom"/>
          </w:tcPr>
          <w:p>
            <w:pPr>
              <w:spacing w:after="0"/>
              <w:rPr>
                <w:sz w:val="3"/>
                <w:szCs w:val="3"/>
                <w:color w:val="auto"/>
              </w:rPr>
            </w:pP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meetings</w:t>
            </w:r>
          </w:p>
        </w:tc>
        <w:tc>
          <w:tcPr>
            <w:tcW w:w="480" w:type="dxa"/>
            <w:vAlign w:val="bottom"/>
          </w:tcPr>
          <w:p>
            <w:pPr>
              <w:spacing w:after="0"/>
              <w:rPr>
                <w:sz w:val="3"/>
                <w:szCs w:val="3"/>
                <w:color w:val="auto"/>
              </w:rPr>
            </w:pP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attended/</w:t>
            </w:r>
          </w:p>
        </w:tc>
        <w:tc>
          <w:tcPr>
            <w:tcW w:w="480" w:type="dxa"/>
            <w:vAlign w:val="bottom"/>
          </w:tcPr>
          <w:p>
            <w:pPr>
              <w:spacing w:after="0"/>
              <w:rPr>
                <w:sz w:val="3"/>
                <w:szCs w:val="3"/>
                <w:color w:val="auto"/>
              </w:rPr>
            </w:pP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Name of committee member held during 2011 Attendance rate</w:t>
            </w:r>
          </w:p>
        </w:tc>
        <w:tc>
          <w:tcPr>
            <w:tcW w:w="0" w:type="dxa"/>
            <w:vAlign w:val="bottom"/>
          </w:tcPr>
          <w:p>
            <w:pPr>
              <w:spacing w:after="0"/>
              <w:rPr>
                <w:sz w:val="1"/>
                <w:szCs w:val="1"/>
                <w:color w:val="auto"/>
              </w:rPr>
            </w:pPr>
          </w:p>
        </w:tc>
      </w:tr>
      <w:tr>
        <w:trPr>
          <w:trHeight w:val="41"/>
        </w:trPr>
        <w:tc>
          <w:tcPr>
            <w:tcW w:w="1980" w:type="dxa"/>
            <w:vAlign w:val="bottom"/>
          </w:tcPr>
          <w:p>
            <w:pPr>
              <w:ind w:left="240"/>
              <w:spacing w:after="0"/>
              <w:rPr>
                <w:sz w:val="20"/>
                <w:szCs w:val="20"/>
                <w:color w:val="auto"/>
              </w:rPr>
            </w:pPr>
            <w:r>
              <w:rPr>
                <w:rFonts w:ascii="Arial" w:cs="Arial" w:eastAsia="Arial" w:hAnsi="Arial"/>
                <w:sz w:val="3"/>
                <w:szCs w:val="3"/>
                <w:color w:val="FFFFFF"/>
              </w:rPr>
              <w:t>Jeffrey Kin-fung Lam 1/1 100%</w:t>
            </w:r>
          </w:p>
        </w:tc>
        <w:tc>
          <w:tcPr>
            <w:tcW w:w="480" w:type="dxa"/>
            <w:vAlign w:val="bottom"/>
          </w:tcPr>
          <w:p>
            <w:pPr>
              <w:spacing w:after="0"/>
              <w:rPr>
                <w:sz w:val="3"/>
                <w:szCs w:val="3"/>
                <w:color w:val="auto"/>
              </w:rPr>
            </w:pP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60" w:type="dxa"/>
            <w:vAlign w:val="bottom"/>
            <w:gridSpan w:val="2"/>
          </w:tcPr>
          <w:p>
            <w:pPr>
              <w:ind w:left="160"/>
              <w:spacing w:after="0"/>
              <w:rPr>
                <w:sz w:val="20"/>
                <w:szCs w:val="20"/>
                <w:color w:val="auto"/>
              </w:rPr>
            </w:pPr>
            <w:r>
              <w:rPr>
                <w:rFonts w:ascii="Arial" w:cs="Arial" w:eastAsia="Arial" w:hAnsi="Arial"/>
                <w:sz w:val="3"/>
                <w:szCs w:val="3"/>
                <w:color w:val="FFFFFF"/>
              </w:rPr>
              <w:t>. Nicholas Sallnow-Smith 1/1 100%</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20"/>
                <w:szCs w:val="20"/>
                <w:color w:val="auto"/>
              </w:rPr>
            </w:pPr>
            <w:r>
              <w:rPr>
                <w:rFonts w:ascii="Arial" w:cs="Arial" w:eastAsia="Arial" w:hAnsi="Arial"/>
                <w:sz w:val="3"/>
                <w:szCs w:val="3"/>
                <w:color w:val="FFFFFF"/>
              </w:rPr>
              <w:t>Mr. Allan Zeman 1/1 100%</w:t>
            </w:r>
          </w:p>
        </w:tc>
        <w:tc>
          <w:tcPr>
            <w:tcW w:w="480" w:type="dxa"/>
            <w:vAlign w:val="bottom"/>
          </w:tcPr>
          <w:p>
            <w:pPr>
              <w:spacing w:after="0"/>
              <w:rPr>
                <w:sz w:val="3"/>
                <w:szCs w:val="3"/>
                <w:color w:val="auto"/>
              </w:rPr>
            </w:pPr>
          </w:p>
        </w:tc>
        <w:tc>
          <w:tcPr>
            <w:tcW w:w="894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governance committee assessed the independence of the existing independent non-executive Directors and recommended the reappointment of the retiring</w:t>
            </w:r>
          </w:p>
        </w:tc>
        <w:tc>
          <w:tcPr>
            <w:tcW w:w="0" w:type="dxa"/>
            <w:vAlign w:val="bottom"/>
          </w:tcPr>
          <w:p>
            <w:pPr>
              <w:spacing w:after="0"/>
              <w:rPr>
                <w:sz w:val="1"/>
                <w:szCs w:val="1"/>
                <w:color w:val="auto"/>
              </w:rPr>
            </w:pPr>
          </w:p>
        </w:tc>
      </w:tr>
      <w:tr>
        <w:trPr>
          <w:trHeight w:val="41"/>
        </w:trPr>
        <w:tc>
          <w:tcPr>
            <w:tcW w:w="2460" w:type="dxa"/>
            <w:vAlign w:val="bottom"/>
            <w:gridSpan w:val="2"/>
          </w:tcPr>
          <w:p>
            <w:pPr>
              <w:ind w:left="100"/>
              <w:spacing w:after="0"/>
              <w:rPr>
                <w:sz w:val="20"/>
                <w:szCs w:val="20"/>
                <w:color w:val="auto"/>
              </w:rPr>
            </w:pPr>
            <w:r>
              <w:rPr>
                <w:rFonts w:ascii="Arial" w:cs="Arial" w:eastAsia="Arial" w:hAnsi="Arial"/>
                <w:sz w:val="3"/>
                <w:szCs w:val="3"/>
                <w:color w:val="FFFFFF"/>
              </w:rPr>
              <w:t>uring the meeting, the nomination and</w:t>
            </w:r>
          </w:p>
        </w:tc>
        <w:tc>
          <w:tcPr>
            <w:tcW w:w="8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Directors at the annual general mee ing fcorporatetheyear ended 31 December 2011 of the Company. The Directors’ remuneration for the year ended 31 December 2011 is set out in note 25 to the Financial Statements.</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In accordance with article 17.18 of the Company’s articles of association, one third of our Board will retire from offi ce by rotation at the forthcoming annual general meeting. The three directors who will retire</w:t>
            </w:r>
          </w:p>
        </w:tc>
        <w:tc>
          <w:tcPr>
            <w:tcW w:w="0" w:type="dxa"/>
            <w:vAlign w:val="bottom"/>
          </w:tcPr>
          <w:p>
            <w:pPr>
              <w:spacing w:after="0"/>
              <w:rPr>
                <w:sz w:val="1"/>
                <w:szCs w:val="1"/>
                <w:color w:val="auto"/>
              </w:rPr>
            </w:pPr>
          </w:p>
        </w:tc>
      </w:tr>
      <w:tr>
        <w:trPr>
          <w:trHeight w:val="41"/>
        </w:trPr>
        <w:tc>
          <w:tcPr>
            <w:tcW w:w="11400" w:type="dxa"/>
            <w:vAlign w:val="bottom"/>
            <w:gridSpan w:val="3"/>
          </w:tcPr>
          <w:p>
            <w:pPr>
              <w:ind w:left="80"/>
              <w:spacing w:after="0"/>
              <w:rPr>
                <w:sz w:val="20"/>
                <w:szCs w:val="20"/>
                <w:color w:val="auto"/>
              </w:rPr>
            </w:pPr>
            <w:r>
              <w:rPr>
                <w:rFonts w:ascii="Arial" w:cs="Arial" w:eastAsia="Arial" w:hAnsi="Arial"/>
                <w:sz w:val="3"/>
                <w:szCs w:val="3"/>
                <w:color w:val="FFFFFF"/>
              </w:rPr>
              <w:t>y rotation are Mr. Stephen A. Wynn and Mr. Ian Michael Coughlan, two of our executive Directors, and Mr. Nicholas Sallnow-Smith, one of our independent non-executive Directors. All retiring directors,</w:t>
            </w:r>
          </w:p>
        </w:tc>
        <w:tc>
          <w:tcPr>
            <w:tcW w:w="0" w:type="dxa"/>
            <w:vAlign w:val="bottom"/>
          </w:tcPr>
          <w:p>
            <w:pPr>
              <w:spacing w:after="0"/>
              <w:rPr>
                <w:sz w:val="1"/>
                <w:szCs w:val="1"/>
                <w:color w:val="auto"/>
              </w:rPr>
            </w:pPr>
          </w:p>
        </w:tc>
      </w:tr>
      <w:tr>
        <w:trPr>
          <w:trHeight w:val="0"/>
        </w:trPr>
        <w:tc>
          <w:tcPr>
            <w:tcW w:w="1980" w:type="dxa"/>
            <w:vAlign w:val="bottom"/>
          </w:tcPr>
          <w:p>
            <w:pPr>
              <w:spacing w:after="0" w:line="80" w:lineRule="exact"/>
              <w:rPr>
                <w:sz w:val="20"/>
                <w:szCs w:val="20"/>
                <w:color w:val="auto"/>
              </w:rPr>
            </w:pPr>
            <w:r>
              <w:rPr>
                <w:rFonts w:ascii="Arial" w:cs="Arial" w:eastAsia="Arial" w:hAnsi="Arial"/>
                <w:sz w:val="9"/>
                <w:szCs w:val="9"/>
                <w:color w:val="FFFFFF"/>
              </w:rPr>
              <w:t>being eligible, will offer</w:t>
            </w:r>
          </w:p>
        </w:tc>
        <w:tc>
          <w:tcPr>
            <w:tcW w:w="9420" w:type="dxa"/>
            <w:vAlign w:val="bottom"/>
            <w:gridSpan w:val="2"/>
          </w:tcPr>
          <w:p>
            <w:pPr>
              <w:spacing w:after="0" w:line="80" w:lineRule="exact"/>
              <w:rPr>
                <w:sz w:val="20"/>
                <w:szCs w:val="20"/>
                <w:color w:val="auto"/>
              </w:rPr>
            </w:pPr>
            <w:r>
              <w:rPr>
                <w:rFonts w:ascii="Arial" w:cs="Arial" w:eastAsia="Arial" w:hAnsi="Arial"/>
                <w:sz w:val="9"/>
                <w:szCs w:val="9"/>
                <w:color w:val="FFFFFF"/>
              </w:rPr>
              <w:t>for re-election at the forthcoming annual general meeting. The nomination and corporate governance committee recommended the reappointment of these three retiring</w:t>
            </w:r>
          </w:p>
        </w:tc>
        <w:tc>
          <w:tcPr>
            <w:tcW w:w="0" w:type="dxa"/>
            <w:vAlign w:val="bottom"/>
          </w:tcPr>
          <w:p>
            <w:pPr>
              <w:spacing w:after="0" w:line="20" w:lineRule="exact"/>
              <w:rPr>
                <w:sz w:val="1"/>
                <w:szCs w:val="1"/>
                <w:color w:val="auto"/>
              </w:rPr>
            </w:pPr>
          </w:p>
        </w:tc>
      </w:tr>
    </w:tbl>
    <w:p>
      <w:pPr>
        <w:ind w:left="1360"/>
        <w:spacing w:after="0"/>
        <w:rPr>
          <w:sz w:val="20"/>
          <w:szCs w:val="20"/>
          <w:color w:val="auto"/>
        </w:rPr>
      </w:pPr>
      <w:r>
        <w:rPr>
          <w:rFonts w:ascii="Arial" w:cs="Arial" w:eastAsia="Arial" w:hAnsi="Arial"/>
          <w:sz w:val="3"/>
          <w:szCs w:val="3"/>
          <w:color w:val="FFFFFF"/>
        </w:rPr>
        <w:t>themselves</w:t>
      </w:r>
    </w:p>
    <w:p>
      <w:pPr>
        <w:spacing w:after="0" w:line="211" w:lineRule="auto"/>
        <w:rPr>
          <w:sz w:val="20"/>
          <w:szCs w:val="20"/>
          <w:color w:val="auto"/>
        </w:rPr>
      </w:pPr>
      <w:r>
        <w:rPr>
          <w:rFonts w:ascii="Arial" w:cs="Arial" w:eastAsia="Arial" w:hAnsi="Arial"/>
          <w:sz w:val="2"/>
          <w:szCs w:val="2"/>
          <w:color w:val="FFFFFF"/>
        </w:rPr>
        <w:t xml:space="preserve">directors. The Company’ </w:t>
      </w:r>
      <w:r>
        <w:rPr>
          <w:rFonts w:ascii="Arial" w:cs="Arial" w:eastAsia="Arial" w:hAnsi="Arial"/>
          <w:sz w:val="4"/>
          <w:szCs w:val="4"/>
          <w:color w:val="FFFFFF"/>
          <w:vertAlign w:val="subscript"/>
        </w:rPr>
        <w:t>requirements,</w:t>
      </w:r>
      <w:r>
        <w:rPr>
          <w:rFonts w:ascii="Arial" w:cs="Arial" w:eastAsia="Arial" w:hAnsi="Arial"/>
          <w:sz w:val="2"/>
          <w:szCs w:val="2"/>
          <w:color w:val="FFFFFF"/>
        </w:rPr>
        <w:t>circularsent together with this Annual Report, contains detailed information of these retiring directors pursuant to the Listing Rules requirements.</w:t>
      </w:r>
    </w:p>
    <w:p>
      <w:pPr>
        <w:jc w:val="both"/>
        <w:ind w:left="140" w:hanging="138"/>
        <w:spacing w:after="0"/>
        <w:rPr>
          <w:sz w:val="20"/>
          <w:szCs w:val="20"/>
          <w:color w:val="auto"/>
        </w:rPr>
      </w:pPr>
      <w:r>
        <w:rPr>
          <w:rFonts w:ascii="Arial" w:cs="Arial" w:eastAsia="Arial" w:hAnsi="Arial"/>
          <w:sz w:val="27"/>
          <w:szCs w:val="27"/>
          <w:color w:val="FFFFFF"/>
          <w:vertAlign w:val="superscript"/>
        </w:rPr>
        <w:t>Having</w:t>
      </w:r>
      <w:r>
        <w:rPr>
          <w:rFonts w:ascii="Arial" w:cs="Arial" w:eastAsia="Arial" w:hAnsi="Arial"/>
          <w:sz w:val="14"/>
          <w:szCs w:val="14"/>
          <w:color w:val="FFFFFF"/>
        </w:rPr>
        <w:t xml:space="preserve"> reviewed the new</w:t>
      </w:r>
      <w:r>
        <w:rPr>
          <w:sz w:val="20"/>
          <w:szCs w:val="20"/>
          <w:color w:val="auto"/>
        </w:rPr>
        <w:t xml:space="preserve"> </w:t>
      </w:r>
      <w:r>
        <w:rPr>
          <w:rFonts w:ascii="Arial" w:cs="Arial" w:eastAsia="Arial" w:hAnsi="Arial"/>
          <w:sz w:val="6"/>
          <w:szCs w:val="6"/>
          <w:color w:val="FFFFFF"/>
        </w:rPr>
        <w:t>code provisions and best recommended practices in relation to corporate governance practices and associated Listing Rules announced by the Hong Kong Stock Exchange October 2011, the nomination and corporate governance committee presented to the Board the committee’s written terms of reference, which were subsequently approved by the Board and adopted by the</w:t>
      </w:r>
    </w:p>
    <w:p>
      <w:pPr>
        <w:spacing w:after="0"/>
        <w:rPr>
          <w:sz w:val="20"/>
          <w:szCs w:val="20"/>
          <w:color w:val="auto"/>
        </w:rPr>
      </w:pPr>
      <w:r>
        <w:rPr>
          <w:rFonts w:ascii="Arial" w:cs="Arial" w:eastAsia="Arial" w:hAnsi="Arial"/>
          <w:sz w:val="12"/>
          <w:szCs w:val="12"/>
          <w:color w:val="FFFFFF"/>
        </w:rPr>
        <w:t>nomination and corporate governance committee on 27 March 2012. The committee’s terms of reference are available for viewing on the websites of the Company and the Hong Kong Stock Exchange.</w:t>
      </w:r>
    </w:p>
    <w:p>
      <w:pPr>
        <w:sectPr>
          <w:pgSz w:w="11900" w:h="16838" w:orient="portrait"/>
          <w:cols w:equalWidth="0" w:num="1">
            <w:col w:w="11420"/>
          </w:cols>
          <w:pgMar w:left="240" w:top="1440" w:right="2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67</w:t>
      </w:r>
    </w:p>
    <w:p>
      <w:pPr>
        <w:spacing w:after="0" w:line="187" w:lineRule="auto"/>
        <w:rPr>
          <w:sz w:val="20"/>
          <w:szCs w:val="20"/>
          <w:color w:val="auto"/>
        </w:rPr>
      </w:pPr>
      <w:r>
        <w:rPr>
          <w:rFonts w:ascii="Arial" w:cs="Arial" w:eastAsia="Arial" w:hAnsi="Arial"/>
          <w:sz w:val="9"/>
          <w:szCs w:val="9"/>
          <w:color w:val="FFFFFF"/>
        </w:rPr>
        <w:t>FINANCIALCorporateGovernanceREPORTINGReport</w:t>
      </w:r>
    </w:p>
    <w:p>
      <w:pPr>
        <w:ind w:left="740" w:right="460" w:hanging="723"/>
        <w:spacing w:after="0" w:line="181" w:lineRule="auto"/>
        <w:rPr>
          <w:sz w:val="20"/>
          <w:szCs w:val="20"/>
          <w:color w:val="auto"/>
        </w:rPr>
      </w:pPr>
      <w:r>
        <w:rPr>
          <w:rFonts w:ascii="Arial" w:cs="Arial" w:eastAsia="Arial" w:hAnsi="Arial"/>
          <w:sz w:val="7"/>
          <w:szCs w:val="7"/>
          <w:color w:val="FFFFFF"/>
        </w:rPr>
        <w:t>TheInternationalDirectors’DirectorsResponsibilityacknowledge their responsibility for the preparation and true and fair presentation of the Financial Statements in accordance with International Financial Reporting Standards issued by the Accounting Standards Board and the International Financial Reporting Interpretations Committee and the disclosure requirements of the Hong Kong Companies Ordinance.</w:t>
      </w:r>
    </w:p>
    <w:p>
      <w:pPr>
        <w:ind w:left="480" w:hanging="475"/>
        <w:spacing w:after="0" w:line="181" w:lineRule="auto"/>
        <w:rPr>
          <w:sz w:val="20"/>
          <w:szCs w:val="20"/>
          <w:color w:val="auto"/>
        </w:rPr>
      </w:pPr>
      <w:r>
        <w:rPr>
          <w:rFonts w:ascii="Arial" w:cs="Arial" w:eastAsia="Arial" w:hAnsi="Arial"/>
          <w:sz w:val="7"/>
          <w:szCs w:val="7"/>
          <w:color w:val="FFFFFF"/>
        </w:rPr>
        <w:t>materialThisisstatement,responsibilitywhetherincludesduetodesigning,fraudorerror;implementingselecting andand maintainingapplyingappropriateinternalcontrolaccountingrelevantpolicies;totheandpreparationmaking accountingandthetrueestimatesandfair presentationthatarereasonableofthe Financialthecircumstances.Statements thatThe areDirectorsfreefromare materialnotaware of any uncertainties relating to events conditions that may cast signifi cant doubt upon the Company’s ability to continue as going concern at 31 December 2011. Accordingly, the Directors have</w:t>
      </w:r>
    </w:p>
    <w:p>
      <w:pPr>
        <w:spacing w:after="0"/>
        <w:tabs>
          <w:tab w:leader="none" w:pos="4180" w:val="left"/>
        </w:tabs>
        <w:rPr>
          <w:sz w:val="20"/>
          <w:szCs w:val="20"/>
          <w:color w:val="auto"/>
        </w:rPr>
      </w:pPr>
      <w:r>
        <w:rPr>
          <w:rFonts w:ascii="Arial" w:cs="Arial" w:eastAsia="Arial" w:hAnsi="Arial"/>
          <w:sz w:val="3"/>
          <w:szCs w:val="3"/>
          <w:color w:val="FFFFFF"/>
        </w:rPr>
        <w:t>prepared the Financial Statements for the year ended 31 December 2011 on</w:t>
      </w:r>
      <w:r>
        <w:rPr>
          <w:sz w:val="20"/>
          <w:szCs w:val="20"/>
          <w:color w:val="auto"/>
        </w:rPr>
        <w:tab/>
      </w:r>
      <w:r>
        <w:rPr>
          <w:rFonts w:ascii="Arial" w:cs="Arial" w:eastAsia="Arial" w:hAnsi="Arial"/>
          <w:sz w:val="3"/>
          <w:szCs w:val="3"/>
          <w:color w:val="FFFFFF"/>
        </w:rPr>
        <w:t>going concern basis.</w:t>
      </w:r>
    </w:p>
    <w:p>
      <w:pPr>
        <w:spacing w:after="0" w:line="181" w:lineRule="auto"/>
        <w:rPr>
          <w:sz w:val="20"/>
          <w:szCs w:val="20"/>
          <w:color w:val="auto"/>
        </w:rPr>
      </w:pPr>
      <w:r>
        <w:rPr>
          <w:rFonts w:ascii="Arial" w:cs="Arial" w:eastAsia="Arial" w:hAnsi="Arial"/>
          <w:sz w:val="10"/>
          <w:szCs w:val="10"/>
          <w:color w:val="FFFFFF"/>
        </w:rPr>
        <w:t>Auditors’statementResponsibilitybytheexternal auditors of the Company, Ernst &amp; Young, is included in the Independent Auditors’ Report on pages 71 to 72 of this Annual Report.</w:t>
      </w:r>
    </w:p>
    <w:p>
      <w:pPr>
        <w:ind w:right="360"/>
        <w:spacing w:after="0"/>
        <w:rPr>
          <w:sz w:val="20"/>
          <w:szCs w:val="20"/>
          <w:color w:val="auto"/>
        </w:rPr>
      </w:pPr>
      <w:r>
        <w:rPr>
          <w:rFonts w:ascii="Arial" w:cs="Arial" w:eastAsia="Arial" w:hAnsi="Arial"/>
          <w:sz w:val="8"/>
          <w:szCs w:val="8"/>
          <w:color w:val="FFFFFF"/>
        </w:rPr>
        <w:t>Fees for auditingRemunerationservices provided by our external auditor, Ernst &amp; Young, for the year ended 31 December 2011 are included in note 3.2 to the Financial Statements. There were no non-auditing services provided by our external auditor for the year ended 31 December 2011.</w:t>
      </w:r>
    </w:p>
    <w:p>
      <w:pPr>
        <w:spacing w:after="0" w:line="30" w:lineRule="exact"/>
        <w:rPr>
          <w:sz w:val="20"/>
          <w:szCs w:val="20"/>
          <w:color w:val="auto"/>
        </w:rPr>
      </w:pPr>
    </w:p>
    <w:p>
      <w:pPr>
        <w:ind w:left="60" w:right="140" w:hanging="44"/>
        <w:spacing w:after="0"/>
        <w:rPr>
          <w:sz w:val="20"/>
          <w:szCs w:val="20"/>
          <w:color w:val="auto"/>
        </w:rPr>
      </w:pPr>
      <w:r>
        <w:rPr>
          <w:rFonts w:ascii="Arial" w:cs="Arial" w:eastAsia="Arial" w:hAnsi="Arial"/>
          <w:sz w:val="3"/>
          <w:szCs w:val="3"/>
          <w:color w:val="FFFFFF"/>
        </w:rPr>
        <w:t>TheINTERNALCompanyCONTROLSandtheGroup have had an internal audit department since the Company’s formation. The internal audit department performed its functions fully during 2011 following an annual audit plan and outine testing. The Company’ audit committee reviewed the internal control system in respect of the year ended 31 December 2011 and considered the system effective adequate. The Board conducted</w:t>
      </w:r>
    </w:p>
    <w:p>
      <w:pPr>
        <w:spacing w:after="0" w:line="6" w:lineRule="exact"/>
        <w:rPr>
          <w:sz w:val="20"/>
          <w:szCs w:val="20"/>
          <w:color w:val="auto"/>
        </w:rPr>
      </w:pPr>
    </w:p>
    <w:p>
      <w:pPr>
        <w:ind w:right="160"/>
        <w:spacing w:after="0"/>
        <w:rPr>
          <w:sz w:val="20"/>
          <w:szCs w:val="20"/>
          <w:color w:val="auto"/>
        </w:rPr>
      </w:pPr>
      <w:r>
        <w:rPr>
          <w:rFonts w:ascii="Arial" w:cs="Arial" w:eastAsia="Arial" w:hAnsi="Arial"/>
          <w:sz w:val="6"/>
          <w:szCs w:val="6"/>
          <w:color w:val="FFFFFF"/>
        </w:rPr>
        <w:t xml:space="preserve">review of the internal control system of the Company and its subsidiaries for the year ended 31 December 2011, including fi nancial, operational and compliance control, and risk management functions. The </w:t>
      </w:r>
      <w:r>
        <w:rPr>
          <w:rFonts w:ascii="Arial" w:cs="Arial" w:eastAsia="Arial" w:hAnsi="Arial"/>
          <w:sz w:val="7"/>
          <w:szCs w:val="7"/>
          <w:color w:val="FFFFFF"/>
          <w:vertAlign w:val="superscript"/>
        </w:rPr>
        <w:t>Code</w:t>
      </w:r>
      <w:r>
        <w:rPr>
          <w:rFonts w:ascii="Arial" w:cs="Arial" w:eastAsia="Arial" w:hAnsi="Arial"/>
          <w:sz w:val="6"/>
          <w:szCs w:val="6"/>
          <w:color w:val="FFFFFF"/>
        </w:rPr>
        <w:t>Bard assessed the effectiveness of internal control by considering the reviews performed by the audit committee. The Company complies with the code provisions relating to internal control contained in the</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4"/>
          <w:szCs w:val="14"/>
          <w:color w:val="FFFFFF"/>
        </w:rPr>
        <w:t>on Corporate Governance Practices.</w:t>
      </w:r>
    </w:p>
    <w:p>
      <w:pPr>
        <w:sectPr>
          <w:pgSz w:w="11900" w:h="16838" w:orient="portrait"/>
          <w:cols w:equalWidth="0" w:num="1">
            <w:col w:w="11360"/>
          </w:cols>
          <w:pgMar w:left="240" w:top="1440" w:right="29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20"/>
                <w:szCs w:val="20"/>
                <w:color w:val="auto"/>
              </w:rPr>
            </w:pPr>
            <w:r>
              <w:rPr>
                <w:rFonts w:ascii="Arial" w:cs="Arial" w:eastAsia="Arial" w:hAnsi="Arial"/>
                <w:sz w:val="14"/>
                <w:szCs w:val="14"/>
                <w:color w:val="FFFFFF"/>
              </w:rPr>
              <w:t>68 Wynn Macau, Limited</w:t>
            </w:r>
          </w:p>
        </w:tc>
        <w:tc>
          <w:tcPr>
            <w:tcW w:w="15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940" w:type="dxa"/>
            <w:vAlign w:val="bottom"/>
          </w:tcPr>
          <w:p>
            <w:pPr>
              <w:spacing w:after="0"/>
              <w:rPr>
                <w:sz w:val="20"/>
                <w:szCs w:val="20"/>
                <w:color w:val="auto"/>
              </w:rPr>
            </w:pPr>
            <w:r>
              <w:rPr>
                <w:rFonts w:ascii="Arial" w:cs="Arial" w:eastAsia="Arial" w:hAnsi="Arial"/>
                <w:sz w:val="3"/>
                <w:szCs w:val="3"/>
                <w:color w:val="FFFFFF"/>
              </w:rPr>
              <w:t>Corporate Governance Report</w:t>
            </w:r>
          </w:p>
        </w:tc>
        <w:tc>
          <w:tcPr>
            <w:tcW w:w="1540" w:type="dxa"/>
            <w:vAlign w:val="bottom"/>
          </w:tcPr>
          <w:p>
            <w:pPr>
              <w:spacing w:after="0"/>
              <w:rPr>
                <w:sz w:val="3"/>
                <w:szCs w:val="3"/>
                <w:color w:val="auto"/>
              </w:rPr>
            </w:pPr>
          </w:p>
        </w:tc>
        <w:tc>
          <w:tcPr>
            <w:tcW w:w="50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SHARE INTERESTS OF SENIOR MANAGEMENT</w:t>
            </w:r>
          </w:p>
        </w:tc>
        <w:tc>
          <w:tcPr>
            <w:tcW w:w="50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80" w:type="dxa"/>
            <w:vAlign w:val="bottom"/>
            <w:gridSpan w:val="3"/>
          </w:tcPr>
          <w:p>
            <w:pPr>
              <w:spacing w:after="0"/>
              <w:rPr>
                <w:sz w:val="20"/>
                <w:szCs w:val="20"/>
                <w:color w:val="auto"/>
              </w:rPr>
            </w:pPr>
            <w:r>
              <w:rPr>
                <w:rFonts w:ascii="Arial" w:cs="Arial" w:eastAsia="Arial" w:hAnsi="Arial"/>
                <w:sz w:val="3"/>
                <w:szCs w:val="3"/>
                <w:color w:val="FFFFFF"/>
              </w:rPr>
              <w:t>The Company has confi rmed that none of its senior management members held any Shares in the Company during the year ended 31 December 2011.</w:t>
            </w: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tcPr>
          <w:p>
            <w:pPr>
              <w:spacing w:after="0"/>
              <w:rPr>
                <w:sz w:val="20"/>
                <w:szCs w:val="20"/>
                <w:color w:val="auto"/>
              </w:rPr>
            </w:pPr>
            <w:r>
              <w:rPr>
                <w:rFonts w:ascii="Arial" w:cs="Arial" w:eastAsia="Arial" w:hAnsi="Arial"/>
                <w:sz w:val="3"/>
                <w:szCs w:val="3"/>
                <w:color w:val="FFFFFF"/>
              </w:rPr>
              <w:t>SHAREHOLDERS’ RIGHTS</w:t>
            </w:r>
          </w:p>
        </w:tc>
        <w:tc>
          <w:tcPr>
            <w:tcW w:w="1540" w:type="dxa"/>
            <w:vAlign w:val="bottom"/>
          </w:tcPr>
          <w:p>
            <w:pPr>
              <w:spacing w:after="0"/>
              <w:rPr>
                <w:sz w:val="3"/>
                <w:szCs w:val="3"/>
                <w:color w:val="auto"/>
              </w:rPr>
            </w:pPr>
          </w:p>
        </w:tc>
        <w:tc>
          <w:tcPr>
            <w:tcW w:w="50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Convening of Extraordinary General Meeting by Shareholders</w:t>
            </w:r>
          </w:p>
        </w:tc>
        <w:tc>
          <w:tcPr>
            <w:tcW w:w="5000" w:type="dxa"/>
            <w:vAlign w:val="bottom"/>
            <w:vMerge w:val="restart"/>
          </w:tcPr>
          <w:p>
            <w:pPr>
              <w:ind w:left="80"/>
              <w:spacing w:after="0"/>
              <w:rPr>
                <w:sz w:val="20"/>
                <w:szCs w:val="20"/>
                <w:color w:val="auto"/>
              </w:rPr>
            </w:pPr>
            <w:r>
              <w:rPr>
                <w:rFonts w:ascii="Arial" w:cs="Arial" w:eastAsia="Arial" w:hAnsi="Arial"/>
                <w:sz w:val="3"/>
                <w:szCs w:val="3"/>
                <w:color w:val="FFFFFF"/>
              </w:rPr>
              <w:t>the Board may, whenever it thinks fi t, convene an extraordinary general meeting.</w:t>
            </w:r>
          </w:p>
        </w:tc>
        <w:tc>
          <w:tcPr>
            <w:tcW w:w="2900" w:type="dxa"/>
            <w:vAlign w:val="bottom"/>
            <w:vMerge w:val="restart"/>
          </w:tcPr>
          <w:p>
            <w:pPr>
              <w:ind w:left="320"/>
              <w:spacing w:after="0"/>
              <w:rPr>
                <w:sz w:val="20"/>
                <w:szCs w:val="20"/>
                <w:color w:val="auto"/>
              </w:rPr>
            </w:pPr>
            <w:r>
              <w:rPr>
                <w:rFonts w:ascii="Arial" w:cs="Arial" w:eastAsia="Arial" w:hAnsi="Arial"/>
                <w:sz w:val="3"/>
                <w:szCs w:val="3"/>
                <w:color w:val="FFFFFF"/>
              </w:rPr>
              <w:t>general meetings shall also be convened by two</w:t>
            </w:r>
          </w:p>
        </w:tc>
        <w:tc>
          <w:tcPr>
            <w:tcW w:w="0" w:type="dxa"/>
            <w:vAlign w:val="bottom"/>
          </w:tcPr>
          <w:p>
            <w:pPr>
              <w:spacing w:after="0"/>
              <w:rPr>
                <w:sz w:val="1"/>
                <w:szCs w:val="1"/>
                <w:color w:val="auto"/>
              </w:rPr>
            </w:pPr>
          </w:p>
        </w:tc>
      </w:tr>
      <w:tr>
        <w:trPr>
          <w:trHeight w:val="0"/>
        </w:trPr>
        <w:tc>
          <w:tcPr>
            <w:tcW w:w="1940" w:type="dxa"/>
            <w:vAlign w:val="bottom"/>
          </w:tcPr>
          <w:p>
            <w:pPr>
              <w:spacing w:after="0" w:line="80" w:lineRule="exact"/>
              <w:rPr>
                <w:sz w:val="20"/>
                <w:szCs w:val="20"/>
                <w:color w:val="auto"/>
              </w:rPr>
            </w:pPr>
            <w:r>
              <w:rPr>
                <w:rFonts w:ascii="Arial" w:cs="Arial" w:eastAsia="Arial" w:hAnsi="Arial"/>
                <w:sz w:val="9"/>
                <w:szCs w:val="9"/>
                <w:color w:val="FFFFFF"/>
              </w:rPr>
              <w:t>Pursuant to Article 13.3 of the</w:t>
            </w:r>
          </w:p>
        </w:tc>
        <w:tc>
          <w:tcPr>
            <w:tcW w:w="1540" w:type="dxa"/>
            <w:vAlign w:val="bottom"/>
          </w:tcPr>
          <w:p>
            <w:pPr>
              <w:ind w:left="300"/>
              <w:spacing w:after="0" w:line="80" w:lineRule="exact"/>
              <w:rPr>
                <w:sz w:val="20"/>
                <w:szCs w:val="20"/>
                <w:color w:val="auto"/>
              </w:rPr>
            </w:pPr>
            <w:r>
              <w:rPr>
                <w:rFonts w:ascii="Arial" w:cs="Arial" w:eastAsia="Arial" w:hAnsi="Arial"/>
                <w:sz w:val="9"/>
                <w:szCs w:val="9"/>
                <w:color w:val="FFFFFF"/>
              </w:rPr>
              <w:t>s articles of</w:t>
            </w:r>
          </w:p>
        </w:tc>
        <w:tc>
          <w:tcPr>
            <w:tcW w:w="5000" w:type="dxa"/>
            <w:vAlign w:val="bottom"/>
            <w:vMerge w:val="continue"/>
          </w:tcPr>
          <w:p>
            <w:pPr>
              <w:spacing w:after="0" w:line="20" w:lineRule="exact"/>
              <w:rPr>
                <w:sz w:val="1"/>
                <w:szCs w:val="1"/>
                <w:color w:val="auto"/>
              </w:rPr>
            </w:pPr>
          </w:p>
        </w:tc>
        <w:tc>
          <w:tcPr>
            <w:tcW w:w="2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00"/>
        <w:spacing w:after="0" w:line="217" w:lineRule="auto"/>
        <w:rPr>
          <w:sz w:val="20"/>
          <w:szCs w:val="20"/>
          <w:color w:val="auto"/>
        </w:rPr>
      </w:pPr>
      <w:r>
        <w:rPr>
          <w:rFonts w:ascii="Arial" w:cs="Arial" w:eastAsia="Arial" w:hAnsi="Arial"/>
          <w:sz w:val="2"/>
          <w:szCs w:val="2"/>
          <w:color w:val="FFFFFF"/>
        </w:rPr>
        <w:t xml:space="preserve">or more Shareholders depositingCompany’written requisition association,theprincipal offi ce of the Company in Hong Kong or, in the event the Company ceases to haveExtraordinarysuchprincipal offi ce, the registered offi ce, specifying </w:t>
      </w:r>
      <w:r>
        <w:rPr>
          <w:rFonts w:ascii="Arial" w:cs="Arial" w:eastAsia="Arial" w:hAnsi="Arial"/>
          <w:sz w:val="4"/>
          <w:szCs w:val="4"/>
          <w:color w:val="FFFFFF"/>
          <w:vertAlign w:val="superscript"/>
        </w:rPr>
        <w:t>the</w:t>
      </w:r>
      <w:r>
        <w:rPr>
          <w:rFonts w:ascii="Arial" w:cs="Arial" w:eastAsia="Arial" w:hAnsi="Arial"/>
          <w:sz w:val="2"/>
          <w:szCs w:val="2"/>
          <w:color w:val="FFFFFF"/>
        </w:rPr>
        <w:t xml:space="preserve"> objects of the meeting and signed by the requisitionists. The requisitionists should hold as at the date of deposit of the requisition not less than one-tenth of the paid up capital of the Company which carries</w:t>
      </w:r>
    </w:p>
    <w:p>
      <w:pPr>
        <w:ind w:left="200"/>
        <w:spacing w:after="0"/>
        <w:rPr>
          <w:sz w:val="20"/>
          <w:szCs w:val="20"/>
          <w:color w:val="auto"/>
        </w:rPr>
      </w:pPr>
      <w:r>
        <w:rPr>
          <w:rFonts w:ascii="Arial" w:cs="Arial" w:eastAsia="Arial" w:hAnsi="Arial"/>
          <w:sz w:val="3"/>
          <w:szCs w:val="3"/>
          <w:color w:val="FFFFFF"/>
        </w:rPr>
        <w:t>right of voting at general meetings.</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General meetings may also be convened on the written requisition of a Shareholder which is a recognized clearing house (or its nominee(s)) deposited at the principal offi ce of the Company in Hong Kong or, in </w:t>
      </w:r>
      <w:r>
        <w:rPr>
          <w:rFonts w:ascii="Arial" w:cs="Arial" w:eastAsia="Arial" w:hAnsi="Arial"/>
          <w:sz w:val="7"/>
          <w:szCs w:val="7"/>
          <w:color w:val="FFFFFF"/>
          <w:vertAlign w:val="superscript"/>
        </w:rPr>
        <w:t>the</w:t>
      </w:r>
      <w:r>
        <w:rPr>
          <w:rFonts w:ascii="Arial" w:cs="Arial" w:eastAsia="Arial" w:hAnsi="Arial"/>
          <w:sz w:val="6"/>
          <w:szCs w:val="6"/>
          <w:color w:val="FFFFFF"/>
        </w:rPr>
        <w:t xml:space="preserve"> event the Company ceases to have such a principal offi ce, the registered offi ce specifying the objects of the meeting and signed by the requisitionist. The requisitionist should hold as at the date of deposit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3"/>
          <w:szCs w:val="3"/>
          <w:color w:val="FFFFFF"/>
        </w:rPr>
        <w:t>requisition not less than one-tenth of the paid up capital of the Company which carries the right of voting at general meetings.</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If the Board does not within 21 days from the date of deposit of the requisition proceed to convene the meeting to be held within a further 21 days, the requisitionist(s) themselves or any of them representing </w:t>
      </w:r>
      <w:r>
        <w:rPr>
          <w:rFonts w:ascii="Arial" w:cs="Arial" w:eastAsia="Arial" w:hAnsi="Arial"/>
          <w:sz w:val="7"/>
          <w:szCs w:val="7"/>
          <w:color w:val="FFFFFF"/>
          <w:vertAlign w:val="subscript"/>
        </w:rPr>
        <w:t>meeting</w:t>
      </w:r>
      <w:r>
        <w:rPr>
          <w:rFonts w:ascii="Arial" w:cs="Arial" w:eastAsia="Arial" w:hAnsi="Arial"/>
          <w:sz w:val="6"/>
          <w:szCs w:val="6"/>
          <w:color w:val="FFFFFF"/>
        </w:rPr>
        <w:t>orethan one-half of the total voting rights of all of them, may convene the general meeting in the same manner</w:t>
      </w:r>
      <w:r>
        <w:rPr>
          <w:rFonts w:ascii="Arial" w:cs="Arial" w:eastAsia="Arial" w:hAnsi="Arial"/>
          <w:sz w:val="7"/>
          <w:szCs w:val="7"/>
          <w:color w:val="FFFFFF"/>
          <w:vertAlign w:val="subscript"/>
        </w:rPr>
        <w:t>requisition,</w:t>
      </w:r>
      <w:r>
        <w:rPr>
          <w:rFonts w:ascii="Arial" w:cs="Arial" w:eastAsia="Arial" w:hAnsi="Arial"/>
          <w:sz w:val="6"/>
          <w:szCs w:val="6"/>
          <w:color w:val="FFFFFF"/>
        </w:rPr>
        <w:t>asnearly as possible, as that in which meetings may be convened by the Board provided that any</w:t>
      </w:r>
    </w:p>
    <w:p>
      <w:pPr>
        <w:spacing w:after="0" w:line="1" w:lineRule="exact"/>
        <w:rPr>
          <w:sz w:val="20"/>
          <w:szCs w:val="20"/>
          <w:color w:val="auto"/>
        </w:rPr>
      </w:pPr>
    </w:p>
    <w:p>
      <w:pPr>
        <w:ind w:right="160" w:firstLine="469"/>
        <w:spacing w:after="0" w:line="187" w:lineRule="auto"/>
        <w:rPr>
          <w:sz w:val="20"/>
          <w:szCs w:val="20"/>
          <w:color w:val="auto"/>
        </w:rPr>
      </w:pPr>
      <w:r>
        <w:rPr>
          <w:rFonts w:ascii="Arial" w:cs="Arial" w:eastAsia="Arial" w:hAnsi="Arial"/>
          <w:sz w:val="9"/>
          <w:szCs w:val="9"/>
          <w:color w:val="FFFFFF"/>
        </w:rPr>
        <w:t>so convened shall not be held after the expiration of three months from the date of deposit of the and all reasonable expenses incurred by the requisitionist(s) as a result of the failure of the Board shall be reimbursed to them by the Company.</w:t>
      </w:r>
    </w:p>
    <w:p>
      <w:pPr>
        <w:spacing w:after="0"/>
        <w:rPr>
          <w:sz w:val="20"/>
          <w:szCs w:val="20"/>
          <w:color w:val="auto"/>
        </w:rPr>
      </w:pPr>
      <w:r>
        <w:rPr>
          <w:rFonts w:ascii="Arial" w:cs="Arial" w:eastAsia="Arial" w:hAnsi="Arial"/>
          <w:sz w:val="3"/>
          <w:szCs w:val="3"/>
          <w:color w:val="FFFFFF"/>
        </w:rPr>
        <w:t>Procedures for Shareholders to propose a person for election as a Director of the Company</w:t>
      </w:r>
    </w:p>
    <w:p>
      <w:pPr>
        <w:spacing w:after="0" w:line="194" w:lineRule="auto"/>
        <w:rPr>
          <w:sz w:val="20"/>
          <w:szCs w:val="20"/>
          <w:color w:val="auto"/>
        </w:rPr>
      </w:pPr>
      <w:r>
        <w:rPr>
          <w:rFonts w:ascii="Arial" w:cs="Arial" w:eastAsia="Arial" w:hAnsi="Arial"/>
          <w:sz w:val="3"/>
          <w:szCs w:val="3"/>
          <w:color w:val="FFFFFF"/>
        </w:rPr>
        <w:t>The procedures for Shareholders to propose a person for election</w:t>
      </w:r>
      <w:r>
        <w:rPr>
          <w:rFonts w:ascii="Arial" w:cs="Arial" w:eastAsia="Arial" w:hAnsi="Arial"/>
          <w:sz w:val="5"/>
          <w:szCs w:val="5"/>
          <w:color w:val="FFFFFF"/>
          <w:vertAlign w:val="subscript"/>
        </w:rPr>
        <w:t>available</w:t>
      </w:r>
      <w:r>
        <w:rPr>
          <w:rFonts w:ascii="Arial" w:cs="Arial" w:eastAsia="Arial" w:hAnsi="Arial"/>
          <w:sz w:val="3"/>
          <w:szCs w:val="3"/>
          <w:color w:val="FFFFFF"/>
        </w:rPr>
        <w:t>asDirector of the Company were reviewed and recommended by the nomination and corporate governance committee, and approved and</w:t>
      </w:r>
    </w:p>
    <w:p>
      <w:pPr>
        <w:spacing w:after="0"/>
        <w:tabs>
          <w:tab w:leader="none" w:pos="3840" w:val="left"/>
        </w:tabs>
        <w:rPr>
          <w:sz w:val="20"/>
          <w:szCs w:val="20"/>
          <w:color w:val="auto"/>
        </w:rPr>
      </w:pPr>
      <w:r>
        <w:rPr>
          <w:rFonts w:ascii="Arial" w:cs="Arial" w:eastAsia="Arial" w:hAnsi="Arial"/>
          <w:sz w:val="14"/>
          <w:szCs w:val="14"/>
          <w:color w:val="FFFFFF"/>
        </w:rPr>
        <w:t>adopted by the Board on 27 March 2012. The procedures are</w:t>
      </w:r>
      <w:r>
        <w:rPr>
          <w:sz w:val="20"/>
          <w:szCs w:val="20"/>
          <w:color w:val="auto"/>
        </w:rPr>
        <w:tab/>
      </w:r>
      <w:r>
        <w:rPr>
          <w:rFonts w:ascii="Arial" w:cs="Arial" w:eastAsia="Arial" w:hAnsi="Arial"/>
          <w:sz w:val="12"/>
          <w:szCs w:val="12"/>
          <w:color w:val="FFFFFF"/>
        </w:rPr>
        <w:t>for viewing on our Company’s website at www.wynnmacaulimited.com.</w:t>
      </w:r>
    </w:p>
    <w:p>
      <w:pPr>
        <w:sectPr>
          <w:pgSz w:w="11900" w:h="16838" w:orient="portrait"/>
          <w:cols w:equalWidth="0" w:num="1">
            <w:col w:w="11400"/>
          </w:cols>
          <w:pgMar w:left="240" w:top="1440" w:right="25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CorporateAnnualReportGovernance201169Report</w:t>
      </w:r>
    </w:p>
    <w:p>
      <w:pPr>
        <w:spacing w:after="0"/>
        <w:rPr>
          <w:sz w:val="20"/>
          <w:szCs w:val="20"/>
          <w:color w:val="auto"/>
        </w:rPr>
      </w:pPr>
      <w:r>
        <w:rPr>
          <w:rFonts w:ascii="Arial" w:cs="Arial" w:eastAsia="Arial" w:hAnsi="Arial"/>
          <w:sz w:val="3"/>
          <w:szCs w:val="3"/>
          <w:color w:val="FFFFFF"/>
        </w:rPr>
        <w:t>Shareholders’INVESTORRELATIONSEnquiriesand Proposals</w:t>
      </w:r>
    </w:p>
    <w:p>
      <w:pPr>
        <w:spacing w:after="0" w:line="194" w:lineRule="auto"/>
        <w:rPr>
          <w:sz w:val="20"/>
          <w:szCs w:val="20"/>
          <w:color w:val="auto"/>
        </w:rPr>
      </w:pPr>
      <w:r>
        <w:rPr>
          <w:rFonts w:ascii="Arial" w:cs="Arial" w:eastAsia="Arial" w:hAnsi="Arial"/>
          <w:sz w:val="3"/>
          <w:szCs w:val="3"/>
          <w:color w:val="FFFFFF"/>
        </w:rPr>
        <w:t>Enquiries from shareholders for the Board or the Company</w:t>
      </w:r>
      <w:r>
        <w:rPr>
          <w:rFonts w:ascii="Arial" w:cs="Arial" w:eastAsia="Arial" w:hAnsi="Arial"/>
          <w:sz w:val="5"/>
          <w:szCs w:val="5"/>
          <w:color w:val="FFFFFF"/>
          <w:vertAlign w:val="subscript"/>
        </w:rPr>
        <w:t>Sintra,</w:t>
      </w:r>
      <w:r>
        <w:rPr>
          <w:rFonts w:ascii="Arial" w:cs="Arial" w:eastAsia="Arial" w:hAnsi="Arial"/>
          <w:sz w:val="3"/>
          <w:szCs w:val="3"/>
          <w:color w:val="FFFFFF"/>
        </w:rPr>
        <w:t xml:space="preserve">orproposals from Shareholders for shareholders’ </w:t>
      </w:r>
      <w:r>
        <w:rPr>
          <w:rFonts w:ascii="Arial" w:cs="Arial" w:eastAsia="Arial" w:hAnsi="Arial"/>
          <w:sz w:val="5"/>
          <w:szCs w:val="5"/>
          <w:color w:val="FFFFFF"/>
          <w:vertAlign w:val="subscript"/>
        </w:rPr>
        <w:t>meetings</w:t>
      </w:r>
      <w:r>
        <w:rPr>
          <w:rFonts w:ascii="Arial" w:cs="Arial" w:eastAsia="Arial" w:hAnsi="Arial"/>
          <w:sz w:val="3"/>
          <w:szCs w:val="3"/>
          <w:color w:val="FFFFFF"/>
        </w:rPr>
        <w:t xml:space="preserve"> may be directed to Wynn Macau Investor Relations:</w:t>
      </w:r>
    </w:p>
    <w:p>
      <w:pPr>
        <w:spacing w:after="0"/>
        <w:tabs>
          <w:tab w:leader="none" w:pos="3540" w:val="left"/>
        </w:tabs>
        <w:rPr>
          <w:sz w:val="20"/>
          <w:szCs w:val="20"/>
          <w:color w:val="auto"/>
        </w:rPr>
      </w:pPr>
      <w:r>
        <w:rPr>
          <w:rFonts w:ascii="Arial" w:cs="Arial" w:eastAsia="Arial" w:hAnsi="Arial"/>
          <w:sz w:val="3"/>
          <w:szCs w:val="3"/>
          <w:color w:val="FFFFFF"/>
        </w:rPr>
        <w:t>By post: Wynn Macau, Investor Relations, Rua Cidade de</w:t>
      </w:r>
      <w:r>
        <w:rPr>
          <w:sz w:val="20"/>
          <w:szCs w:val="20"/>
          <w:color w:val="auto"/>
        </w:rPr>
        <w:tab/>
      </w:r>
      <w:r>
        <w:rPr>
          <w:rFonts w:ascii="Arial" w:cs="Arial" w:eastAsia="Arial" w:hAnsi="Arial"/>
          <w:sz w:val="3"/>
          <w:szCs w:val="3"/>
          <w:color w:val="FFFFFF"/>
        </w:rPr>
        <w:t>NAPE, Macau By fax: (853) 2832 9966 By  -mail: inquiries@wynnmacau.com</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Changes to the contact details above will be communicated through our Company’s website at www.wynnmacaulimited.com, which also posts information and updates on the Company’s business developments and operations, as well as press releases and fi nancial information.</w:t>
      </w:r>
    </w:p>
    <w:p>
      <w:pPr>
        <w:spacing w:after="0"/>
        <w:rPr>
          <w:sz w:val="20"/>
          <w:szCs w:val="20"/>
          <w:color w:val="auto"/>
        </w:rPr>
      </w:pPr>
      <w:r>
        <w:rPr>
          <w:rFonts w:ascii="Arial" w:cs="Arial" w:eastAsia="Arial" w:hAnsi="Arial"/>
          <w:sz w:val="3"/>
          <w:szCs w:val="3"/>
          <w:color w:val="FFFFFF"/>
        </w:rPr>
        <w:t>Shareholders’ communication policy</w:t>
      </w:r>
    </w:p>
    <w:p>
      <w:pPr>
        <w:spacing w:after="0" w:line="6" w:lineRule="exact"/>
        <w:rPr>
          <w:sz w:val="20"/>
          <w:szCs w:val="20"/>
          <w:color w:val="auto"/>
        </w:rPr>
      </w:pPr>
    </w:p>
    <w:p>
      <w:pPr>
        <w:ind w:right="120"/>
        <w:spacing w:after="0" w:line="190" w:lineRule="auto"/>
        <w:rPr>
          <w:sz w:val="20"/>
          <w:szCs w:val="20"/>
          <w:color w:val="auto"/>
        </w:rPr>
      </w:pPr>
      <w:r>
        <w:rPr>
          <w:rFonts w:ascii="Arial" w:cs="Arial" w:eastAsia="Arial" w:hAnsi="Arial"/>
          <w:sz w:val="11"/>
          <w:szCs w:val="11"/>
          <w:color w:val="FFFFFF"/>
        </w:rPr>
        <w:t>The Company’s shareholders’ communication policy was reviewed and recommended by the nomination and corporate governance committee, and approved and adopted by the Board on 27 March 2012. The shareholders’ communication policy is available for viewing on our Company’s website at www.wynnmacaulimited.com.</w:t>
      </w:r>
    </w:p>
    <w:p>
      <w:pPr>
        <w:sectPr>
          <w:pgSz w:w="11900" w:h="16838" w:orient="portrait"/>
          <w:cols w:equalWidth="0" w:num="1">
            <w:col w:w="11360"/>
          </w:cols>
          <w:pgMar w:left="240" w:top="1440" w:right="29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color w:val="FFFFFF"/>
              </w:rPr>
              <w:t>70 Wynn Macau, Limited</w:t>
            </w:r>
          </w:p>
        </w:tc>
        <w:tc>
          <w:tcPr>
            <w:tcW w:w="9720" w:type="dxa"/>
            <w:vAlign w:val="bottom"/>
          </w:tcPr>
          <w:p>
            <w:pPr>
              <w:spacing w:after="0"/>
              <w:rPr>
                <w:sz w:val="14"/>
                <w:szCs w:val="14"/>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Corporate Governance Report</w:t>
            </w:r>
          </w:p>
        </w:tc>
        <w:tc>
          <w:tcPr>
            <w:tcW w:w="9720" w:type="dxa"/>
            <w:vAlign w:val="bottom"/>
          </w:tcPr>
          <w:p>
            <w:pPr>
              <w:spacing w:after="0"/>
              <w:rPr>
                <w:sz w:val="3"/>
                <w:szCs w:val="3"/>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INVESTOR RELATIONS (continued)</w:t>
            </w:r>
          </w:p>
        </w:tc>
      </w:tr>
      <w:tr>
        <w:trPr>
          <w:trHeight w:val="41"/>
        </w:trPr>
        <w:tc>
          <w:tcPr>
            <w:tcW w:w="860" w:type="dxa"/>
            <w:vAlign w:val="bottom"/>
          </w:tcPr>
          <w:p>
            <w:pPr>
              <w:spacing w:after="0"/>
              <w:rPr>
                <w:sz w:val="20"/>
                <w:szCs w:val="20"/>
                <w:color w:val="auto"/>
              </w:rPr>
            </w:pPr>
            <w:r>
              <w:rPr>
                <w:rFonts w:ascii="Arial" w:cs="Arial" w:eastAsia="Arial" w:hAnsi="Arial"/>
                <w:sz w:val="3"/>
                <w:szCs w:val="3"/>
                <w:color w:val="FFFFFF"/>
              </w:rPr>
              <w:t>Changes in</w:t>
            </w:r>
          </w:p>
        </w:tc>
        <w:tc>
          <w:tcPr>
            <w:tcW w:w="10520" w:type="dxa"/>
            <w:vAlign w:val="bottom"/>
            <w:gridSpan w:val="2"/>
          </w:tcPr>
          <w:p>
            <w:pPr>
              <w:ind w:left="240"/>
              <w:spacing w:after="0"/>
              <w:rPr>
                <w:sz w:val="20"/>
                <w:szCs w:val="20"/>
                <w:color w:val="auto"/>
              </w:rPr>
            </w:pPr>
            <w:r>
              <w:rPr>
                <w:rFonts w:ascii="Arial" w:cs="Arial" w:eastAsia="Arial" w:hAnsi="Arial"/>
                <w:sz w:val="3"/>
                <w:szCs w:val="3"/>
                <w:color w:val="FFFFFF"/>
              </w:rPr>
              <w:t>of Association</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The Company’Articlescurrent articles of association were conditionally adopted on 16 September 2009, effective on the Company’s Listing, and are available for viewing on the websites of the Company and the Hong</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Kong Stock Exchange. There have been no changes in the Company’s articles of association since the Listing.</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Shareholder Profi le and Public Float Capitalization</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From Listing to 14 October 2009, the Company was held as to 75% by its direct holding company, WM Cayman Holdings Limited I and 25% by public Shareholders. On 14 October 2009, the over- allotment</w:t>
            </w: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option granted to underwriters</w:t>
            </w:r>
          </w:p>
        </w:tc>
        <w:tc>
          <w:tcPr>
            <w:tcW w:w="9720" w:type="dxa"/>
            <w:vAlign w:val="bottom"/>
          </w:tcPr>
          <w:p>
            <w:pPr>
              <w:ind w:left="160"/>
              <w:spacing w:after="0"/>
              <w:rPr>
                <w:sz w:val="20"/>
                <w:szCs w:val="20"/>
                <w:color w:val="auto"/>
              </w:rPr>
            </w:pPr>
            <w:r>
              <w:rPr>
                <w:rFonts w:ascii="Arial" w:cs="Arial" w:eastAsia="Arial" w:hAnsi="Arial"/>
                <w:sz w:val="3"/>
                <w:szCs w:val="3"/>
                <w:color w:val="FFFFFF"/>
              </w:rPr>
              <w:t>connection with the Company’s initial public offering was exercised. Following such exercise of the over-allotment option and until 31 December 2011, the Company was held</w:t>
            </w: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as to 72.29% by WM Cayman</w:t>
            </w:r>
          </w:p>
        </w:tc>
        <w:tc>
          <w:tcPr>
            <w:tcW w:w="9720" w:type="dxa"/>
            <w:vAlign w:val="bottom"/>
          </w:tcPr>
          <w:p>
            <w:pPr>
              <w:ind w:left="20"/>
              <w:spacing w:after="0"/>
              <w:rPr>
                <w:sz w:val="20"/>
                <w:szCs w:val="20"/>
                <w:color w:val="auto"/>
              </w:rPr>
            </w:pPr>
            <w:r>
              <w:rPr>
                <w:rFonts w:ascii="Arial" w:cs="Arial" w:eastAsia="Arial" w:hAnsi="Arial"/>
                <w:sz w:val="3"/>
                <w:szCs w:val="3"/>
                <w:color w:val="FFFFFF"/>
              </w:rPr>
              <w:t>Holdings Limited I and 27.71% by public Shareholders. The Company’s ultimate controlling Shareholder through both periods was Wynn Resorts, Limited, which indirectly held</w:t>
            </w:r>
          </w:p>
        </w:tc>
      </w:tr>
      <w:tr>
        <w:trPr>
          <w:trHeight w:val="0"/>
        </w:trPr>
        <w:tc>
          <w:tcPr>
            <w:tcW w:w="11380" w:type="dxa"/>
            <w:vAlign w:val="bottom"/>
            <w:gridSpan w:val="3"/>
          </w:tcPr>
          <w:p>
            <w:pPr>
              <w:spacing w:after="0"/>
              <w:rPr>
                <w:sz w:val="20"/>
                <w:szCs w:val="20"/>
                <w:color w:val="auto"/>
              </w:rPr>
            </w:pPr>
            <w:r>
              <w:rPr>
                <w:rFonts w:ascii="Arial" w:cs="Arial" w:eastAsia="Arial" w:hAnsi="Arial"/>
                <w:sz w:val="3"/>
                <w:szCs w:val="3"/>
                <w:color w:val="FFFFFF"/>
              </w:rPr>
              <w:t>100% of WM Cayman Holdings Limited I.</w:t>
            </w:r>
          </w:p>
        </w:tc>
      </w:tr>
    </w:tbl>
    <w:p>
      <w:pPr>
        <w:spacing w:after="0" w:line="25" w:lineRule="auto"/>
        <w:rPr>
          <w:sz w:val="20"/>
          <w:szCs w:val="20"/>
          <w:color w:val="auto"/>
        </w:rPr>
      </w:pPr>
      <w:r>
        <w:rPr>
          <w:rFonts w:ascii="Arial" w:cs="Arial" w:eastAsia="Arial" w:hAnsi="Arial"/>
          <w:sz w:val="1"/>
          <w:szCs w:val="1"/>
          <w:color w:val="FFFFFF"/>
        </w:rPr>
        <w:t>As at 31 December 2011, the Company’s public fl oat was 27.71%.</w:t>
      </w:r>
    </w:p>
    <w:p>
      <w:pPr>
        <w:spacing w:after="0"/>
        <w:rPr>
          <w:sz w:val="20"/>
          <w:szCs w:val="20"/>
          <w:color w:val="auto"/>
        </w:rPr>
      </w:pPr>
      <w:r>
        <w:rPr>
          <w:rFonts w:ascii="Arial" w:cs="Arial" w:eastAsia="Arial" w:hAnsi="Arial"/>
          <w:sz w:val="3"/>
          <w:szCs w:val="3"/>
          <w:color w:val="FFFFFF"/>
        </w:rPr>
        <w:t>SHAREHOLDER MEETINGS</w:t>
      </w:r>
    </w:p>
    <w:p>
      <w:pPr>
        <w:spacing w:after="0" w:line="6" w:lineRule="exact"/>
        <w:rPr>
          <w:sz w:val="20"/>
          <w:szCs w:val="20"/>
          <w:color w:val="auto"/>
        </w:rPr>
      </w:pPr>
    </w:p>
    <w:p>
      <w:pPr>
        <w:jc w:val="both"/>
        <w:spacing w:after="0"/>
        <w:rPr>
          <w:sz w:val="20"/>
          <w:szCs w:val="20"/>
          <w:color w:val="auto"/>
        </w:rPr>
      </w:pPr>
      <w:r>
        <w:rPr>
          <w:rFonts w:ascii="Arial" w:cs="Arial" w:eastAsia="Arial" w:hAnsi="Arial"/>
          <w:sz w:val="7"/>
          <w:szCs w:val="7"/>
          <w:color w:val="FFFFFF"/>
        </w:rPr>
        <w:t>The Company held its annual general meeting for the year ended 31 December 2010 at the Grand Ballroom at Wynn Macau on 17 May 2011 and the resolutions at the said meeting were voted by poll pursuant to the Listing Rules and the poll results were posted on the websites of the Hong Kong Stock Exchange and the Company immediately after the said meeting.</w:t>
      </w:r>
    </w:p>
    <w:p>
      <w:pPr>
        <w:spacing w:after="0" w:line="214" w:lineRule="auto"/>
        <w:rPr>
          <w:sz w:val="20"/>
          <w:szCs w:val="20"/>
          <w:color w:val="auto"/>
        </w:rPr>
      </w:pPr>
      <w:r>
        <w:rPr>
          <w:rFonts w:ascii="Arial" w:cs="Arial" w:eastAsia="Arial" w:hAnsi="Arial"/>
          <w:sz w:val="4"/>
          <w:szCs w:val="4"/>
          <w:color w:val="FFFFFF"/>
          <w:vertAlign w:val="superscript"/>
        </w:rPr>
        <w:t>Key</w:t>
      </w:r>
    </w:p>
    <w:p>
      <w:pPr>
        <w:ind w:left="100"/>
        <w:spacing w:after="0"/>
        <w:rPr>
          <w:sz w:val="20"/>
          <w:szCs w:val="20"/>
          <w:color w:val="auto"/>
        </w:rPr>
      </w:pPr>
      <w:r>
        <w:rPr>
          <w:rFonts w:ascii="Arial" w:cs="Arial" w:eastAsia="Arial" w:hAnsi="Arial"/>
          <w:sz w:val="3"/>
          <w:szCs w:val="3"/>
          <w:color w:val="FFFFFF"/>
        </w:rPr>
        <w:t>EYshareholderSHAREHOLDERdatesforDATES2012are:</w:t>
      </w:r>
    </w:p>
    <w:p>
      <w:pPr>
        <w:ind w:left="80"/>
        <w:spacing w:after="0" w:line="194" w:lineRule="auto"/>
        <w:rPr>
          <w:sz w:val="20"/>
          <w:szCs w:val="20"/>
          <w:color w:val="auto"/>
        </w:rPr>
      </w:pPr>
      <w:r>
        <w:rPr>
          <w:rFonts w:ascii="Arial" w:cs="Arial" w:eastAsia="Arial" w:hAnsi="Arial"/>
          <w:sz w:val="5"/>
          <w:szCs w:val="5"/>
          <w:color w:val="FFFFFF"/>
        </w:rPr>
        <w:t>June 2012: annual general meeting;</w:t>
      </w:r>
    </w:p>
    <w:p>
      <w:pPr>
        <w:jc w:val="center"/>
        <w:ind w:right="11340"/>
        <w:spacing w:after="0" w:line="211" w:lineRule="auto"/>
        <w:rPr>
          <w:sz w:val="20"/>
          <w:szCs w:val="20"/>
          <w:color w:val="auto"/>
        </w:rPr>
      </w:pPr>
      <w:r>
        <w:rPr>
          <w:rFonts w:ascii="Arial" w:cs="Arial" w:eastAsia="Arial" w:hAnsi="Arial"/>
          <w:sz w:val="4"/>
          <w:szCs w:val="4"/>
          <w:color w:val="FFFFFF"/>
          <w:vertAlign w:val="superscript"/>
        </w:rPr>
        <w:t>•</w:t>
      </w:r>
    </w:p>
    <w:p>
      <w:pPr>
        <w:jc w:val="center"/>
        <w:ind w:right="6180"/>
        <w:spacing w:after="0"/>
        <w:rPr>
          <w:sz w:val="20"/>
          <w:szCs w:val="20"/>
          <w:color w:val="auto"/>
        </w:rPr>
      </w:pPr>
      <w:r>
        <w:rPr>
          <w:rFonts w:ascii="Arial" w:cs="Arial" w:eastAsia="Arial" w:hAnsi="Arial"/>
          <w:sz w:val="7"/>
          <w:szCs w:val="7"/>
          <w:color w:val="FFFFFF"/>
        </w:rPr>
        <w:t>SeptemberAugust2012:2012:releasereleaseofinterimofinterimresultsreportin respectinrespectof theofthesixsixmonthsmonthsendingending30 30JuneJune2012;2012.and</w:t>
      </w:r>
    </w:p>
    <w:p>
      <w:pPr>
        <w:sectPr>
          <w:pgSz w:w="11900" w:h="16838" w:orient="portrait"/>
          <w:cols w:equalWidth="0" w:num="1">
            <w:col w:w="11400"/>
          </w:cols>
          <w:pgMar w:left="240" w:top="1440" w:right="25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color w:val="FFFFFF"/>
              </w:rPr>
              <w:t>Annual Report 2011 71</w:t>
            </w:r>
          </w:p>
        </w:tc>
        <w:tc>
          <w:tcPr>
            <w:tcW w:w="4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Independent Auditors’ Report</w:t>
            </w:r>
          </w:p>
        </w:tc>
        <w:tc>
          <w:tcPr>
            <w:tcW w:w="480" w:type="dxa"/>
            <w:vAlign w:val="bottom"/>
          </w:tcPr>
          <w:p>
            <w:pPr>
              <w:spacing w:after="0"/>
              <w:rPr>
                <w:sz w:val="3"/>
                <w:szCs w:val="3"/>
                <w:color w:val="auto"/>
              </w:rPr>
            </w:pPr>
          </w:p>
        </w:tc>
        <w:tc>
          <w:tcPr>
            <w:tcW w:w="7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22nd Floor CITIC Tower</w:t>
            </w:r>
          </w:p>
        </w:tc>
        <w:tc>
          <w:tcPr>
            <w:tcW w:w="480" w:type="dxa"/>
            <w:vAlign w:val="bottom"/>
          </w:tcPr>
          <w:p>
            <w:pPr>
              <w:spacing w:after="0"/>
              <w:rPr>
                <w:sz w:val="3"/>
                <w:szCs w:val="3"/>
                <w:color w:val="auto"/>
              </w:rPr>
            </w:pPr>
          </w:p>
        </w:tc>
        <w:tc>
          <w:tcPr>
            <w:tcW w:w="7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2"/>
          </w:tcPr>
          <w:p>
            <w:pPr>
              <w:spacing w:after="0"/>
              <w:rPr>
                <w:sz w:val="20"/>
                <w:szCs w:val="20"/>
                <w:color w:val="auto"/>
              </w:rPr>
            </w:pPr>
            <w:r>
              <w:rPr>
                <w:rFonts w:ascii="Arial" w:cs="Arial" w:eastAsia="Arial" w:hAnsi="Arial"/>
                <w:sz w:val="3"/>
                <w:szCs w:val="3"/>
                <w:color w:val="FFFFFF"/>
              </w:rPr>
              <w:t>1 Tim Mei Avenue Central Hong Kong</w:t>
            </w:r>
          </w:p>
        </w:tc>
        <w:tc>
          <w:tcPr>
            <w:tcW w:w="7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gridSpan w:val="3"/>
          </w:tcPr>
          <w:p>
            <w:pPr>
              <w:spacing w:after="0"/>
              <w:rPr>
                <w:sz w:val="20"/>
                <w:szCs w:val="20"/>
                <w:color w:val="auto"/>
              </w:rPr>
            </w:pPr>
            <w:r>
              <w:rPr>
                <w:rFonts w:ascii="Arial" w:cs="Arial" w:eastAsia="Arial" w:hAnsi="Arial"/>
                <w:sz w:val="3"/>
                <w:szCs w:val="3"/>
                <w:color w:val="FFFFFF"/>
              </w:rPr>
              <w:t>T  the shareholders of Wynn Macau, Limited</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gridSpan w:val="3"/>
          </w:tcPr>
          <w:p>
            <w:pPr>
              <w:ind w:left="780"/>
              <w:spacing w:after="0"/>
              <w:rPr>
                <w:sz w:val="20"/>
                <w:szCs w:val="20"/>
                <w:color w:val="auto"/>
              </w:rPr>
            </w:pPr>
            <w:r>
              <w:rPr>
                <w:rFonts w:ascii="Arial" w:cs="Arial" w:eastAsia="Arial" w:hAnsi="Arial"/>
                <w:sz w:val="3"/>
                <w:szCs w:val="3"/>
                <w:color w:val="FFFFFF"/>
              </w:rPr>
              <w:t>in the Cayman Islands with limited liability)</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(IncorporatedWhaveaudited the</w:t>
            </w:r>
          </w:p>
        </w:tc>
        <w:tc>
          <w:tcPr>
            <w:tcW w:w="9440" w:type="dxa"/>
            <w:vAlign w:val="bottom"/>
            <w:gridSpan w:val="3"/>
          </w:tcPr>
          <w:p>
            <w:pPr>
              <w:spacing w:after="0"/>
              <w:rPr>
                <w:sz w:val="20"/>
                <w:szCs w:val="20"/>
                <w:color w:val="auto"/>
              </w:rPr>
            </w:pPr>
            <w:r>
              <w:rPr>
                <w:rFonts w:ascii="Arial" w:cs="Arial" w:eastAsia="Arial" w:hAnsi="Arial"/>
                <w:sz w:val="3"/>
                <w:szCs w:val="3"/>
                <w:color w:val="FFFFFF"/>
              </w:rPr>
              <w:t>fi nancial statements of Wynn Macau, Limited (the “Company”) and its subsidiaries (collectively referred to as the “Group”) set out on pages 73 to 160, which comprise the</w:t>
            </w:r>
          </w:p>
        </w:tc>
        <w:tc>
          <w:tcPr>
            <w:tcW w:w="0" w:type="dxa"/>
            <w:vAlign w:val="bottom"/>
          </w:tcPr>
          <w:p>
            <w:pPr>
              <w:spacing w:after="0"/>
              <w:rPr>
                <w:sz w:val="1"/>
                <w:szCs w:val="1"/>
                <w:color w:val="auto"/>
              </w:rPr>
            </w:pPr>
          </w:p>
        </w:tc>
      </w:tr>
      <w:tr>
        <w:trPr>
          <w:trHeight w:val="41"/>
        </w:trPr>
        <w:tc>
          <w:tcPr>
            <w:tcW w:w="11300" w:type="dxa"/>
            <w:vAlign w:val="bottom"/>
            <w:gridSpan w:val="4"/>
          </w:tcPr>
          <w:p>
            <w:pPr>
              <w:ind w:left="720"/>
              <w:spacing w:after="0"/>
              <w:rPr>
                <w:sz w:val="20"/>
                <w:szCs w:val="20"/>
                <w:color w:val="auto"/>
              </w:rPr>
            </w:pPr>
            <w:r>
              <w:rPr>
                <w:rFonts w:ascii="Arial" w:cs="Arial" w:eastAsia="Arial" w:hAnsi="Arial"/>
                <w:sz w:val="3"/>
                <w:szCs w:val="3"/>
                <w:color w:val="FFFFFF"/>
              </w:rPr>
              <w:t>and the consolidatedCompny’statement of fi nancial position as at 31 December 2011, and the consolidated statement of comprehensive income, the consolidated statement of changes in equity and the</w:t>
            </w:r>
          </w:p>
        </w:tc>
        <w:tc>
          <w:tcPr>
            <w:tcW w:w="0" w:type="dxa"/>
            <w:vAlign w:val="bottom"/>
          </w:tcPr>
          <w:p>
            <w:pPr>
              <w:spacing w:after="0"/>
              <w:rPr>
                <w:sz w:val="1"/>
                <w:szCs w:val="1"/>
                <w:color w:val="auto"/>
              </w:rPr>
            </w:pPr>
          </w:p>
        </w:tc>
      </w:tr>
      <w:tr>
        <w:trPr>
          <w:trHeight w:val="41"/>
        </w:trPr>
        <w:tc>
          <w:tcPr>
            <w:tcW w:w="10300" w:type="dxa"/>
            <w:vAlign w:val="bottom"/>
            <w:gridSpan w:val="3"/>
          </w:tcPr>
          <w:p>
            <w:pPr>
              <w:spacing w:after="0"/>
              <w:rPr>
                <w:sz w:val="20"/>
                <w:szCs w:val="20"/>
                <w:color w:val="auto"/>
              </w:rPr>
            </w:pPr>
            <w:r>
              <w:rPr>
                <w:rFonts w:ascii="Arial" w:cs="Arial" w:eastAsia="Arial" w:hAnsi="Arial"/>
                <w:sz w:val="3"/>
                <w:szCs w:val="3"/>
                <w:color w:val="FFFFFF"/>
              </w:rPr>
              <w:t>consolidated statement of cash fl ows for the year then ended, and a summary of signifi cant accounting policies and other explanatory information.</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gridSpan w:val="3"/>
          </w:tcPr>
          <w:p>
            <w:pPr>
              <w:spacing w:after="0"/>
              <w:rPr>
                <w:sz w:val="20"/>
                <w:szCs w:val="20"/>
                <w:color w:val="auto"/>
              </w:rPr>
            </w:pPr>
            <w:r>
              <w:rPr>
                <w:rFonts w:ascii="Arial" w:cs="Arial" w:eastAsia="Arial" w:hAnsi="Arial"/>
                <w:sz w:val="3"/>
                <w:szCs w:val="3"/>
                <w:color w:val="FFFFFF"/>
              </w:rPr>
              <w:t>DIRECTORS’ RESPONSIBILITY FOR THE CONSOLIDATED FINANCIAL STATEMENTS</w:t>
            </w:r>
          </w:p>
        </w:tc>
        <w:tc>
          <w:tcPr>
            <w:tcW w:w="100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issued by the</w:t>
            </w:r>
          </w:p>
        </w:tc>
        <w:tc>
          <w:tcPr>
            <w:tcW w:w="0" w:type="dxa"/>
            <w:vAlign w:val="bottom"/>
          </w:tcPr>
          <w:p>
            <w:pPr>
              <w:spacing w:after="0"/>
              <w:rPr>
                <w:sz w:val="1"/>
                <w:szCs w:val="1"/>
                <w:color w:val="auto"/>
              </w:rPr>
            </w:pPr>
          </w:p>
        </w:tc>
      </w:tr>
      <w:tr>
        <w:trPr>
          <w:trHeight w:val="41"/>
        </w:trPr>
        <w:tc>
          <w:tcPr>
            <w:tcW w:w="10300" w:type="dxa"/>
            <w:vAlign w:val="bottom"/>
            <w:gridSpan w:val="3"/>
          </w:tcPr>
          <w:p>
            <w:pPr>
              <w:spacing w:after="0"/>
              <w:rPr>
                <w:sz w:val="20"/>
                <w:szCs w:val="20"/>
                <w:color w:val="auto"/>
              </w:rPr>
            </w:pPr>
            <w:r>
              <w:rPr>
                <w:rFonts w:ascii="Arial" w:cs="Arial" w:eastAsia="Arial" w:hAnsi="Arial"/>
                <w:sz w:val="3"/>
                <w:szCs w:val="3"/>
                <w:color w:val="FFFFFF"/>
              </w:rPr>
              <w:t>The directors of the Company are responsible for the preparation of consolidated fi nancial statements that give  true and fair view in accordance with International Financial Reporting</w:t>
            </w: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2"/>
          </w:tcPr>
          <w:p>
            <w:pPr>
              <w:spacing w:after="0"/>
              <w:rPr>
                <w:sz w:val="20"/>
                <w:szCs w:val="20"/>
                <w:color w:val="auto"/>
              </w:rPr>
            </w:pPr>
            <w:r>
              <w:rPr>
                <w:rFonts w:ascii="Arial" w:cs="Arial" w:eastAsia="Arial" w:hAnsi="Arial"/>
                <w:sz w:val="3"/>
                <w:szCs w:val="3"/>
                <w:color w:val="FFFFFF"/>
              </w:rPr>
              <w:t>International Accounting Standards Board</w:t>
            </w:r>
          </w:p>
        </w:tc>
        <w:tc>
          <w:tcPr>
            <w:tcW w:w="8960" w:type="dxa"/>
            <w:vAlign w:val="bottom"/>
            <w:gridSpan w:val="2"/>
          </w:tcPr>
          <w:p>
            <w:pPr>
              <w:ind w:left="40"/>
              <w:spacing w:after="0"/>
              <w:rPr>
                <w:sz w:val="20"/>
                <w:szCs w:val="20"/>
                <w:color w:val="auto"/>
              </w:rPr>
            </w:pPr>
            <w:r>
              <w:rPr>
                <w:rFonts w:ascii="Arial" w:cs="Arial" w:eastAsia="Arial" w:hAnsi="Arial"/>
                <w:sz w:val="3"/>
                <w:szCs w:val="3"/>
                <w:color w:val="FFFFFF"/>
              </w:rPr>
              <w:t>nd the International Financial Reporting Interpretations Committee and the disclosure requirements of the Hong Kong Companies Ordinance,Standardsforsuch internal</w:t>
            </w:r>
          </w:p>
        </w:tc>
        <w:tc>
          <w:tcPr>
            <w:tcW w:w="0" w:type="dxa"/>
            <w:vAlign w:val="bottom"/>
          </w:tcPr>
          <w:p>
            <w:pPr>
              <w:spacing w:after="0"/>
              <w:rPr>
                <w:sz w:val="1"/>
                <w:szCs w:val="1"/>
                <w:color w:val="auto"/>
              </w:rPr>
            </w:pPr>
          </w:p>
        </w:tc>
      </w:tr>
      <w:tr>
        <w:trPr>
          <w:trHeight w:val="41"/>
        </w:trPr>
        <w:tc>
          <w:tcPr>
            <w:tcW w:w="10300" w:type="dxa"/>
            <w:vAlign w:val="bottom"/>
            <w:gridSpan w:val="3"/>
          </w:tcPr>
          <w:p>
            <w:pPr>
              <w:spacing w:after="0"/>
              <w:rPr>
                <w:sz w:val="20"/>
                <w:szCs w:val="20"/>
                <w:color w:val="auto"/>
              </w:rPr>
            </w:pPr>
            <w:r>
              <w:rPr>
                <w:rFonts w:ascii="Arial" w:cs="Arial" w:eastAsia="Arial" w:hAnsi="Arial"/>
                <w:sz w:val="3"/>
                <w:szCs w:val="3"/>
                <w:color w:val="FFFFFF"/>
              </w:rPr>
              <w:t>control as the directors determine is necessary to enable the preparation of consolidated fi nancial statements that are free from material misstatement, whether due to fraud or error.</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AUDITORS’ RESPONSIBILITY</w:t>
            </w:r>
          </w:p>
        </w:tc>
        <w:tc>
          <w:tcPr>
            <w:tcW w:w="480" w:type="dxa"/>
            <w:vAlign w:val="bottom"/>
          </w:tcPr>
          <w:p>
            <w:pPr>
              <w:spacing w:after="0"/>
              <w:rPr>
                <w:sz w:val="3"/>
                <w:szCs w:val="3"/>
                <w:color w:val="auto"/>
              </w:rPr>
            </w:pPr>
          </w:p>
        </w:tc>
        <w:tc>
          <w:tcPr>
            <w:tcW w:w="8960" w:type="dxa"/>
            <w:vAlign w:val="bottom"/>
            <w:gridSpan w:val="2"/>
            <w:vMerge w:val="restart"/>
          </w:tcPr>
          <w:p>
            <w:pPr>
              <w:ind w:left="160"/>
              <w:spacing w:after="0" w:line="81" w:lineRule="exact"/>
              <w:rPr>
                <w:sz w:val="20"/>
                <w:szCs w:val="20"/>
                <w:color w:val="auto"/>
              </w:rPr>
            </w:pPr>
            <w:r>
              <w:rPr>
                <w:rFonts w:ascii="Arial" w:cs="Arial" w:eastAsia="Arial" w:hAnsi="Arial"/>
                <w:sz w:val="9"/>
                <w:szCs w:val="9"/>
                <w:color w:val="FFFFFF"/>
              </w:rPr>
              <w:t>these consolidated fi nancial statements based on our audit. Our report is made solely to you, as a body, and for no other purpose. We do not assume responsibility</w:t>
            </w:r>
          </w:p>
        </w:tc>
        <w:tc>
          <w:tcPr>
            <w:tcW w:w="0" w:type="dxa"/>
            <w:vAlign w:val="bottom"/>
          </w:tcPr>
          <w:p>
            <w:pPr>
              <w:spacing w:after="0"/>
              <w:rPr>
                <w:sz w:val="1"/>
                <w:szCs w:val="1"/>
                <w:color w:val="auto"/>
              </w:rPr>
            </w:pPr>
          </w:p>
        </w:tc>
      </w:tr>
      <w:tr>
        <w:trPr>
          <w:trHeight w:val="41"/>
        </w:trPr>
        <w:tc>
          <w:tcPr>
            <w:tcW w:w="2340" w:type="dxa"/>
            <w:vAlign w:val="bottom"/>
            <w:gridSpan w:val="2"/>
          </w:tcPr>
          <w:p>
            <w:pPr>
              <w:spacing w:after="0"/>
              <w:rPr>
                <w:sz w:val="20"/>
                <w:szCs w:val="20"/>
                <w:color w:val="auto"/>
              </w:rPr>
            </w:pPr>
            <w:r>
              <w:rPr>
                <w:rFonts w:ascii="Arial" w:cs="Arial" w:eastAsia="Arial" w:hAnsi="Arial"/>
                <w:sz w:val="3"/>
                <w:szCs w:val="3"/>
                <w:color w:val="FFFFFF"/>
              </w:rPr>
              <w:t>Our responsibility is to express an opinion</w:t>
            </w:r>
          </w:p>
        </w:tc>
        <w:tc>
          <w:tcPr>
            <w:tcW w:w="8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0300" w:type="dxa"/>
            <w:vAlign w:val="bottom"/>
            <w:gridSpan w:val="3"/>
          </w:tcPr>
          <w:p>
            <w:pPr>
              <w:spacing w:after="0"/>
              <w:rPr>
                <w:sz w:val="20"/>
                <w:szCs w:val="20"/>
                <w:color w:val="auto"/>
              </w:rPr>
            </w:pPr>
            <w:r>
              <w:rPr>
                <w:rFonts w:ascii="Arial" w:cs="Arial" w:eastAsia="Arial" w:hAnsi="Arial"/>
                <w:sz w:val="3"/>
                <w:szCs w:val="3"/>
                <w:color w:val="FFFFFF"/>
              </w:rPr>
              <w:t>towards or accept liability to any other person for the contents of this report.</w:t>
            </w: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40" w:right="480" w:hanging="738"/>
        <w:spacing w:after="0" w:line="198" w:lineRule="auto"/>
        <w:rPr>
          <w:sz w:val="20"/>
          <w:szCs w:val="20"/>
          <w:color w:val="auto"/>
        </w:rPr>
      </w:pPr>
      <w:r>
        <w:rPr>
          <w:rFonts w:ascii="Arial" w:cs="Arial" w:eastAsia="Arial" w:hAnsi="Arial"/>
          <w:sz w:val="10"/>
          <w:szCs w:val="10"/>
          <w:color w:val="FFFFFF"/>
          <w:vertAlign w:val="subscript"/>
        </w:rPr>
        <w:t>requirements</w:t>
      </w:r>
      <w:r>
        <w:rPr>
          <w:rFonts w:ascii="Arial" w:cs="Arial" w:eastAsia="Arial" w:hAnsi="Arial"/>
          <w:sz w:val="7"/>
          <w:szCs w:val="7"/>
          <w:color w:val="FFFFFF"/>
        </w:rPr>
        <w:t>Wconducted our audit in accordance with Hong Kong Standards on Auditing issued by the Hong Kong Institute of Certifi ed Public Accountants. Those standards require that we comply with ethical and plan and perform the audit to obtain reasonable assurance about whether the consolidated fi nancial statements are free from material misstatement.</w:t>
      </w:r>
    </w:p>
    <w:p>
      <w:pPr>
        <w:sectPr>
          <w:pgSz w:w="11900" w:h="16838" w:orient="portrait"/>
          <w:cols w:equalWidth="0" w:num="1">
            <w:col w:w="11300"/>
          </w:cols>
          <w:pgMar w:left="240" w:top="1440" w:right="35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72 Wynn Macau, Limited</w:t>
      </w:r>
    </w:p>
    <w:p>
      <w:pPr>
        <w:ind w:right="200"/>
        <w:spacing w:after="0" w:line="181" w:lineRule="auto"/>
        <w:rPr>
          <w:sz w:val="20"/>
          <w:szCs w:val="20"/>
          <w:color w:val="auto"/>
        </w:rPr>
      </w:pPr>
      <w:r>
        <w:rPr>
          <w:rFonts w:ascii="Arial" w:cs="Arial" w:eastAsia="Arial" w:hAnsi="Arial"/>
          <w:sz w:val="7"/>
          <w:szCs w:val="7"/>
          <w:color w:val="FFFFFF"/>
        </w:rPr>
        <w:t>AnIndependentauditinvolvesAuditors’performingReport procedures to obtain audit evidence about the amounts and disclosures in the consolidated fi nancial statements. The procedures selected depend on the auditors’ judgment, including the assessment of the risks of material misstatement of the consolidated fi nancial statements, whether due to fraud or error. In making those risk assessments, the auditors consider internal control</w:t>
      </w:r>
    </w:p>
    <w:p>
      <w:pPr>
        <w:spacing w:after="0"/>
        <w:rPr>
          <w:sz w:val="20"/>
          <w:szCs w:val="20"/>
          <w:color w:val="auto"/>
        </w:rPr>
      </w:pPr>
      <w:r>
        <w:rPr>
          <w:rFonts w:ascii="Arial" w:cs="Arial" w:eastAsia="Arial" w:hAnsi="Arial"/>
          <w:sz w:val="3"/>
          <w:szCs w:val="3"/>
          <w:color w:val="FFFFFF"/>
        </w:rPr>
        <w:t>expressingrelevantto theanopinionentity’ onpreparationtheeffectivenessofconsolidatedoftheentity’presentationfinancialinternalstatementscontrol.thatAngiveaudit truealso andincludesfairviewevaluatingorderthetoappropriatenessdesignauditproceduresofaccountingthatarepoliciesappropriateusedandin thethe circumstances,reasonablenessbutof accountingnotforthe purposeestimatesofmade by the directors, as well as evaluating the overall of the consolidated fi nancial .</w:t>
      </w:r>
    </w:p>
    <w:p>
      <w:pPr>
        <w:spacing w:after="0" w:line="181" w:lineRule="auto"/>
        <w:rPr>
          <w:sz w:val="20"/>
          <w:szCs w:val="20"/>
          <w:color w:val="auto"/>
        </w:rPr>
      </w:pPr>
      <w:r>
        <w:rPr>
          <w:rFonts w:ascii="Arial" w:cs="Arial" w:eastAsia="Arial" w:hAnsi="Arial"/>
          <w:sz w:val="10"/>
          <w:szCs w:val="10"/>
          <w:color w:val="FFFFFF"/>
        </w:rPr>
        <w:t>We believe that the audit evidence we have obtained is suffi cient and appropriate to providestatementsbasisfor our audit opinion.</w:t>
      </w:r>
    </w:p>
    <w:p>
      <w:pPr>
        <w:spacing w:after="0"/>
        <w:rPr>
          <w:sz w:val="20"/>
          <w:szCs w:val="20"/>
          <w:color w:val="auto"/>
        </w:rPr>
      </w:pPr>
      <w:r>
        <w:rPr>
          <w:rFonts w:ascii="Arial" w:cs="Arial" w:eastAsia="Arial" w:hAnsi="Arial"/>
          <w:sz w:val="3"/>
          <w:szCs w:val="3"/>
          <w:color w:val="FFFFFF"/>
        </w:rPr>
        <w:t>OPINION</w:t>
      </w:r>
    </w:p>
    <w:p>
      <w:pPr>
        <w:spacing w:after="0" w:line="6" w:lineRule="exact"/>
        <w:rPr>
          <w:sz w:val="20"/>
          <w:szCs w:val="20"/>
          <w:color w:val="auto"/>
        </w:rPr>
      </w:pPr>
    </w:p>
    <w:p>
      <w:pPr>
        <w:ind w:right="40"/>
        <w:spacing w:after="0" w:line="187" w:lineRule="auto"/>
        <w:rPr>
          <w:sz w:val="20"/>
          <w:szCs w:val="20"/>
          <w:color w:val="auto"/>
        </w:rPr>
      </w:pPr>
      <w:r>
        <w:rPr>
          <w:rFonts w:ascii="Arial" w:cs="Arial" w:eastAsia="Arial" w:hAnsi="Arial"/>
          <w:sz w:val="9"/>
          <w:szCs w:val="9"/>
          <w:color w:val="FFFFFF"/>
        </w:rPr>
        <w:t>In our opinion, the consolidated fi nancial statements give a true and fair view of the state of affairs of the Company and of the Group as at 31 December 2011, and of the Group’s profi t and cash fl ows for the year then ended in accordance with International Financial Reporting Standards and have been properly prepared in accordance with the disclosure requirements of the Hong Kong Companies Ordinance. Ernst &amp; Young</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HongCertifiKongedPublic Accountants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27 March 2012</w:t>
      </w:r>
    </w:p>
    <w:p>
      <w:pPr>
        <w:sectPr>
          <w:pgSz w:w="11900" w:h="16838" w:orient="portrait"/>
          <w:cols w:equalWidth="0" w:num="1">
            <w:col w:w="11300"/>
          </w:cols>
          <w:pgMar w:left="240" w:top="1440" w:right="35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spacing w:after="0"/>
              <w:rPr>
                <w:sz w:val="20"/>
                <w:szCs w:val="20"/>
                <w:color w:val="auto"/>
              </w:rPr>
            </w:pPr>
            <w:r>
              <w:rPr>
                <w:rFonts w:ascii="Arial" w:cs="Arial" w:eastAsia="Arial" w:hAnsi="Arial"/>
                <w:sz w:val="14"/>
                <w:szCs w:val="14"/>
                <w:color w:val="FFFFFF"/>
                <w:w w:val="97"/>
              </w:rPr>
              <w:t>Annual Report 2011 73</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Consolidated Statement of Comprehensive Income</w:t>
            </w: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For the year ended</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31 December</w:t>
            </w: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2011 2010</w:t>
            </w: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HK$ HK$</w:t>
            </w: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Notes (in thousands)</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Operating revenues</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Casino 27,755,965 21,057,676</w:t>
            </w: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Rooms 140,464 143,759</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Food and beverage 188,157 165,916</w:t>
            </w: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Retail and other 1,413,506 1,071,588</w:t>
            </w: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29,498,092 22,438,939</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Operating costs and expenses</w:t>
            </w: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Gaming taxes and premiums 14,364,403 10,810,992</w:t>
            </w: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Staff costs 3.1 2,089,199</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Other operating expenses 1,840,2223.5,179,925 4,054,267</w:t>
            </w: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Depreciation and amortization 3.  1,016,421 989,516</w:t>
            </w: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Property charges and other 3.4 865,853 47,009</w:t>
            </w:r>
          </w:p>
        </w:tc>
        <w:tc>
          <w:tcPr>
            <w:tcW w:w="0" w:type="dxa"/>
            <w:vAlign w:val="bottom"/>
          </w:tcPr>
          <w:p>
            <w:pPr>
              <w:spacing w:after="0"/>
              <w:rPr>
                <w:sz w:val="1"/>
                <w:szCs w:val="1"/>
                <w:color w:val="auto"/>
              </w:rPr>
            </w:pPr>
          </w:p>
        </w:tc>
      </w:tr>
      <w:tr>
        <w:trPr>
          <w:trHeight w:val="41"/>
        </w:trPr>
        <w:tc>
          <w:tcPr>
            <w:tcW w:w="1420" w:type="dxa"/>
            <w:vAlign w:val="bottom"/>
            <w:gridSpan w:val="2"/>
          </w:tcPr>
          <w:p>
            <w:pPr>
              <w:spacing w:after="0"/>
              <w:rPr>
                <w:sz w:val="20"/>
                <w:szCs w:val="20"/>
                <w:color w:val="auto"/>
              </w:rPr>
            </w:pPr>
            <w:r>
              <w:rPr>
                <w:rFonts w:ascii="Arial" w:cs="Arial" w:eastAsia="Arial" w:hAnsi="Arial"/>
                <w:sz w:val="3"/>
                <w:szCs w:val="3"/>
                <w:color w:val="FFFFFF"/>
              </w:rPr>
              <w:t>23,515,801 17,742,006</w:t>
            </w:r>
          </w:p>
        </w:tc>
        <w:tc>
          <w:tcPr>
            <w:tcW w:w="1480" w:type="dxa"/>
            <w:vAlign w:val="bottom"/>
            <w:vMerge w:val="restart"/>
          </w:tcPr>
          <w:p>
            <w:pPr>
              <w:jc w:val="right"/>
              <w:ind w:right="815"/>
              <w:spacing w:after="0" w:line="81" w:lineRule="exact"/>
              <w:rPr>
                <w:sz w:val="20"/>
                <w:szCs w:val="20"/>
                <w:color w:val="auto"/>
              </w:rPr>
            </w:pPr>
            <w:r>
              <w:rPr>
                <w:rFonts w:ascii="Arial" w:cs="Arial" w:eastAsia="Arial" w:hAnsi="Arial"/>
                <w:sz w:val="9"/>
                <w:szCs w:val="9"/>
                <w:color w:val="FFFFFF"/>
              </w:rPr>
              <w:t>4,696,933</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Operating profit</w:t>
            </w:r>
          </w:p>
        </w:tc>
        <w:tc>
          <w:tcPr>
            <w:tcW w:w="460" w:type="dxa"/>
            <w:vAlign w:val="bottom"/>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ind w:left="460"/>
              <w:spacing w:after="0"/>
              <w:rPr>
                <w:sz w:val="20"/>
                <w:szCs w:val="20"/>
                <w:color w:val="auto"/>
              </w:rPr>
            </w:pPr>
            <w:r>
              <w:rPr>
                <w:rFonts w:ascii="Arial" w:cs="Arial" w:eastAsia="Arial" w:hAnsi="Arial"/>
                <w:sz w:val="3"/>
                <w:szCs w:val="3"/>
                <w:color w:val="FFFFFF"/>
              </w:rPr>
              <w:t>revenues5,982,291.49,066 2,027</w:t>
            </w:r>
          </w:p>
        </w:tc>
        <w:tc>
          <w:tcPr>
            <w:tcW w:w="0" w:type="dxa"/>
            <w:vAlign w:val="bottom"/>
          </w:tcPr>
          <w:p>
            <w:pPr>
              <w:spacing w:after="0"/>
              <w:rPr>
                <w:sz w:val="1"/>
                <w:szCs w:val="1"/>
                <w:color w:val="auto"/>
              </w:rPr>
            </w:pPr>
          </w:p>
        </w:tc>
      </w:tr>
      <w:tr>
        <w:trPr>
          <w:trHeight w:val="0"/>
        </w:trPr>
        <w:tc>
          <w:tcPr>
            <w:tcW w:w="960" w:type="dxa"/>
            <w:vAlign w:val="bottom"/>
          </w:tcPr>
          <w:p>
            <w:pPr>
              <w:spacing w:after="0"/>
              <w:rPr>
                <w:sz w:val="20"/>
                <w:szCs w:val="20"/>
                <w:color w:val="auto"/>
              </w:rPr>
            </w:pPr>
            <w:r>
              <w:rPr>
                <w:rFonts w:ascii="Arial" w:cs="Arial" w:eastAsia="Arial" w:hAnsi="Arial"/>
                <w:sz w:val="3"/>
                <w:szCs w:val="3"/>
                <w:color w:val="FFFFFF"/>
              </w:rPr>
              <w:t>Finance costs 3.6</w:t>
            </w:r>
          </w:p>
        </w:tc>
        <w:tc>
          <w:tcPr>
            <w:tcW w:w="1940" w:type="dxa"/>
            <w:vAlign w:val="bottom"/>
            <w:gridSpan w:val="2"/>
          </w:tcPr>
          <w:p>
            <w:pPr>
              <w:jc w:val="right"/>
              <w:ind w:right="795"/>
              <w:spacing w:after="0"/>
              <w:rPr>
                <w:sz w:val="20"/>
                <w:szCs w:val="20"/>
                <w:color w:val="auto"/>
              </w:rPr>
            </w:pPr>
            <w:r>
              <w:rPr>
                <w:rFonts w:ascii="Arial" w:cs="Arial" w:eastAsia="Arial" w:hAnsi="Arial"/>
                <w:sz w:val="3"/>
                <w:szCs w:val="3"/>
                <w:color w:val="FFFFFF"/>
              </w:rPr>
              <w:t>(259,386) (255,480)</w:t>
            </w:r>
          </w:p>
        </w:tc>
        <w:tc>
          <w:tcPr>
            <w:tcW w:w="0" w:type="dxa"/>
            <w:vAlign w:val="bottom"/>
          </w:tcPr>
          <w:p>
            <w:pPr>
              <w:spacing w:after="0" w:line="20" w:lineRule="exact"/>
              <w:rPr>
                <w:sz w:val="1"/>
                <w:szCs w:val="1"/>
                <w:color w:val="auto"/>
              </w:rPr>
            </w:pPr>
          </w:p>
        </w:tc>
      </w:tr>
    </w:tbl>
    <w:p>
      <w:pPr>
        <w:spacing w:after="0" w:line="217" w:lineRule="auto"/>
        <w:rPr>
          <w:sz w:val="20"/>
          <w:szCs w:val="20"/>
          <w:color w:val="auto"/>
        </w:rPr>
      </w:pPr>
      <w:r>
        <w:rPr>
          <w:rFonts w:ascii="Arial" w:cs="Arial" w:eastAsia="Arial" w:hAnsi="Arial"/>
          <w:sz w:val="2"/>
          <w:szCs w:val="2"/>
          <w:color w:val="FFFFFF"/>
        </w:rPr>
        <w:t xml:space="preserve">Net foreign </w:t>
      </w:r>
      <w:r>
        <w:rPr>
          <w:rFonts w:ascii="Arial" w:cs="Arial" w:eastAsia="Arial" w:hAnsi="Arial"/>
          <w:sz w:val="4"/>
          <w:szCs w:val="4"/>
          <w:color w:val="FFFFFF"/>
          <w:vertAlign w:val="superscript"/>
        </w:rPr>
        <w:t>fair</w:t>
      </w:r>
      <w:r>
        <w:rPr>
          <w:rFonts w:ascii="Arial" w:cs="Arial" w:eastAsia="Arial" w:hAnsi="Arial"/>
          <w:sz w:val="2"/>
          <w:szCs w:val="2"/>
          <w:color w:val="FFFFFF"/>
        </w:rPr>
        <w:t>curency differences 41,908 (3,829)</w:t>
      </w:r>
    </w:p>
    <w:p>
      <w:pPr>
        <w:spacing w:after="0"/>
        <w:rPr>
          <w:sz w:val="20"/>
          <w:szCs w:val="20"/>
          <w:color w:val="auto"/>
        </w:rPr>
      </w:pPr>
      <w:r>
        <w:rPr>
          <w:rFonts w:ascii="Arial" w:cs="Arial" w:eastAsia="Arial" w:hAnsi="Arial"/>
          <w:sz w:val="3"/>
          <w:szCs w:val="3"/>
          <w:color w:val="FFFFFF"/>
        </w:rPr>
        <w:t>(88,046)Changes (230,830)invalue of interest rate swaps 4 80,366 26,452</w:t>
      </w:r>
    </w:p>
    <w:p>
      <w:pPr>
        <w:spacing w:after="0" w:line="194" w:lineRule="auto"/>
        <w:rPr>
          <w:sz w:val="20"/>
          <w:szCs w:val="20"/>
          <w:color w:val="auto"/>
        </w:rPr>
      </w:pPr>
      <w:r>
        <w:rPr>
          <w:rFonts w:ascii="Arial" w:cs="Arial" w:eastAsia="Arial" w:hAnsi="Arial"/>
          <w:sz w:val="5"/>
          <w:szCs w:val="5"/>
          <w:color w:val="FFFFFF"/>
        </w:rPr>
        <w:t>Profit before tax 5,894,245 4,466,103</w:t>
      </w:r>
    </w:p>
    <w:p>
      <w:pPr>
        <w:spacing w:after="0" w:line="188" w:lineRule="auto"/>
        <w:rPr>
          <w:sz w:val="20"/>
          <w:szCs w:val="20"/>
          <w:color w:val="auto"/>
        </w:rPr>
      </w:pPr>
      <w:r>
        <w:rPr>
          <w:rFonts w:ascii="Arial" w:cs="Arial" w:eastAsia="Arial" w:hAnsi="Arial"/>
          <w:sz w:val="9"/>
          <w:szCs w:val="9"/>
          <w:color w:val="FFFFFF"/>
        </w:rPr>
        <w:t>Income tax benefit (expense) 5 26,768 (44,093)</w:t>
      </w:r>
    </w:p>
    <w:p>
      <w:pPr>
        <w:spacing w:after="0" w:line="187" w:lineRule="auto"/>
        <w:rPr>
          <w:sz w:val="20"/>
          <w:szCs w:val="20"/>
          <w:color w:val="auto"/>
        </w:rPr>
      </w:pPr>
      <w:r>
        <w:rPr>
          <w:rFonts w:ascii="Arial" w:cs="Arial" w:eastAsia="Arial" w:hAnsi="Arial"/>
          <w:sz w:val="9"/>
          <w:szCs w:val="9"/>
          <w:color w:val="FFFFFF"/>
        </w:rPr>
        <w:t>OtherNetprofitcomprehensiveattributable losstoowners of the Company 5,921,013 4,422,010</w:t>
      </w:r>
    </w:p>
    <w:p>
      <w:pPr>
        <w:spacing w:after="0"/>
        <w:rPr>
          <w:sz w:val="20"/>
          <w:szCs w:val="20"/>
          <w:color w:val="auto"/>
        </w:rPr>
      </w:pPr>
      <w:r>
        <w:rPr>
          <w:rFonts w:ascii="Arial" w:cs="Arial" w:eastAsia="Arial" w:hAnsi="Arial"/>
          <w:sz w:val="3"/>
          <w:szCs w:val="3"/>
          <w:color w:val="FFFFFF"/>
        </w:rPr>
        <w:t>TotalAvailablecomprehensive-for-saleinvestments:incomeattributableChanges into fair value (14,341) —</w:t>
      </w:r>
    </w:p>
    <w:p>
      <w:pPr>
        <w:spacing w:after="0" w:line="194" w:lineRule="auto"/>
        <w:rPr>
          <w:sz w:val="20"/>
          <w:szCs w:val="20"/>
          <w:color w:val="auto"/>
        </w:rPr>
      </w:pPr>
      <w:r>
        <w:rPr>
          <w:rFonts w:ascii="Arial" w:cs="Arial" w:eastAsia="Arial" w:hAnsi="Arial"/>
          <w:sz w:val="5"/>
          <w:szCs w:val="5"/>
          <w:color w:val="FFFFFF"/>
        </w:rPr>
        <w:t>owners of the Company 5,906,672 4,422,010</w:t>
      </w:r>
    </w:p>
    <w:p>
      <w:pPr>
        <w:spacing w:after="0"/>
        <w:rPr>
          <w:sz w:val="20"/>
          <w:szCs w:val="20"/>
          <w:color w:val="auto"/>
        </w:rPr>
      </w:pPr>
      <w:r>
        <w:rPr>
          <w:rFonts w:ascii="Arial" w:cs="Arial" w:eastAsia="Arial" w:hAnsi="Arial"/>
          <w:sz w:val="14"/>
          <w:szCs w:val="14"/>
          <w:color w:val="FFFFFF"/>
        </w:rPr>
        <w:t>Basic and diluted earnings per Share (HK$) 7 1.14 0.85</w:t>
      </w:r>
    </w:p>
    <w:p>
      <w:pPr>
        <w:sectPr>
          <w:pgSz w:w="11900" w:h="16838" w:orient="portrait"/>
          <w:cols w:equalWidth="0" w:num="1">
            <w:col w:w="10219"/>
          </w:cols>
          <w:pgMar w:left="240" w:top="1440" w:right="1440"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spacing w:after="0"/>
              <w:rPr>
                <w:sz w:val="20"/>
                <w:szCs w:val="20"/>
                <w:color w:val="auto"/>
              </w:rPr>
            </w:pPr>
            <w:r>
              <w:rPr>
                <w:rFonts w:ascii="Arial" w:cs="Arial" w:eastAsia="Arial" w:hAnsi="Arial"/>
                <w:sz w:val="14"/>
                <w:szCs w:val="14"/>
                <w:color w:val="FFFFFF"/>
              </w:rPr>
              <w:t>74 Wynn Macau, Limited</w:t>
            </w:r>
          </w:p>
        </w:tc>
        <w:tc>
          <w:tcPr>
            <w:tcW w:w="2200" w:type="dxa"/>
            <w:vAlign w:val="bottom"/>
          </w:tcPr>
          <w:p>
            <w:pPr>
              <w:spacing w:after="0"/>
              <w:rPr>
                <w:sz w:val="14"/>
                <w:szCs w:val="14"/>
                <w:color w:val="auto"/>
              </w:rPr>
            </w:pP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200" w:type="dxa"/>
            <w:vAlign w:val="bottom"/>
          </w:tcPr>
          <w:p>
            <w:pPr>
              <w:spacing w:after="0"/>
              <w:rPr>
                <w:sz w:val="3"/>
                <w:szCs w:val="3"/>
                <w:color w:val="auto"/>
              </w:rPr>
            </w:pPr>
          </w:p>
        </w:tc>
      </w:tr>
      <w:tr>
        <w:trPr>
          <w:trHeight w:val="41"/>
        </w:trPr>
        <w:tc>
          <w:tcPr>
            <w:tcW w:w="660" w:type="dxa"/>
            <w:vAlign w:val="bottom"/>
          </w:tcPr>
          <w:p>
            <w:pPr>
              <w:spacing w:after="0"/>
              <w:rPr>
                <w:sz w:val="3"/>
                <w:szCs w:val="3"/>
                <w:color w:val="auto"/>
              </w:rPr>
            </w:pPr>
          </w:p>
        </w:tc>
        <w:tc>
          <w:tcPr>
            <w:tcW w:w="3460" w:type="dxa"/>
            <w:vAlign w:val="bottom"/>
            <w:gridSpan w:val="2"/>
          </w:tcPr>
          <w:p>
            <w:pPr>
              <w:jc w:val="right"/>
              <w:ind w:right="1649"/>
              <w:spacing w:after="0"/>
              <w:rPr>
                <w:sz w:val="20"/>
                <w:szCs w:val="20"/>
                <w:color w:val="auto"/>
              </w:rPr>
            </w:pPr>
            <w:r>
              <w:rPr>
                <w:rFonts w:ascii="Arial" w:cs="Arial" w:eastAsia="Arial" w:hAnsi="Arial"/>
                <w:sz w:val="3"/>
                <w:szCs w:val="3"/>
                <w:color w:val="FFFFFF"/>
              </w:rPr>
              <w:t>Statement of Financial Position</w:t>
            </w: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ConsolidatedAs31December</w:t>
            </w:r>
          </w:p>
        </w:tc>
        <w:tc>
          <w:tcPr>
            <w:tcW w:w="2200" w:type="dxa"/>
            <w:vAlign w:val="bottom"/>
          </w:tcPr>
          <w:p>
            <w:pPr>
              <w:spacing w:after="0"/>
              <w:rPr>
                <w:sz w:val="3"/>
                <w:szCs w:val="3"/>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2011 2010</w:t>
            </w:r>
          </w:p>
        </w:tc>
        <w:tc>
          <w:tcPr>
            <w:tcW w:w="126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HK$ HK$</w:t>
            </w:r>
          </w:p>
        </w:tc>
        <w:tc>
          <w:tcPr>
            <w:tcW w:w="126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41"/>
        </w:trPr>
        <w:tc>
          <w:tcPr>
            <w:tcW w:w="1920" w:type="dxa"/>
            <w:vAlign w:val="bottom"/>
            <w:gridSpan w:val="2"/>
          </w:tcPr>
          <w:p>
            <w:pPr>
              <w:ind w:left="180"/>
              <w:spacing w:after="0"/>
              <w:rPr>
                <w:sz w:val="20"/>
                <w:szCs w:val="20"/>
                <w:color w:val="auto"/>
              </w:rPr>
            </w:pPr>
            <w:r>
              <w:rPr>
                <w:rFonts w:ascii="Arial" w:cs="Arial" w:eastAsia="Arial" w:hAnsi="Arial"/>
                <w:sz w:val="3"/>
                <w:szCs w:val="3"/>
                <w:color w:val="FFFFFF"/>
              </w:rPr>
              <w:t>tes (in thousands)</w:t>
            </w:r>
          </w:p>
        </w:tc>
        <w:tc>
          <w:tcPr>
            <w:tcW w:w="2200" w:type="dxa"/>
            <w:vAlign w:val="bottom"/>
          </w:tcPr>
          <w:p>
            <w:pPr>
              <w:spacing w:after="0"/>
              <w:rPr>
                <w:sz w:val="3"/>
                <w:szCs w:val="3"/>
                <w:color w:val="auto"/>
              </w:rPr>
            </w:pP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Non-current assets</w:t>
            </w:r>
          </w:p>
        </w:tc>
        <w:tc>
          <w:tcPr>
            <w:tcW w:w="2200" w:type="dxa"/>
            <w:vAlign w:val="bottom"/>
          </w:tcPr>
          <w:p>
            <w:pPr>
              <w:spacing w:after="0"/>
              <w:rPr>
                <w:sz w:val="3"/>
                <w:szCs w:val="3"/>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Prop rty and equipment and construction in progress 8 7,692,859 8,352,187</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Leasehold interests in land  2,244,085 475,129</w:t>
            </w: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Goodwill 10 398,345 398,345</w:t>
            </w:r>
          </w:p>
        </w:tc>
        <w:tc>
          <w:tcPr>
            <w:tcW w:w="2200" w:type="dxa"/>
            <w:vAlign w:val="bottom"/>
          </w:tcPr>
          <w:p>
            <w:pPr>
              <w:spacing w:after="0"/>
              <w:rPr>
                <w:sz w:val="3"/>
                <w:szCs w:val="3"/>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Available-for-sale investments 11 404,754 —</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Deposits for acquisition of property and equipment 32,323 24,881</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Other non-current assets 12 285,750 188,133</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Total non-current assets 11,058,116 9,438,675</w:t>
            </w: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Current assets</w:t>
            </w:r>
          </w:p>
        </w:tc>
        <w:tc>
          <w:tcPr>
            <w:tcW w:w="2200" w:type="dxa"/>
            <w:vAlign w:val="bottom"/>
          </w:tcPr>
          <w:p>
            <w:pPr>
              <w:spacing w:after="0"/>
              <w:rPr>
                <w:sz w:val="3"/>
                <w:szCs w:val="3"/>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Available-for sale investments 11 104,066 —</w:t>
            </w: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Inventories 14 179,940 173,758</w:t>
            </w:r>
          </w:p>
        </w:tc>
        <w:tc>
          <w:tcPr>
            <w:tcW w:w="2200" w:type="dxa"/>
            <w:vAlign w:val="bottom"/>
          </w:tcPr>
          <w:p>
            <w:pPr>
              <w:spacing w:after="0"/>
              <w:rPr>
                <w:sz w:val="3"/>
                <w:szCs w:val="3"/>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Trade and other receivables 15 749,639 485,413</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Prepayments and other current assets 16 53,809 45,167</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Amounts due from related companies 27 57,654 386,295</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Cash and cash equivalents 17 5,156,725 3,819,163</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Total current assets 6,301,833 4,909,796</w:t>
            </w: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Current liabilities</w:t>
            </w:r>
          </w:p>
        </w:tc>
        <w:tc>
          <w:tcPr>
            <w:tcW w:w="2200" w:type="dxa"/>
            <w:vAlign w:val="bottom"/>
          </w:tcPr>
          <w:p>
            <w:pPr>
              <w:spacing w:after="0"/>
              <w:rPr>
                <w:sz w:val="3"/>
                <w:szCs w:val="3"/>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Accounts payable 18 1,050,345 1,018,086</w:t>
            </w: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Land premium payable 104,329 —</w:t>
            </w:r>
          </w:p>
        </w:tc>
        <w:tc>
          <w:tcPr>
            <w:tcW w:w="2200" w:type="dxa"/>
            <w:vAlign w:val="bottom"/>
          </w:tcPr>
          <w:p>
            <w:pPr>
              <w:spacing w:after="0"/>
              <w:rPr>
                <w:sz w:val="3"/>
                <w:szCs w:val="3"/>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Other payables and accruals 19 5,657,107 3,665,441</w:t>
            </w:r>
          </w:p>
        </w:tc>
      </w:tr>
      <w:tr>
        <w:trPr>
          <w:trHeight w:val="41"/>
        </w:trPr>
        <w:tc>
          <w:tcPr>
            <w:tcW w:w="1920" w:type="dxa"/>
            <w:vAlign w:val="bottom"/>
            <w:gridSpan w:val="2"/>
          </w:tcPr>
          <w:p>
            <w:pPr>
              <w:spacing w:after="0"/>
              <w:rPr>
                <w:sz w:val="20"/>
                <w:szCs w:val="20"/>
                <w:color w:val="auto"/>
              </w:rPr>
            </w:pPr>
            <w:r>
              <w:rPr>
                <w:rFonts w:ascii="Arial" w:cs="Arial" w:eastAsia="Arial" w:hAnsi="Arial"/>
                <w:sz w:val="3"/>
                <w:szCs w:val="3"/>
                <w:color w:val="FFFFFF"/>
              </w:rPr>
              <w:t>Interest-bearing bank loans 20 2,30</w:t>
            </w:r>
          </w:p>
        </w:tc>
        <w:tc>
          <w:tcPr>
            <w:tcW w:w="2200" w:type="dxa"/>
            <w:vAlign w:val="bottom"/>
          </w:tcPr>
          <w:p>
            <w:pPr>
              <w:jc w:val="right"/>
              <w:ind w:right="1729"/>
              <w:spacing w:after="0"/>
              <w:rPr>
                <w:sz w:val="20"/>
                <w:szCs w:val="20"/>
                <w:color w:val="auto"/>
              </w:rPr>
            </w:pPr>
            <w:r>
              <w:rPr>
                <w:rFonts w:ascii="Arial" w:cs="Arial" w:eastAsia="Arial" w:hAnsi="Arial"/>
                <w:sz w:val="3"/>
                <w:szCs w:val="3"/>
                <w:color w:val="FFFFFF"/>
              </w:rPr>
              <w:t>,7 4 —</w:t>
            </w:r>
          </w:p>
        </w:tc>
      </w:tr>
      <w:tr>
        <w:trPr>
          <w:trHeight w:val="1"/>
        </w:trPr>
        <w:tc>
          <w:tcPr>
            <w:tcW w:w="1920" w:type="dxa"/>
            <w:vAlign w:val="bottom"/>
            <w:gridSpan w:val="2"/>
          </w:tcPr>
          <w:p>
            <w:pPr>
              <w:spacing w:after="0" w:line="2" w:lineRule="exact"/>
              <w:rPr>
                <w:sz w:val="20"/>
                <w:szCs w:val="20"/>
                <w:color w:val="auto"/>
              </w:rPr>
            </w:pPr>
            <w:r>
              <w:rPr>
                <w:rFonts w:ascii="Arial" w:cs="Arial" w:eastAsia="Arial" w:hAnsi="Arial"/>
                <w:sz w:val="1"/>
                <w:szCs w:val="1"/>
                <w:color w:val="FFFFFF"/>
              </w:rPr>
              <w:t>Amounts due to related companies</w:t>
            </w:r>
          </w:p>
        </w:tc>
        <w:tc>
          <w:tcPr>
            <w:tcW w:w="2200" w:type="dxa"/>
            <w:vAlign w:val="bottom"/>
          </w:tcPr>
          <w:p>
            <w:pPr>
              <w:jc w:val="right"/>
              <w:ind w:right="1109"/>
              <w:spacing w:after="0" w:line="2" w:lineRule="exact"/>
              <w:rPr>
                <w:sz w:val="20"/>
                <w:szCs w:val="20"/>
                <w:color w:val="auto"/>
              </w:rPr>
            </w:pPr>
            <w:r>
              <w:rPr>
                <w:rFonts w:ascii="Arial" w:cs="Arial" w:eastAsia="Arial" w:hAnsi="Arial"/>
                <w:sz w:val="1"/>
                <w:szCs w:val="1"/>
                <w:color w:val="FFFFFF"/>
              </w:rPr>
              <w:t>27 158,188 235,922</w:t>
            </w:r>
          </w:p>
        </w:tc>
      </w:tr>
    </w:tbl>
    <w:p>
      <w:pPr>
        <w:spacing w:after="0"/>
        <w:rPr>
          <w:sz w:val="20"/>
          <w:szCs w:val="20"/>
          <w:color w:val="auto"/>
        </w:rPr>
      </w:pPr>
      <w:r>
        <w:rPr>
          <w:rFonts w:ascii="Arial" w:cs="Arial" w:eastAsia="Arial" w:hAnsi="Arial"/>
          <w:sz w:val="24"/>
          <w:szCs w:val="24"/>
          <w:color w:val="FFFFFF"/>
          <w:vertAlign w:val="subscript"/>
        </w:rPr>
        <w:t>Income</w:t>
      </w:r>
      <w:r>
        <w:rPr>
          <w:rFonts w:ascii="Arial" w:cs="Arial" w:eastAsia="Arial" w:hAnsi="Arial"/>
          <w:sz w:val="12"/>
          <w:szCs w:val="12"/>
          <w:color w:val="FFFFFF"/>
        </w:rPr>
        <w:t>terest taxratepayswaps</w:t>
      </w:r>
      <w:r>
        <w:rPr>
          <w:rFonts w:ascii="Arial" w:cs="Arial" w:eastAsia="Arial" w:hAnsi="Arial"/>
          <w:sz w:val="24"/>
          <w:szCs w:val="24"/>
          <w:color w:val="FFFFFF"/>
          <w:vertAlign w:val="subscript"/>
        </w:rPr>
        <w:t>liabilities</w:t>
      </w:r>
      <w:r>
        <w:rPr>
          <w:rFonts w:ascii="Arial" w:cs="Arial" w:eastAsia="Arial" w:hAnsi="Arial"/>
          <w:sz w:val="12"/>
          <w:szCs w:val="12"/>
          <w:color w:val="FFFFFF"/>
        </w:rPr>
        <w:t>le415,04920,75215,45545,730</w:t>
      </w: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4"/>
          <w:szCs w:val="14"/>
          <w:color w:val="FFFFFF"/>
        </w:rPr>
        <w:t>16,938 —</w:t>
      </w:r>
    </w:p>
    <w:p>
      <w:pPr>
        <w:spacing w:after="0"/>
        <w:rPr>
          <w:sz w:val="20"/>
          <w:szCs w:val="20"/>
          <w:color w:val="auto"/>
        </w:rPr>
      </w:pPr>
      <w:r>
        <w:rPr>
          <w:rFonts w:ascii="Arial" w:cs="Arial" w:eastAsia="Arial" w:hAnsi="Arial"/>
          <w:sz w:val="14"/>
          <w:szCs w:val="14"/>
          <w:color w:val="FFFFFF"/>
        </w:rPr>
        <w:t>Total assets less current liabilities 8,034,527 9,367,837</w:t>
      </w:r>
    </w:p>
    <w:p>
      <w:pPr>
        <w:sectPr>
          <w:pgSz w:w="11900" w:h="16838" w:orient="portrait"/>
          <w:cols w:equalWidth="0" w:num="1">
            <w:col w:w="10219"/>
          </w:cols>
          <w:pgMar w:left="240" w:top="1440" w:right="1440"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sz w:val="20"/>
                <w:szCs w:val="20"/>
                <w:color w:val="auto"/>
              </w:rPr>
            </w:pPr>
            <w:r>
              <w:rPr>
                <w:rFonts w:ascii="Arial" w:cs="Arial" w:eastAsia="Arial" w:hAnsi="Arial"/>
                <w:sz w:val="14"/>
                <w:szCs w:val="14"/>
                <w:color w:val="FFFFFF"/>
              </w:rPr>
              <w:t>Annual Report 2011 75</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Financial Statements</w:t>
            </w:r>
          </w:p>
        </w:tc>
      </w:tr>
      <w:tr>
        <w:trPr>
          <w:trHeight w:val="41"/>
        </w:trPr>
        <w:tc>
          <w:tcPr>
            <w:tcW w:w="660" w:type="dxa"/>
            <w:vAlign w:val="bottom"/>
          </w:tcPr>
          <w:p>
            <w:pPr>
              <w:spacing w:after="0"/>
              <w:rPr>
                <w:sz w:val="3"/>
                <w:szCs w:val="3"/>
                <w:color w:val="auto"/>
              </w:rPr>
            </w:pPr>
          </w:p>
        </w:tc>
        <w:tc>
          <w:tcPr>
            <w:tcW w:w="3000" w:type="dxa"/>
            <w:vAlign w:val="bottom"/>
          </w:tcPr>
          <w:p>
            <w:pPr>
              <w:ind w:left="100"/>
              <w:spacing w:after="0"/>
              <w:rPr>
                <w:sz w:val="20"/>
                <w:szCs w:val="20"/>
                <w:color w:val="auto"/>
              </w:rPr>
            </w:pPr>
            <w:r>
              <w:rPr>
                <w:rFonts w:ascii="Arial" w:cs="Arial" w:eastAsia="Arial" w:hAnsi="Arial"/>
                <w:sz w:val="3"/>
                <w:szCs w:val="3"/>
                <w:color w:val="FFFFFF"/>
              </w:rPr>
              <w:t>Statement of Financial Position</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ConsolidatedAs31December</w:t>
            </w: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2011 2010</w:t>
            </w:r>
          </w:p>
        </w:tc>
        <w:tc>
          <w:tcPr>
            <w:tcW w:w="3000" w:type="dxa"/>
            <w:vAlign w:val="bottom"/>
          </w:tcPr>
          <w:p>
            <w:pPr>
              <w:spacing w:after="0"/>
              <w:rPr>
                <w:sz w:val="3"/>
                <w:szCs w:val="3"/>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HK$ HK$</w:t>
            </w:r>
          </w:p>
        </w:tc>
        <w:tc>
          <w:tcPr>
            <w:tcW w:w="3000" w:type="dxa"/>
            <w:vAlign w:val="bottom"/>
          </w:tcPr>
          <w:p>
            <w:pPr>
              <w:spacing w:after="0"/>
              <w:rPr>
                <w:sz w:val="3"/>
                <w:szCs w:val="3"/>
                <w:color w:val="auto"/>
              </w:rPr>
            </w:pPr>
          </w:p>
        </w:tc>
      </w:tr>
      <w:tr>
        <w:trPr>
          <w:trHeight w:val="41"/>
        </w:trPr>
        <w:tc>
          <w:tcPr>
            <w:tcW w:w="3660" w:type="dxa"/>
            <w:vAlign w:val="bottom"/>
            <w:gridSpan w:val="2"/>
          </w:tcPr>
          <w:p>
            <w:pPr>
              <w:ind w:left="180"/>
              <w:spacing w:after="0"/>
              <w:rPr>
                <w:sz w:val="20"/>
                <w:szCs w:val="20"/>
                <w:color w:val="auto"/>
              </w:rPr>
            </w:pPr>
            <w:r>
              <w:rPr>
                <w:rFonts w:ascii="Arial" w:cs="Arial" w:eastAsia="Arial" w:hAnsi="Arial"/>
                <w:sz w:val="3"/>
                <w:szCs w:val="3"/>
                <w:color w:val="FFFFFF"/>
              </w:rPr>
              <w:t>tes (in thousands)</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Non-current liabilities</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Interest-bearing bank loans 20 2,500,752 4,949,703</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Land premium payable 807,104 —</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Interest rate swaps 4 — 55,378</w:t>
            </w:r>
          </w:p>
        </w:tc>
      </w:tr>
      <w:tr>
        <w:trPr>
          <w:trHeight w:val="41"/>
        </w:trPr>
        <w:tc>
          <w:tcPr>
            <w:tcW w:w="3660" w:type="dxa"/>
            <w:vAlign w:val="bottom"/>
            <w:gridSpan w:val="2"/>
          </w:tcPr>
          <w:p>
            <w:pPr>
              <w:ind w:left="340"/>
              <w:spacing w:after="0"/>
              <w:rPr>
                <w:sz w:val="20"/>
                <w:szCs w:val="20"/>
                <w:color w:val="auto"/>
              </w:rPr>
            </w:pPr>
            <w:r>
              <w:rPr>
                <w:rFonts w:ascii="Arial" w:cs="Arial" w:eastAsia="Arial" w:hAnsi="Arial"/>
                <w:sz w:val="3"/>
                <w:szCs w:val="3"/>
                <w:color w:val="FFFFFF"/>
              </w:rPr>
              <w:t>payables and accruals 19 579,770 —</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Other long-term liabilities 118,458 65,667</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Total non-current liabilities 4,006,084 5,070,748</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Net assets 4,028,443 4,297,089</w:t>
            </w:r>
          </w:p>
        </w:tc>
      </w:tr>
      <w:tr>
        <w:trPr>
          <w:trHeight w:val="81"/>
        </w:trPr>
        <w:tc>
          <w:tcPr>
            <w:tcW w:w="3660" w:type="dxa"/>
            <w:vAlign w:val="bottom"/>
            <w:gridSpan w:val="2"/>
          </w:tcPr>
          <w:p>
            <w:pPr>
              <w:spacing w:after="0" w:line="81" w:lineRule="exact"/>
              <w:rPr>
                <w:sz w:val="20"/>
                <w:szCs w:val="20"/>
                <w:color w:val="auto"/>
              </w:rPr>
            </w:pPr>
            <w:r>
              <w:rPr>
                <w:rFonts w:ascii="Arial" w:cs="Arial" w:eastAsia="Arial" w:hAnsi="Arial"/>
                <w:sz w:val="9"/>
                <w:szCs w:val="9"/>
                <w:color w:val="FFFFFF"/>
              </w:rPr>
              <w:t>Eq ity attributable to owners of the Company</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Issued capital 21 5,188 5,188</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Share premium account 22(a) 153,436 152,657</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Reserves 22(a) 3,869,819 4,139,244</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Total equity 4,028,443 4,297,089</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Approved and authorized for issue by the Board on 27 March 2012.</w:t>
            </w: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Stephen A. Wynn Marc D. Schorr</w:t>
            </w:r>
          </w:p>
        </w:tc>
      </w:tr>
      <w:tr>
        <w:trPr>
          <w:trHeight w:val="172"/>
        </w:trPr>
        <w:tc>
          <w:tcPr>
            <w:tcW w:w="3660" w:type="dxa"/>
            <w:vAlign w:val="bottom"/>
            <w:gridSpan w:val="2"/>
          </w:tcPr>
          <w:p>
            <w:pPr>
              <w:spacing w:after="0"/>
              <w:rPr>
                <w:sz w:val="20"/>
                <w:szCs w:val="20"/>
                <w:color w:val="auto"/>
              </w:rPr>
            </w:pPr>
            <w:r>
              <w:rPr>
                <w:rFonts w:ascii="Arial" w:cs="Arial" w:eastAsia="Arial" w:hAnsi="Arial"/>
                <w:sz w:val="14"/>
                <w:szCs w:val="14"/>
                <w:color w:val="FFFFFF"/>
              </w:rPr>
              <w:t>Director Director</w:t>
            </w:r>
          </w:p>
        </w:tc>
      </w:tr>
    </w:tbl>
    <w:p>
      <w:pPr>
        <w:sectPr>
          <w:pgSz w:w="11900" w:h="16838" w:orient="portrait"/>
          <w:cols w:equalWidth="0" w:num="1">
            <w:col w:w="10219"/>
          </w:cols>
          <w:pgMar w:left="240" w:top="1440" w:right="1440"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76FinancialWynn Macau,StatementsLimited</w:t>
      </w:r>
    </w:p>
    <w:p>
      <w:pPr>
        <w:spacing w:after="0"/>
        <w:rPr>
          <w:sz w:val="20"/>
          <w:szCs w:val="20"/>
          <w:color w:val="auto"/>
        </w:rPr>
      </w:pPr>
      <w:r>
        <w:rPr>
          <w:rFonts w:ascii="Arial" w:cs="Arial" w:eastAsia="Arial" w:hAnsi="Arial"/>
          <w:sz w:val="3"/>
          <w:szCs w:val="3"/>
          <w:color w:val="FFFFFF"/>
        </w:rPr>
        <w:t>Consolidated Statement of Changes in Equity</w:t>
      </w:r>
    </w:p>
    <w:p>
      <w:pPr>
        <w:spacing w:after="0" w:line="181" w:lineRule="auto"/>
        <w:rPr>
          <w:sz w:val="20"/>
          <w:szCs w:val="20"/>
          <w:color w:val="auto"/>
        </w:rPr>
      </w:pPr>
      <w:r>
        <w:rPr>
          <w:rFonts w:ascii="Arial" w:cs="Arial" w:eastAsia="Arial" w:hAnsi="Arial"/>
          <w:sz w:val="10"/>
          <w:szCs w:val="10"/>
          <w:color w:val="FFFFFF"/>
        </w:rPr>
        <w:t>Availablettributable- to owners of the Company</w:t>
      </w:r>
    </w:p>
    <w:p>
      <w:pPr>
        <w:spacing w:after="0" w:line="188" w:lineRule="auto"/>
        <w:rPr>
          <w:sz w:val="20"/>
          <w:szCs w:val="20"/>
          <w:color w:val="auto"/>
        </w:rPr>
      </w:pPr>
      <w:r>
        <w:rPr>
          <w:rFonts w:ascii="Arial" w:cs="Arial" w:eastAsia="Arial" w:hAnsi="Arial"/>
          <w:sz w:val="9"/>
          <w:szCs w:val="9"/>
          <w:color w:val="FFFFFF"/>
        </w:rPr>
        <w:t>Sharefor-saleInvestments Currency</w:t>
      </w:r>
    </w:p>
    <w:p>
      <w:pPr>
        <w:spacing w:after="0"/>
        <w:rPr>
          <w:sz w:val="20"/>
          <w:szCs w:val="20"/>
          <w:color w:val="auto"/>
        </w:rPr>
      </w:pPr>
      <w:r>
        <w:rPr>
          <w:rFonts w:ascii="Arial" w:cs="Arial" w:eastAsia="Arial" w:hAnsi="Arial"/>
          <w:sz w:val="3"/>
          <w:szCs w:val="3"/>
          <w:color w:val="FFFFFF"/>
        </w:rPr>
        <w:t>Issued Premium Revaluation Other Ret ined Translation Total</w:t>
      </w:r>
    </w:p>
    <w:p>
      <w:pPr>
        <w:spacing w:after="0" w:line="181" w:lineRule="auto"/>
        <w:rPr>
          <w:sz w:val="20"/>
          <w:szCs w:val="20"/>
          <w:color w:val="auto"/>
        </w:rPr>
      </w:pPr>
      <w:r>
        <w:rPr>
          <w:rFonts w:ascii="Arial" w:cs="Arial" w:eastAsia="Arial" w:hAnsi="Arial"/>
          <w:sz w:val="10"/>
          <w:szCs w:val="10"/>
          <w:color w:val="FFFFFF"/>
        </w:rPr>
        <w:t>HKCapital$HKAccount$HK$ HKReserve*$HK$ Reserves*HK$HK$Earnings* Reserve* Equity</w:t>
      </w:r>
    </w:p>
    <w:p>
      <w:pPr>
        <w:spacing w:after="0"/>
        <w:rPr>
          <w:sz w:val="20"/>
          <w:szCs w:val="20"/>
          <w:color w:val="auto"/>
        </w:rPr>
      </w:pPr>
      <w:r>
        <w:rPr>
          <w:rFonts w:ascii="Arial" w:cs="Arial" w:eastAsia="Arial" w:hAnsi="Arial"/>
          <w:sz w:val="3"/>
          <w:szCs w:val="3"/>
          <w:color w:val="FFFFFF"/>
        </w:rPr>
        <w:t>Notes (in thousands)</w:t>
      </w:r>
    </w:p>
    <w:p>
      <w:pPr>
        <w:spacing w:after="0" w:line="181" w:lineRule="auto"/>
        <w:rPr>
          <w:sz w:val="20"/>
          <w:szCs w:val="20"/>
          <w:color w:val="auto"/>
        </w:rPr>
      </w:pPr>
      <w:r>
        <w:rPr>
          <w:rFonts w:ascii="Arial" w:cs="Arial" w:eastAsia="Arial" w:hAnsi="Arial"/>
          <w:sz w:val="10"/>
          <w:szCs w:val="10"/>
          <w:color w:val="FFFFFF"/>
        </w:rPr>
        <w:t>NetAt1profitJanuaryfor 2010theyear5,188— 1,923,617———4,422,010—737,141—1,088,1924,422,01016,828 3,770,966</w:t>
      </w:r>
    </w:p>
    <w:p>
      <w:pPr>
        <w:spacing w:after="0"/>
        <w:rPr>
          <w:sz w:val="20"/>
          <w:szCs w:val="20"/>
          <w:color w:val="auto"/>
        </w:rPr>
      </w:pPr>
      <w:r>
        <w:rPr>
          <w:rFonts w:ascii="Arial" w:cs="Arial" w:eastAsia="Arial" w:hAnsi="Arial"/>
          <w:sz w:val="3"/>
          <w:szCs w:val="3"/>
          <w:color w:val="FFFFFF"/>
        </w:rPr>
        <w:t>Total comprehensive income</w:t>
      </w:r>
    </w:p>
    <w:p>
      <w:pPr>
        <w:spacing w:after="0" w:line="181" w:lineRule="auto"/>
        <w:rPr>
          <w:sz w:val="20"/>
          <w:szCs w:val="20"/>
          <w:color w:val="auto"/>
        </w:rPr>
      </w:pPr>
      <w:r>
        <w:rPr>
          <w:rFonts w:ascii="Arial" w:cs="Arial" w:eastAsia="Arial" w:hAnsi="Arial"/>
          <w:sz w:val="10"/>
          <w:szCs w:val="10"/>
          <w:color w:val="FFFFFF"/>
        </w:rPr>
        <w:t>Specialforharethe-basedyear—payments———234,422,010——— —46,6134,422,010—— 46,613</w:t>
      </w:r>
    </w:p>
    <w:p>
      <w:pPr>
        <w:ind w:left="440"/>
        <w:spacing w:after="0"/>
        <w:rPr>
          <w:sz w:val="20"/>
          <w:szCs w:val="20"/>
          <w:color w:val="auto"/>
        </w:rPr>
      </w:pPr>
      <w:r>
        <w:rPr>
          <w:rFonts w:ascii="Arial" w:cs="Arial" w:eastAsia="Arial" w:hAnsi="Arial"/>
          <w:sz w:val="3"/>
          <w:szCs w:val="3"/>
          <w:color w:val="FFFFFF"/>
        </w:rPr>
        <w:t>dividend paid 6 — (1,770,960) — — (2,171,540) — (3,942,500)</w:t>
      </w:r>
    </w:p>
    <w:p>
      <w:pPr>
        <w:spacing w:after="0" w:line="181" w:lineRule="auto"/>
        <w:rPr>
          <w:sz w:val="20"/>
          <w:szCs w:val="20"/>
          <w:color w:val="auto"/>
        </w:rPr>
      </w:pPr>
      <w:r>
        <w:rPr>
          <w:rFonts w:ascii="Arial" w:cs="Arial" w:eastAsia="Arial" w:hAnsi="Arial"/>
          <w:sz w:val="10"/>
          <w:szCs w:val="10"/>
          <w:color w:val="FFFFFF"/>
        </w:rPr>
        <w:t>1AtJanuary31December20115,1882010152,657and — 783,754 3,338,662 16,828 4,297,089</w:t>
      </w:r>
    </w:p>
    <w:p>
      <w:pPr>
        <w:spacing w:after="0"/>
        <w:rPr>
          <w:sz w:val="20"/>
          <w:szCs w:val="20"/>
          <w:color w:val="auto"/>
        </w:rPr>
      </w:pPr>
      <w:r>
        <w:rPr>
          <w:rFonts w:ascii="Arial" w:cs="Arial" w:eastAsia="Arial" w:hAnsi="Arial"/>
          <w:sz w:val="3"/>
          <w:szCs w:val="3"/>
          <w:color w:val="FFFFFF"/>
        </w:rPr>
        <w:t>Net profit for the year — — — — 5,921,013 — 5,921,013</w:t>
      </w:r>
    </w:p>
    <w:p>
      <w:pPr>
        <w:spacing w:after="0" w:line="181" w:lineRule="auto"/>
        <w:rPr>
          <w:sz w:val="20"/>
          <w:szCs w:val="20"/>
          <w:color w:val="auto"/>
        </w:rPr>
      </w:pPr>
      <w:r>
        <w:rPr>
          <w:rFonts w:ascii="Arial" w:cs="Arial" w:eastAsia="Arial" w:hAnsi="Arial"/>
          <w:sz w:val="10"/>
          <w:szCs w:val="10"/>
          <w:color w:val="FFFFFF"/>
        </w:rPr>
        <w:t>availableChangesinvestments,-forfair-salevalue of</w:t>
      </w:r>
    </w:p>
    <w:p>
      <w:pPr>
        <w:ind w:left="720"/>
        <w:spacing w:after="0"/>
        <w:rPr>
          <w:sz w:val="20"/>
          <w:szCs w:val="20"/>
          <w:color w:val="auto"/>
        </w:rPr>
      </w:pPr>
      <w:r>
        <w:rPr>
          <w:rFonts w:ascii="Arial" w:cs="Arial" w:eastAsia="Arial" w:hAnsi="Arial"/>
          <w:sz w:val="3"/>
          <w:szCs w:val="3"/>
          <w:color w:val="FFFFFF"/>
        </w:rPr>
        <w:t>net of tax — — (14,341) — — — (14,341)</w:t>
      </w:r>
    </w:p>
    <w:p>
      <w:pPr>
        <w:spacing w:after="0" w:line="181" w:lineRule="auto"/>
        <w:rPr>
          <w:sz w:val="20"/>
          <w:szCs w:val="20"/>
          <w:color w:val="auto"/>
        </w:rPr>
      </w:pPr>
      <w:r>
        <w:rPr>
          <w:rFonts w:ascii="Arial" w:cs="Arial" w:eastAsia="Arial" w:hAnsi="Arial"/>
          <w:sz w:val="10"/>
          <w:szCs w:val="10"/>
          <w:color w:val="FFFFFF"/>
        </w:rPr>
        <w:t>forTotalthecomprehensiveyear——(14,341)income— 5,921,013 — 5,906,672</w:t>
      </w:r>
    </w:p>
    <w:p>
      <w:pPr>
        <w:spacing w:after="0"/>
        <w:rPr>
          <w:sz w:val="20"/>
          <w:szCs w:val="20"/>
          <w:color w:val="auto"/>
        </w:rPr>
      </w:pPr>
      <w:r>
        <w:rPr>
          <w:rFonts w:ascii="Arial" w:cs="Arial" w:eastAsia="Arial" w:hAnsi="Arial"/>
          <w:sz w:val="3"/>
          <w:szCs w:val="3"/>
          <w:color w:val="FFFFFF"/>
        </w:rPr>
        <w:t>Share-based payments 23 — — — 49,196 — — 49,196</w:t>
      </w:r>
    </w:p>
    <w:p>
      <w:pPr>
        <w:spacing w:after="0" w:line="181" w:lineRule="auto"/>
        <w:rPr>
          <w:sz w:val="20"/>
          <w:szCs w:val="20"/>
          <w:color w:val="auto"/>
        </w:rPr>
      </w:pPr>
      <w:r>
        <w:rPr>
          <w:rFonts w:ascii="Arial" w:cs="Arial" w:eastAsia="Arial" w:hAnsi="Arial"/>
          <w:sz w:val="10"/>
          <w:szCs w:val="10"/>
          <w:color w:val="FFFFFF"/>
        </w:rPr>
        <w:t>SpecialExercisedividendofshare paidoptions6—23———779— —(6,225,060)(233)— —— 546(6,225,060)</w:t>
      </w:r>
    </w:p>
    <w:p>
      <w:pPr>
        <w:ind w:right="20"/>
        <w:spacing w:after="0"/>
        <w:rPr>
          <w:sz w:val="20"/>
          <w:szCs w:val="20"/>
          <w:color w:val="auto"/>
        </w:rPr>
      </w:pPr>
      <w:r>
        <w:rPr>
          <w:rFonts w:ascii="Arial" w:cs="Arial" w:eastAsia="Arial" w:hAnsi="Arial"/>
          <w:sz w:val="9"/>
          <w:szCs w:val="9"/>
          <w:color w:val="FFFFFF"/>
        </w:rPr>
        <w:t>*AtThese31Decembreserveraccounts20115,188comprise153,436the(14,341)consolidated832,717reserves3,034,615ofHK16,828$3.9billion4,028,443and HK$4.1 billion in the consolidated statement of fi nancial position at 31 December 2011 and 2010, respectively. Other reserves at</w:t>
      </w:r>
    </w:p>
    <w:p>
      <w:pPr>
        <w:spacing w:after="0" w:line="18"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of1Januaryissuedcapital2010includeofWynncumulativeResortsInternational,share-based paymentsLtd. of HK$133.8 million and issued capital of HK$554.7 million, which is composed of HK$194.3 million of issued capital of WRM and HK$360.4 million In accordance with the provisions of the Macau Commercial Code, the Company’thissubsidiaries incorporated in Macau are required to transfer a minimum of 10% of the annual net profi“othertoa legal reserve until</w:t>
      </w:r>
    </w:p>
    <w:p>
      <w:pPr>
        <w:sectPr>
          <w:pgSz w:w="11900" w:h="16838" w:orient="portrait"/>
          <w:cols w:equalWidth="0" w:num="1">
            <w:col w:w="11420"/>
          </w:cols>
          <w:pgMar w:left="240" w:top="1440" w:right="23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Arial" w:cs="Arial" w:eastAsia="Arial" w:hAnsi="Arial"/>
                <w:sz w:val="14"/>
                <w:szCs w:val="14"/>
                <w:color w:val="FFFFFF"/>
                <w:w w:val="98"/>
              </w:rPr>
              <w:t>Annual Report 2011 77</w:t>
            </w:r>
          </w:p>
        </w:tc>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41"/>
        </w:trPr>
        <w:tc>
          <w:tcPr>
            <w:tcW w:w="14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3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Consolidated Statement of Cash Flows</w:t>
            </w:r>
          </w:p>
        </w:tc>
      </w:tr>
      <w:tr>
        <w:trPr>
          <w:trHeight w:val="41"/>
        </w:trPr>
        <w:tc>
          <w:tcPr>
            <w:tcW w:w="1800" w:type="dxa"/>
            <w:vAlign w:val="bottom"/>
            <w:gridSpan w:val="3"/>
          </w:tcPr>
          <w:p>
            <w:pPr>
              <w:spacing w:after="0"/>
              <w:rPr>
                <w:sz w:val="20"/>
                <w:szCs w:val="20"/>
                <w:color w:val="auto"/>
              </w:rPr>
            </w:pPr>
            <w:r>
              <w:rPr>
                <w:rFonts w:ascii="Arial" w:cs="Arial" w:eastAsia="Arial" w:hAnsi="Arial"/>
                <w:sz w:val="3"/>
                <w:szCs w:val="3"/>
                <w:color w:val="FFFFFF"/>
              </w:rPr>
              <w:t>For the year ended 31 December</w:t>
            </w:r>
          </w:p>
        </w:tc>
        <w:tc>
          <w:tcPr>
            <w:tcW w:w="2500" w:type="dxa"/>
            <w:vAlign w:val="bottom"/>
          </w:tcPr>
          <w:p>
            <w:pPr>
              <w:spacing w:after="0"/>
              <w:rPr>
                <w:sz w:val="3"/>
                <w:szCs w:val="3"/>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2011 2010</w:t>
            </w: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HK$ HK$</w:t>
            </w: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41"/>
        </w:trPr>
        <w:tc>
          <w:tcPr>
            <w:tcW w:w="1440" w:type="dxa"/>
            <w:vAlign w:val="bottom"/>
            <w:gridSpan w:val="2"/>
          </w:tcPr>
          <w:p>
            <w:pPr>
              <w:spacing w:after="0"/>
              <w:rPr>
                <w:sz w:val="20"/>
                <w:szCs w:val="20"/>
                <w:color w:val="auto"/>
              </w:rPr>
            </w:pPr>
            <w:r>
              <w:rPr>
                <w:rFonts w:ascii="Arial" w:cs="Arial" w:eastAsia="Arial" w:hAnsi="Arial"/>
                <w:sz w:val="3"/>
                <w:szCs w:val="3"/>
                <w:color w:val="FFFFFF"/>
              </w:rPr>
              <w:t>Notes (in thousands)</w:t>
            </w:r>
          </w:p>
        </w:tc>
        <w:tc>
          <w:tcPr>
            <w:tcW w:w="3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41"/>
        </w:trPr>
        <w:tc>
          <w:tcPr>
            <w:tcW w:w="1440" w:type="dxa"/>
            <w:vAlign w:val="bottom"/>
            <w:gridSpan w:val="2"/>
          </w:tcPr>
          <w:p>
            <w:pPr>
              <w:spacing w:after="0"/>
              <w:rPr>
                <w:sz w:val="20"/>
                <w:szCs w:val="20"/>
                <w:color w:val="auto"/>
              </w:rPr>
            </w:pPr>
            <w:r>
              <w:rPr>
                <w:rFonts w:ascii="Arial" w:cs="Arial" w:eastAsia="Arial" w:hAnsi="Arial"/>
                <w:sz w:val="3"/>
                <w:szCs w:val="3"/>
                <w:color w:val="FFFFFF"/>
              </w:rPr>
              <w:t>Operating activities</w:t>
            </w:r>
          </w:p>
        </w:tc>
        <w:tc>
          <w:tcPr>
            <w:tcW w:w="3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Profit before tax 5,894,245 4,466,103</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Adjustments to reconcile profits before tax to net cash flows:</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Depreciation of property and equipment 3.3 992,655 967,494</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Amortization of leasehold interest in land 3.3 23,766 22,022</w:t>
            </w:r>
          </w:p>
        </w:tc>
      </w:tr>
      <w:tr>
        <w:trPr>
          <w:trHeight w:val="41"/>
        </w:trPr>
        <w:tc>
          <w:tcPr>
            <w:tcW w:w="4300" w:type="dxa"/>
            <w:vAlign w:val="bottom"/>
            <w:gridSpan w:val="4"/>
          </w:tcPr>
          <w:p>
            <w:pPr>
              <w:ind w:left="200"/>
              <w:spacing w:after="0"/>
              <w:rPr>
                <w:sz w:val="20"/>
                <w:szCs w:val="20"/>
                <w:color w:val="auto"/>
              </w:rPr>
            </w:pPr>
            <w:r>
              <w:rPr>
                <w:rFonts w:ascii="Arial" w:cs="Arial" w:eastAsia="Arial" w:hAnsi="Arial"/>
                <w:sz w:val="3"/>
                <w:szCs w:val="3"/>
                <w:color w:val="FFFFFF"/>
              </w:rPr>
              <w:t>perty charges and other 671,679 47,009</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Provision for doubtful accounts 3.2 104,621 98,224</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Share-based payment expense 3.1 49,196 46,613</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Increase in fair value of interest rate swaps (80,366) (26,452)</w:t>
            </w:r>
          </w:p>
        </w:tc>
      </w:tr>
      <w:tr>
        <w:trPr>
          <w:trHeight w:val="41"/>
        </w:trPr>
        <w:tc>
          <w:tcPr>
            <w:tcW w:w="960" w:type="dxa"/>
            <w:vAlign w:val="bottom"/>
          </w:tcPr>
          <w:p>
            <w:pPr>
              <w:ind w:left="460"/>
              <w:spacing w:after="0"/>
              <w:rPr>
                <w:sz w:val="20"/>
                <w:szCs w:val="20"/>
                <w:color w:val="auto"/>
              </w:rPr>
            </w:pPr>
            <w:r>
              <w:rPr>
                <w:rFonts w:ascii="Arial" w:cs="Arial" w:eastAsia="Arial" w:hAnsi="Arial"/>
                <w:sz w:val="3"/>
                <w:szCs w:val="3"/>
                <w:color w:val="FFFFFF"/>
              </w:rPr>
              <w:t>revenues</w:t>
            </w:r>
          </w:p>
        </w:tc>
        <w:tc>
          <w:tcPr>
            <w:tcW w:w="3340" w:type="dxa"/>
            <w:vAlign w:val="bottom"/>
            <w:gridSpan w:val="3"/>
          </w:tcPr>
          <w:p>
            <w:pPr>
              <w:jc w:val="center"/>
              <w:ind w:right="2075"/>
              <w:spacing w:after="0"/>
              <w:rPr>
                <w:sz w:val="20"/>
                <w:szCs w:val="20"/>
                <w:color w:val="auto"/>
              </w:rPr>
            </w:pPr>
            <w:r>
              <w:rPr>
                <w:rFonts w:ascii="Arial" w:cs="Arial" w:eastAsia="Arial" w:hAnsi="Arial"/>
                <w:sz w:val="3"/>
                <w:szCs w:val="3"/>
                <w:color w:val="FFFFFF"/>
              </w:rPr>
              <w:t>.5 (49,066) (2,027)</w:t>
            </w: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Finance costs 3.6</w:t>
            </w:r>
          </w:p>
        </w:tc>
        <w:tc>
          <w:tcPr>
            <w:tcW w:w="480" w:type="dxa"/>
            <w:vAlign w:val="bottom"/>
          </w:tcPr>
          <w:p>
            <w:pPr>
              <w:jc w:val="right"/>
              <w:ind w:right="3"/>
              <w:spacing w:after="0"/>
              <w:rPr>
                <w:sz w:val="20"/>
                <w:szCs w:val="20"/>
                <w:color w:val="auto"/>
              </w:rPr>
            </w:pPr>
            <w:r>
              <w:rPr>
                <w:rFonts w:ascii="Arial" w:cs="Arial" w:eastAsia="Arial" w:hAnsi="Arial"/>
                <w:sz w:val="3"/>
                <w:szCs w:val="3"/>
                <w:color w:val="FFFFFF"/>
              </w:rPr>
              <w:t>259,386</w:t>
            </w:r>
          </w:p>
        </w:tc>
        <w:tc>
          <w:tcPr>
            <w:tcW w:w="2860" w:type="dxa"/>
            <w:vAlign w:val="bottom"/>
            <w:gridSpan w:val="2"/>
          </w:tcPr>
          <w:p>
            <w:pPr>
              <w:jc w:val="right"/>
              <w:ind w:right="2375"/>
              <w:spacing w:after="0"/>
              <w:rPr>
                <w:sz w:val="20"/>
                <w:szCs w:val="20"/>
                <w:color w:val="auto"/>
              </w:rPr>
            </w:pPr>
            <w:r>
              <w:rPr>
                <w:rFonts w:ascii="Arial" w:cs="Arial" w:eastAsia="Arial" w:hAnsi="Arial"/>
                <w:sz w:val="3"/>
                <w:szCs w:val="3"/>
                <w:color w:val="FFFFFF"/>
              </w:rPr>
              <w:t>255,480</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Net foreign currency differences (41,900) 6,398</w:t>
            </w:r>
          </w:p>
        </w:tc>
      </w:tr>
      <w:tr>
        <w:trPr>
          <w:trHeight w:val="41"/>
        </w:trPr>
        <w:tc>
          <w:tcPr>
            <w:tcW w:w="1800" w:type="dxa"/>
            <w:vAlign w:val="bottom"/>
            <w:gridSpan w:val="3"/>
          </w:tcPr>
          <w:p>
            <w:pPr>
              <w:spacing w:after="0"/>
              <w:rPr>
                <w:sz w:val="20"/>
                <w:szCs w:val="20"/>
                <w:color w:val="auto"/>
              </w:rPr>
            </w:pPr>
            <w:r>
              <w:rPr>
                <w:rFonts w:ascii="Arial" w:cs="Arial" w:eastAsia="Arial" w:hAnsi="Arial"/>
                <w:sz w:val="3"/>
                <w:szCs w:val="3"/>
                <w:color w:val="FFFFFF"/>
              </w:rPr>
              <w:t>Working capital adjustments:</w:t>
            </w:r>
          </w:p>
        </w:tc>
        <w:tc>
          <w:tcPr>
            <w:tcW w:w="2500" w:type="dxa"/>
            <w:vAlign w:val="bottom"/>
          </w:tcPr>
          <w:p>
            <w:pPr>
              <w:spacing w:after="0"/>
              <w:rPr>
                <w:sz w:val="3"/>
                <w:szCs w:val="3"/>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Decrease in</w:t>
            </w:r>
          </w:p>
        </w:tc>
        <w:tc>
          <w:tcPr>
            <w:tcW w:w="840" w:type="dxa"/>
            <w:vAlign w:val="bottom"/>
            <w:gridSpan w:val="2"/>
          </w:tcPr>
          <w:p>
            <w:pPr>
              <w:jc w:val="center"/>
              <w:ind w:left="303"/>
              <w:spacing w:after="0"/>
              <w:rPr>
                <w:sz w:val="20"/>
                <w:szCs w:val="20"/>
                <w:color w:val="auto"/>
              </w:rPr>
            </w:pPr>
            <w:r>
              <w:rPr>
                <w:rFonts w:ascii="Arial" w:cs="Arial" w:eastAsia="Arial" w:hAnsi="Arial"/>
                <w:sz w:val="3"/>
                <w:szCs w:val="3"/>
                <w:color w:val="FFFFFF"/>
              </w:rPr>
              <w:t>9 33,841</w:t>
            </w:r>
          </w:p>
        </w:tc>
        <w:tc>
          <w:tcPr>
            <w:tcW w:w="2500" w:type="dxa"/>
            <w:vAlign w:val="bottom"/>
          </w:tcPr>
          <w:p>
            <w:pPr>
              <w:spacing w:after="0"/>
              <w:rPr>
                <w:sz w:val="3"/>
                <w:szCs w:val="3"/>
                <w:color w:val="auto"/>
              </w:rPr>
            </w:pPr>
          </w:p>
        </w:tc>
      </w:tr>
      <w:tr>
        <w:trPr>
          <w:trHeight w:val="41"/>
        </w:trPr>
        <w:tc>
          <w:tcPr>
            <w:tcW w:w="4300" w:type="dxa"/>
            <w:vAlign w:val="bottom"/>
            <w:gridSpan w:val="4"/>
          </w:tcPr>
          <w:p>
            <w:pPr>
              <w:ind w:left="640"/>
              <w:spacing w:after="0"/>
              <w:rPr>
                <w:sz w:val="20"/>
                <w:szCs w:val="20"/>
                <w:color w:val="auto"/>
              </w:rPr>
            </w:pPr>
            <w:r>
              <w:rPr>
                <w:rFonts w:ascii="Arial" w:cs="Arial" w:eastAsia="Arial" w:hAnsi="Arial"/>
                <w:sz w:val="3"/>
                <w:szCs w:val="3"/>
                <w:color w:val="FFFFFF"/>
              </w:rPr>
              <w:t>tradeinventoriesandher receivables (366,529) (258,253)</w:t>
            </w:r>
          </w:p>
        </w:tc>
      </w:tr>
      <w:tr>
        <w:trPr>
          <w:trHeight w:val="41"/>
        </w:trPr>
        <w:tc>
          <w:tcPr>
            <w:tcW w:w="4300" w:type="dxa"/>
            <w:vAlign w:val="bottom"/>
            <w:gridSpan w:val="4"/>
          </w:tcPr>
          <w:p>
            <w:pPr>
              <w:ind w:left="640"/>
              <w:spacing w:after="0"/>
              <w:rPr>
                <w:sz w:val="20"/>
                <w:szCs w:val="20"/>
                <w:color w:val="auto"/>
              </w:rPr>
            </w:pPr>
            <w:r>
              <w:rPr>
                <w:rFonts w:ascii="Arial" w:cs="Arial" w:eastAsia="Arial" w:hAnsi="Arial"/>
                <w:sz w:val="3"/>
                <w:szCs w:val="3"/>
                <w:color w:val="FFFFFF"/>
              </w:rPr>
              <w:t>prepayments and other assets (8,703) (7,431)</w:t>
            </w:r>
          </w:p>
        </w:tc>
      </w:tr>
      <w:tr>
        <w:trPr>
          <w:trHeight w:val="41"/>
        </w:trPr>
        <w:tc>
          <w:tcPr>
            <w:tcW w:w="4300" w:type="dxa"/>
            <w:vAlign w:val="bottom"/>
            <w:gridSpan w:val="4"/>
          </w:tcPr>
          <w:p>
            <w:pPr>
              <w:ind w:left="640"/>
              <w:spacing w:after="0"/>
              <w:rPr>
                <w:sz w:val="20"/>
                <w:szCs w:val="20"/>
                <w:color w:val="auto"/>
              </w:rPr>
            </w:pPr>
            <w:r>
              <w:rPr>
                <w:rFonts w:ascii="Arial" w:cs="Arial" w:eastAsia="Arial" w:hAnsi="Arial"/>
                <w:sz w:val="3"/>
                <w:szCs w:val="3"/>
                <w:color w:val="FFFFFF"/>
              </w:rPr>
              <w:t>accounts payable 105,412 360,847</w:t>
            </w:r>
          </w:p>
        </w:tc>
      </w:tr>
      <w:tr>
        <w:trPr>
          <w:trHeight w:val="41"/>
        </w:trPr>
        <w:tc>
          <w:tcPr>
            <w:tcW w:w="4300" w:type="dxa"/>
            <w:vAlign w:val="bottom"/>
            <w:gridSpan w:val="4"/>
          </w:tcPr>
          <w:p>
            <w:pPr>
              <w:ind w:left="500"/>
              <w:spacing w:after="0"/>
              <w:rPr>
                <w:sz w:val="20"/>
                <w:szCs w:val="20"/>
                <w:color w:val="auto"/>
              </w:rPr>
            </w:pPr>
            <w:r>
              <w:rPr>
                <w:rFonts w:ascii="Arial" w:cs="Arial" w:eastAsia="Arial" w:hAnsi="Arial"/>
                <w:sz w:val="3"/>
                <w:szCs w:val="3"/>
                <w:color w:val="FFFFFF"/>
              </w:rPr>
              <w:t>in other payables, accruals and other liabilities 1,630,413 1,049,506</w:t>
            </w:r>
          </w:p>
        </w:tc>
      </w:tr>
      <w:tr>
        <w:trPr>
          <w:trHeight w:val="41"/>
        </w:trPr>
        <w:tc>
          <w:tcPr>
            <w:tcW w:w="4300" w:type="dxa"/>
            <w:vAlign w:val="bottom"/>
            <w:gridSpan w:val="4"/>
          </w:tcPr>
          <w:p>
            <w:pPr>
              <w:ind w:left="180"/>
              <w:spacing w:after="0"/>
              <w:rPr>
                <w:sz w:val="20"/>
                <w:szCs w:val="20"/>
                <w:color w:val="auto"/>
              </w:rPr>
            </w:pPr>
            <w:r>
              <w:rPr>
                <w:rFonts w:ascii="Arial" w:cs="Arial" w:eastAsia="Arial" w:hAnsi="Arial"/>
                <w:sz w:val="3"/>
                <w:szCs w:val="3"/>
                <w:color w:val="FFFFFF"/>
              </w:rPr>
              <w:t>rease (decrease) in net amounts due to related companies 247,862 (174,304)</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Income taxes paid (15,511) (6,990)</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Net cash flows from operating activities 9,417,169 6,878,080</w:t>
            </w:r>
          </w:p>
        </w:tc>
      </w:tr>
      <w:tr>
        <w:trPr>
          <w:trHeight w:val="41"/>
        </w:trPr>
        <w:tc>
          <w:tcPr>
            <w:tcW w:w="1440" w:type="dxa"/>
            <w:vAlign w:val="bottom"/>
            <w:gridSpan w:val="2"/>
          </w:tcPr>
          <w:p>
            <w:pPr>
              <w:spacing w:after="0"/>
              <w:rPr>
                <w:sz w:val="20"/>
                <w:szCs w:val="20"/>
                <w:color w:val="auto"/>
              </w:rPr>
            </w:pPr>
            <w:r>
              <w:rPr>
                <w:rFonts w:ascii="Arial" w:cs="Arial" w:eastAsia="Arial" w:hAnsi="Arial"/>
                <w:sz w:val="3"/>
                <w:szCs w:val="3"/>
                <w:color w:val="FFFFFF"/>
              </w:rPr>
              <w:t>Investing activities</w:t>
            </w:r>
          </w:p>
        </w:tc>
        <w:tc>
          <w:tcPr>
            <w:tcW w:w="3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Purchase of property and equipment,</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net of construction retention payables (445,335) (963,219)</w:t>
            </w:r>
          </w:p>
        </w:tc>
      </w:tr>
      <w:tr>
        <w:trPr>
          <w:trHeight w:val="41"/>
        </w:trPr>
        <w:tc>
          <w:tcPr>
            <w:tcW w:w="4300" w:type="dxa"/>
            <w:vAlign w:val="bottom"/>
            <w:gridSpan w:val="4"/>
          </w:tcPr>
          <w:p>
            <w:pPr>
              <w:jc w:val="center"/>
              <w:ind w:right="1155"/>
              <w:spacing w:after="0"/>
              <w:rPr>
                <w:sz w:val="20"/>
                <w:szCs w:val="20"/>
                <w:color w:val="auto"/>
              </w:rPr>
            </w:pPr>
            <w:r>
              <w:rPr>
                <w:rFonts w:ascii="Arial" w:cs="Arial" w:eastAsia="Arial" w:hAnsi="Arial"/>
                <w:sz w:val="3"/>
                <w:szCs w:val="3"/>
                <w:color w:val="FFFFFF"/>
              </w:rPr>
              <w:t>ur hase of available-for-sale investments (518,654) —</w:t>
            </w:r>
          </w:p>
        </w:tc>
      </w:tr>
      <w:tr>
        <w:trPr>
          <w:trHeight w:val="41"/>
        </w:trPr>
        <w:tc>
          <w:tcPr>
            <w:tcW w:w="4300" w:type="dxa"/>
            <w:vAlign w:val="bottom"/>
            <w:gridSpan w:val="4"/>
          </w:tcPr>
          <w:p>
            <w:pPr>
              <w:jc w:val="center"/>
              <w:ind w:right="955"/>
              <w:spacing w:after="0"/>
              <w:rPr>
                <w:sz w:val="20"/>
                <w:szCs w:val="20"/>
                <w:color w:val="auto"/>
              </w:rPr>
            </w:pPr>
            <w:r>
              <w:rPr>
                <w:rFonts w:ascii="Arial" w:cs="Arial" w:eastAsia="Arial" w:hAnsi="Arial"/>
                <w:sz w:val="3"/>
                <w:szCs w:val="3"/>
                <w:color w:val="FFFFFF"/>
              </w:rPr>
              <w:t>oceeds from sale of property and equipment 7,235 4,048</w:t>
            </w:r>
          </w:p>
        </w:tc>
      </w:tr>
      <w:tr>
        <w:trPr>
          <w:trHeight w:val="41"/>
        </w:trPr>
        <w:tc>
          <w:tcPr>
            <w:tcW w:w="4300" w:type="dxa"/>
            <w:vAlign w:val="bottom"/>
            <w:gridSpan w:val="4"/>
          </w:tcPr>
          <w:p>
            <w:pPr>
              <w:ind w:left="80"/>
              <w:spacing w:after="0"/>
              <w:rPr>
                <w:sz w:val="20"/>
                <w:szCs w:val="20"/>
                <w:color w:val="auto"/>
              </w:rPr>
            </w:pPr>
            <w:r>
              <w:rPr>
                <w:rFonts w:ascii="Arial" w:cs="Arial" w:eastAsia="Arial" w:hAnsi="Arial"/>
                <w:sz w:val="3"/>
                <w:szCs w:val="3"/>
                <w:color w:val="FFFFFF"/>
              </w:rPr>
              <w:t>rincipal payments for leasehold interest in land (485,437) (33,288)</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Purchase of other non-current assets (111,246) (25,393)</w:t>
            </w:r>
          </w:p>
        </w:tc>
      </w:tr>
      <w:tr>
        <w:trPr>
          <w:trHeight w:val="41"/>
        </w:trPr>
        <w:tc>
          <w:tcPr>
            <w:tcW w:w="1800" w:type="dxa"/>
            <w:vAlign w:val="bottom"/>
            <w:gridSpan w:val="3"/>
          </w:tcPr>
          <w:p>
            <w:pPr>
              <w:spacing w:after="0"/>
              <w:rPr>
                <w:sz w:val="20"/>
                <w:szCs w:val="20"/>
                <w:color w:val="auto"/>
              </w:rPr>
            </w:pPr>
            <w:r>
              <w:rPr>
                <w:rFonts w:ascii="Arial" w:cs="Arial" w:eastAsia="Arial" w:hAnsi="Arial"/>
                <w:sz w:val="3"/>
                <w:szCs w:val="3"/>
                <w:color w:val="FFFFFF"/>
              </w:rPr>
              <w:t>Interest received 47,894 2,032</w:t>
            </w:r>
          </w:p>
        </w:tc>
        <w:tc>
          <w:tcPr>
            <w:tcW w:w="2500" w:type="dxa"/>
            <w:vAlign w:val="bottom"/>
          </w:tcPr>
          <w:p>
            <w:pPr>
              <w:spacing w:after="0"/>
              <w:rPr>
                <w:sz w:val="3"/>
                <w:szCs w:val="3"/>
                <w:color w:val="auto"/>
              </w:rPr>
            </w:pP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Net cash flows used in investing activities (1,505,543) (1,015,820)</w:t>
            </w:r>
          </w:p>
        </w:tc>
      </w:tr>
      <w:tr>
        <w:trPr>
          <w:trHeight w:val="41"/>
        </w:trPr>
        <w:tc>
          <w:tcPr>
            <w:tcW w:w="1440" w:type="dxa"/>
            <w:vAlign w:val="bottom"/>
            <w:gridSpan w:val="2"/>
          </w:tcPr>
          <w:p>
            <w:pPr>
              <w:spacing w:after="0"/>
              <w:rPr>
                <w:sz w:val="20"/>
                <w:szCs w:val="20"/>
                <w:color w:val="auto"/>
              </w:rPr>
            </w:pPr>
            <w:r>
              <w:rPr>
                <w:rFonts w:ascii="Arial" w:cs="Arial" w:eastAsia="Arial" w:hAnsi="Arial"/>
                <w:sz w:val="3"/>
                <w:szCs w:val="3"/>
                <w:color w:val="FFFFFF"/>
              </w:rPr>
              <w:t>Financing activities</w:t>
            </w:r>
          </w:p>
        </w:tc>
        <w:tc>
          <w:tcPr>
            <w:tcW w:w="3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41"/>
        </w:trPr>
        <w:tc>
          <w:tcPr>
            <w:tcW w:w="4300" w:type="dxa"/>
            <w:vAlign w:val="bottom"/>
            <w:gridSpan w:val="4"/>
          </w:tcPr>
          <w:p>
            <w:pPr>
              <w:ind w:left="820"/>
              <w:spacing w:after="0"/>
              <w:rPr>
                <w:sz w:val="20"/>
                <w:szCs w:val="20"/>
                <w:color w:val="auto"/>
              </w:rPr>
            </w:pPr>
            <w:r>
              <w:rPr>
                <w:rFonts w:ascii="Arial" w:cs="Arial" w:eastAsia="Arial" w:hAnsi="Arial"/>
                <w:sz w:val="3"/>
                <w:szCs w:val="3"/>
                <w:color w:val="FFFFFF"/>
              </w:rPr>
              <w:t>issuance of shares 546 —</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Proceeds from borrowings 1,169,566 1,947,316</w:t>
            </w: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Repayment of borrowings (1,356,338) (5,064,347)</w:t>
            </w:r>
          </w:p>
        </w:tc>
      </w:tr>
      <w:tr>
        <w:trPr>
          <w:trHeight w:val="41"/>
        </w:trPr>
        <w:tc>
          <w:tcPr>
            <w:tcW w:w="1800" w:type="dxa"/>
            <w:vAlign w:val="bottom"/>
            <w:gridSpan w:val="3"/>
          </w:tcPr>
          <w:p>
            <w:pPr>
              <w:spacing w:after="0"/>
              <w:rPr>
                <w:sz w:val="20"/>
                <w:szCs w:val="20"/>
                <w:color w:val="auto"/>
              </w:rPr>
            </w:pPr>
            <w:r>
              <w:rPr>
                <w:rFonts w:ascii="Arial" w:cs="Arial" w:eastAsia="Arial" w:hAnsi="Arial"/>
                <w:sz w:val="3"/>
                <w:szCs w:val="3"/>
                <w:color w:val="FFFFFF"/>
              </w:rPr>
              <w:t>Interest paid (196,250) (212,561)</w:t>
            </w:r>
          </w:p>
        </w:tc>
        <w:tc>
          <w:tcPr>
            <w:tcW w:w="2500" w:type="dxa"/>
            <w:vAlign w:val="bottom"/>
          </w:tcPr>
          <w:p>
            <w:pPr>
              <w:spacing w:after="0"/>
              <w:rPr>
                <w:sz w:val="3"/>
                <w:szCs w:val="3"/>
                <w:color w:val="auto"/>
              </w:rPr>
            </w:pP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Special dividend paid 6 (6,225,060) (3,942,500)</w:t>
            </w:r>
          </w:p>
        </w:tc>
      </w:tr>
      <w:tr>
        <w:trPr>
          <w:trHeight w:val="0"/>
        </w:trPr>
        <w:tc>
          <w:tcPr>
            <w:tcW w:w="1440" w:type="dxa"/>
            <w:vAlign w:val="bottom"/>
            <w:gridSpan w:val="2"/>
          </w:tcPr>
          <w:p>
            <w:pPr>
              <w:ind w:left="240"/>
              <w:spacing w:after="0" w:line="80" w:lineRule="exact"/>
              <w:rPr>
                <w:sz w:val="20"/>
                <w:szCs w:val="20"/>
                <w:color w:val="auto"/>
              </w:rPr>
            </w:pPr>
            <w:r>
              <w:rPr>
                <w:rFonts w:ascii="Arial" w:cs="Arial" w:eastAsia="Arial" w:hAnsi="Arial"/>
                <w:sz w:val="9"/>
                <w:szCs w:val="9"/>
                <w:color w:val="FFFFFF"/>
              </w:rPr>
              <w:t>cash flows used in</w:t>
            </w:r>
          </w:p>
        </w:tc>
        <w:tc>
          <w:tcPr>
            <w:tcW w:w="360" w:type="dxa"/>
            <w:vAlign w:val="bottom"/>
          </w:tcPr>
          <w:p>
            <w:pPr>
              <w:spacing w:after="0" w:line="20" w:lineRule="exact"/>
              <w:rPr>
                <w:sz w:val="1"/>
                <w:szCs w:val="1"/>
                <w:color w:val="auto"/>
              </w:rPr>
            </w:pPr>
          </w:p>
        </w:tc>
        <w:tc>
          <w:tcPr>
            <w:tcW w:w="2500" w:type="dxa"/>
            <w:vAlign w:val="bottom"/>
          </w:tcPr>
          <w:p>
            <w:pPr>
              <w:spacing w:after="0" w:line="80" w:lineRule="exact"/>
              <w:rPr>
                <w:sz w:val="20"/>
                <w:szCs w:val="20"/>
                <w:color w:val="auto"/>
              </w:rPr>
            </w:pPr>
            <w:r>
              <w:rPr>
                <w:rFonts w:ascii="Arial" w:cs="Arial" w:eastAsia="Arial" w:hAnsi="Arial"/>
                <w:sz w:val="9"/>
                <w:szCs w:val="9"/>
                <w:color w:val="FFFFFF"/>
              </w:rPr>
              <w:t>activities (6,607,536) (7,272,092)</w:t>
            </w:r>
          </w:p>
        </w:tc>
      </w:tr>
    </w:tbl>
    <w:p>
      <w:pPr>
        <w:spacing w:after="0" w:line="25" w:lineRule="auto"/>
        <w:tabs>
          <w:tab w:leader="none" w:pos="1240" w:val="left"/>
        </w:tabs>
        <w:rPr>
          <w:sz w:val="20"/>
          <w:szCs w:val="20"/>
          <w:color w:val="auto"/>
        </w:rPr>
      </w:pPr>
      <w:r>
        <w:rPr>
          <w:rFonts w:ascii="Arial" w:cs="Arial" w:eastAsia="Arial" w:hAnsi="Arial"/>
          <w:sz w:val="1"/>
          <w:szCs w:val="1"/>
          <w:color w:val="FFFFFF"/>
        </w:rPr>
        <w:t>Net</w:t>
      </w:r>
      <w:r>
        <w:rPr>
          <w:sz w:val="20"/>
          <w:szCs w:val="20"/>
          <w:color w:val="auto"/>
        </w:rPr>
        <w:tab/>
      </w:r>
      <w:r>
        <w:rPr>
          <w:rFonts w:ascii="Arial" w:cs="Arial" w:eastAsia="Arial" w:hAnsi="Arial"/>
          <w:sz w:val="1"/>
          <w:szCs w:val="1"/>
          <w:color w:val="FFFFFF"/>
        </w:rPr>
        <w:t>financing</w:t>
      </w:r>
    </w:p>
    <w:p>
      <w:pPr>
        <w:spacing w:after="0"/>
        <w:rPr>
          <w:sz w:val="20"/>
          <w:szCs w:val="20"/>
          <w:color w:val="auto"/>
        </w:rPr>
      </w:pPr>
      <w:r>
        <w:rPr>
          <w:rFonts w:ascii="Arial" w:cs="Arial" w:eastAsia="Arial" w:hAnsi="Arial"/>
          <w:sz w:val="3"/>
          <w:szCs w:val="3"/>
          <w:color w:val="FFFFFF"/>
        </w:rPr>
        <w:t>Cashincreaseandcash(decrease)equivalents cashat1 Januaryandcash3,819,163equivalents5,228,9951,304,090 (1,409,832)</w:t>
      </w:r>
    </w:p>
    <w:p>
      <w:pPr>
        <w:spacing w:after="0" w:line="194" w:lineRule="auto"/>
        <w:rPr>
          <w:sz w:val="20"/>
          <w:szCs w:val="20"/>
          <w:color w:val="auto"/>
        </w:rPr>
      </w:pPr>
      <w:r>
        <w:rPr>
          <w:rFonts w:ascii="Arial" w:cs="Arial" w:eastAsia="Arial" w:hAnsi="Arial"/>
          <w:sz w:val="5"/>
          <w:szCs w:val="5"/>
          <w:color w:val="FFFFFF"/>
        </w:rPr>
        <w:t>Effect of foreign exchange rate changes, net 33,472 —</w:t>
      </w:r>
    </w:p>
    <w:p>
      <w:pPr>
        <w:spacing w:after="0"/>
        <w:rPr>
          <w:sz w:val="20"/>
          <w:szCs w:val="20"/>
          <w:color w:val="auto"/>
        </w:rPr>
      </w:pPr>
      <w:r>
        <w:rPr>
          <w:rFonts w:ascii="Arial" w:cs="Arial" w:eastAsia="Arial" w:hAnsi="Arial"/>
          <w:sz w:val="14"/>
          <w:szCs w:val="14"/>
          <w:color w:val="FFFFFF"/>
        </w:rPr>
        <w:t>Cash and cash equivalents at 31 December 17 5,156,725 3,819,163</w:t>
      </w:r>
    </w:p>
    <w:p>
      <w:pPr>
        <w:sectPr>
          <w:pgSz w:w="11900" w:h="16838" w:orient="portrait"/>
          <w:cols w:equalWidth="0" w:num="1">
            <w:col w:w="10219"/>
          </w:cols>
          <w:pgMar w:left="240" w:top="1440" w:right="1440"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Arial" w:cs="Arial" w:eastAsia="Arial" w:hAnsi="Arial"/>
                <w:sz w:val="14"/>
                <w:szCs w:val="14"/>
                <w:color w:val="FFFFFF"/>
              </w:rPr>
              <w:t>78 Wynn Macau, Limited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Financial</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Company Statements of Financial Position</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As at 31 December</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2011 2010</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HK$ HK$</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ind w:left="180"/>
              <w:spacing w:after="0"/>
              <w:rPr>
                <w:sz w:val="20"/>
                <w:szCs w:val="20"/>
                <w:color w:val="auto"/>
              </w:rPr>
            </w:pPr>
            <w:r>
              <w:rPr>
                <w:rFonts w:ascii="Arial" w:cs="Arial" w:eastAsia="Arial" w:hAnsi="Arial"/>
                <w:sz w:val="3"/>
                <w:szCs w:val="3"/>
                <w:color w:val="FFFFFF"/>
              </w:rPr>
              <w:t>tes (in thousands)</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Non-current assets</w:t>
            </w:r>
          </w:p>
        </w:tc>
        <w:tc>
          <w:tcPr>
            <w:tcW w:w="1160" w:type="dxa"/>
            <w:vAlign w:val="bottom"/>
            <w:vMerge w:val="restart"/>
          </w:tcPr>
          <w:p>
            <w:pPr>
              <w:jc w:val="right"/>
              <w:ind w:right="515"/>
              <w:spacing w:after="0" w:line="81" w:lineRule="exact"/>
              <w:rPr>
                <w:sz w:val="20"/>
                <w:szCs w:val="20"/>
                <w:color w:val="auto"/>
              </w:rPr>
            </w:pPr>
            <w:r>
              <w:rPr>
                <w:rFonts w:ascii="Arial" w:cs="Arial" w:eastAsia="Arial" w:hAnsi="Arial"/>
                <w:sz w:val="9"/>
                <w:szCs w:val="9"/>
                <w:color w:val="FFFFFF"/>
              </w:rPr>
              <w:t>12,561,195</w:t>
            </w: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Investment in</w:t>
            </w:r>
          </w:p>
        </w:tc>
        <w:tc>
          <w:tcPr>
            <w:tcW w:w="1440" w:type="dxa"/>
            <w:vAlign w:val="bottom"/>
          </w:tcPr>
          <w:p>
            <w:pPr>
              <w:ind w:left="40"/>
              <w:spacing w:after="0"/>
              <w:rPr>
                <w:sz w:val="20"/>
                <w:szCs w:val="20"/>
                <w:color w:val="auto"/>
              </w:rPr>
            </w:pPr>
            <w:r>
              <w:rPr>
                <w:rFonts w:ascii="Arial" w:cs="Arial" w:eastAsia="Arial" w:hAnsi="Arial"/>
                <w:sz w:val="3"/>
                <w:szCs w:val="3"/>
                <w:color w:val="FFFFFF"/>
              </w:rPr>
              <w:t>subsidiary 13</w:t>
            </w: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Available-for-sale investments12,561,195404,754 —</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Total non-current assets 12,965,949 12,561,195</w:t>
            </w: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Current assets</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Prepayments and other current assets 16 1,020 1,145</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Available-for-sale investments 11 104,066 —</w:t>
            </w: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Interest receivable 2,497 —</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Cash and cash equivalents 17 1,176,113 89,258</w:t>
            </w: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Total current assets 1,283,696 90,403</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Current liabilities</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Other payables and accruals 19 4,014 5,227</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Amounts due to related companies 27 19,200 2,107</w:t>
            </w: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Total current liabilities 23,214 7,334</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Net current assets 1,260,482 83,069</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Total assets less current liabilities 14,226,431 12,644,264</w:t>
            </w: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Net assets 14,226,431 12,644,264</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Eq ity</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Issued capital 21 5,188 5,188</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Share premium account# 22(b) 12,714,631 12,713,852</w:t>
            </w: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Reserves 22(b) 1,506,612 (74,776)</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Total equity 14,226,431 12,644,264</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 2011 2010</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HK$ HK$</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(in thousands)</w:t>
            </w:r>
          </w:p>
        </w:tc>
        <w:tc>
          <w:tcPr>
            <w:tcW w:w="2600" w:type="dxa"/>
            <w:vAlign w:val="bottom"/>
            <w:gridSpan w:val="2"/>
            <w:vMerge w:val="restart"/>
          </w:tcPr>
          <w:p>
            <w:pPr>
              <w:jc w:val="right"/>
              <w:spacing w:after="0"/>
              <w:rPr>
                <w:sz w:val="20"/>
                <w:szCs w:val="20"/>
                <w:color w:val="auto"/>
              </w:rPr>
            </w:pPr>
            <w:r>
              <w:rPr>
                <w:rFonts w:ascii="Arial" w:cs="Arial" w:eastAsia="Arial" w:hAnsi="Arial"/>
                <w:sz w:val="3"/>
                <w:szCs w:val="3"/>
                <w:color w:val="FFFFFF"/>
              </w:rPr>
              <w:t>share premium account 12,714,631 12,713,852</w:t>
            </w:r>
          </w:p>
        </w:tc>
        <w:tc>
          <w:tcPr>
            <w:tcW w:w="0" w:type="dxa"/>
            <w:vAlign w:val="bottom"/>
          </w:tcPr>
          <w:p>
            <w:pPr>
              <w:spacing w:after="0"/>
              <w:rPr>
                <w:sz w:val="1"/>
                <w:szCs w:val="1"/>
                <w:color w:val="auto"/>
              </w:rPr>
            </w:pPr>
          </w:p>
        </w:tc>
      </w:tr>
      <w:tr>
        <w:trPr>
          <w:trHeight w:val="0"/>
        </w:trPr>
        <w:tc>
          <w:tcPr>
            <w:tcW w:w="840" w:type="dxa"/>
            <w:vAlign w:val="bottom"/>
          </w:tcPr>
          <w:p>
            <w:pPr>
              <w:spacing w:after="0" w:line="80" w:lineRule="exact"/>
              <w:rPr>
                <w:sz w:val="20"/>
                <w:szCs w:val="20"/>
                <w:color w:val="auto"/>
              </w:rPr>
            </w:pPr>
            <w:r>
              <w:rPr>
                <w:rFonts w:ascii="Arial" w:cs="Arial" w:eastAsia="Arial" w:hAnsi="Arial"/>
                <w:sz w:val="9"/>
                <w:szCs w:val="9"/>
                <w:color w:val="FFFFFF"/>
              </w:rPr>
              <w:t>The Company’</w:t>
            </w:r>
          </w:p>
        </w:tc>
        <w:tc>
          <w:tcPr>
            <w:tcW w:w="2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80"/>
        <w:spacing w:after="0" w:line="25" w:lineRule="auto"/>
        <w:rPr>
          <w:sz w:val="20"/>
          <w:szCs w:val="20"/>
          <w:color w:val="auto"/>
        </w:rPr>
      </w:pPr>
      <w:r>
        <w:rPr>
          <w:rFonts w:ascii="Arial" w:cs="Arial" w:eastAsia="Arial" w:hAnsi="Arial"/>
          <w:sz w:val="1"/>
          <w:szCs w:val="1"/>
          <w:color w:val="FFFFFF"/>
        </w:rPr>
        <w:t>arising</w:t>
      </w:r>
    </w:p>
    <w:p>
      <w:pPr>
        <w:spacing w:after="0" w:line="187" w:lineRule="auto"/>
        <w:rPr>
          <w:sz w:val="20"/>
          <w:szCs w:val="20"/>
          <w:color w:val="auto"/>
        </w:rPr>
      </w:pPr>
      <w:r>
        <w:rPr>
          <w:rFonts w:ascii="Arial" w:cs="Arial" w:eastAsia="Arial" w:hAnsi="Arial"/>
          <w:sz w:val="7"/>
          <w:szCs w:val="7"/>
          <w:color w:val="FFFFFF"/>
        </w:rPr>
        <w:t>Cons</w:t>
      </w:r>
      <w:r>
        <w:rPr>
          <w:rFonts w:ascii="Arial" w:cs="Arial" w:eastAsia="Arial" w:hAnsi="Arial"/>
          <w:sz w:val="9"/>
          <w:szCs w:val="9"/>
          <w:color w:val="FFFFFF"/>
          <w:vertAlign w:val="subscript"/>
        </w:rPr>
        <w:t>Approved</w:t>
      </w:r>
      <w:r>
        <w:rPr>
          <w:rFonts w:ascii="Arial" w:cs="Arial" w:eastAsia="Arial" w:hAnsi="Arial"/>
          <w:sz w:val="7"/>
          <w:szCs w:val="7"/>
          <w:color w:val="FFFFFF"/>
        </w:rPr>
        <w:t>Adjustmentlidated share premiumfromthe GroupaccountReorganization153,436152,657(12,561,195) (12,561,195)</w:t>
      </w:r>
    </w:p>
    <w:p>
      <w:pPr>
        <w:spacing w:after="0"/>
        <w:rPr>
          <w:sz w:val="20"/>
          <w:szCs w:val="20"/>
          <w:color w:val="auto"/>
        </w:rPr>
      </w:pPr>
      <w:r>
        <w:rPr>
          <w:rFonts w:ascii="Arial" w:cs="Arial" w:eastAsia="Arial" w:hAnsi="Arial"/>
          <w:sz w:val="11"/>
          <w:szCs w:val="11"/>
          <w:color w:val="FFFFFF"/>
        </w:rPr>
        <w:t>Stephen A.andWynnauthorizedMarcD.forSchorrissue by the Board on 27 March 2012.</w:t>
      </w:r>
    </w:p>
    <w:p>
      <w:pPr>
        <w:sectPr>
          <w:pgSz w:w="11900" w:h="16838" w:orient="portrait"/>
          <w:cols w:equalWidth="0" w:num="1">
            <w:col w:w="10219"/>
          </w:cols>
          <w:pgMar w:left="240" w:top="1440" w:right="1440"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79</w:t>
      </w:r>
    </w:p>
    <w:p>
      <w:pPr>
        <w:spacing w:after="0"/>
        <w:rPr>
          <w:sz w:val="20"/>
          <w:szCs w:val="20"/>
          <w:color w:val="auto"/>
        </w:rPr>
      </w:pPr>
      <w:r>
        <w:rPr>
          <w:rFonts w:ascii="Arial" w:cs="Arial" w:eastAsia="Arial" w:hAnsi="Arial"/>
          <w:sz w:val="3"/>
          <w:szCs w:val="3"/>
          <w:color w:val="FFFFFF"/>
        </w:rPr>
        <w:t>Financial Statements</w:t>
      </w:r>
    </w:p>
    <w:p>
      <w:pPr>
        <w:spacing w:after="0" w:line="194" w:lineRule="auto"/>
        <w:rPr>
          <w:sz w:val="20"/>
          <w:szCs w:val="20"/>
          <w:color w:val="auto"/>
        </w:rPr>
      </w:pPr>
      <w:r>
        <w:rPr>
          <w:rFonts w:ascii="Arial" w:cs="Arial" w:eastAsia="Arial" w:hAnsi="Arial"/>
          <w:sz w:val="5"/>
          <w:szCs w:val="5"/>
          <w:color w:val="FFFFFF"/>
        </w:rPr>
        <w:t>Notes to Financial Statements</w:t>
      </w:r>
    </w:p>
    <w:p>
      <w:pPr>
        <w:spacing w:after="0"/>
        <w:rPr>
          <w:sz w:val="20"/>
          <w:szCs w:val="20"/>
          <w:color w:val="auto"/>
        </w:rPr>
      </w:pPr>
      <w:r>
        <w:rPr>
          <w:rFonts w:ascii="Arial" w:cs="Arial" w:eastAsia="Arial" w:hAnsi="Arial"/>
          <w:sz w:val="3"/>
          <w:szCs w:val="3"/>
          <w:color w:val="FFFFFF"/>
        </w:rPr>
        <w:t>For the year ended 31 December 2011</w:t>
      </w:r>
    </w:p>
    <w:p>
      <w:pPr>
        <w:spacing w:after="0" w:line="194" w:lineRule="auto"/>
        <w:rPr>
          <w:sz w:val="20"/>
          <w:szCs w:val="20"/>
          <w:color w:val="auto"/>
        </w:rPr>
      </w:pPr>
      <w:r>
        <w:rPr>
          <w:rFonts w:ascii="Arial" w:cs="Arial" w:eastAsia="Arial" w:hAnsi="Arial"/>
          <w:sz w:val="5"/>
          <w:szCs w:val="5"/>
          <w:color w:val="FFFFFF"/>
        </w:rPr>
        <w:t>1. CORPORATE INFORMATION</w:t>
      </w:r>
    </w:p>
    <w:p>
      <w:pPr>
        <w:ind w:right="220"/>
        <w:spacing w:after="0" w:line="195" w:lineRule="auto"/>
        <w:rPr>
          <w:sz w:val="20"/>
          <w:szCs w:val="20"/>
          <w:color w:val="auto"/>
        </w:rPr>
      </w:pPr>
      <w:r>
        <w:rPr>
          <w:rFonts w:ascii="Arial" w:cs="Arial" w:eastAsia="Arial" w:hAnsi="Arial"/>
          <w:sz w:val="6"/>
          <w:szCs w:val="6"/>
          <w:color w:val="FFFFFF"/>
        </w:rPr>
        <w:t>The Compa</w:t>
      </w:r>
      <w:r>
        <w:rPr>
          <w:rFonts w:ascii="Arial" w:cs="Arial" w:eastAsia="Arial" w:hAnsi="Arial"/>
          <w:sz w:val="7"/>
          <w:szCs w:val="7"/>
          <w:color w:val="FFFFFF"/>
          <w:vertAlign w:val="superscript"/>
        </w:rPr>
        <w:t>on</w:t>
      </w:r>
      <w:r>
        <w:rPr>
          <w:rFonts w:ascii="Arial" w:cs="Arial" w:eastAsia="Arial" w:hAnsi="Arial"/>
          <w:sz w:val="6"/>
          <w:szCs w:val="6"/>
          <w:color w:val="FFFFFF"/>
        </w:rPr>
        <w:t>y was incorporated in the Cayman Islands as an exempted company with limited liability on 4 September 2009. The Company’s Shares were listed on the Main Board of the Hong Kong Stock Exchange 9 October 2009. The Company’s registered offi ce address is P.O. Box 309, Ugland House, Grand Cayman, KY1-1104, Cayman Islands, or at such other place as the Directors may from time to time decide.</w:t>
      </w:r>
    </w:p>
    <w:p>
      <w:pPr>
        <w:spacing w:after="0" w:line="211" w:lineRule="auto"/>
        <w:rPr>
          <w:sz w:val="20"/>
          <w:szCs w:val="20"/>
          <w:color w:val="auto"/>
        </w:rPr>
      </w:pPr>
      <w:r>
        <w:rPr>
          <w:rFonts w:ascii="Arial" w:cs="Arial" w:eastAsia="Arial" w:hAnsi="Arial"/>
          <w:sz w:val="4"/>
          <w:szCs w:val="4"/>
          <w:color w:val="FFFFFF"/>
          <w:vertAlign w:val="superscript"/>
        </w:rPr>
        <w:t>The</w:t>
      </w:r>
    </w:p>
    <w:p>
      <w:pPr>
        <w:ind w:left="260"/>
        <w:spacing w:after="0"/>
        <w:rPr>
          <w:sz w:val="20"/>
          <w:szCs w:val="20"/>
          <w:color w:val="auto"/>
        </w:rPr>
      </w:pPr>
      <w:r>
        <w:rPr>
          <w:rFonts w:ascii="Arial" w:cs="Arial" w:eastAsia="Arial" w:hAnsi="Arial"/>
          <w:sz w:val="3"/>
          <w:szCs w:val="3"/>
          <w:color w:val="FFFFFF"/>
        </w:rPr>
        <w:t>20Group-yearownsconcessionandoperatesperiodacommencedhotelandcasinoon27resort,June2002WynnandMacau,willexpirewhichonconducts26Junegaming2022. activities in casinos in Macau under a concession contract signed with the Macau Government on 24 June 2002.</w:t>
      </w:r>
    </w:p>
    <w:p>
      <w:pPr>
        <w:spacing w:after="0" w:line="6" w:lineRule="exact"/>
        <w:rPr>
          <w:sz w:val="20"/>
          <w:szCs w:val="20"/>
          <w:color w:val="auto"/>
        </w:rPr>
      </w:pPr>
    </w:p>
    <w:p>
      <w:pPr>
        <w:ind w:right="40"/>
        <w:spacing w:after="0" w:line="187" w:lineRule="auto"/>
        <w:rPr>
          <w:sz w:val="20"/>
          <w:szCs w:val="20"/>
          <w:color w:val="auto"/>
        </w:rPr>
      </w:pPr>
      <w:r>
        <w:rPr>
          <w:rFonts w:ascii="Arial" w:cs="Arial" w:eastAsia="Arial" w:hAnsi="Arial"/>
          <w:sz w:val="9"/>
          <w:szCs w:val="9"/>
          <w:color w:val="FFFFFF"/>
        </w:rPr>
        <w:t>WM Cayman Holdings Limited I owns 72.29% of the Company and 27.71% of the Company is owned by public shareholders. The ultimate parent company of Wynn Macau, Limited is Wynn Resorts, Limited, a publicly-traded company incorporated in the United States of America.</w:t>
      </w:r>
    </w:p>
    <w:p>
      <w:pPr>
        <w:spacing w:after="0"/>
        <w:rPr>
          <w:sz w:val="20"/>
          <w:szCs w:val="20"/>
          <w:color w:val="auto"/>
        </w:rPr>
      </w:pPr>
      <w:r>
        <w:rPr>
          <w:rFonts w:ascii="Arial" w:cs="Arial" w:eastAsia="Arial" w:hAnsi="Arial"/>
          <w:sz w:val="3"/>
          <w:szCs w:val="3"/>
          <w:color w:val="FFFFFF"/>
        </w:rPr>
        <w:t>2.1 BASIS OF PREPARATION</w:t>
      </w:r>
    </w:p>
    <w:p>
      <w:pPr>
        <w:spacing w:after="0" w:line="6" w:lineRule="exact"/>
        <w:rPr>
          <w:sz w:val="20"/>
          <w:szCs w:val="20"/>
          <w:color w:val="auto"/>
        </w:rPr>
      </w:pPr>
    </w:p>
    <w:p>
      <w:pPr>
        <w:ind w:right="20"/>
        <w:spacing w:after="0" w:line="201" w:lineRule="auto"/>
        <w:rPr>
          <w:sz w:val="20"/>
          <w:szCs w:val="20"/>
          <w:color w:val="auto"/>
        </w:rPr>
      </w:pPr>
      <w:r>
        <w:rPr>
          <w:rFonts w:ascii="Arial" w:cs="Arial" w:eastAsia="Arial" w:hAnsi="Arial"/>
          <w:sz w:val="7"/>
          <w:szCs w:val="7"/>
          <w:color w:val="FFFFFF"/>
        </w:rPr>
        <w:t>These fi nancial statements have been prepared in accordance with International Financial Reporting Standards which comprise standards and interpretations approved by the International Accounting Standards Board (the “IASB”), International Accounting Standards and Standing Interpretation Committee interpretations approved by the International Accounting Standards Committee, and the applicable disclosure requirements of the Hong Kong Companies Ordinance and the Listing Rules. The fi nancial statements have been prepared on a historical cost basis, except for the revaluation of available-for-sale fi nancial investments and derivative fi nancial instruments which have been measured at fair value as further explained in note 2.2. These fi nancial statements are presented in Hong Kong dollars and all values are rounded to the nearest thousand (HK$’000) except when otherwise indicated.</w:t>
      </w:r>
    </w:p>
    <w:p>
      <w:pPr>
        <w:spacing w:after="0" w:line="187" w:lineRule="auto"/>
        <w:rPr>
          <w:sz w:val="20"/>
          <w:szCs w:val="20"/>
          <w:color w:val="auto"/>
        </w:rPr>
      </w:pPr>
      <w:r>
        <w:rPr>
          <w:rFonts w:ascii="Arial" w:cs="Arial" w:eastAsia="Arial" w:hAnsi="Arial"/>
          <w:sz w:val="7"/>
          <w:szCs w:val="7"/>
          <w:color w:val="FFFFFF"/>
        </w:rPr>
        <w:t>As at 31 December 2011, the Group had cash and cash equivalents of HK$5,156.7 million derived from its ordinary business operations. These cash and cash equivalents have not been earmarked for any specifi c use other than for general corporate purposes and repayments</w:t>
      </w:r>
      <w:r>
        <w:rPr>
          <w:rFonts w:ascii="Arial" w:cs="Arial" w:eastAsia="Arial" w:hAnsi="Arial"/>
          <w:sz w:val="9"/>
          <w:szCs w:val="9"/>
          <w:color w:val="FFFFFF"/>
          <w:vertAlign w:val="subscript"/>
        </w:rPr>
        <w:t>position</w:t>
      </w:r>
      <w:r>
        <w:rPr>
          <w:rFonts w:ascii="Arial" w:cs="Arial" w:eastAsia="Arial" w:hAnsi="Arial"/>
          <w:sz w:val="7"/>
          <w:szCs w:val="7"/>
          <w:color w:val="FFFFFF"/>
        </w:rPr>
        <w:t>the Group’s debt obligations.</w:t>
      </w:r>
    </w:p>
    <w:p>
      <w:pPr>
        <w:spacing w:after="0"/>
        <w:tabs>
          <w:tab w:leader="none" w:pos="3840" w:val="left"/>
        </w:tabs>
        <w:rPr>
          <w:sz w:val="20"/>
          <w:szCs w:val="20"/>
          <w:color w:val="auto"/>
        </w:rPr>
      </w:pPr>
      <w:r>
        <w:rPr>
          <w:rFonts w:ascii="Arial" w:cs="Arial" w:eastAsia="Arial" w:hAnsi="Arial"/>
          <w:sz w:val="2"/>
          <w:szCs w:val="2"/>
          <w:color w:val="FFFFFF"/>
        </w:rPr>
        <w:t>As at 31 December 2011, the Group had</w:t>
      </w:r>
      <w:r>
        <w:rPr>
          <w:rFonts w:ascii="Arial" w:cs="Arial" w:eastAsia="Arial" w:hAnsi="Arial"/>
          <w:sz w:val="4"/>
          <w:szCs w:val="4"/>
          <w:color w:val="FFFFFF"/>
          <w:vertAlign w:val="subscript"/>
        </w:rPr>
        <w:t>liabilities</w:t>
      </w:r>
      <w:r>
        <w:rPr>
          <w:rFonts w:ascii="Arial" w:cs="Arial" w:eastAsia="Arial" w:hAnsi="Arial"/>
          <w:sz w:val="2"/>
          <w:szCs w:val="2"/>
          <w:color w:val="FFFFFF"/>
        </w:rPr>
        <w:t>netcurrent liability</w:t>
      </w:r>
      <w:r>
        <w:rPr>
          <w:sz w:val="20"/>
          <w:szCs w:val="20"/>
          <w:color w:val="auto"/>
        </w:rPr>
        <w:tab/>
      </w:r>
      <w:r>
        <w:rPr>
          <w:rFonts w:ascii="Arial" w:cs="Arial" w:eastAsia="Arial" w:hAnsi="Arial"/>
          <w:sz w:val="3"/>
          <w:szCs w:val="3"/>
          <w:color w:val="FFFFFF"/>
        </w:rPr>
        <w:t>of HK$3,023.6 million. The Group expects it will generate positive cash fl ows in 2012 and will obtain or renew its bank loan facilities,</w:t>
      </w:r>
    </w:p>
    <w:p>
      <w:pPr>
        <w:spacing w:after="0"/>
        <w:tabs>
          <w:tab w:leader="none" w:pos="2640" w:val="left"/>
        </w:tabs>
        <w:rPr>
          <w:sz w:val="20"/>
          <w:szCs w:val="20"/>
          <w:color w:val="auto"/>
        </w:rPr>
      </w:pPr>
      <w:r>
        <w:rPr>
          <w:rFonts w:ascii="Arial" w:cs="Arial" w:eastAsia="Arial" w:hAnsi="Arial"/>
          <w:sz w:val="14"/>
          <w:szCs w:val="14"/>
          <w:color w:val="FFFFFF"/>
        </w:rPr>
        <w:t>wherever needed, to meet its fi nancial</w:t>
      </w:r>
      <w:r>
        <w:rPr>
          <w:sz w:val="20"/>
          <w:szCs w:val="20"/>
          <w:color w:val="auto"/>
        </w:rPr>
        <w:tab/>
      </w:r>
      <w:r>
        <w:rPr>
          <w:rFonts w:ascii="Arial" w:cs="Arial" w:eastAsia="Arial" w:hAnsi="Arial"/>
          <w:sz w:val="12"/>
          <w:szCs w:val="12"/>
          <w:color w:val="FFFFFF"/>
        </w:rPr>
        <w:t>as and when they fall due. The Group believes it has suffi cient working capital to fi nance its operations and fi nancial obligations.</w:t>
      </w:r>
    </w:p>
    <w:p>
      <w:pPr>
        <w:sectPr>
          <w:pgSz w:w="11900" w:h="16838" w:orient="portrait"/>
          <w:cols w:equalWidth="0" w:num="1">
            <w:col w:w="11380"/>
          </w:cols>
          <w:pgMar w:left="240" w:top="1440" w:right="27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80 Wynn Macau, Limited</w:t>
      </w:r>
    </w:p>
    <w:p>
      <w:pPr>
        <w:spacing w:after="0" w:line="187" w:lineRule="auto"/>
        <w:rPr>
          <w:sz w:val="20"/>
          <w:szCs w:val="20"/>
          <w:color w:val="auto"/>
        </w:rPr>
      </w:pPr>
      <w:r>
        <w:rPr>
          <w:rFonts w:ascii="Arial" w:cs="Arial" w:eastAsia="Arial" w:hAnsi="Arial"/>
          <w:sz w:val="9"/>
          <w:szCs w:val="9"/>
          <w:color w:val="FFFFFF"/>
        </w:rPr>
        <w:t>NotesFinancialtoFinancialStatementsStatements</w:t>
      </w:r>
    </w:p>
    <w:p>
      <w:pPr>
        <w:spacing w:after="0"/>
        <w:rPr>
          <w:sz w:val="20"/>
          <w:szCs w:val="20"/>
          <w:color w:val="auto"/>
        </w:rPr>
      </w:pPr>
      <w:r>
        <w:rPr>
          <w:rFonts w:ascii="Arial" w:cs="Arial" w:eastAsia="Arial" w:hAnsi="Arial"/>
          <w:sz w:val="3"/>
          <w:szCs w:val="3"/>
          <w:color w:val="FFFFFF"/>
        </w:rPr>
        <w:t>For the year ended 31 December 2011</w:t>
      </w:r>
    </w:p>
    <w:p>
      <w:pPr>
        <w:spacing w:after="0" w:line="181" w:lineRule="auto"/>
        <w:rPr>
          <w:sz w:val="20"/>
          <w:szCs w:val="20"/>
          <w:color w:val="auto"/>
        </w:rPr>
      </w:pPr>
      <w:r>
        <w:rPr>
          <w:rFonts w:ascii="Arial" w:cs="Arial" w:eastAsia="Arial" w:hAnsi="Arial"/>
          <w:sz w:val="10"/>
          <w:szCs w:val="10"/>
          <w:color w:val="FFFFFF"/>
        </w:rPr>
        <w:t>Basis2.1BASISofconsolidationOFPREPARATION (continued)</w:t>
      </w:r>
    </w:p>
    <w:p>
      <w:pPr>
        <w:spacing w:after="0" w:line="181" w:lineRule="auto"/>
        <w:rPr>
          <w:sz w:val="20"/>
          <w:szCs w:val="20"/>
          <w:color w:val="auto"/>
        </w:rPr>
      </w:pPr>
      <w:r>
        <w:rPr>
          <w:rFonts w:ascii="Arial" w:cs="Arial" w:eastAsia="Arial" w:hAnsi="Arial"/>
          <w:sz w:val="7"/>
          <w:szCs w:val="7"/>
          <w:color w:val="FFFFFF"/>
        </w:rPr>
        <w:t>onThewhichconsolidatedcontrol isfi transferrednancialstatementstotheGroup,compriseandthewillficontinuenancialstatementstobeconsolidatedofWynnuntilMacau,the dateLimitedthat andsuchitscontrolsubsidiariesceases.forThethefiyearnancialendedstatements31Decemberofthe2011.subsidiariesThesubsidiariesarepreparedare forfullytheconsolidatedsamereportingfromperiodthedateas the parent companytransactions,usingconsistent accounting policies.</w:t>
      </w:r>
    </w:p>
    <w:p>
      <w:pPr>
        <w:ind w:right="420"/>
        <w:spacing w:after="0"/>
        <w:rPr>
          <w:sz w:val="20"/>
          <w:szCs w:val="20"/>
          <w:color w:val="auto"/>
        </w:rPr>
      </w:pPr>
      <w:r>
        <w:rPr>
          <w:rFonts w:ascii="Arial" w:cs="Arial" w:eastAsia="Arial" w:hAnsi="Arial"/>
          <w:sz w:val="7"/>
          <w:szCs w:val="7"/>
          <w:color w:val="FFFFFF"/>
        </w:rPr>
        <w:t>transactionInter-companyprovides evidencebalancesofimpairmentandunrealizedofthegainsassetontransferred.transactions between group companies and dividends are eliminated on consolidation in full. Unrealized losses are also eliminated unless the 2.2 SUMMARY OF SIGNIFICANT ACCOUNTING POLICIES</w:t>
      </w:r>
    </w:p>
    <w:p>
      <w:pPr>
        <w:spacing w:after="0" w:line="189" w:lineRule="auto"/>
        <w:rPr>
          <w:sz w:val="20"/>
          <w:szCs w:val="20"/>
          <w:color w:val="auto"/>
        </w:rPr>
      </w:pPr>
      <w:r>
        <w:rPr>
          <w:rFonts w:ascii="Arial" w:cs="Arial" w:eastAsia="Arial" w:hAnsi="Arial"/>
          <w:sz w:val="9"/>
          <w:szCs w:val="9"/>
          <w:color w:val="FFFFFF"/>
        </w:rPr>
        <w:t>Subsidiaries</w:t>
      </w:r>
    </w:p>
    <w:p>
      <w:pPr>
        <w:spacing w:after="0"/>
        <w:rPr>
          <w:sz w:val="20"/>
          <w:szCs w:val="20"/>
          <w:color w:val="auto"/>
        </w:rPr>
      </w:pPr>
      <w:r>
        <w:rPr>
          <w:rFonts w:ascii="Arial" w:cs="Arial" w:eastAsia="Arial" w:hAnsi="Arial"/>
          <w:sz w:val="7"/>
          <w:szCs w:val="7"/>
          <w:color w:val="FFFFFF"/>
        </w:rPr>
        <w:t>InA subsidiarytheCompany’sisan statemententitywhoseoffifinancialnancialposition,andoperatingtheinvestmentspoliciestheinCompanysubsidiariescontareols,stateddirectlyatcostor indirectly,lessprovisionsoasfortoimpairmentobtainbenefilosses.tsfromTheitsresultsactivities.ofsubsidiaries are accounted for by the Company on the basis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of dividend received and receivable.</w:t>
      </w:r>
    </w:p>
    <w:p>
      <w:pPr>
        <w:ind w:left="1140"/>
        <w:spacing w:after="0" w:line="125" w:lineRule="auto"/>
        <w:tabs>
          <w:tab w:leader="none" w:pos="1120" w:val="left"/>
        </w:tabs>
        <w:rPr>
          <w:sz w:val="20"/>
          <w:szCs w:val="20"/>
          <w:color w:val="auto"/>
        </w:rPr>
      </w:pPr>
      <w:r>
        <w:rPr>
          <w:rFonts w:ascii="Arial" w:cs="Arial" w:eastAsia="Arial" w:hAnsi="Arial"/>
          <w:sz w:val="1"/>
          <w:szCs w:val="1"/>
          <w:color w:val="FFFFFF"/>
        </w:rPr>
        <w:t>Goodwill is</w:t>
      </w:r>
      <w:r>
        <w:rPr>
          <w:sz w:val="20"/>
          <w:szCs w:val="20"/>
          <w:color w:val="auto"/>
        </w:rPr>
        <w:tab/>
      </w:r>
      <w:r>
        <w:rPr>
          <w:rFonts w:ascii="Arial" w:cs="Arial" w:eastAsia="Arial" w:hAnsi="Arial"/>
          <w:sz w:val="1"/>
          <w:szCs w:val="1"/>
          <w:color w:val="FFFFFF"/>
        </w:rPr>
        <w:t>measured at cost, being the excess of the aggregate of the consideration transferred, the amount recognized for non-controlling interests and any fair value of the Group’s previously held</w:t>
      </w:r>
    </w:p>
    <w:p>
      <w:pPr>
        <w:ind w:right="340"/>
        <w:spacing w:after="0"/>
        <w:rPr>
          <w:sz w:val="20"/>
          <w:szCs w:val="20"/>
          <w:color w:val="auto"/>
        </w:rPr>
      </w:pPr>
      <w:r>
        <w:rPr>
          <w:rFonts w:ascii="Arial" w:cs="Arial" w:eastAsia="Arial" w:hAnsi="Arial"/>
          <w:sz w:val="7"/>
          <w:szCs w:val="7"/>
          <w:color w:val="FFFFFF"/>
        </w:rPr>
        <w:t>equity interestsinitiallythe acquiree over the identifi able net assets acquired and liabilities assumed. If the sum of this consideration and other items is lower than the fair value of the net assets of the subsidiary acquired, the difference is, after reassessment, recognized in the statement of comprehensive income as</w:t>
      </w:r>
      <w:r>
        <w:rPr>
          <w:rFonts w:ascii="Arial" w:cs="Arial" w:eastAsia="Arial" w:hAnsi="Arial"/>
          <w:sz w:val="10"/>
          <w:szCs w:val="10"/>
          <w:color w:val="FFFFFF"/>
          <w:vertAlign w:val="superscript"/>
        </w:rPr>
        <w:t>asset,</w:t>
      </w:r>
      <w:r>
        <w:rPr>
          <w:rFonts w:ascii="Arial" w:cs="Arial" w:eastAsia="Arial" w:hAnsi="Arial"/>
          <w:sz w:val="7"/>
          <w:szCs w:val="7"/>
          <w:color w:val="FFFFFF"/>
        </w:rPr>
        <w:t>gain on bargain purchase.</w:t>
      </w:r>
    </w:p>
    <w:p>
      <w:pPr>
        <w:spacing w:after="0" w:line="6" w:lineRule="exact"/>
        <w:rPr>
          <w:sz w:val="20"/>
          <w:szCs w:val="20"/>
          <w:color w:val="auto"/>
        </w:rPr>
      </w:pPr>
    </w:p>
    <w:p>
      <w:pPr>
        <w:spacing w:after="0"/>
        <w:tabs>
          <w:tab w:leader="none" w:pos="5880" w:val="left"/>
        </w:tabs>
        <w:rPr>
          <w:sz w:val="20"/>
          <w:szCs w:val="20"/>
          <w:color w:val="auto"/>
        </w:rPr>
      </w:pPr>
      <w:r>
        <w:rPr>
          <w:rFonts w:ascii="Arial" w:cs="Arial" w:eastAsia="Arial" w:hAnsi="Arial"/>
          <w:sz w:val="14"/>
          <w:szCs w:val="14"/>
          <w:color w:val="FFFFFF"/>
        </w:rPr>
        <w:t>Goodwill arising on acquisition is recognized in the consolidated statement of fi nancial position as an</w:t>
      </w:r>
      <w:r>
        <w:rPr>
          <w:sz w:val="20"/>
          <w:szCs w:val="20"/>
          <w:color w:val="auto"/>
        </w:rPr>
        <w:tab/>
      </w:r>
      <w:r>
        <w:rPr>
          <w:rFonts w:ascii="Arial" w:cs="Arial" w:eastAsia="Arial" w:hAnsi="Arial"/>
          <w:sz w:val="12"/>
          <w:szCs w:val="12"/>
          <w:color w:val="FFFFFF"/>
        </w:rPr>
        <w:t>initially measured at cost and subsequently at cost less any accumulated impairment losses.</w:t>
      </w:r>
    </w:p>
    <w:p>
      <w:pPr>
        <w:sectPr>
          <w:pgSz w:w="11900" w:h="16838" w:orient="portrait"/>
          <w:cols w:equalWidth="0" w:num="1">
            <w:col w:w="11380"/>
          </w:cols>
          <w:pgMar w:left="240" w:top="1440" w:right="27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20"/>
                <w:szCs w:val="20"/>
                <w:color w:val="auto"/>
              </w:rPr>
            </w:pPr>
            <w:r>
              <w:rPr>
                <w:rFonts w:ascii="Arial" w:cs="Arial" w:eastAsia="Arial" w:hAnsi="Arial"/>
                <w:sz w:val="14"/>
                <w:szCs w:val="14"/>
                <w:color w:val="FFFFFF"/>
              </w:rPr>
              <w:t>Annual Report 2011 81</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Financial Statements</w:t>
            </w:r>
          </w:p>
        </w:tc>
        <w:tc>
          <w:tcPr>
            <w:tcW w:w="1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For the year ended 31 December 2011</w:t>
            </w:r>
          </w:p>
        </w:tc>
        <w:tc>
          <w:tcPr>
            <w:tcW w:w="1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8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3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ind w:left="560"/>
              <w:spacing w:after="0"/>
              <w:rPr>
                <w:sz w:val="20"/>
                <w:szCs w:val="20"/>
                <w:color w:val="auto"/>
              </w:rPr>
            </w:pPr>
            <w:r>
              <w:rPr>
                <w:rFonts w:ascii="Arial" w:cs="Arial" w:eastAsia="Arial" w:hAnsi="Arial"/>
                <w:sz w:val="3"/>
                <w:szCs w:val="3"/>
                <w:color w:val="FFFFFF"/>
              </w:rPr>
              <w:t>(continued)</w:t>
            </w:r>
          </w:p>
        </w:tc>
        <w:tc>
          <w:tcPr>
            <w:tcW w:w="1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500" w:type="dxa"/>
            <w:vAlign w:val="bottom"/>
            <w:gridSpan w:val="2"/>
            <w:vMerge w:val="restart"/>
          </w:tcPr>
          <w:p>
            <w:pPr>
              <w:ind w:left="80"/>
              <w:spacing w:after="0" w:line="81" w:lineRule="exact"/>
              <w:rPr>
                <w:sz w:val="20"/>
                <w:szCs w:val="20"/>
                <w:color w:val="auto"/>
              </w:rPr>
            </w:pPr>
            <w:r>
              <w:rPr>
                <w:rFonts w:ascii="Arial" w:cs="Arial" w:eastAsia="Arial" w:hAnsi="Arial"/>
                <w:sz w:val="9"/>
                <w:szCs w:val="9"/>
                <w:color w:val="FFFFFF"/>
              </w:rPr>
              <w:t>circumstances indicate that the carrying value may be impaired. The Group</w:t>
            </w:r>
          </w:p>
        </w:tc>
        <w:tc>
          <w:tcPr>
            <w:tcW w:w="2320" w:type="dxa"/>
            <w:vAlign w:val="bottom"/>
            <w:vMerge w:val="restart"/>
          </w:tcPr>
          <w:p>
            <w:pPr>
              <w:jc w:val="right"/>
              <w:ind w:right="9"/>
              <w:spacing w:after="0" w:line="81" w:lineRule="exact"/>
              <w:rPr>
                <w:sz w:val="20"/>
                <w:szCs w:val="20"/>
                <w:color w:val="auto"/>
              </w:rPr>
            </w:pPr>
            <w:r>
              <w:rPr>
                <w:rFonts w:ascii="Arial" w:cs="Arial" w:eastAsia="Arial" w:hAnsi="Arial"/>
                <w:sz w:val="9"/>
                <w:szCs w:val="9"/>
                <w:color w:val="FFFFFF"/>
              </w:rPr>
              <w:t>its annual impairment test of goodwill</w:t>
            </w:r>
          </w:p>
        </w:tc>
        <w:tc>
          <w:tcPr>
            <w:tcW w:w="0" w:type="dxa"/>
            <w:vAlign w:val="bottom"/>
          </w:tcPr>
          <w:p>
            <w:pPr>
              <w:spacing w:after="0"/>
              <w:rPr>
                <w:sz w:val="1"/>
                <w:szCs w:val="1"/>
                <w:color w:val="auto"/>
              </w:rPr>
            </w:pPr>
          </w:p>
        </w:tc>
      </w:tr>
      <w:tr>
        <w:trPr>
          <w:trHeight w:val="41"/>
        </w:trPr>
        <w:tc>
          <w:tcPr>
            <w:tcW w:w="4580" w:type="dxa"/>
            <w:vAlign w:val="bottom"/>
            <w:gridSpan w:val="3"/>
          </w:tcPr>
          <w:p>
            <w:pPr>
              <w:spacing w:after="0"/>
              <w:rPr>
                <w:sz w:val="20"/>
                <w:szCs w:val="20"/>
                <w:color w:val="auto"/>
              </w:rPr>
            </w:pPr>
            <w:r>
              <w:rPr>
                <w:rFonts w:ascii="Arial" w:cs="Arial" w:eastAsia="Arial" w:hAnsi="Arial"/>
                <w:sz w:val="3"/>
                <w:szCs w:val="3"/>
                <w:color w:val="FFFFFF"/>
              </w:rPr>
              <w:t>Goodwill is tested for impairment annually or more frequently if events or</w:t>
            </w:r>
          </w:p>
        </w:tc>
        <w:tc>
          <w:tcPr>
            <w:tcW w:w="4500" w:type="dxa"/>
            <w:vAlign w:val="bottom"/>
            <w:gridSpan w:val="2"/>
            <w:vMerge w:val="continue"/>
          </w:tcPr>
          <w:p>
            <w:pPr>
              <w:spacing w:after="0"/>
              <w:rPr>
                <w:sz w:val="3"/>
                <w:szCs w:val="3"/>
                <w:color w:val="auto"/>
              </w:rPr>
            </w:pPr>
          </w:p>
        </w:tc>
        <w:tc>
          <w:tcPr>
            <w:tcW w:w="2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as   31 December. For the purpose of</w:t>
            </w:r>
          </w:p>
        </w:tc>
        <w:tc>
          <w:tcPr>
            <w:tcW w:w="9260" w:type="dxa"/>
            <w:vAlign w:val="bottom"/>
            <w:gridSpan w:val="5"/>
          </w:tcPr>
          <w:p>
            <w:pPr>
              <w:jc w:val="right"/>
              <w:ind w:right="209"/>
              <w:spacing w:after="0"/>
              <w:rPr>
                <w:sz w:val="20"/>
                <w:szCs w:val="20"/>
                <w:color w:val="auto"/>
              </w:rPr>
            </w:pPr>
            <w:r>
              <w:rPr>
                <w:rFonts w:ascii="Arial" w:cs="Arial" w:eastAsia="Arial" w:hAnsi="Arial"/>
                <w:sz w:val="3"/>
                <w:szCs w:val="3"/>
                <w:color w:val="FFFFFF"/>
              </w:rPr>
              <w:t>testing, goodwill acquiredchangesbusiness combination is, fr m the acquisition date, allocated to each of the Group’performscash-generating units, or groups of cash-</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generating units, that are expected to benefiimpairmentfrom the synergies of the combination, irrespective of whether other assets or liabilities of the Group are assigned to those units or groups of units.</w:t>
            </w:r>
          </w:p>
        </w:tc>
        <w:tc>
          <w:tcPr>
            <w:tcW w:w="0" w:type="dxa"/>
            <w:vAlign w:val="bottom"/>
          </w:tcPr>
          <w:p>
            <w:pPr>
              <w:spacing w:after="0"/>
              <w:rPr>
                <w:sz w:val="1"/>
                <w:szCs w:val="1"/>
                <w:color w:val="auto"/>
              </w:rPr>
            </w:pPr>
          </w:p>
        </w:tc>
      </w:tr>
      <w:tr>
        <w:trPr>
          <w:trHeight w:val="41"/>
        </w:trPr>
        <w:tc>
          <w:tcPr>
            <w:tcW w:w="9080" w:type="dxa"/>
            <w:vAlign w:val="bottom"/>
            <w:gridSpan w:val="5"/>
          </w:tcPr>
          <w:p>
            <w:pPr>
              <w:spacing w:after="0"/>
              <w:rPr>
                <w:sz w:val="20"/>
                <w:szCs w:val="20"/>
                <w:color w:val="auto"/>
              </w:rPr>
            </w:pPr>
            <w:r>
              <w:rPr>
                <w:rFonts w:ascii="Arial" w:cs="Arial" w:eastAsia="Arial" w:hAnsi="Arial"/>
                <w:sz w:val="3"/>
                <w:szCs w:val="3"/>
                <w:color w:val="FFFFFF"/>
              </w:rPr>
              <w:t>Impairment is determined by assessing the recoverable amount of the cash-generating unit (group of cash-generating units) to which the goodwill relates. Where the</w:t>
            </w:r>
          </w:p>
        </w:tc>
        <w:tc>
          <w:tcPr>
            <w:tcW w:w="2320" w:type="dxa"/>
            <w:vAlign w:val="bottom"/>
          </w:tcPr>
          <w:p>
            <w:pPr>
              <w:jc w:val="right"/>
              <w:ind w:right="149"/>
              <w:spacing w:after="0"/>
              <w:rPr>
                <w:sz w:val="20"/>
                <w:szCs w:val="20"/>
                <w:color w:val="auto"/>
              </w:rPr>
            </w:pPr>
            <w:r>
              <w:rPr>
                <w:rFonts w:ascii="Arial" w:cs="Arial" w:eastAsia="Arial" w:hAnsi="Arial"/>
                <w:sz w:val="3"/>
                <w:szCs w:val="3"/>
                <w:color w:val="FFFFFF"/>
              </w:rPr>
              <w:t>amount of the cash-generating</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unit (group of cash-genera ing units) is less than the carrying amount, an impairment loss is recognized. An impairment loss recognized for goodwill is not reversed inrecoverablesubsequent period.</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Where goodwill forms part of  cash-generating unit (group of cash-generating units) and part of the operation within that unit  disposed of, the goodwill associated with the operation disposed of is included in</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the carrying amount of the operation when determining the gain or loss on disposal of the operation. Goodwill disposed of in this circumstance is measured based on the relative values of the operation disposed</w:t>
            </w:r>
          </w:p>
        </w:tc>
        <w:tc>
          <w:tcPr>
            <w:tcW w:w="0" w:type="dxa"/>
            <w:vAlign w:val="bottom"/>
          </w:tcPr>
          <w:p>
            <w:pPr>
              <w:spacing w:after="0"/>
              <w:rPr>
                <w:sz w:val="1"/>
                <w:szCs w:val="1"/>
                <w:color w:val="auto"/>
              </w:rPr>
            </w:pPr>
          </w:p>
        </w:tc>
      </w:tr>
      <w:tr>
        <w:trPr>
          <w:trHeight w:val="41"/>
        </w:trPr>
        <w:tc>
          <w:tcPr>
            <w:tcW w:w="3240" w:type="dxa"/>
            <w:vAlign w:val="bottom"/>
            <w:gridSpan w:val="2"/>
          </w:tcPr>
          <w:p>
            <w:pPr>
              <w:spacing w:after="0"/>
              <w:rPr>
                <w:sz w:val="20"/>
                <w:szCs w:val="20"/>
                <w:color w:val="auto"/>
              </w:rPr>
            </w:pPr>
            <w:r>
              <w:rPr>
                <w:rFonts w:ascii="Arial" w:cs="Arial" w:eastAsia="Arial" w:hAnsi="Arial"/>
                <w:sz w:val="3"/>
                <w:szCs w:val="3"/>
                <w:color w:val="FFFFFF"/>
              </w:rPr>
              <w:t>of and the portion of the cash-generating unit retained.</w:t>
            </w:r>
          </w:p>
        </w:tc>
        <w:tc>
          <w:tcPr>
            <w:tcW w:w="13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Foreign currency translation</w:t>
            </w:r>
          </w:p>
        </w:tc>
        <w:tc>
          <w:tcPr>
            <w:tcW w:w="1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318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FFFFFF"/>
              </w:rPr>
              <w:t>its own functional currency and items included</w:t>
            </w:r>
          </w:p>
        </w:tc>
        <w:tc>
          <w:tcPr>
            <w:tcW w:w="0" w:type="dxa"/>
            <w:vAlign w:val="bottom"/>
          </w:tcPr>
          <w:p>
            <w:pPr>
              <w:spacing w:after="0"/>
              <w:rPr>
                <w:sz w:val="1"/>
                <w:szCs w:val="1"/>
                <w:color w:val="auto"/>
              </w:rPr>
            </w:pPr>
          </w:p>
        </w:tc>
      </w:tr>
      <w:tr>
        <w:trPr>
          <w:trHeight w:val="41"/>
        </w:trPr>
        <w:tc>
          <w:tcPr>
            <w:tcW w:w="8220" w:type="dxa"/>
            <w:vAlign w:val="bottom"/>
            <w:gridSpan w:val="4"/>
          </w:tcPr>
          <w:p>
            <w:pPr>
              <w:spacing w:after="0"/>
              <w:rPr>
                <w:sz w:val="20"/>
                <w:szCs w:val="20"/>
                <w:color w:val="auto"/>
              </w:rPr>
            </w:pPr>
            <w:r>
              <w:rPr>
                <w:rFonts w:ascii="Arial" w:cs="Arial" w:eastAsia="Arial" w:hAnsi="Arial"/>
                <w:sz w:val="3"/>
                <w:szCs w:val="3"/>
                <w:color w:val="FFFFFF"/>
              </w:rPr>
              <w:t>These fi nancial statements are presented in Hong Kong dollars, which is the Company’s functional and presentation currency. Each entity in the Group</w:t>
            </w:r>
          </w:p>
        </w:tc>
        <w:tc>
          <w:tcPr>
            <w:tcW w:w="31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in the fi nancial statements of each entity are measured using that functional currency. Transactions in foreign currencies are initially recorded by the Group’determinesentities at their respective functional currency rates</w:t>
            </w:r>
          </w:p>
        </w:tc>
        <w:tc>
          <w:tcPr>
            <w:tcW w:w="0" w:type="dxa"/>
            <w:vAlign w:val="bottom"/>
          </w:tcPr>
          <w:p>
            <w:pPr>
              <w:spacing w:after="0"/>
              <w:rPr>
                <w:sz w:val="1"/>
                <w:szCs w:val="1"/>
                <w:color w:val="auto"/>
              </w:rPr>
            </w:pPr>
          </w:p>
        </w:tc>
      </w:tr>
      <w:tr>
        <w:trPr>
          <w:trHeight w:val="41"/>
        </w:trPr>
        <w:tc>
          <w:tcPr>
            <w:tcW w:w="2140" w:type="dxa"/>
            <w:vAlign w:val="bottom"/>
          </w:tcPr>
          <w:p>
            <w:pPr>
              <w:ind w:left="80"/>
              <w:spacing w:after="0"/>
              <w:rPr>
                <w:sz w:val="20"/>
                <w:szCs w:val="20"/>
                <w:color w:val="auto"/>
              </w:rPr>
            </w:pPr>
            <w:r>
              <w:rPr>
                <w:rFonts w:ascii="Arial" w:cs="Arial" w:eastAsia="Arial" w:hAnsi="Arial"/>
                <w:sz w:val="3"/>
                <w:szCs w:val="3"/>
                <w:color w:val="FFFFFF"/>
              </w:rPr>
              <w:t>revailing   the dates of the</w:t>
            </w:r>
          </w:p>
        </w:tc>
        <w:tc>
          <w:tcPr>
            <w:tcW w:w="9260" w:type="dxa"/>
            <w:vAlign w:val="bottom"/>
            <w:gridSpan w:val="5"/>
          </w:tcPr>
          <w:p>
            <w:pPr>
              <w:jc w:val="right"/>
              <w:ind w:right="369"/>
              <w:spacing w:after="0"/>
              <w:rPr>
                <w:sz w:val="20"/>
                <w:szCs w:val="20"/>
                <w:color w:val="auto"/>
              </w:rPr>
            </w:pPr>
            <w:r>
              <w:rPr>
                <w:rFonts w:ascii="Arial" w:cs="Arial" w:eastAsia="Arial" w:hAnsi="Arial"/>
                <w:sz w:val="3"/>
                <w:szCs w:val="3"/>
                <w:color w:val="FFFFFF"/>
              </w:rPr>
              <w:t>. Monetary assets and liabilities denominated in foreign currencies are retranslated at the functional currency rates of exchange ruling at the statement of fi nancial</w:t>
            </w:r>
          </w:p>
        </w:tc>
        <w:tc>
          <w:tcPr>
            <w:tcW w:w="0" w:type="dxa"/>
            <w:vAlign w:val="bottom"/>
          </w:tcPr>
          <w:p>
            <w:pPr>
              <w:spacing w:after="0"/>
              <w:rPr>
                <w:sz w:val="1"/>
                <w:szCs w:val="1"/>
                <w:color w:val="auto"/>
              </w:rPr>
            </w:pPr>
          </w:p>
        </w:tc>
      </w:tr>
      <w:tr>
        <w:trPr>
          <w:trHeight w:val="41"/>
        </w:trPr>
        <w:tc>
          <w:tcPr>
            <w:tcW w:w="3240" w:type="dxa"/>
            <w:vAlign w:val="bottom"/>
            <w:gridSpan w:val="2"/>
          </w:tcPr>
          <w:p>
            <w:pPr>
              <w:spacing w:after="0"/>
              <w:rPr>
                <w:sz w:val="20"/>
                <w:szCs w:val="20"/>
                <w:color w:val="auto"/>
              </w:rPr>
            </w:pPr>
            <w:r>
              <w:rPr>
                <w:rFonts w:ascii="Arial" w:cs="Arial" w:eastAsia="Arial" w:hAnsi="Arial"/>
                <w:sz w:val="3"/>
                <w:szCs w:val="3"/>
                <w:color w:val="FFFFFF"/>
              </w:rPr>
              <w:t>position date. All differences transactionsarisingsettlement or</w:t>
            </w:r>
          </w:p>
        </w:tc>
        <w:tc>
          <w:tcPr>
            <w:tcW w:w="4980" w:type="dxa"/>
            <w:vAlign w:val="bottom"/>
            <w:gridSpan w:val="2"/>
          </w:tcPr>
          <w:p>
            <w:pPr>
              <w:ind w:left="280"/>
              <w:spacing w:after="0"/>
              <w:rPr>
                <w:sz w:val="20"/>
                <w:szCs w:val="20"/>
                <w:color w:val="auto"/>
              </w:rPr>
            </w:pPr>
            <w:r>
              <w:rPr>
                <w:rFonts w:ascii="Arial" w:cs="Arial" w:eastAsia="Arial" w:hAnsi="Arial"/>
                <w:sz w:val="3"/>
                <w:szCs w:val="3"/>
                <w:color w:val="FFFFFF"/>
              </w:rPr>
              <w:t>of monetary items are taken to the statement of comprehensive income. Non-</w:t>
            </w:r>
          </w:p>
        </w:tc>
        <w:tc>
          <w:tcPr>
            <w:tcW w:w="3180" w:type="dxa"/>
            <w:vAlign w:val="bottom"/>
            <w:gridSpan w:val="2"/>
          </w:tcPr>
          <w:p>
            <w:pPr>
              <w:jc w:val="right"/>
              <w:ind w:right="229"/>
              <w:spacing w:after="0"/>
              <w:rPr>
                <w:sz w:val="20"/>
                <w:szCs w:val="20"/>
                <w:color w:val="auto"/>
              </w:rPr>
            </w:pPr>
            <w:r>
              <w:rPr>
                <w:rFonts w:ascii="Arial" w:cs="Arial" w:eastAsia="Arial" w:hAnsi="Arial"/>
                <w:sz w:val="3"/>
                <w:szCs w:val="3"/>
                <w:color w:val="FFFFFF"/>
              </w:rPr>
              <w:t>items that are measured in terms of historical cost in a</w:t>
            </w:r>
          </w:p>
        </w:tc>
        <w:tc>
          <w:tcPr>
            <w:tcW w:w="0" w:type="dxa"/>
            <w:vAlign w:val="bottom"/>
          </w:tcPr>
          <w:p>
            <w:pPr>
              <w:spacing w:after="0"/>
              <w:rPr>
                <w:sz w:val="1"/>
                <w:szCs w:val="1"/>
                <w:color w:val="auto"/>
              </w:rPr>
            </w:pPr>
          </w:p>
        </w:tc>
      </w:tr>
      <w:tr>
        <w:trPr>
          <w:trHeight w:val="41"/>
        </w:trPr>
        <w:tc>
          <w:tcPr>
            <w:tcW w:w="4580" w:type="dxa"/>
            <w:vAlign w:val="bottom"/>
            <w:gridSpan w:val="3"/>
          </w:tcPr>
          <w:p>
            <w:pPr>
              <w:spacing w:after="0"/>
              <w:rPr>
                <w:sz w:val="20"/>
                <w:szCs w:val="20"/>
                <w:color w:val="auto"/>
              </w:rPr>
            </w:pPr>
            <w:r>
              <w:rPr>
                <w:rFonts w:ascii="Arial" w:cs="Arial" w:eastAsia="Arial" w:hAnsi="Arial"/>
                <w:sz w:val="3"/>
                <w:szCs w:val="3"/>
                <w:color w:val="FFFFFF"/>
              </w:rPr>
              <w:t>foreign currency are transl ted using the exchange ratestranslationasthe dates of the initial</w:t>
            </w:r>
          </w:p>
        </w:tc>
        <w:tc>
          <w:tcPr>
            <w:tcW w:w="6820" w:type="dxa"/>
            <w:vAlign w:val="bottom"/>
            <w:gridSpan w:val="3"/>
          </w:tcPr>
          <w:p>
            <w:pPr>
              <w:jc w:val="right"/>
              <w:ind w:right="169"/>
              <w:spacing w:after="0"/>
              <w:rPr>
                <w:sz w:val="20"/>
                <w:szCs w:val="20"/>
                <w:color w:val="auto"/>
              </w:rPr>
            </w:pPr>
            <w:r>
              <w:rPr>
                <w:rFonts w:ascii="Arial" w:cs="Arial" w:eastAsia="Arial" w:hAnsi="Arial"/>
                <w:sz w:val="3"/>
                <w:szCs w:val="3"/>
                <w:color w:val="FFFFFF"/>
              </w:rPr>
              <w:t>sactions. Non-monetary items measured at fair value inmonetaryforeign currency are translated using the exchange rates at the</w:t>
            </w:r>
          </w:p>
        </w:tc>
        <w:tc>
          <w:tcPr>
            <w:tcW w:w="0" w:type="dxa"/>
            <w:vAlign w:val="bottom"/>
          </w:tcPr>
          <w:p>
            <w:pPr>
              <w:spacing w:after="0"/>
              <w:rPr>
                <w:sz w:val="1"/>
                <w:szCs w:val="1"/>
                <w:color w:val="auto"/>
              </w:rPr>
            </w:pPr>
          </w:p>
        </w:tc>
      </w:tr>
      <w:tr>
        <w:trPr>
          <w:trHeight w:val="41"/>
        </w:trPr>
        <w:tc>
          <w:tcPr>
            <w:tcW w:w="8220" w:type="dxa"/>
            <w:vAlign w:val="bottom"/>
            <w:gridSpan w:val="4"/>
          </w:tcPr>
          <w:p>
            <w:pPr>
              <w:spacing w:after="0"/>
              <w:rPr>
                <w:sz w:val="20"/>
                <w:szCs w:val="20"/>
                <w:color w:val="auto"/>
              </w:rPr>
            </w:pPr>
            <w:r>
              <w:rPr>
                <w:rFonts w:ascii="Arial" w:cs="Arial" w:eastAsia="Arial" w:hAnsi="Arial"/>
                <w:sz w:val="3"/>
                <w:szCs w:val="3"/>
                <w:color w:val="FFFFFF"/>
              </w:rPr>
              <w:t>date when the fair value was determined. The gain or loss arising on retranslation oftranon-monetary</w:t>
            </w:r>
          </w:p>
        </w:tc>
        <w:tc>
          <w:tcPr>
            <w:tcW w:w="8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220" w:type="dxa"/>
            <w:vAlign w:val="bottom"/>
            <w:gridSpan w:val="4"/>
          </w:tcPr>
          <w:p>
            <w:pPr>
              <w:spacing w:after="0"/>
              <w:rPr>
                <w:sz w:val="20"/>
                <w:szCs w:val="20"/>
                <w:color w:val="auto"/>
              </w:rPr>
            </w:pPr>
            <w:r>
              <w:rPr>
                <w:rFonts w:ascii="Arial" w:cs="Arial" w:eastAsia="Arial" w:hAnsi="Arial"/>
                <w:sz w:val="14"/>
                <w:szCs w:val="14"/>
                <w:color w:val="FFFFFF"/>
              </w:rPr>
              <w:t>item is treated in line with the recognition of the gain or loss on change in fair value of the item.</w:t>
            </w:r>
          </w:p>
        </w:tc>
        <w:tc>
          <w:tcPr>
            <w:tcW w:w="8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3"/>
          </w:tcPr>
          <w:p>
            <w:pPr>
              <w:spacing w:after="0"/>
              <w:rPr>
                <w:sz w:val="20"/>
                <w:szCs w:val="20"/>
                <w:color w:val="auto"/>
              </w:rPr>
            </w:pPr>
            <w:r>
              <w:rPr>
                <w:rFonts w:ascii="Arial" w:cs="Arial" w:eastAsia="Arial" w:hAnsi="Arial"/>
                <w:sz w:val="14"/>
                <w:szCs w:val="14"/>
                <w:color w:val="FFFFFF"/>
                <w:w w:val="92"/>
              </w:rPr>
              <w:t>82 Wynn Macau, Limited</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4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4"/>
          </w:tcPr>
          <w:p>
            <w:pPr>
              <w:spacing w:after="0"/>
              <w:rPr>
                <w:sz w:val="20"/>
                <w:szCs w:val="20"/>
                <w:color w:val="auto"/>
              </w:rPr>
            </w:pPr>
            <w:r>
              <w:rPr>
                <w:rFonts w:ascii="Arial" w:cs="Arial" w:eastAsia="Arial" w:hAnsi="Arial"/>
                <w:sz w:val="3"/>
                <w:szCs w:val="3"/>
                <w:color w:val="FFFFFF"/>
              </w:rPr>
              <w:t>Notes to Financial Statements</w:t>
            </w:r>
          </w:p>
        </w:tc>
        <w:tc>
          <w:tcPr>
            <w:tcW w:w="1240" w:type="dxa"/>
            <w:vAlign w:val="bottom"/>
          </w:tcPr>
          <w:p>
            <w:pPr>
              <w:spacing w:after="0"/>
              <w:rPr>
                <w:sz w:val="3"/>
                <w:szCs w:val="3"/>
                <w:color w:val="auto"/>
              </w:rPr>
            </w:pPr>
          </w:p>
        </w:tc>
        <w:tc>
          <w:tcPr>
            <w:tcW w:w="6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4"/>
          </w:tcPr>
          <w:p>
            <w:pPr>
              <w:spacing w:after="0"/>
              <w:rPr>
                <w:sz w:val="20"/>
                <w:szCs w:val="20"/>
                <w:color w:val="auto"/>
              </w:rPr>
            </w:pPr>
            <w:r>
              <w:rPr>
                <w:rFonts w:ascii="Arial" w:cs="Arial" w:eastAsia="Arial" w:hAnsi="Arial"/>
                <w:sz w:val="3"/>
                <w:szCs w:val="3"/>
                <w:color w:val="FFFFFF"/>
              </w:rPr>
              <w:t>For the year ended 31 December 2011</w:t>
            </w:r>
          </w:p>
        </w:tc>
        <w:tc>
          <w:tcPr>
            <w:tcW w:w="1240" w:type="dxa"/>
            <w:vAlign w:val="bottom"/>
          </w:tcPr>
          <w:p>
            <w:pPr>
              <w:spacing w:after="0"/>
              <w:rPr>
                <w:sz w:val="3"/>
                <w:szCs w:val="3"/>
                <w:color w:val="auto"/>
              </w:rPr>
            </w:pPr>
          </w:p>
        </w:tc>
        <w:tc>
          <w:tcPr>
            <w:tcW w:w="6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0" w:type="dxa"/>
            <w:vAlign w:val="bottom"/>
            <w:gridSpan w:val="6"/>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0" w:type="dxa"/>
            <w:vAlign w:val="bottom"/>
          </w:tcPr>
          <w:p>
            <w:pPr>
              <w:spacing w:after="0"/>
              <w:rPr>
                <w:sz w:val="1"/>
                <w:szCs w:val="1"/>
                <w:color w:val="auto"/>
              </w:rPr>
            </w:pPr>
          </w:p>
        </w:tc>
      </w:tr>
      <w:tr>
        <w:trPr>
          <w:trHeight w:val="41"/>
        </w:trPr>
        <w:tc>
          <w:tcPr>
            <w:tcW w:w="1440" w:type="dxa"/>
            <w:vAlign w:val="bottom"/>
            <w:gridSpan w:val="3"/>
          </w:tcPr>
          <w:p>
            <w:pPr>
              <w:spacing w:after="0"/>
              <w:rPr>
                <w:sz w:val="20"/>
                <w:szCs w:val="20"/>
                <w:color w:val="auto"/>
              </w:rPr>
            </w:pPr>
            <w:r>
              <w:rPr>
                <w:rFonts w:ascii="Arial" w:cs="Arial" w:eastAsia="Arial" w:hAnsi="Arial"/>
                <w:sz w:val="3"/>
                <w:szCs w:val="3"/>
                <w:color w:val="FFFFFF"/>
              </w:rPr>
              <w:t>Related parties</w:t>
            </w: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80" w:type="dxa"/>
            <w:vAlign w:val="bottom"/>
            <w:gridSpan w:val="5"/>
          </w:tcPr>
          <w:p>
            <w:pPr>
              <w:spacing w:after="0"/>
              <w:rPr>
                <w:sz w:val="20"/>
                <w:szCs w:val="20"/>
                <w:color w:val="auto"/>
              </w:rPr>
            </w:pPr>
            <w:r>
              <w:rPr>
                <w:rFonts w:ascii="Arial" w:cs="Arial" w:eastAsia="Arial" w:hAnsi="Arial"/>
                <w:sz w:val="3"/>
                <w:szCs w:val="3"/>
                <w:color w:val="FFFFFF"/>
              </w:rPr>
              <w:t>A party is considered to be related to the Group if:</w:t>
            </w:r>
          </w:p>
        </w:tc>
        <w:tc>
          <w:tcPr>
            <w:tcW w:w="6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0" w:type="dxa"/>
            <w:vAlign w:val="bottom"/>
            <w:gridSpan w:val="6"/>
          </w:tcPr>
          <w:p>
            <w:pPr>
              <w:ind w:left="60"/>
              <w:spacing w:after="0"/>
              <w:rPr>
                <w:sz w:val="20"/>
                <w:szCs w:val="20"/>
                <w:color w:val="auto"/>
              </w:rPr>
            </w:pPr>
            <w:r>
              <w:rPr>
                <w:rFonts w:ascii="Arial" w:cs="Arial" w:eastAsia="Arial" w:hAnsi="Arial"/>
                <w:sz w:val="3"/>
                <w:szCs w:val="3"/>
                <w:color w:val="FFFFFF"/>
              </w:rPr>
              <w:t>a) the party is a person or a close member of that person’s family and that person (i) has control or joint control over the Group; (ii) has signifi cant infl uence over the Group; or</w:t>
            </w:r>
          </w:p>
        </w:tc>
        <w:tc>
          <w:tcPr>
            <w:tcW w:w="0" w:type="dxa"/>
            <w:vAlign w:val="bottom"/>
          </w:tcPr>
          <w:p>
            <w:pPr>
              <w:spacing w:after="0"/>
              <w:rPr>
                <w:sz w:val="1"/>
                <w:szCs w:val="1"/>
                <w:color w:val="auto"/>
              </w:rPr>
            </w:pPr>
          </w:p>
        </w:tc>
      </w:tr>
      <w:tr>
        <w:trPr>
          <w:trHeight w:val="41"/>
        </w:trPr>
        <w:tc>
          <w:tcPr>
            <w:tcW w:w="9600" w:type="dxa"/>
            <w:vAlign w:val="bottom"/>
            <w:gridSpan w:val="6"/>
          </w:tcPr>
          <w:p>
            <w:pPr>
              <w:spacing w:after="0"/>
              <w:rPr>
                <w:sz w:val="20"/>
                <w:szCs w:val="20"/>
                <w:color w:val="auto"/>
              </w:rPr>
            </w:pPr>
            <w:r>
              <w:rPr>
                <w:rFonts w:ascii="Arial" w:cs="Arial" w:eastAsia="Arial" w:hAnsi="Arial"/>
                <w:sz w:val="3"/>
                <w:szCs w:val="3"/>
                <w:color w:val="FFFFFF"/>
              </w:rPr>
              <w:t>(iii) is a member of the key management personnel of the Group or of a parent of the Group;</w:t>
            </w: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or</w:t>
            </w:r>
          </w:p>
        </w:tc>
        <w:tc>
          <w:tcPr>
            <w:tcW w:w="240" w:type="dxa"/>
            <w:vAlign w:val="bottom"/>
          </w:tcPr>
          <w:p>
            <w:pPr>
              <w:spacing w:after="0"/>
              <w:rPr>
                <w:sz w:val="3"/>
                <w:szCs w:val="3"/>
                <w:color w:val="auto"/>
              </w:rPr>
            </w:pPr>
          </w:p>
        </w:tc>
        <w:tc>
          <w:tcPr>
            <w:tcW w:w="9180" w:type="dxa"/>
            <w:vAlign w:val="bottom"/>
            <w:gridSpan w:val="4"/>
            <w:vMerge w:val="restart"/>
          </w:tcPr>
          <w:p>
            <w:pPr>
              <w:ind w:left="40"/>
              <w:spacing w:after="0" w:line="81" w:lineRule="exact"/>
              <w:rPr>
                <w:sz w:val="20"/>
                <w:szCs w:val="20"/>
                <w:color w:val="auto"/>
              </w:rPr>
            </w:pPr>
            <w:r>
              <w:rPr>
                <w:rFonts w:ascii="Arial" w:cs="Arial" w:eastAsia="Arial" w:hAnsi="Arial"/>
                <w:sz w:val="9"/>
                <w:szCs w:val="9"/>
                <w:color w:val="FFFFFF"/>
              </w:rPr>
              <w:t>the party is an entity where any of the following conditions applies:</w:t>
            </w: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(b)</w:t>
            </w:r>
          </w:p>
        </w:tc>
        <w:tc>
          <w:tcPr>
            <w:tcW w:w="240" w:type="dxa"/>
            <w:vAlign w:val="bottom"/>
          </w:tcPr>
          <w:p>
            <w:pPr>
              <w:spacing w:after="0"/>
              <w:rPr>
                <w:sz w:val="3"/>
                <w:szCs w:val="3"/>
                <w:color w:val="auto"/>
              </w:rPr>
            </w:pPr>
          </w:p>
        </w:tc>
        <w:tc>
          <w:tcPr>
            <w:tcW w:w="91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line="54" w:lineRule="exact"/>
              <w:rPr>
                <w:sz w:val="20"/>
                <w:szCs w:val="20"/>
                <w:color w:val="auto"/>
              </w:rPr>
            </w:pPr>
            <w:r>
              <w:rPr>
                <w:rFonts w:ascii="Arial" w:cs="Arial" w:eastAsia="Arial" w:hAnsi="Arial"/>
                <w:sz w:val="6"/>
                <w:szCs w:val="6"/>
                <w:color w:val="FFFFFF"/>
              </w:rPr>
              <w:t>(i)</w:t>
            </w:r>
          </w:p>
        </w:tc>
        <w:tc>
          <w:tcPr>
            <w:tcW w:w="240" w:type="dxa"/>
            <w:vAlign w:val="bottom"/>
          </w:tcPr>
          <w:p>
            <w:pPr>
              <w:spacing w:after="0"/>
              <w:rPr>
                <w:sz w:val="4"/>
                <w:szCs w:val="4"/>
                <w:color w:val="auto"/>
              </w:rPr>
            </w:pPr>
          </w:p>
        </w:tc>
        <w:tc>
          <w:tcPr>
            <w:tcW w:w="3160" w:type="dxa"/>
            <w:vAlign w:val="bottom"/>
            <w:gridSpan w:val="3"/>
          </w:tcPr>
          <w:p>
            <w:pPr>
              <w:ind w:left="40"/>
              <w:spacing w:after="0" w:line="54" w:lineRule="exact"/>
              <w:rPr>
                <w:sz w:val="20"/>
                <w:szCs w:val="20"/>
                <w:color w:val="auto"/>
              </w:rPr>
            </w:pPr>
            <w:r>
              <w:rPr>
                <w:rFonts w:ascii="Arial" w:cs="Arial" w:eastAsia="Arial" w:hAnsi="Arial"/>
                <w:sz w:val="6"/>
                <w:szCs w:val="6"/>
                <w:color w:val="FFFFFF"/>
              </w:rPr>
              <w:t>the entity of the Group are members of the same group;</w:t>
            </w:r>
          </w:p>
        </w:tc>
        <w:tc>
          <w:tcPr>
            <w:tcW w:w="6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2160" w:type="dxa"/>
            <w:vAlign w:val="bottom"/>
            <w:gridSpan w:val="3"/>
          </w:tcPr>
          <w:p>
            <w:pPr>
              <w:ind w:left="20"/>
              <w:spacing w:after="0" w:line="54" w:lineRule="exact"/>
              <w:rPr>
                <w:sz w:val="20"/>
                <w:szCs w:val="20"/>
                <w:color w:val="auto"/>
              </w:rPr>
            </w:pPr>
            <w:r>
              <w:rPr>
                <w:rFonts w:ascii="Arial" w:cs="Arial" w:eastAsia="Arial" w:hAnsi="Arial"/>
                <w:sz w:val="6"/>
                <w:szCs w:val="6"/>
                <w:color w:val="FFFFFF"/>
              </w:rPr>
              <w:t>one entity is an associate or</w:t>
            </w:r>
          </w:p>
        </w:tc>
        <w:tc>
          <w:tcPr>
            <w:tcW w:w="7260" w:type="dxa"/>
            <w:vAlign w:val="bottom"/>
            <w:gridSpan w:val="2"/>
          </w:tcPr>
          <w:p>
            <w:pPr>
              <w:ind w:left="120"/>
              <w:spacing w:after="0" w:line="54" w:lineRule="exact"/>
              <w:rPr>
                <w:sz w:val="20"/>
                <w:szCs w:val="20"/>
                <w:color w:val="auto"/>
              </w:rPr>
            </w:pPr>
            <w:r>
              <w:rPr>
                <w:rFonts w:ascii="Arial" w:cs="Arial" w:eastAsia="Arial" w:hAnsi="Arial"/>
                <w:sz w:val="6"/>
                <w:szCs w:val="6"/>
                <w:color w:val="FFFFFF"/>
              </w:rPr>
              <w:t>of the other entity (or of a parent, subsidiary or fellow subsidiary of the other entity);</w:t>
            </w:r>
          </w:p>
        </w:tc>
        <w:tc>
          <w:tcPr>
            <w:tcW w:w="0" w:type="dxa"/>
            <w:vAlign w:val="bottom"/>
          </w:tcPr>
          <w:p>
            <w:pPr>
              <w:spacing w:after="0"/>
              <w:rPr>
                <w:sz w:val="1"/>
                <w:szCs w:val="1"/>
                <w:color w:val="auto"/>
              </w:rPr>
            </w:pPr>
          </w:p>
        </w:tc>
      </w:tr>
      <w:tr>
        <w:trPr>
          <w:trHeight w:val="41"/>
        </w:trPr>
        <w:tc>
          <w:tcPr>
            <w:tcW w:w="9600" w:type="dxa"/>
            <w:vAlign w:val="bottom"/>
            <w:gridSpan w:val="6"/>
          </w:tcPr>
          <w:p>
            <w:pPr>
              <w:ind w:left="100"/>
              <w:spacing w:after="0"/>
              <w:rPr>
                <w:sz w:val="20"/>
                <w:szCs w:val="20"/>
                <w:color w:val="auto"/>
              </w:rPr>
            </w:pPr>
            <w:r>
              <w:rPr>
                <w:rFonts w:ascii="Arial" w:cs="Arial" w:eastAsia="Arial" w:hAnsi="Arial"/>
                <w:sz w:val="3"/>
                <w:szCs w:val="3"/>
                <w:color w:val="FFFFFF"/>
              </w:rPr>
              <w:t>ii) the entity of the Group are jjoint ventures of the same third party;</w:t>
            </w: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2160" w:type="dxa"/>
            <w:vAlign w:val="bottom"/>
            <w:gridSpan w:val="3"/>
          </w:tcPr>
          <w:p>
            <w:pPr>
              <w:ind w:left="60"/>
              <w:spacing w:after="0"/>
              <w:rPr>
                <w:sz w:val="20"/>
                <w:szCs w:val="20"/>
                <w:color w:val="auto"/>
              </w:rPr>
            </w:pPr>
            <w:r>
              <w:rPr>
                <w:rFonts w:ascii="Arial" w:cs="Arial" w:eastAsia="Arial" w:hAnsi="Arial"/>
                <w:sz w:val="3"/>
                <w:szCs w:val="3"/>
                <w:color w:val="FFFFFF"/>
              </w:rPr>
              <w:t>one entity is a joint venture of a third</w:t>
            </w:r>
          </w:p>
        </w:tc>
        <w:tc>
          <w:tcPr>
            <w:tcW w:w="1240" w:type="dxa"/>
            <w:vAlign w:val="bottom"/>
          </w:tcPr>
          <w:p>
            <w:pPr>
              <w:ind w:left="280"/>
              <w:spacing w:after="0"/>
              <w:rPr>
                <w:sz w:val="20"/>
                <w:szCs w:val="20"/>
                <w:color w:val="auto"/>
              </w:rPr>
            </w:pPr>
            <w:r>
              <w:rPr>
                <w:rFonts w:ascii="Arial" w:cs="Arial" w:eastAsia="Arial" w:hAnsi="Arial"/>
                <w:sz w:val="3"/>
                <w:szCs w:val="3"/>
                <w:color w:val="FFFFFF"/>
              </w:rPr>
              <w:t>and the other</w:t>
            </w:r>
          </w:p>
        </w:tc>
        <w:tc>
          <w:tcPr>
            <w:tcW w:w="6020" w:type="dxa"/>
            <w:vAlign w:val="bottom"/>
          </w:tcPr>
          <w:p>
            <w:pPr>
              <w:ind w:left="120"/>
              <w:spacing w:after="0"/>
              <w:rPr>
                <w:sz w:val="20"/>
                <w:szCs w:val="20"/>
                <w:color w:val="auto"/>
              </w:rPr>
            </w:pPr>
            <w:r>
              <w:rPr>
                <w:rFonts w:ascii="Arial" w:cs="Arial" w:eastAsia="Arial" w:hAnsi="Arial"/>
                <w:sz w:val="3"/>
                <w:szCs w:val="3"/>
                <w:color w:val="FFFFFF"/>
              </w:rPr>
              <w:t>is an associate of the third entity;</w:t>
            </w: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9420" w:type="dxa"/>
            <w:vAlign w:val="bottom"/>
            <w:gridSpan w:val="5"/>
          </w:tcPr>
          <w:p>
            <w:pPr>
              <w:ind w:left="20"/>
              <w:spacing w:after="0"/>
              <w:rPr>
                <w:sz w:val="20"/>
                <w:szCs w:val="20"/>
                <w:color w:val="auto"/>
              </w:rPr>
            </w:pPr>
            <w:r>
              <w:rPr>
                <w:rFonts w:ascii="Arial" w:cs="Arial" w:eastAsia="Arial" w:hAnsi="Arial"/>
                <w:sz w:val="3"/>
                <w:szCs w:val="3"/>
                <w:color w:val="FFFFFF"/>
              </w:rPr>
              <w:t>the entity is a post-employment benefientityplan for the benefientityofemployees of either the Group or an entity related to the Group;</w:t>
            </w:r>
          </w:p>
        </w:tc>
        <w:tc>
          <w:tcPr>
            <w:tcW w:w="0" w:type="dxa"/>
            <w:vAlign w:val="bottom"/>
          </w:tcPr>
          <w:p>
            <w:pPr>
              <w:spacing w:after="0"/>
              <w:rPr>
                <w:sz w:val="1"/>
                <w:szCs w:val="1"/>
                <w:color w:val="auto"/>
              </w:rPr>
            </w:pPr>
          </w:p>
        </w:tc>
      </w:tr>
      <w:tr>
        <w:trPr>
          <w:trHeight w:val="0"/>
        </w:trPr>
        <w:tc>
          <w:tcPr>
            <w:tcW w:w="420" w:type="dxa"/>
            <w:vAlign w:val="bottom"/>
            <w:gridSpan w:val="2"/>
          </w:tcPr>
          <w:p>
            <w:pPr>
              <w:ind w:left="60"/>
              <w:spacing w:after="0" w:line="80" w:lineRule="exact"/>
              <w:rPr>
                <w:sz w:val="20"/>
                <w:szCs w:val="20"/>
                <w:color w:val="auto"/>
              </w:rPr>
            </w:pPr>
            <w:r>
              <w:rPr>
                <w:rFonts w:ascii="Arial" w:cs="Arial" w:eastAsia="Arial" w:hAnsi="Arial"/>
                <w:sz w:val="9"/>
                <w:szCs w:val="9"/>
                <w:color w:val="FFFFFF"/>
              </w:rPr>
              <w:t>iv) the</w:t>
            </w:r>
          </w:p>
        </w:tc>
        <w:tc>
          <w:tcPr>
            <w:tcW w:w="1020" w:type="dxa"/>
            <w:vAlign w:val="bottom"/>
          </w:tcPr>
          <w:p>
            <w:pPr>
              <w:ind w:left="80"/>
              <w:spacing w:after="0" w:line="80" w:lineRule="exact"/>
              <w:rPr>
                <w:sz w:val="20"/>
                <w:szCs w:val="20"/>
                <w:color w:val="auto"/>
              </w:rPr>
            </w:pPr>
            <w:r>
              <w:rPr>
                <w:rFonts w:ascii="Arial" w:cs="Arial" w:eastAsia="Arial" w:hAnsi="Arial"/>
                <w:sz w:val="9"/>
                <w:szCs w:val="9"/>
                <w:color w:val="FFFFFF"/>
              </w:rPr>
              <w:t>ntity is</w:t>
            </w:r>
          </w:p>
        </w:tc>
        <w:tc>
          <w:tcPr>
            <w:tcW w:w="8160" w:type="dxa"/>
            <w:vAlign w:val="bottom"/>
            <w:gridSpan w:val="3"/>
          </w:tcPr>
          <w:p>
            <w:pPr>
              <w:ind w:left="40"/>
              <w:spacing w:after="0" w:line="80" w:lineRule="exact"/>
              <w:rPr>
                <w:sz w:val="20"/>
                <w:szCs w:val="20"/>
                <w:color w:val="auto"/>
              </w:rPr>
            </w:pPr>
            <w:r>
              <w:rPr>
                <w:rFonts w:ascii="Arial" w:cs="Arial" w:eastAsia="Arial" w:hAnsi="Arial"/>
                <w:sz w:val="9"/>
                <w:szCs w:val="9"/>
                <w:color w:val="FFFFFF"/>
              </w:rPr>
              <w:t>or jointly controlled by a person identifi ed in (a);</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(vii) a person identificontrolledin (a)(i) has signifi cant infl uence over the entity or isand/ormember of the key management personnel of the entity (or of a parent of the entity).</w:t>
      </w:r>
    </w:p>
    <w:p>
      <w:pPr>
        <w:sectPr>
          <w:pgSz w:w="11900" w:h="16838" w:orient="portrait"/>
          <w:cols w:equalWidth="0" w:num="1">
            <w:col w:w="10219"/>
          </w:cols>
          <w:pgMar w:left="240" w:top="1440" w:right="1440"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color w:val="FFFFFF"/>
              </w:rPr>
              <w:t>Annual Report 2011 83</w:t>
            </w: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5480" w:type="dxa"/>
            <w:vAlign w:val="bottom"/>
          </w:tcPr>
          <w:p>
            <w:pPr>
              <w:spacing w:after="0"/>
              <w:rPr>
                <w:sz w:val="3"/>
                <w:szCs w:val="3"/>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5480" w:type="dxa"/>
            <w:vAlign w:val="bottom"/>
          </w:tcPr>
          <w:p>
            <w:pPr>
              <w:spacing w:after="0"/>
              <w:rPr>
                <w:sz w:val="3"/>
                <w:szCs w:val="3"/>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c>
          <w:tcPr>
            <w:tcW w:w="2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5480" w:type="dxa"/>
            <w:vAlign w:val="bottom"/>
          </w:tcPr>
          <w:p>
            <w:pPr>
              <w:spacing w:after="0"/>
              <w:rPr>
                <w:sz w:val="3"/>
                <w:szCs w:val="3"/>
                <w:color w:val="auto"/>
              </w:rPr>
            </w:pPr>
          </w:p>
        </w:tc>
      </w:tr>
      <w:tr>
        <w:trPr>
          <w:trHeight w:val="41"/>
        </w:trPr>
        <w:tc>
          <w:tcPr>
            <w:tcW w:w="434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1580" w:type="dxa"/>
            <w:vAlign w:val="bottom"/>
          </w:tcPr>
          <w:p>
            <w:pPr>
              <w:spacing w:after="0"/>
              <w:rPr>
                <w:sz w:val="3"/>
                <w:szCs w:val="3"/>
                <w:color w:val="auto"/>
              </w:rPr>
            </w:pPr>
          </w:p>
        </w:tc>
        <w:tc>
          <w:tcPr>
            <w:tcW w:w="5480" w:type="dxa"/>
            <w:vAlign w:val="bottom"/>
          </w:tcPr>
          <w:p>
            <w:pPr>
              <w:spacing w:after="0"/>
              <w:rPr>
                <w:sz w:val="3"/>
                <w:szCs w:val="3"/>
                <w:color w:val="auto"/>
              </w:rPr>
            </w:pPr>
          </w:p>
        </w:tc>
      </w:tr>
      <w:tr>
        <w:trPr>
          <w:trHeight w:val="81"/>
        </w:trPr>
        <w:tc>
          <w:tcPr>
            <w:tcW w:w="11400" w:type="dxa"/>
            <w:vAlign w:val="bottom"/>
            <w:gridSpan w:val="5"/>
          </w:tcPr>
          <w:p>
            <w:pPr>
              <w:spacing w:after="0" w:line="81" w:lineRule="exact"/>
              <w:rPr>
                <w:sz w:val="20"/>
                <w:szCs w:val="20"/>
                <w:color w:val="auto"/>
              </w:rPr>
            </w:pPr>
            <w:r>
              <w:rPr>
                <w:rFonts w:ascii="Arial" w:cs="Arial" w:eastAsia="Arial" w:hAnsi="Arial"/>
                <w:sz w:val="9"/>
                <w:szCs w:val="9"/>
                <w:color w:val="FFFFFF"/>
              </w:rPr>
              <w:t>Property and equipment are stated at cost, net of accumulated depreciation and accumulated impairment losses, if any. The cost of an item of property and equipment comprises its purchase price and any directly</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attributable costs of bringing the asset to its working condition and location for its intended use. Expenditures incurred after items of property and equipment have been put into operation, such as repair and</w:t>
            </w:r>
          </w:p>
        </w:tc>
      </w:tr>
      <w:tr>
        <w:trPr>
          <w:trHeight w:val="41"/>
        </w:trPr>
        <w:tc>
          <w:tcPr>
            <w:tcW w:w="660" w:type="dxa"/>
            <w:vAlign w:val="bottom"/>
          </w:tcPr>
          <w:p>
            <w:pPr>
              <w:spacing w:after="0"/>
              <w:rPr>
                <w:sz w:val="3"/>
                <w:szCs w:val="3"/>
                <w:color w:val="auto"/>
              </w:rPr>
            </w:pPr>
          </w:p>
        </w:tc>
        <w:tc>
          <w:tcPr>
            <w:tcW w:w="3680" w:type="dxa"/>
            <w:vAlign w:val="bottom"/>
            <w:gridSpan w:val="2"/>
          </w:tcPr>
          <w:p>
            <w:pPr>
              <w:ind w:left="60"/>
              <w:spacing w:after="0"/>
              <w:rPr>
                <w:sz w:val="20"/>
                <w:szCs w:val="20"/>
                <w:color w:val="auto"/>
              </w:rPr>
            </w:pPr>
            <w:r>
              <w:rPr>
                <w:rFonts w:ascii="Arial" w:cs="Arial" w:eastAsia="Arial" w:hAnsi="Arial"/>
                <w:sz w:val="3"/>
                <w:szCs w:val="3"/>
                <w:color w:val="FFFFFF"/>
              </w:rPr>
              <w:t>costs, are recognized in the consol dated statement of</w:t>
            </w:r>
          </w:p>
        </w:tc>
        <w:tc>
          <w:tcPr>
            <w:tcW w:w="7060" w:type="dxa"/>
            <w:vAlign w:val="bottom"/>
            <w:gridSpan w:val="2"/>
          </w:tcPr>
          <w:p>
            <w:pPr>
              <w:ind w:left="160"/>
              <w:spacing w:after="0"/>
              <w:rPr>
                <w:sz w:val="20"/>
                <w:szCs w:val="20"/>
                <w:color w:val="auto"/>
              </w:rPr>
            </w:pPr>
            <w:r>
              <w:rPr>
                <w:rFonts w:ascii="Arial" w:cs="Arial" w:eastAsia="Arial" w:hAnsi="Arial"/>
                <w:sz w:val="3"/>
                <w:szCs w:val="3"/>
                <w:color w:val="FFFFFF"/>
              </w:rPr>
              <w:t>income in the period in which they are incurred. When signifi cant parts of property and equipment are required to be replaced</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maintenanceintervals,the Group recognises such parts as individual assets withcomprehensivespecifiuseful lives and depreciates them accordingly. Likewise, when a major inspection is performed, its cost is recognised in the carrying</w:t>
            </w:r>
          </w:p>
        </w:tc>
      </w:tr>
      <w:tr>
        <w:trPr>
          <w:trHeight w:val="41"/>
        </w:trPr>
        <w:tc>
          <w:tcPr>
            <w:tcW w:w="2080" w:type="dxa"/>
            <w:vAlign w:val="bottom"/>
            <w:gridSpan w:val="2"/>
          </w:tcPr>
          <w:p>
            <w:pPr>
              <w:ind w:left="60"/>
              <w:spacing w:after="0"/>
              <w:rPr>
                <w:sz w:val="20"/>
                <w:szCs w:val="20"/>
                <w:color w:val="auto"/>
              </w:rPr>
            </w:pPr>
            <w:r>
              <w:rPr>
                <w:rFonts w:ascii="Arial" w:cs="Arial" w:eastAsia="Arial" w:hAnsi="Arial"/>
                <w:sz w:val="3"/>
                <w:szCs w:val="3"/>
                <w:color w:val="FFFFFF"/>
              </w:rPr>
              <w:t>mount of the equ pment as</w:t>
            </w:r>
          </w:p>
        </w:tc>
        <w:tc>
          <w:tcPr>
            <w:tcW w:w="9320" w:type="dxa"/>
            <w:vAlign w:val="bottom"/>
            <w:gridSpan w:val="3"/>
          </w:tcPr>
          <w:p>
            <w:pPr>
              <w:ind w:left="240"/>
              <w:spacing w:after="0"/>
              <w:rPr>
                <w:sz w:val="20"/>
                <w:szCs w:val="20"/>
                <w:color w:val="auto"/>
              </w:rPr>
            </w:pPr>
            <w:r>
              <w:rPr>
                <w:rFonts w:ascii="Arial" w:cs="Arial" w:eastAsia="Arial" w:hAnsi="Arial"/>
                <w:sz w:val="3"/>
                <w:szCs w:val="3"/>
                <w:color w:val="FFFFFF"/>
              </w:rPr>
              <w:t>if the recognition criteria are satisfi ed. The present value of the expected cost for the decommissioning of an asset after its use is included in the cost of the respective</w:t>
            </w:r>
          </w:p>
        </w:tc>
      </w:tr>
      <w:tr>
        <w:trPr>
          <w:trHeight w:val="41"/>
        </w:trPr>
        <w:tc>
          <w:tcPr>
            <w:tcW w:w="4340" w:type="dxa"/>
            <w:vAlign w:val="bottom"/>
            <w:gridSpan w:val="3"/>
          </w:tcPr>
          <w:p>
            <w:pPr>
              <w:spacing w:after="0"/>
              <w:rPr>
                <w:sz w:val="20"/>
                <w:szCs w:val="20"/>
                <w:color w:val="auto"/>
              </w:rPr>
            </w:pPr>
            <w:r>
              <w:rPr>
                <w:rFonts w:ascii="Arial" w:cs="Arial" w:eastAsia="Arial" w:hAnsi="Arial"/>
                <w:sz w:val="3"/>
                <w:szCs w:val="3"/>
                <w:color w:val="FFFFFF"/>
              </w:rPr>
              <w:t>asset if the recognition criteriareplacementforprovision are met.</w:t>
            </w:r>
          </w:p>
        </w:tc>
        <w:tc>
          <w:tcPr>
            <w:tcW w:w="1580" w:type="dxa"/>
            <w:vAlign w:val="bottom"/>
          </w:tcPr>
          <w:p>
            <w:pPr>
              <w:spacing w:after="0"/>
              <w:rPr>
                <w:sz w:val="3"/>
                <w:szCs w:val="3"/>
                <w:color w:val="auto"/>
              </w:rPr>
            </w:pPr>
          </w:p>
        </w:tc>
        <w:tc>
          <w:tcPr>
            <w:tcW w:w="548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Depreciation is calculated on the straight-line basis to write of the cost of each item of property and equipment to its residual value over the shorter of the remaining term of the gaming concession (for</w:t>
            </w: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designated</w:t>
            </w:r>
          </w:p>
        </w:tc>
        <w:tc>
          <w:tcPr>
            <w:tcW w:w="10740" w:type="dxa"/>
            <w:vAlign w:val="bottom"/>
            <w:gridSpan w:val="4"/>
          </w:tcPr>
          <w:p>
            <w:pPr>
              <w:ind w:left="400"/>
              <w:spacing w:after="0"/>
              <w:rPr>
                <w:sz w:val="20"/>
                <w:szCs w:val="20"/>
                <w:color w:val="auto"/>
              </w:rPr>
            </w:pPr>
            <w:r>
              <w:rPr>
                <w:rFonts w:ascii="Arial" w:cs="Arial" w:eastAsia="Arial" w:hAnsi="Arial"/>
                <w:sz w:val="3"/>
                <w:szCs w:val="3"/>
                <w:color w:val="FFFFFF"/>
              </w:rPr>
              <w:t>assets and space) or the land concession for Wynn Macau (for all other assets), as applicable, and their estimated useful lives. The gaming concession and the land concession for Wynn Macau</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currently expiregaming June 2022 and August 2029, respectively. The estimated useful lives used for this purpose are as follows:</w:t>
            </w:r>
          </w:p>
        </w:tc>
      </w:tr>
      <w:tr>
        <w:trPr>
          <w:trHeight w:val="41"/>
        </w:trPr>
        <w:tc>
          <w:tcPr>
            <w:tcW w:w="5920" w:type="dxa"/>
            <w:vAlign w:val="bottom"/>
            <w:gridSpan w:val="4"/>
          </w:tcPr>
          <w:p>
            <w:pPr>
              <w:spacing w:after="0"/>
              <w:rPr>
                <w:sz w:val="20"/>
                <w:szCs w:val="20"/>
                <w:color w:val="auto"/>
              </w:rPr>
            </w:pPr>
            <w:r>
              <w:rPr>
                <w:rFonts w:ascii="Arial" w:cs="Arial" w:eastAsia="Arial" w:hAnsi="Arial"/>
                <w:sz w:val="3"/>
                <w:szCs w:val="3"/>
                <w:color w:val="FFFFFF"/>
              </w:rPr>
              <w:t>Buildings and improvements 10 to 25 years Furniture, fi xtures and equipment 3 to 5 years Leasehold</w:t>
            </w:r>
          </w:p>
        </w:tc>
        <w:tc>
          <w:tcPr>
            <w:tcW w:w="5480" w:type="dxa"/>
            <w:vAlign w:val="bottom"/>
          </w:tcPr>
          <w:p>
            <w:pPr>
              <w:ind w:left="420"/>
              <w:spacing w:after="0"/>
              <w:rPr>
                <w:sz w:val="20"/>
                <w:szCs w:val="20"/>
                <w:color w:val="auto"/>
              </w:rPr>
            </w:pPr>
            <w:r>
              <w:rPr>
                <w:rFonts w:ascii="Arial" w:cs="Arial" w:eastAsia="Arial" w:hAnsi="Arial"/>
                <w:sz w:val="3"/>
                <w:szCs w:val="3"/>
                <w:color w:val="FFFFFF"/>
              </w:rPr>
              <w:t>(shorter of remaining lease period 1 to 5 years and estimated useful life)</w:t>
            </w:r>
          </w:p>
        </w:tc>
      </w:tr>
      <w:tr>
        <w:trPr>
          <w:trHeight w:val="0"/>
        </w:trPr>
        <w:tc>
          <w:tcPr>
            <w:tcW w:w="2080" w:type="dxa"/>
            <w:vAlign w:val="bottom"/>
            <w:gridSpan w:val="2"/>
          </w:tcPr>
          <w:p>
            <w:pPr>
              <w:spacing w:after="0" w:line="80" w:lineRule="exact"/>
              <w:rPr>
                <w:sz w:val="20"/>
                <w:szCs w:val="20"/>
                <w:color w:val="auto"/>
              </w:rPr>
            </w:pPr>
            <w:r>
              <w:rPr>
                <w:rFonts w:ascii="Arial" w:cs="Arial" w:eastAsia="Arial" w:hAnsi="Arial"/>
                <w:sz w:val="9"/>
                <w:szCs w:val="9"/>
                <w:color w:val="FFFFFF"/>
              </w:rPr>
              <w:t>An item of property and equipment</w:t>
            </w:r>
          </w:p>
        </w:tc>
        <w:tc>
          <w:tcPr>
            <w:tcW w:w="9320" w:type="dxa"/>
            <w:vAlign w:val="bottom"/>
            <w:gridSpan w:val="3"/>
          </w:tcPr>
          <w:p>
            <w:pPr>
              <w:spacing w:after="0" w:line="80" w:lineRule="exact"/>
              <w:rPr>
                <w:sz w:val="20"/>
                <w:szCs w:val="20"/>
                <w:color w:val="auto"/>
              </w:rPr>
            </w:pPr>
            <w:r>
              <w:rPr>
                <w:rFonts w:ascii="Arial" w:cs="Arial" w:eastAsia="Arial" w:hAnsi="Arial"/>
                <w:sz w:val="9"/>
                <w:szCs w:val="9"/>
                <w:color w:val="FFFFFF"/>
              </w:rPr>
              <w:t>derecognized upon disposal or when no future economic benefi improvementsareexpected from its use or disposal. Any gain or loss arising on derecognition of an asset (calculated as</w:t>
            </w:r>
          </w:p>
        </w:tc>
      </w:tr>
    </w:tbl>
    <w:p>
      <w:pPr>
        <w:ind w:left="1660"/>
        <w:spacing w:after="0" w:line="25" w:lineRule="auto"/>
        <w:rPr>
          <w:sz w:val="20"/>
          <w:szCs w:val="20"/>
          <w:color w:val="auto"/>
        </w:rPr>
      </w:pPr>
      <w:r>
        <w:rPr>
          <w:rFonts w:ascii="Arial" w:cs="Arial" w:eastAsia="Arial" w:hAnsi="Arial"/>
          <w:sz w:val="1"/>
          <w:szCs w:val="1"/>
          <w:color w:val="FFFFFF"/>
        </w:rPr>
        <w:t>disposal</w:t>
      </w:r>
    </w:p>
    <w:p>
      <w:pPr>
        <w:spacing w:after="0"/>
        <w:rPr>
          <w:sz w:val="20"/>
          <w:szCs w:val="20"/>
          <w:color w:val="auto"/>
        </w:rPr>
      </w:pPr>
      <w:r>
        <w:rPr>
          <w:rFonts w:ascii="Arial" w:cs="Arial" w:eastAsia="Arial" w:hAnsi="Arial"/>
          <w:sz w:val="9"/>
          <w:szCs w:val="9"/>
          <w:color w:val="FFFFFF"/>
        </w:rPr>
        <w:t>Residualthedifferencevalues,betweenuseful thelivesnetand methodsproceedsofdepreciationandthecarryingarereviewedamountat eachofthefiasset)nancialis includedyearend inandtheadjustedstatementprospectively,ofcomprehensiveifappropriate.income when the asset is derecognized.</w:t>
      </w:r>
    </w:p>
    <w:p>
      <w:pPr>
        <w:sectPr>
          <w:pgSz w:w="11900" w:h="16838" w:orient="portrait"/>
          <w:cols w:equalWidth="0" w:num="1">
            <w:col w:w="11400"/>
          </w:cols>
          <w:pgMar w:left="240" w:top="1440" w:right="25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Arial" w:cs="Arial" w:eastAsia="Arial" w:hAnsi="Arial"/>
                <w:sz w:val="14"/>
                <w:szCs w:val="14"/>
                <w:color w:val="FFFFFF"/>
              </w:rPr>
              <w:t>84 Wynn Macau, Limited</w:t>
            </w:r>
          </w:p>
        </w:tc>
        <w:tc>
          <w:tcPr>
            <w:tcW w:w="7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7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7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c>
          <w:tcPr>
            <w:tcW w:w="7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Prope ty and equipment (continued)</w:t>
            </w:r>
          </w:p>
        </w:tc>
        <w:tc>
          <w:tcPr>
            <w:tcW w:w="7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Construction</w:t>
            </w:r>
          </w:p>
        </w:tc>
        <w:tc>
          <w:tcPr>
            <w:tcW w:w="10600" w:type="dxa"/>
            <w:vAlign w:val="bottom"/>
            <w:gridSpan w:val="2"/>
          </w:tcPr>
          <w:p>
            <w:pPr>
              <w:ind w:left="80"/>
              <w:spacing w:after="0"/>
              <w:rPr>
                <w:sz w:val="20"/>
                <w:szCs w:val="20"/>
                <w:color w:val="auto"/>
              </w:rPr>
            </w:pPr>
            <w:r>
              <w:rPr>
                <w:rFonts w:ascii="Arial" w:cs="Arial" w:eastAsia="Arial" w:hAnsi="Arial"/>
                <w:sz w:val="3"/>
                <w:szCs w:val="3"/>
                <w:color w:val="FFFFFF"/>
              </w:rPr>
              <w:t>progress represents assets under development or construction, which are stated at cost less any impairment losses, and are not depreciated. Cost comprises the direct costs of construction and</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capitalized borrowing costs on related borrowed funds during the period of construction. Construction in progress is reclassifi ed to the appropriate category of property and equipment when completed and ready</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for use.</w:t>
            </w:r>
          </w:p>
        </w:tc>
        <w:tc>
          <w:tcPr>
            <w:tcW w:w="3080" w:type="dxa"/>
            <w:vAlign w:val="bottom"/>
          </w:tcPr>
          <w:p>
            <w:pPr>
              <w:spacing w:after="0"/>
              <w:rPr>
                <w:sz w:val="3"/>
                <w:szCs w:val="3"/>
                <w:color w:val="auto"/>
              </w:rPr>
            </w:pPr>
          </w:p>
        </w:tc>
        <w:tc>
          <w:tcPr>
            <w:tcW w:w="7520" w:type="dxa"/>
            <w:vAlign w:val="bottom"/>
            <w:vMerge w:val="restart"/>
          </w:tcPr>
          <w:p>
            <w:pPr>
              <w:ind w:left="100"/>
              <w:spacing w:after="0" w:line="2" w:lineRule="exact"/>
              <w:rPr>
                <w:sz w:val="20"/>
                <w:szCs w:val="20"/>
                <w:color w:val="auto"/>
              </w:rPr>
            </w:pPr>
            <w:r>
              <w:rPr>
                <w:rFonts w:ascii="Arial" w:cs="Arial" w:eastAsia="Arial" w:hAnsi="Arial"/>
                <w:sz w:val="1"/>
                <w:szCs w:val="1"/>
                <w:color w:val="FFFFFF"/>
              </w:rPr>
              <w:t>entering into or acquiring land-use rights over extended periods of time. The total lease payments are amortized on the straight-line basis</w:t>
            </w:r>
          </w:p>
        </w:tc>
        <w:tc>
          <w:tcPr>
            <w:tcW w:w="0" w:type="dxa"/>
            <w:vAlign w:val="bottom"/>
          </w:tcPr>
          <w:p>
            <w:pPr>
              <w:spacing w:after="0"/>
              <w:rPr>
                <w:sz w:val="1"/>
                <w:szCs w:val="1"/>
                <w:color w:val="auto"/>
              </w:rPr>
            </w:pPr>
          </w:p>
        </w:tc>
      </w:tr>
      <w:tr>
        <w:trPr>
          <w:trHeight w:val="0"/>
        </w:trPr>
        <w:tc>
          <w:tcPr>
            <w:tcW w:w="3880" w:type="dxa"/>
            <w:vAlign w:val="bottom"/>
            <w:gridSpan w:val="2"/>
          </w:tcPr>
          <w:p>
            <w:pPr>
              <w:spacing w:after="0"/>
              <w:rPr>
                <w:sz w:val="20"/>
                <w:szCs w:val="20"/>
                <w:color w:val="auto"/>
              </w:rPr>
            </w:pPr>
            <w:r>
              <w:rPr>
                <w:rFonts w:ascii="Arial" w:cs="Arial" w:eastAsia="Arial" w:hAnsi="Arial"/>
                <w:sz w:val="3"/>
                <w:szCs w:val="3"/>
                <w:color w:val="FFFFFF"/>
              </w:rPr>
              <w:t>Leasehold interests in l nd under operating leases are payments made</w:t>
            </w:r>
          </w:p>
        </w:tc>
        <w:tc>
          <w:tcPr>
            <w:tcW w:w="7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over the lease terms in accordance with the expected pattern of consumption of the economic benefi ts embodied in the land-use right.</w:t>
      </w:r>
    </w:p>
    <w:p>
      <w:pPr>
        <w:spacing w:after="0" w:line="35" w:lineRule="exact"/>
        <w:rPr>
          <w:sz w:val="20"/>
          <w:szCs w:val="20"/>
          <w:color w:val="auto"/>
        </w:rPr>
      </w:pPr>
    </w:p>
    <w:p>
      <w:pPr>
        <w:ind w:right="80"/>
        <w:spacing w:after="0"/>
        <w:rPr>
          <w:sz w:val="20"/>
          <w:szCs w:val="20"/>
          <w:color w:val="auto"/>
        </w:rPr>
      </w:pPr>
      <w:r>
        <w:rPr>
          <w:rFonts w:ascii="Arial" w:cs="Arial" w:eastAsia="Arial" w:hAnsi="Arial"/>
          <w:sz w:val="6"/>
          <w:szCs w:val="6"/>
          <w:color w:val="FFFFFF"/>
        </w:rPr>
        <w:t xml:space="preserve">Borrowing costs directly attributable to the acquisition, construction or production of an asset that necessarily takes a substantial period of time to get ready for its intended use are capitalized as part of the cost </w:t>
      </w:r>
      <w:r>
        <w:rPr>
          <w:rFonts w:ascii="Arial" w:cs="Arial" w:eastAsia="Arial" w:hAnsi="Arial"/>
          <w:sz w:val="7"/>
          <w:szCs w:val="7"/>
          <w:color w:val="FFFFFF"/>
          <w:vertAlign w:val="superscript"/>
        </w:rPr>
        <w:t>of</w:t>
      </w:r>
      <w:r>
        <w:rPr>
          <w:rFonts w:ascii="Arial" w:cs="Arial" w:eastAsia="Arial" w:hAnsi="Arial"/>
          <w:sz w:val="6"/>
          <w:szCs w:val="6"/>
          <w:color w:val="FFFFFF"/>
        </w:rPr>
        <w:t xml:space="preserve"> the respective assets. All other borrowing costs are expensed in the period in which they are incurred. Borrowing costs consist of interest and other costs that an entity incurs in connection with the borrowing</w:t>
      </w:r>
    </w:p>
    <w:p>
      <w:pPr>
        <w:ind w:left="160"/>
        <w:spacing w:after="0" w:line="186" w:lineRule="auto"/>
        <w:rPr>
          <w:sz w:val="20"/>
          <w:szCs w:val="20"/>
          <w:color w:val="auto"/>
        </w:rPr>
      </w:pPr>
      <w:r>
        <w:rPr>
          <w:rFonts w:ascii="Arial" w:cs="Arial" w:eastAsia="Arial" w:hAnsi="Arial"/>
          <w:sz w:val="6"/>
          <w:szCs w:val="6"/>
          <w:color w:val="FFFFFF"/>
        </w:rPr>
        <w:t>funds.</w:t>
      </w:r>
    </w:p>
    <w:p>
      <w:pPr>
        <w:spacing w:after="0"/>
        <w:rPr>
          <w:sz w:val="20"/>
          <w:szCs w:val="20"/>
          <w:color w:val="auto"/>
        </w:rPr>
      </w:pPr>
      <w:r>
        <w:rPr>
          <w:rFonts w:ascii="Arial" w:cs="Arial" w:eastAsia="Arial" w:hAnsi="Arial"/>
          <w:sz w:val="3"/>
          <w:szCs w:val="3"/>
          <w:color w:val="FFFFFF"/>
        </w:rPr>
        <w:t>Impairment of non-fi nancial assets</w:t>
      </w:r>
    </w:p>
    <w:p>
      <w:pPr>
        <w:spacing w:after="0" w:line="6" w:lineRule="exact"/>
        <w:rPr>
          <w:sz w:val="20"/>
          <w:szCs w:val="20"/>
          <w:color w:val="auto"/>
        </w:rPr>
      </w:pPr>
    </w:p>
    <w:p>
      <w:pPr>
        <w:ind w:right="460"/>
        <w:spacing w:after="0"/>
        <w:rPr>
          <w:sz w:val="20"/>
          <w:szCs w:val="20"/>
          <w:color w:val="auto"/>
        </w:rPr>
      </w:pPr>
      <w:r>
        <w:rPr>
          <w:rFonts w:ascii="Arial" w:cs="Arial" w:eastAsia="Arial" w:hAnsi="Arial"/>
          <w:sz w:val="3"/>
          <w:szCs w:val="3"/>
          <w:color w:val="FFFFFF"/>
        </w:rPr>
        <w:t>The Group asse</w:t>
      </w:r>
      <w:r>
        <w:rPr>
          <w:rFonts w:ascii="Arial" w:cs="Arial" w:eastAsia="Arial" w:hAnsi="Arial"/>
          <w:sz w:val="6"/>
          <w:szCs w:val="6"/>
          <w:color w:val="FFFFFF"/>
          <w:vertAlign w:val="subscript"/>
        </w:rPr>
        <w:t>asset’</w:t>
      </w:r>
      <w:r>
        <w:rPr>
          <w:rFonts w:ascii="Arial" w:cs="Arial" w:eastAsia="Arial" w:hAnsi="Arial"/>
          <w:sz w:val="3"/>
          <w:szCs w:val="3"/>
          <w:color w:val="FFFFFF"/>
        </w:rPr>
        <w:t xml:space="preserve">ses at each reporting date whether there is an indication that an asset may be impaired. If any such indication exists, or when annual impairment testing for an asset is required, the Group estimates the </w:t>
      </w:r>
      <w:r>
        <w:rPr>
          <w:rFonts w:ascii="Arial" w:cs="Arial" w:eastAsia="Arial" w:hAnsi="Arial"/>
          <w:sz w:val="6"/>
          <w:szCs w:val="6"/>
          <w:color w:val="FFFFFF"/>
          <w:vertAlign w:val="subscript"/>
        </w:rPr>
        <w:t>unless</w:t>
      </w:r>
      <w:r>
        <w:rPr>
          <w:rFonts w:ascii="Arial" w:cs="Arial" w:eastAsia="Arial" w:hAnsi="Arial"/>
          <w:sz w:val="3"/>
          <w:szCs w:val="3"/>
          <w:color w:val="FFFFFF"/>
        </w:rPr>
        <w:t>recoverable amount. An asset’s recoverable amount is the higher of an asset’</w:t>
      </w:r>
      <w:r>
        <w:rPr>
          <w:rFonts w:ascii="Arial" w:cs="Arial" w:eastAsia="Arial" w:hAnsi="Arial"/>
          <w:sz w:val="6"/>
          <w:szCs w:val="6"/>
          <w:color w:val="FFFFFF"/>
          <w:vertAlign w:val="subscript"/>
        </w:rPr>
        <w:t>those</w:t>
      </w:r>
      <w:r>
        <w:rPr>
          <w:rFonts w:ascii="Arial" w:cs="Arial" w:eastAsia="Arial" w:hAnsi="Arial"/>
          <w:sz w:val="3"/>
          <w:szCs w:val="3"/>
          <w:color w:val="FFFFFF"/>
        </w:rPr>
        <w:t>or a cash-generating unit’</w:t>
      </w:r>
      <w:r>
        <w:rPr>
          <w:rFonts w:ascii="Arial" w:cs="Arial" w:eastAsia="Arial" w:hAnsi="Arial"/>
          <w:sz w:val="6"/>
          <w:szCs w:val="6"/>
          <w:color w:val="FFFFFF"/>
          <w:vertAlign w:val="subscript"/>
        </w:rPr>
        <w:t>groups</w:t>
      </w:r>
      <w:r>
        <w:rPr>
          <w:rFonts w:ascii="Arial" w:cs="Arial" w:eastAsia="Arial" w:hAnsi="Arial"/>
          <w:sz w:val="3"/>
          <w:szCs w:val="3"/>
          <w:color w:val="FFFFFF"/>
        </w:rPr>
        <w:t>(CGU) fair value less costs to sell and its value in use and is determined by</w:t>
      </w:r>
    </w:p>
    <w:p>
      <w:pPr>
        <w:spacing w:after="0" w:line="12" w:lineRule="exact"/>
        <w:rPr>
          <w:sz w:val="20"/>
          <w:szCs w:val="20"/>
          <w:color w:val="auto"/>
        </w:rPr>
      </w:pPr>
    </w:p>
    <w:p>
      <w:pPr>
        <w:spacing w:after="0"/>
        <w:rPr>
          <w:sz w:val="20"/>
          <w:szCs w:val="20"/>
          <w:color w:val="auto"/>
        </w:rPr>
      </w:pPr>
      <w:r>
        <w:rPr>
          <w:rFonts w:ascii="Arial" w:cs="Arial" w:eastAsia="Arial" w:hAnsi="Arial"/>
          <w:sz w:val="6"/>
          <w:szCs w:val="6"/>
          <w:color w:val="FFFFFF"/>
        </w:rPr>
        <w:t>individual asset, the asset does not generate cash infl ows</w:t>
      </w:r>
      <w:r>
        <w:rPr>
          <w:rFonts w:ascii="Arial" w:cs="Arial" w:eastAsia="Arial" w:hAnsi="Arial"/>
          <w:sz w:val="7"/>
          <w:szCs w:val="7"/>
          <w:color w:val="FFFFFF"/>
          <w:vertAlign w:val="superscript"/>
        </w:rPr>
        <w:t>its</w:t>
      </w:r>
      <w:r>
        <w:rPr>
          <w:rFonts w:ascii="Arial" w:cs="Arial" w:eastAsia="Arial" w:hAnsi="Arial"/>
          <w:sz w:val="6"/>
          <w:szCs w:val="6"/>
          <w:color w:val="FFFFFF"/>
        </w:rPr>
        <w:t>hat are largely independent of from other assets or of assets. Where the carrying amount of an asset or CGU exceeds its recoverable amount, the asset is considered impaired and is written down to recoverable amount. In assessing value</w:t>
      </w:r>
      <w:r>
        <w:rPr>
          <w:rFonts w:ascii="Arial" w:cs="Arial" w:eastAsia="Arial" w:hAnsi="Arial"/>
          <w:sz w:val="7"/>
          <w:szCs w:val="7"/>
          <w:color w:val="FFFFFF"/>
          <w:vertAlign w:val="subscript"/>
        </w:rPr>
        <w:t>determining</w:t>
      </w:r>
      <w:r>
        <w:rPr>
          <w:rFonts w:ascii="Arial" w:cs="Arial" w:eastAsia="Arial" w:hAnsi="Arial"/>
          <w:sz w:val="6"/>
          <w:szCs w:val="6"/>
          <w:color w:val="FFFFFF"/>
        </w:rPr>
        <w:t>use,the estimated future cash fl ows are discounted to their present value using pre-tax discount rates</w:t>
      </w:r>
    </w:p>
    <w:p>
      <w:pPr>
        <w:spacing w:after="0" w:line="214" w:lineRule="auto"/>
        <w:tabs>
          <w:tab w:leader="none" w:pos="6340" w:val="left"/>
        </w:tabs>
        <w:rPr>
          <w:sz w:val="20"/>
          <w:szCs w:val="20"/>
          <w:color w:val="auto"/>
        </w:rPr>
      </w:pPr>
      <w:r>
        <w:rPr>
          <w:rFonts w:ascii="Arial" w:cs="Arial" w:eastAsia="Arial" w:hAnsi="Arial"/>
          <w:sz w:val="2"/>
          <w:szCs w:val="2"/>
          <w:color w:val="FFFFFF"/>
        </w:rPr>
        <w:t>that refl ect current market assessments of the time value of money and the risks specifi</w:t>
      </w:r>
      <w:r>
        <w:rPr>
          <w:rFonts w:ascii="Arial" w:cs="Arial" w:eastAsia="Arial" w:hAnsi="Arial"/>
          <w:sz w:val="4"/>
          <w:szCs w:val="4"/>
          <w:color w:val="FFFFFF"/>
          <w:vertAlign w:val="subscript"/>
        </w:rPr>
        <w:t>calculations</w:t>
      </w:r>
      <w:r>
        <w:rPr>
          <w:rFonts w:ascii="Arial" w:cs="Arial" w:eastAsia="Arial" w:hAnsi="Arial"/>
          <w:sz w:val="2"/>
          <w:szCs w:val="2"/>
          <w:color w:val="FFFFFF"/>
        </w:rPr>
        <w:t>totheasset. In</w:t>
      </w:r>
      <w:r>
        <w:rPr>
          <w:sz w:val="20"/>
          <w:szCs w:val="20"/>
          <w:color w:val="auto"/>
        </w:rPr>
        <w:tab/>
      </w:r>
      <w:r>
        <w:rPr>
          <w:rFonts w:ascii="Arial" w:cs="Arial" w:eastAsia="Arial" w:hAnsi="Arial"/>
          <w:sz w:val="2"/>
          <w:szCs w:val="2"/>
          <w:color w:val="FFFFFF"/>
        </w:rPr>
        <w:t>fair</w:t>
      </w:r>
      <w:r>
        <w:rPr>
          <w:rFonts w:ascii="Arial" w:cs="Arial" w:eastAsia="Arial" w:hAnsi="Arial"/>
          <w:sz w:val="4"/>
          <w:szCs w:val="4"/>
          <w:color w:val="FFFFFF"/>
          <w:vertAlign w:val="subscript"/>
        </w:rPr>
        <w:t>valuation</w:t>
      </w:r>
      <w:r>
        <w:rPr>
          <w:rFonts w:ascii="Arial" w:cs="Arial" w:eastAsia="Arial" w:hAnsi="Arial"/>
          <w:sz w:val="2"/>
          <w:szCs w:val="2"/>
          <w:color w:val="FFFFFF"/>
        </w:rPr>
        <w:t>lueless costs to sell, recent market transactions are taken into account, if available. If</w:t>
      </w:r>
    </w:p>
    <w:p>
      <w:pPr>
        <w:ind w:right="140"/>
        <w:spacing w:after="0"/>
        <w:rPr>
          <w:sz w:val="20"/>
          <w:szCs w:val="20"/>
          <w:color w:val="auto"/>
        </w:rPr>
      </w:pPr>
      <w:r>
        <w:rPr>
          <w:rFonts w:ascii="Arial" w:cs="Arial" w:eastAsia="Arial" w:hAnsi="Arial"/>
          <w:sz w:val="12"/>
          <w:szCs w:val="12"/>
          <w:color w:val="FFFFFF"/>
        </w:rPr>
        <w:t>no such transactions can be identifi ed, an appropriate valuation model is used. These are corroborated by multiples, quoted share prices for publicly traded subsidiaries or other available fair value indicators.</w:t>
      </w:r>
    </w:p>
    <w:p>
      <w:pPr>
        <w:sectPr>
          <w:pgSz w:w="11900" w:h="16838" w:orient="portrait"/>
          <w:cols w:equalWidth="0" w:num="1">
            <w:col w:w="11400"/>
          </w:cols>
          <w:pgMar w:left="240" w:top="1440" w:right="25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Arial" w:cs="Arial" w:eastAsia="Arial" w:hAnsi="Arial"/>
                <w:sz w:val="14"/>
                <w:szCs w:val="14"/>
                <w:color w:val="FFFFFF"/>
              </w:rPr>
              <w:t>Annual Report 2011 85</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60" w:type="dxa"/>
            <w:vAlign w:val="bottom"/>
            <w:gridSpan w:val="4"/>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5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60" w:type="dxa"/>
            <w:vAlign w:val="bottom"/>
            <w:gridSpan w:val="3"/>
          </w:tcPr>
          <w:p>
            <w:pPr>
              <w:spacing w:after="0"/>
              <w:rPr>
                <w:sz w:val="20"/>
                <w:szCs w:val="20"/>
                <w:color w:val="auto"/>
              </w:rPr>
            </w:pPr>
            <w:r>
              <w:rPr>
                <w:rFonts w:ascii="Arial" w:cs="Arial" w:eastAsia="Arial" w:hAnsi="Arial"/>
                <w:sz w:val="3"/>
                <w:szCs w:val="3"/>
                <w:color w:val="FFFFFF"/>
              </w:rPr>
              <w:t>Impairment of non-fi nancial assets (continued)</w:t>
            </w:r>
          </w:p>
        </w:tc>
        <w:tc>
          <w:tcPr>
            <w:tcW w:w="1100" w:type="dxa"/>
            <w:vAlign w:val="bottom"/>
          </w:tcPr>
          <w:p>
            <w:pPr>
              <w:spacing w:after="0"/>
              <w:rPr>
                <w:sz w:val="3"/>
                <w:szCs w:val="3"/>
                <w:color w:val="auto"/>
              </w:rPr>
            </w:pPr>
          </w:p>
        </w:tc>
        <w:tc>
          <w:tcPr>
            <w:tcW w:w="6820" w:type="dxa"/>
            <w:vAlign w:val="bottom"/>
            <w:gridSpan w:val="2"/>
            <w:vMerge w:val="restart"/>
          </w:tcPr>
          <w:p>
            <w:pPr>
              <w:ind w:left="340"/>
              <w:spacing w:after="0" w:line="81" w:lineRule="exact"/>
              <w:rPr>
                <w:sz w:val="20"/>
                <w:szCs w:val="20"/>
                <w:color w:val="auto"/>
              </w:rPr>
            </w:pPr>
            <w:r>
              <w:rPr>
                <w:rFonts w:ascii="Arial" w:cs="Arial" w:eastAsia="Arial" w:hAnsi="Arial"/>
                <w:sz w:val="9"/>
                <w:szCs w:val="9"/>
                <w:color w:val="FFFFFF"/>
              </w:rPr>
              <w:t>which are prepared separately for e ch of the Group’s CGUs to which the individual assets are allocated. These budgets</w:t>
            </w: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The G oup bases its impairment</w:t>
            </w:r>
          </w:p>
        </w:tc>
        <w:tc>
          <w:tcPr>
            <w:tcW w:w="2280" w:type="dxa"/>
            <w:vAlign w:val="bottom"/>
            <w:gridSpan w:val="2"/>
          </w:tcPr>
          <w:p>
            <w:pPr>
              <w:ind w:left="180"/>
              <w:spacing w:after="0"/>
              <w:rPr>
                <w:sz w:val="20"/>
                <w:szCs w:val="20"/>
                <w:color w:val="auto"/>
              </w:rPr>
            </w:pPr>
            <w:r>
              <w:rPr>
                <w:rFonts w:ascii="Arial" w:cs="Arial" w:eastAsia="Arial" w:hAnsi="Arial"/>
                <w:sz w:val="3"/>
                <w:szCs w:val="3"/>
                <w:color w:val="FFFFFF"/>
              </w:rPr>
              <w:t>on detailed budgets and forecast</w:t>
            </w:r>
          </w:p>
        </w:tc>
        <w:tc>
          <w:tcPr>
            <w:tcW w:w="6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180" w:type="dxa"/>
            <w:vAlign w:val="bottom"/>
            <w:gridSpan w:val="5"/>
          </w:tcPr>
          <w:p>
            <w:pPr>
              <w:spacing w:after="0"/>
              <w:rPr>
                <w:sz w:val="20"/>
                <w:szCs w:val="20"/>
                <w:color w:val="auto"/>
              </w:rPr>
            </w:pPr>
            <w:r>
              <w:rPr>
                <w:rFonts w:ascii="Arial" w:cs="Arial" w:eastAsia="Arial" w:hAnsi="Arial"/>
                <w:sz w:val="3"/>
                <w:szCs w:val="3"/>
                <w:color w:val="FFFFFF"/>
              </w:rPr>
              <w:t>and forecast calculations generallycalculationscoverperiod of fi ve years. For longer periods,calculationslong-term growth rate is calculated and applied to projected future cash fl ows after the fi fth year.</w:t>
            </w: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Impairment losses of continuing operations including impairments on inventories, are recognized in the statement of comprehensive income in those expense categories consistent with the function of the</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20"/>
                <w:szCs w:val="20"/>
                <w:color w:val="auto"/>
              </w:rPr>
            </w:pPr>
            <w:r>
              <w:rPr>
                <w:rFonts w:ascii="Arial" w:cs="Arial" w:eastAsia="Arial" w:hAnsi="Arial"/>
                <w:sz w:val="3"/>
                <w:szCs w:val="3"/>
                <w:color w:val="FFFFFF"/>
              </w:rPr>
              <w:t>impaired assets.</w:t>
            </w:r>
          </w:p>
        </w:tc>
        <w:tc>
          <w:tcPr>
            <w:tcW w:w="1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For assets excluding goodwill, an assessment is made at each reporting date as to whether there is any indication that previously recognized impairment losses may no longer exist or may have decreased. If such</w:t>
            </w:r>
          </w:p>
        </w:tc>
        <w:tc>
          <w:tcPr>
            <w:tcW w:w="0" w:type="dxa"/>
            <w:vAlign w:val="bottom"/>
          </w:tcPr>
          <w:p>
            <w:pPr>
              <w:spacing w:after="0"/>
              <w:rPr>
                <w:sz w:val="1"/>
                <w:szCs w:val="1"/>
                <w:color w:val="auto"/>
              </w:rPr>
            </w:pPr>
          </w:p>
        </w:tc>
      </w:tr>
      <w:tr>
        <w:trPr>
          <w:trHeight w:val="41"/>
        </w:trPr>
        <w:tc>
          <w:tcPr>
            <w:tcW w:w="3460" w:type="dxa"/>
            <w:vAlign w:val="bottom"/>
            <w:gridSpan w:val="3"/>
          </w:tcPr>
          <w:p>
            <w:pPr>
              <w:ind w:left="60"/>
              <w:spacing w:after="0"/>
              <w:rPr>
                <w:sz w:val="20"/>
                <w:szCs w:val="20"/>
                <w:color w:val="auto"/>
              </w:rPr>
            </w:pPr>
            <w:r>
              <w:rPr>
                <w:rFonts w:ascii="Arial" w:cs="Arial" w:eastAsia="Arial" w:hAnsi="Arial"/>
                <w:sz w:val="3"/>
                <w:szCs w:val="3"/>
                <w:color w:val="FFFFFF"/>
              </w:rPr>
              <w:t>n indication exists, the Group estimates the asset’s or CGU’</w:t>
            </w:r>
          </w:p>
        </w:tc>
        <w:tc>
          <w:tcPr>
            <w:tcW w:w="6720" w:type="dxa"/>
            <w:vAlign w:val="bottom"/>
            <w:gridSpan w:val="2"/>
          </w:tcPr>
          <w:p>
            <w:pPr>
              <w:ind w:left="140"/>
              <w:spacing w:after="0"/>
              <w:rPr>
                <w:sz w:val="20"/>
                <w:szCs w:val="20"/>
                <w:color w:val="auto"/>
              </w:rPr>
            </w:pPr>
            <w:r>
              <w:rPr>
                <w:rFonts w:ascii="Arial" w:cs="Arial" w:eastAsia="Arial" w:hAnsi="Arial"/>
                <w:sz w:val="3"/>
                <w:szCs w:val="3"/>
                <w:color w:val="FFFFFF"/>
              </w:rPr>
              <w:t>verable amount. A previously recognized impairment loss is reversed only if there has been  change in the estimates us</w:t>
            </w:r>
          </w:p>
        </w:tc>
        <w:tc>
          <w:tcPr>
            <w:tcW w:w="1200" w:type="dxa"/>
            <w:vAlign w:val="bottom"/>
          </w:tcPr>
          <w:p>
            <w:pPr>
              <w:ind w:left="100"/>
              <w:spacing w:after="0"/>
              <w:rPr>
                <w:sz w:val="20"/>
                <w:szCs w:val="20"/>
                <w:color w:val="auto"/>
              </w:rPr>
            </w:pPr>
            <w:r>
              <w:rPr>
                <w:rFonts w:ascii="Arial" w:cs="Arial" w:eastAsia="Arial" w:hAnsi="Arial"/>
                <w:sz w:val="3"/>
                <w:szCs w:val="3"/>
                <w:color w:val="FFFFFF"/>
              </w:rPr>
              <w:t>o determine the</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asset’s recoverable amount since the last impairment loss was recognized. The reversal is limited so that the carrying amount of the asset does not exceed its recoverable amount, nor exceed the carrying amount</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20"/>
                <w:szCs w:val="20"/>
                <w:color w:val="auto"/>
              </w:rPr>
            </w:pPr>
            <w:r>
              <w:rPr>
                <w:rFonts w:ascii="Arial" w:cs="Arial" w:eastAsia="Arial" w:hAnsi="Arial"/>
                <w:sz w:val="3"/>
                <w:szCs w:val="3"/>
                <w:color w:val="FFFFFF"/>
              </w:rPr>
              <w:t>that would</w:t>
            </w:r>
          </w:p>
        </w:tc>
        <w:tc>
          <w:tcPr>
            <w:tcW w:w="2580" w:type="dxa"/>
            <w:vAlign w:val="bottom"/>
            <w:gridSpan w:val="2"/>
          </w:tcPr>
          <w:p>
            <w:pPr>
              <w:ind w:left="20"/>
              <w:spacing w:after="0"/>
              <w:rPr>
                <w:sz w:val="20"/>
                <w:szCs w:val="20"/>
                <w:color w:val="auto"/>
              </w:rPr>
            </w:pPr>
            <w:r>
              <w:rPr>
                <w:rFonts w:ascii="Arial" w:cs="Arial" w:eastAsia="Arial" w:hAnsi="Arial"/>
                <w:sz w:val="3"/>
                <w:szCs w:val="3"/>
                <w:color w:val="FFFFFF"/>
              </w:rPr>
              <w:t>been determined, net of depreciation, had no</w:t>
            </w:r>
          </w:p>
        </w:tc>
        <w:tc>
          <w:tcPr>
            <w:tcW w:w="7920" w:type="dxa"/>
            <w:vAlign w:val="bottom"/>
            <w:gridSpan w:val="3"/>
          </w:tcPr>
          <w:p>
            <w:pPr>
              <w:ind w:left="540"/>
              <w:spacing w:after="0"/>
              <w:rPr>
                <w:sz w:val="20"/>
                <w:szCs w:val="20"/>
                <w:color w:val="auto"/>
              </w:rPr>
            </w:pPr>
            <w:r>
              <w:rPr>
                <w:rFonts w:ascii="Arial" w:cs="Arial" w:eastAsia="Arial" w:hAnsi="Arial"/>
                <w:sz w:val="3"/>
                <w:szCs w:val="3"/>
                <w:color w:val="FFFFFF"/>
              </w:rPr>
              <w:t>loss been recognized for the asset in prior years. Such reversal is recognized in the statement of comprehensive income unless the asset</w:t>
            </w:r>
          </w:p>
        </w:tc>
        <w:tc>
          <w:tcPr>
            <w:tcW w:w="0" w:type="dxa"/>
            <w:vAlign w:val="bottom"/>
          </w:tcPr>
          <w:p>
            <w:pPr>
              <w:spacing w:after="0"/>
              <w:rPr>
                <w:sz w:val="1"/>
                <w:szCs w:val="1"/>
                <w:color w:val="auto"/>
              </w:rPr>
            </w:pPr>
          </w:p>
        </w:tc>
      </w:tr>
      <w:tr>
        <w:trPr>
          <w:trHeight w:val="41"/>
        </w:trPr>
        <w:tc>
          <w:tcPr>
            <w:tcW w:w="10180" w:type="dxa"/>
            <w:vAlign w:val="bottom"/>
            <w:gridSpan w:val="5"/>
          </w:tcPr>
          <w:p>
            <w:pPr>
              <w:spacing w:after="0"/>
              <w:rPr>
                <w:sz w:val="20"/>
                <w:szCs w:val="20"/>
                <w:color w:val="auto"/>
              </w:rPr>
            </w:pPr>
            <w:r>
              <w:rPr>
                <w:rFonts w:ascii="Arial" w:cs="Arial" w:eastAsia="Arial" w:hAnsi="Arial"/>
                <w:sz w:val="3"/>
                <w:szCs w:val="3"/>
                <w:color w:val="FFFFFF"/>
              </w:rPr>
              <w:t>is carried athaverevalued amount, in which case the reversal is treatedimpairmentasrevaluation increase.</w:t>
            </w: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280" w:type="dxa"/>
            <w:vAlign w:val="bottom"/>
            <w:gridSpan w:val="2"/>
          </w:tcPr>
          <w:p>
            <w:pPr>
              <w:spacing w:after="0"/>
              <w:rPr>
                <w:sz w:val="20"/>
                <w:szCs w:val="20"/>
                <w:color w:val="auto"/>
              </w:rPr>
            </w:pPr>
            <w:r>
              <w:rPr>
                <w:rFonts w:ascii="Arial" w:cs="Arial" w:eastAsia="Arial" w:hAnsi="Arial"/>
                <w:sz w:val="3"/>
                <w:szCs w:val="3"/>
                <w:color w:val="FFFFFF"/>
              </w:rPr>
              <w:t>Investments and other fi nancial assets</w:t>
            </w: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Financial assets within the scope of IAS 39 are classifi ed as fi nancial assets at fair value through</w:t>
      </w:r>
      <w:r>
        <w:rPr>
          <w:rFonts w:ascii="Arial" w:cs="Arial" w:eastAsia="Arial" w:hAnsi="Arial"/>
          <w:sz w:val="1"/>
          <w:szCs w:val="1"/>
          <w:color w:val="FFFFFF"/>
          <w:vertAlign w:val="subscript"/>
        </w:rPr>
        <w:t>transaction</w:t>
      </w:r>
      <w:r>
        <w:rPr>
          <w:rFonts w:ascii="Arial" w:cs="Arial" w:eastAsia="Arial" w:hAnsi="Arial"/>
          <w:sz w:val="1"/>
          <w:szCs w:val="1"/>
          <w:color w:val="FFFFFF"/>
        </w:rPr>
        <w:t>profior loss, loans and receivables, held-to-maturity investments, or available-for-sale fi nancial assets, as</w:t>
      </w:r>
    </w:p>
    <w:p>
      <w:pPr>
        <w:spacing w:after="0"/>
        <w:tabs>
          <w:tab w:leader="none" w:pos="5800" w:val="left"/>
        </w:tabs>
        <w:rPr>
          <w:sz w:val="20"/>
          <w:szCs w:val="20"/>
          <w:color w:val="auto"/>
        </w:rPr>
      </w:pPr>
      <w:r>
        <w:rPr>
          <w:rFonts w:ascii="Arial" w:cs="Arial" w:eastAsia="Arial" w:hAnsi="Arial"/>
          <w:sz w:val="2"/>
          <w:szCs w:val="2"/>
          <w:color w:val="FFFFFF"/>
        </w:rPr>
        <w:t>appropriate. When fi nancial</w:t>
      </w:r>
      <w:r>
        <w:rPr>
          <w:rFonts w:ascii="Arial" w:cs="Arial" w:eastAsia="Arial" w:hAnsi="Arial"/>
          <w:sz w:val="4"/>
          <w:szCs w:val="4"/>
          <w:color w:val="FFFFFF"/>
          <w:vertAlign w:val="subscript"/>
        </w:rPr>
        <w:t>classifi</w:t>
      </w:r>
      <w:r>
        <w:rPr>
          <w:rFonts w:ascii="Arial" w:cs="Arial" w:eastAsia="Arial" w:hAnsi="Arial"/>
          <w:sz w:val="2"/>
          <w:szCs w:val="2"/>
          <w:color w:val="FFFFFF"/>
        </w:rPr>
        <w:t>assets are recognized initially, they are measured at fair value plus</w:t>
      </w:r>
      <w:r>
        <w:rPr>
          <w:sz w:val="20"/>
          <w:szCs w:val="20"/>
          <w:color w:val="auto"/>
        </w:rPr>
        <w:tab/>
      </w:r>
      <w:r>
        <w:rPr>
          <w:rFonts w:ascii="Arial" w:cs="Arial" w:eastAsia="Arial" w:hAnsi="Arial"/>
          <w:sz w:val="3"/>
          <w:szCs w:val="3"/>
          <w:color w:val="FFFFFF"/>
        </w:rPr>
        <w:t>costs, except in the case of fi nancial assets recorded at fair value through profi t or loss.</w:t>
      </w:r>
    </w:p>
    <w:p>
      <w:pPr>
        <w:spacing w:after="0"/>
        <w:tabs>
          <w:tab w:leader="none" w:pos="1860" w:val="left"/>
        </w:tabs>
        <w:rPr>
          <w:sz w:val="20"/>
          <w:szCs w:val="20"/>
          <w:color w:val="auto"/>
        </w:rPr>
      </w:pPr>
      <w:r>
        <w:rPr>
          <w:rFonts w:ascii="Arial" w:cs="Arial" w:eastAsia="Arial" w:hAnsi="Arial"/>
          <w:sz w:val="3"/>
          <w:szCs w:val="3"/>
          <w:color w:val="FFFFFF"/>
        </w:rPr>
        <w:t>The Group determines the</w:t>
      </w:r>
      <w:r>
        <w:rPr>
          <w:sz w:val="20"/>
          <w:szCs w:val="20"/>
          <w:color w:val="auto"/>
        </w:rPr>
        <w:tab/>
      </w:r>
      <w:r>
        <w:rPr>
          <w:rFonts w:ascii="Arial" w:cs="Arial" w:eastAsia="Arial" w:hAnsi="Arial"/>
          <w:sz w:val="3"/>
          <w:szCs w:val="3"/>
          <w:color w:val="FFFFFF"/>
        </w:rPr>
        <w:t>cation of its fi nancial assets on initial recognition and, where allowed and appropriate, re-evaluates this designation at each fi nancial year end.</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All regular way purchases and sales of fi nancial assets are recognized on the trade date, which is the date that the Group commits to purchase the asset. Regular way purchases or sales are purchases or sales of fi nancial assets that require delivery of assets within the period generally established by regulation or convention in the marketplace.</w:t>
      </w:r>
    </w:p>
    <w:p>
      <w:pPr>
        <w:sectPr>
          <w:pgSz w:w="11900" w:h="16838" w:orient="portrait"/>
          <w:cols w:equalWidth="0" w:num="1">
            <w:col w:w="11400"/>
          </w:cols>
          <w:pgMar w:left="240" w:top="1440" w:right="25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FFFFFF"/>
              </w:rPr>
              <w:t>86 Wynn Macau, Limited</w:t>
            </w:r>
          </w:p>
        </w:tc>
        <w:tc>
          <w:tcPr>
            <w:tcW w:w="46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Financial Statements</w:t>
            </w:r>
          </w:p>
        </w:tc>
        <w:tc>
          <w:tcPr>
            <w:tcW w:w="4600" w:type="dxa"/>
            <w:vAlign w:val="bottom"/>
          </w:tcPr>
          <w:p>
            <w:pPr>
              <w:spacing w:after="0"/>
              <w:rPr>
                <w:sz w:val="3"/>
                <w:szCs w:val="3"/>
                <w:color w:val="auto"/>
              </w:rPr>
            </w:pPr>
          </w:p>
        </w:tc>
        <w:tc>
          <w:tcPr>
            <w:tcW w:w="4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4600" w:type="dxa"/>
            <w:vAlign w:val="bottom"/>
          </w:tcPr>
          <w:p>
            <w:pPr>
              <w:spacing w:after="0"/>
              <w:rPr>
                <w:sz w:val="3"/>
                <w:szCs w:val="3"/>
                <w:color w:val="auto"/>
              </w:rPr>
            </w:pPr>
          </w:p>
        </w:tc>
        <w:tc>
          <w:tcPr>
            <w:tcW w:w="4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For the year ended 31 December 2011</w:t>
            </w:r>
          </w:p>
        </w:tc>
        <w:tc>
          <w:tcPr>
            <w:tcW w:w="4600" w:type="dxa"/>
            <w:vAlign w:val="bottom"/>
          </w:tcPr>
          <w:p>
            <w:pPr>
              <w:spacing w:after="0"/>
              <w:rPr>
                <w:sz w:val="3"/>
                <w:szCs w:val="3"/>
                <w:color w:val="auto"/>
              </w:rPr>
            </w:pPr>
          </w:p>
        </w:tc>
        <w:tc>
          <w:tcPr>
            <w:tcW w:w="4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760" w:type="dxa"/>
            <w:vAlign w:val="bottom"/>
            <w:gridSpan w:val="2"/>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4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420" w:type="dxa"/>
            <w:vAlign w:val="bottom"/>
            <w:gridSpan w:val="3"/>
          </w:tcPr>
          <w:p>
            <w:pPr>
              <w:spacing w:after="0" w:line="81" w:lineRule="exact"/>
              <w:rPr>
                <w:sz w:val="20"/>
                <w:szCs w:val="20"/>
                <w:color w:val="auto"/>
              </w:rPr>
            </w:pPr>
            <w:r>
              <w:rPr>
                <w:rFonts w:ascii="Arial" w:cs="Arial" w:eastAsia="Arial" w:hAnsi="Arial"/>
                <w:sz w:val="9"/>
                <w:szCs w:val="9"/>
                <w:color w:val="FFFFFF"/>
              </w:rPr>
              <w:t>Loans and receivables are non-derivative fi nancial assets with fi xed or determinable payments that are not quoted in an active market. After initial measurement, loans and receivables (including trade and other</w:t>
            </w:r>
          </w:p>
        </w:tc>
        <w:tc>
          <w:tcPr>
            <w:tcW w:w="0" w:type="dxa"/>
            <w:vAlign w:val="bottom"/>
          </w:tcPr>
          <w:p>
            <w:pPr>
              <w:spacing w:after="0"/>
              <w:rPr>
                <w:sz w:val="1"/>
                <w:szCs w:val="1"/>
                <w:color w:val="auto"/>
              </w:rPr>
            </w:pPr>
          </w:p>
        </w:tc>
      </w:tr>
      <w:tr>
        <w:trPr>
          <w:trHeight w:val="41"/>
        </w:trPr>
        <w:tc>
          <w:tcPr>
            <w:tcW w:w="11420" w:type="dxa"/>
            <w:vAlign w:val="bottom"/>
            <w:gridSpan w:val="3"/>
          </w:tcPr>
          <w:p>
            <w:pPr>
              <w:ind w:left="180"/>
              <w:spacing w:after="0"/>
              <w:rPr>
                <w:sz w:val="20"/>
                <w:szCs w:val="20"/>
                <w:color w:val="auto"/>
              </w:rPr>
            </w:pPr>
            <w:r>
              <w:rPr>
                <w:rFonts w:ascii="Arial" w:cs="Arial" w:eastAsia="Arial" w:hAnsi="Arial"/>
                <w:sz w:val="3"/>
                <w:szCs w:val="3"/>
                <w:color w:val="FFFFFF"/>
              </w:rPr>
              <w:t>eivables, deposits, amounts due from related companies and cash and cash equivalents) are subsequently measured at amortized cost using the effective interest method less impairment. Gains and losses are</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recognized in the statement of comprehensive income when the loans and receivables are derecognized or impaired, as well as through the amortization process.</w:t>
            </w: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Held-to-maturity investments</w:t>
            </w:r>
          </w:p>
        </w:tc>
        <w:tc>
          <w:tcPr>
            <w:tcW w:w="4600" w:type="dxa"/>
            <w:vAlign w:val="bottom"/>
          </w:tcPr>
          <w:p>
            <w:pPr>
              <w:spacing w:after="0"/>
              <w:rPr>
                <w:sz w:val="3"/>
                <w:szCs w:val="3"/>
                <w:color w:val="auto"/>
              </w:rPr>
            </w:pPr>
          </w:p>
        </w:tc>
        <w:tc>
          <w:tcPr>
            <w:tcW w:w="4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Non-derivative fi nancial assets with fi xed or determinable payments and fi xed maturity are classifi ed as held-to-maturity when the Group has the positive inte tion and ability to hold them to maturity. Held-</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to-maturity investments are initially recognized on the settlement date and are subsequently measured at amortized cost using the effective interest method less any allowance for impairment. Amortized cost is</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calculated by taking into account any discount or premium on acquisition and fees or costs that are an integral part of the effective interest rate. The effective interest rate amortization is included in fi nance</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revenues in the statement of comprehensive income. The loss arising from impairment is recognized in the statement of comprehensive income in other operating expenses.</w:t>
            </w:r>
          </w:p>
        </w:tc>
        <w:tc>
          <w:tcPr>
            <w:tcW w:w="0" w:type="dxa"/>
            <w:vAlign w:val="bottom"/>
          </w:tcPr>
          <w:p>
            <w:pPr>
              <w:spacing w:after="0"/>
              <w:rPr>
                <w:sz w:val="1"/>
                <w:szCs w:val="1"/>
                <w:color w:val="auto"/>
              </w:rPr>
            </w:pPr>
          </w:p>
        </w:tc>
      </w:tr>
      <w:tr>
        <w:trPr>
          <w:trHeight w:val="81"/>
        </w:trPr>
        <w:tc>
          <w:tcPr>
            <w:tcW w:w="2160" w:type="dxa"/>
            <w:vAlign w:val="bottom"/>
          </w:tcPr>
          <w:p>
            <w:pPr>
              <w:spacing w:after="0" w:line="81" w:lineRule="exact"/>
              <w:rPr>
                <w:sz w:val="20"/>
                <w:szCs w:val="20"/>
                <w:color w:val="auto"/>
              </w:rPr>
            </w:pPr>
            <w:r>
              <w:rPr>
                <w:rFonts w:ascii="Arial" w:cs="Arial" w:eastAsia="Arial" w:hAnsi="Arial"/>
                <w:sz w:val="9"/>
                <w:szCs w:val="9"/>
                <w:color w:val="FFFFFF"/>
              </w:rPr>
              <w:t>Available-for-sale fi nancial</w:t>
            </w:r>
          </w:p>
        </w:tc>
        <w:tc>
          <w:tcPr>
            <w:tcW w:w="9260" w:type="dxa"/>
            <w:vAlign w:val="bottom"/>
            <w:gridSpan w:val="2"/>
          </w:tcPr>
          <w:p>
            <w:pPr>
              <w:ind w:left="80"/>
              <w:spacing w:after="0" w:line="81" w:lineRule="exact"/>
              <w:rPr>
                <w:sz w:val="20"/>
                <w:szCs w:val="20"/>
                <w:color w:val="auto"/>
              </w:rPr>
            </w:pPr>
            <w:r>
              <w:rPr>
                <w:rFonts w:ascii="Arial" w:cs="Arial" w:eastAsia="Arial" w:hAnsi="Arial"/>
                <w:sz w:val="9"/>
                <w:szCs w:val="9"/>
                <w:color w:val="FFFFFF"/>
              </w:rPr>
              <w:t>are non-derivative fi nancial assets in listed and unlisted debt securities. Debt securities in this category are those which are intended to be held for an indefi nite period of</w:t>
            </w:r>
          </w:p>
        </w:tc>
        <w:tc>
          <w:tcPr>
            <w:tcW w:w="0" w:type="dxa"/>
            <w:vAlign w:val="bottom"/>
          </w:tcPr>
          <w:p>
            <w:pPr>
              <w:spacing w:after="0"/>
              <w:rPr>
                <w:sz w:val="1"/>
                <w:szCs w:val="1"/>
                <w:color w:val="auto"/>
              </w:rPr>
            </w:pPr>
          </w:p>
        </w:tc>
      </w:tr>
      <w:tr>
        <w:trPr>
          <w:trHeight w:val="41"/>
        </w:trPr>
        <w:tc>
          <w:tcPr>
            <w:tcW w:w="6760" w:type="dxa"/>
            <w:vAlign w:val="bottom"/>
            <w:gridSpan w:val="2"/>
          </w:tcPr>
          <w:p>
            <w:pPr>
              <w:spacing w:after="0"/>
              <w:rPr>
                <w:sz w:val="20"/>
                <w:szCs w:val="20"/>
                <w:color w:val="auto"/>
              </w:rPr>
            </w:pPr>
            <w:r>
              <w:rPr>
                <w:rFonts w:ascii="Arial" w:cs="Arial" w:eastAsia="Arial" w:hAnsi="Arial"/>
                <w:sz w:val="3"/>
                <w:szCs w:val="3"/>
                <w:color w:val="FFFFFF"/>
              </w:rPr>
              <w:t>time and which may be sold investmentsresponse to needs for liquidity or in response to changes in market conditions.</w:t>
            </w:r>
          </w:p>
        </w:tc>
        <w:tc>
          <w:tcPr>
            <w:tcW w:w="4660" w:type="dxa"/>
            <w:vAlign w:val="bottom"/>
            <w:vMerge w:val="restart"/>
          </w:tcPr>
          <w:p>
            <w:pPr>
              <w:ind w:left="180"/>
              <w:spacing w:after="0"/>
              <w:rPr>
                <w:sz w:val="20"/>
                <w:szCs w:val="20"/>
                <w:color w:val="auto"/>
              </w:rPr>
            </w:pPr>
            <w:r>
              <w:rPr>
                <w:rFonts w:ascii="Arial" w:cs="Arial" w:eastAsia="Arial" w:hAnsi="Arial"/>
                <w:sz w:val="3"/>
                <w:szCs w:val="3"/>
                <w:color w:val="FFFFFF"/>
              </w:rPr>
              <w:t>or losses recognized as other comprehensive income   the available-for-sale</w:t>
            </w:r>
          </w:p>
        </w:tc>
        <w:tc>
          <w:tcPr>
            <w:tcW w:w="0" w:type="dxa"/>
            <w:vAlign w:val="bottom"/>
          </w:tcPr>
          <w:p>
            <w:pPr>
              <w:spacing w:after="0"/>
              <w:rPr>
                <w:sz w:val="1"/>
                <w:szCs w:val="1"/>
                <w:color w:val="auto"/>
              </w:rPr>
            </w:pPr>
          </w:p>
        </w:tc>
      </w:tr>
      <w:tr>
        <w:trPr>
          <w:trHeight w:val="0"/>
        </w:trPr>
        <w:tc>
          <w:tcPr>
            <w:tcW w:w="6760" w:type="dxa"/>
            <w:vAlign w:val="bottom"/>
            <w:gridSpan w:val="2"/>
          </w:tcPr>
          <w:p>
            <w:pPr>
              <w:spacing w:after="0" w:line="80" w:lineRule="exact"/>
              <w:rPr>
                <w:sz w:val="20"/>
                <w:szCs w:val="20"/>
                <w:color w:val="auto"/>
              </w:rPr>
            </w:pPr>
            <w:r>
              <w:rPr>
                <w:rFonts w:ascii="Arial" w:cs="Arial" w:eastAsia="Arial" w:hAnsi="Arial"/>
                <w:sz w:val="9"/>
                <w:szCs w:val="9"/>
                <w:color w:val="FFFFFF"/>
              </w:rPr>
              <w:t>After initial recognition, available-for-sale fi nancial investments are subsequently measured   fair value, with unrealized</w:t>
            </w:r>
          </w:p>
        </w:tc>
        <w:tc>
          <w:tcPr>
            <w:tcW w:w="4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right"/>
        <w:ind w:right="60"/>
        <w:spacing w:after="0" w:line="217" w:lineRule="auto"/>
        <w:rPr>
          <w:sz w:val="20"/>
          <w:szCs w:val="20"/>
          <w:color w:val="auto"/>
        </w:rPr>
      </w:pPr>
      <w:r>
        <w:rPr>
          <w:rFonts w:ascii="Arial" w:cs="Arial" w:eastAsia="Arial" w:hAnsi="Arial"/>
          <w:sz w:val="4"/>
          <w:szCs w:val="4"/>
          <w:color w:val="FFFFFF"/>
          <w:vertAlign w:val="subscript"/>
        </w:rPr>
        <w:t>impaired,</w:t>
      </w:r>
      <w:r>
        <w:rPr>
          <w:rFonts w:ascii="Arial" w:cs="Arial" w:eastAsia="Arial" w:hAnsi="Arial"/>
          <w:sz w:val="2"/>
          <w:szCs w:val="2"/>
          <w:color w:val="FFFFFF"/>
        </w:rPr>
        <w:t>nvestment revaluation reserve until the investment is derecognized, at which time the cumulative gain or loss is recognizedgainsthe statement of comprehensive income, or until the investment is determined to be when the cumulative gain or loss reclassifi ed from the available-for-sale investment revaluation reserve to the statement of comprehensive income in other expenses. Interest earned while holding the</w:t>
      </w:r>
    </w:p>
    <w:p>
      <w:pPr>
        <w:spacing w:after="0"/>
        <w:rPr>
          <w:sz w:val="20"/>
          <w:szCs w:val="20"/>
          <w:color w:val="auto"/>
        </w:rPr>
      </w:pPr>
      <w:r>
        <w:rPr>
          <w:rFonts w:ascii="Arial" w:cs="Arial" w:eastAsia="Arial" w:hAnsi="Arial"/>
          <w:sz w:val="12"/>
          <w:szCs w:val="12"/>
          <w:color w:val="FFFFFF"/>
        </w:rPr>
        <w:t>available-for-sale fi nancial investments is reported as fi nance revenue in the statement of comprehensive income in accordance with the policy set out for “Revenue recognition” below.</w:t>
      </w:r>
    </w:p>
    <w:p>
      <w:pPr>
        <w:sectPr>
          <w:pgSz w:w="11900" w:h="16838" w:orient="portrait"/>
          <w:cols w:equalWidth="0" w:num="1">
            <w:col w:w="11420"/>
          </w:cols>
          <w:pgMar w:left="240" w:top="1440" w:right="2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Arial" w:cs="Arial" w:eastAsia="Arial" w:hAnsi="Arial"/>
                <w:sz w:val="14"/>
                <w:szCs w:val="14"/>
                <w:color w:val="FFFFFF"/>
              </w:rPr>
              <w:t>Annual Report 2011 87</w:t>
            </w: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41"/>
        </w:trPr>
        <w:tc>
          <w:tcPr>
            <w:tcW w:w="1840" w:type="dxa"/>
            <w:vAlign w:val="bottom"/>
          </w:tcPr>
          <w:p>
            <w:pPr>
              <w:spacing w:after="0"/>
              <w:rPr>
                <w:sz w:val="20"/>
                <w:szCs w:val="20"/>
                <w:color w:val="auto"/>
              </w:rPr>
            </w:pPr>
            <w:r>
              <w:rPr>
                <w:rFonts w:ascii="Arial" w:cs="Arial" w:eastAsia="Arial" w:hAnsi="Arial"/>
                <w:sz w:val="3"/>
                <w:szCs w:val="3"/>
                <w:color w:val="FFFFFF"/>
              </w:rPr>
              <w:t>Financial Statements</w:t>
            </w:r>
          </w:p>
        </w:tc>
        <w:tc>
          <w:tcPr>
            <w:tcW w:w="1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41"/>
        </w:trPr>
        <w:tc>
          <w:tcPr>
            <w:tcW w:w="184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41"/>
        </w:trPr>
        <w:tc>
          <w:tcPr>
            <w:tcW w:w="296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c>
          <w:tcPr>
            <w:tcW w:w="17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41"/>
        </w:trPr>
        <w:tc>
          <w:tcPr>
            <w:tcW w:w="472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404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41"/>
        </w:trPr>
        <w:tc>
          <w:tcPr>
            <w:tcW w:w="1840" w:type="dxa"/>
            <w:vAlign w:val="bottom"/>
          </w:tcPr>
          <w:p>
            <w:pPr>
              <w:spacing w:after="0"/>
              <w:rPr>
                <w:sz w:val="20"/>
                <w:szCs w:val="20"/>
                <w:color w:val="auto"/>
              </w:rPr>
            </w:pPr>
            <w:r>
              <w:rPr>
                <w:rFonts w:ascii="Arial" w:cs="Arial" w:eastAsia="Arial" w:hAnsi="Arial"/>
                <w:sz w:val="3"/>
                <w:szCs w:val="3"/>
                <w:color w:val="FFFFFF"/>
              </w:rPr>
              <w:t>Impairment of fi nancial assets</w:t>
            </w:r>
          </w:p>
        </w:tc>
        <w:tc>
          <w:tcPr>
            <w:tcW w:w="1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The Group assesses at each statement of fi nancial position date whether there is any objective evidence that a fi nancial asset or a group of fi nancial assets is impaired.</w:t>
            </w:r>
          </w:p>
        </w:tc>
      </w:tr>
      <w:tr>
        <w:trPr>
          <w:trHeight w:val="41"/>
        </w:trPr>
        <w:tc>
          <w:tcPr>
            <w:tcW w:w="1840" w:type="dxa"/>
            <w:vAlign w:val="bottom"/>
          </w:tcPr>
          <w:p>
            <w:pPr>
              <w:spacing w:after="0"/>
              <w:rPr>
                <w:sz w:val="20"/>
                <w:szCs w:val="20"/>
                <w:color w:val="auto"/>
              </w:rPr>
            </w:pPr>
            <w:r>
              <w:rPr>
                <w:rFonts w:ascii="Arial" w:cs="Arial" w:eastAsia="Arial" w:hAnsi="Arial"/>
                <w:sz w:val="3"/>
                <w:szCs w:val="3"/>
                <w:color w:val="FFFFFF"/>
              </w:rPr>
              <w:t>Assets carried at amortized cost</w:t>
            </w:r>
          </w:p>
        </w:tc>
        <w:tc>
          <w:tcPr>
            <w:tcW w:w="1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If there is objective evidence that an impairment loss on assets carried at amortized cost has b en incurred, the amount of the loss is measured   the difference between the asset’ carrying amount and the</w:t>
            </w:r>
          </w:p>
        </w:tc>
      </w:tr>
      <w:tr>
        <w:trPr>
          <w:trHeight w:val="20"/>
        </w:trPr>
        <w:tc>
          <w:tcPr>
            <w:tcW w:w="4720" w:type="dxa"/>
            <w:vAlign w:val="bottom"/>
            <w:gridSpan w:val="3"/>
          </w:tcPr>
          <w:p>
            <w:pPr>
              <w:spacing w:after="0" w:line="21" w:lineRule="exact"/>
              <w:rPr>
                <w:sz w:val="20"/>
                <w:szCs w:val="20"/>
                <w:color w:val="auto"/>
              </w:rPr>
            </w:pPr>
            <w:r>
              <w:rPr>
                <w:rFonts w:ascii="Arial" w:cs="Arial" w:eastAsia="Arial" w:hAnsi="Arial"/>
                <w:sz w:val="2"/>
                <w:szCs w:val="2"/>
                <w:color w:val="FFFFFF"/>
              </w:rPr>
              <w:t>computed at initial  cognition). The carrying amount of the asset is reduced through</w:t>
            </w:r>
          </w:p>
        </w:tc>
        <w:tc>
          <w:tcPr>
            <w:tcW w:w="6580" w:type="dxa"/>
            <w:vAlign w:val="bottom"/>
            <w:gridSpan w:val="2"/>
          </w:tcPr>
          <w:p>
            <w:pPr>
              <w:ind w:left="120"/>
              <w:spacing w:after="0" w:line="21" w:lineRule="exact"/>
              <w:rPr>
                <w:sz w:val="20"/>
                <w:szCs w:val="20"/>
                <w:color w:val="auto"/>
              </w:rPr>
            </w:pPr>
            <w:r>
              <w:rPr>
                <w:rFonts w:ascii="Arial" w:cs="Arial" w:eastAsia="Arial" w:hAnsi="Arial"/>
                <w:sz w:val="2"/>
                <w:szCs w:val="2"/>
                <w:color w:val="FFFFFF"/>
              </w:rPr>
              <w:t>of an allowance account and the amount of the loss is recognized in the statement of comprehensive income.</w:t>
            </w:r>
          </w:p>
        </w:tc>
      </w:tr>
      <w:tr>
        <w:trPr>
          <w:trHeight w:val="20"/>
        </w:trPr>
        <w:tc>
          <w:tcPr>
            <w:tcW w:w="11300" w:type="dxa"/>
            <w:vAlign w:val="bottom"/>
            <w:gridSpan w:val="5"/>
          </w:tcPr>
          <w:p>
            <w:pPr>
              <w:spacing w:after="0" w:line="21" w:lineRule="exact"/>
              <w:rPr>
                <w:sz w:val="20"/>
                <w:szCs w:val="20"/>
                <w:color w:val="auto"/>
              </w:rPr>
            </w:pPr>
            <w:r>
              <w:rPr>
                <w:rFonts w:ascii="Arial" w:cs="Arial" w:eastAsia="Arial" w:hAnsi="Arial"/>
                <w:sz w:val="2"/>
                <w:szCs w:val="2"/>
                <w:color w:val="FFFFFF"/>
              </w:rPr>
              <w:t>present value of estimated future cash fl ows (excluding future expected credit losses that have not been incurred) discounted at the fi nancial asset’s original effective interest rate (i. ., the effective interest rate</w:t>
            </w:r>
          </w:p>
        </w:tc>
      </w:tr>
      <w:tr>
        <w:trPr>
          <w:trHeight w:val="81"/>
        </w:trPr>
        <w:tc>
          <w:tcPr>
            <w:tcW w:w="2960" w:type="dxa"/>
            <w:vAlign w:val="bottom"/>
            <w:gridSpan w:val="2"/>
          </w:tcPr>
          <w:p>
            <w:pPr>
              <w:spacing w:after="0" w:line="81" w:lineRule="exact"/>
              <w:rPr>
                <w:sz w:val="20"/>
                <w:szCs w:val="20"/>
                <w:color w:val="auto"/>
              </w:rPr>
            </w:pPr>
            <w:r>
              <w:rPr>
                <w:rFonts w:ascii="Arial" w:cs="Arial" w:eastAsia="Arial" w:hAnsi="Arial"/>
                <w:sz w:val="9"/>
                <w:szCs w:val="9"/>
                <w:color w:val="FFFFFF"/>
              </w:rPr>
              <w:t>If, in a subsequent period, the amount of the</w:t>
            </w:r>
          </w:p>
        </w:tc>
        <w:tc>
          <w:tcPr>
            <w:tcW w:w="8340" w:type="dxa"/>
            <w:vAlign w:val="bottom"/>
            <w:gridSpan w:val="3"/>
          </w:tcPr>
          <w:p>
            <w:pPr>
              <w:ind w:left="20"/>
              <w:spacing w:after="0" w:line="81" w:lineRule="exact"/>
              <w:rPr>
                <w:sz w:val="20"/>
                <w:szCs w:val="20"/>
                <w:color w:val="auto"/>
              </w:rPr>
            </w:pPr>
            <w:r>
              <w:rPr>
                <w:rFonts w:ascii="Arial" w:cs="Arial" w:eastAsia="Arial" w:hAnsi="Arial"/>
                <w:sz w:val="9"/>
                <w:szCs w:val="9"/>
                <w:color w:val="FFFFFF"/>
              </w:rPr>
              <w:t>impairment loss decreases because of an event occurring after the impairment was recognized, the previously recognized impairment loss is increased or</w:t>
            </w:r>
          </w:p>
        </w:tc>
      </w:tr>
      <w:tr>
        <w:trPr>
          <w:trHeight w:val="41"/>
        </w:trPr>
        <w:tc>
          <w:tcPr>
            <w:tcW w:w="1840" w:type="dxa"/>
            <w:vAlign w:val="bottom"/>
          </w:tcPr>
          <w:p>
            <w:pPr>
              <w:spacing w:after="0"/>
              <w:rPr>
                <w:sz w:val="20"/>
                <w:szCs w:val="20"/>
                <w:color w:val="auto"/>
              </w:rPr>
            </w:pPr>
            <w:r>
              <w:rPr>
                <w:rFonts w:ascii="Arial" w:cs="Arial" w:eastAsia="Arial" w:hAnsi="Arial"/>
                <w:sz w:val="3"/>
                <w:szCs w:val="3"/>
                <w:color w:val="FFFFFF"/>
              </w:rPr>
              <w:t>reduced by adjusting the</w:t>
            </w:r>
          </w:p>
        </w:tc>
        <w:tc>
          <w:tcPr>
            <w:tcW w:w="9460" w:type="dxa"/>
            <w:vAlign w:val="bottom"/>
            <w:gridSpan w:val="4"/>
          </w:tcPr>
          <w:p>
            <w:pPr>
              <w:ind w:left="100"/>
              <w:spacing w:after="0"/>
              <w:rPr>
                <w:sz w:val="20"/>
                <w:szCs w:val="20"/>
                <w:color w:val="auto"/>
              </w:rPr>
            </w:pPr>
            <w:r>
              <w:rPr>
                <w:rFonts w:ascii="Arial" w:cs="Arial" w:eastAsia="Arial" w:hAnsi="Arial"/>
                <w:sz w:val="3"/>
                <w:szCs w:val="3"/>
                <w:color w:val="FFFFFF"/>
              </w:rPr>
              <w:t>account. estimatedIffuture write-off is later recovered, the recovery is credited to fi nance costs in the statement of comprehensive income.</w:t>
            </w:r>
          </w:p>
        </w:tc>
      </w:tr>
      <w:tr>
        <w:trPr>
          <w:trHeight w:val="41"/>
        </w:trPr>
        <w:tc>
          <w:tcPr>
            <w:tcW w:w="8760" w:type="dxa"/>
            <w:vAlign w:val="bottom"/>
            <w:gridSpan w:val="4"/>
          </w:tcPr>
          <w:p>
            <w:pPr>
              <w:spacing w:after="0"/>
              <w:rPr>
                <w:sz w:val="20"/>
                <w:szCs w:val="20"/>
                <w:color w:val="auto"/>
              </w:rPr>
            </w:pPr>
            <w:r>
              <w:rPr>
                <w:rFonts w:ascii="Arial" w:cs="Arial" w:eastAsia="Arial" w:hAnsi="Arial"/>
                <w:sz w:val="3"/>
                <w:szCs w:val="3"/>
                <w:color w:val="FFFFFF"/>
              </w:rPr>
              <w:t>In relation to trade receivables,allowanceprovision for impairment is made when there is objective evidence (such as the probability of insolvency or signifi cant fi</w:t>
            </w:r>
          </w:p>
        </w:tc>
        <w:tc>
          <w:tcPr>
            <w:tcW w:w="2540" w:type="dxa"/>
            <w:vAlign w:val="bottom"/>
          </w:tcPr>
          <w:p>
            <w:pPr>
              <w:ind w:left="80"/>
              <w:spacing w:after="0"/>
              <w:rPr>
                <w:sz w:val="20"/>
                <w:szCs w:val="20"/>
                <w:color w:val="auto"/>
              </w:rPr>
            </w:pPr>
            <w:r>
              <w:rPr>
                <w:rFonts w:ascii="Arial" w:cs="Arial" w:eastAsia="Arial" w:hAnsi="Arial"/>
                <w:sz w:val="3"/>
                <w:szCs w:val="3"/>
                <w:color w:val="FFFFFF"/>
              </w:rPr>
              <w:t>diffi culties of the debtor) that the Group will</w:t>
            </w: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not be able to collect all of the amounts due under the original terms of the transaction. The carrying amount of the receivables is reduced through the use ofnancialallowance account. Impaired debts are</w:t>
            </w:r>
          </w:p>
        </w:tc>
      </w:tr>
      <w:tr>
        <w:trPr>
          <w:trHeight w:val="41"/>
        </w:trPr>
        <w:tc>
          <w:tcPr>
            <w:tcW w:w="2960" w:type="dxa"/>
            <w:vAlign w:val="bottom"/>
            <w:gridSpan w:val="2"/>
          </w:tcPr>
          <w:p>
            <w:pPr>
              <w:spacing w:after="0"/>
              <w:rPr>
                <w:sz w:val="20"/>
                <w:szCs w:val="20"/>
                <w:color w:val="auto"/>
              </w:rPr>
            </w:pPr>
            <w:r>
              <w:rPr>
                <w:rFonts w:ascii="Arial" w:cs="Arial" w:eastAsia="Arial" w:hAnsi="Arial"/>
                <w:sz w:val="3"/>
                <w:szCs w:val="3"/>
                <w:color w:val="FFFFFF"/>
              </w:rPr>
              <w:t>derecognized when they are assessed as uncollectible.</w:t>
            </w:r>
          </w:p>
        </w:tc>
        <w:tc>
          <w:tcPr>
            <w:tcW w:w="17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41"/>
        </w:trPr>
        <w:tc>
          <w:tcPr>
            <w:tcW w:w="2960" w:type="dxa"/>
            <w:vAlign w:val="bottom"/>
            <w:gridSpan w:val="2"/>
          </w:tcPr>
          <w:p>
            <w:pPr>
              <w:spacing w:after="0"/>
              <w:rPr>
                <w:sz w:val="20"/>
                <w:szCs w:val="20"/>
                <w:color w:val="auto"/>
              </w:rPr>
            </w:pPr>
            <w:r>
              <w:rPr>
                <w:rFonts w:ascii="Arial" w:cs="Arial" w:eastAsia="Arial" w:hAnsi="Arial"/>
                <w:sz w:val="3"/>
                <w:szCs w:val="3"/>
                <w:color w:val="FFFFFF"/>
              </w:rPr>
              <w:t>Available-for-sale fi nancial investments</w:t>
            </w:r>
          </w:p>
        </w:tc>
        <w:tc>
          <w:tcPr>
            <w:tcW w:w="17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For available-for-sale fi nancial investments, the Group assesses at the end of each reporting period whether there is objective evidence that an investment or a group of investments is impaired.</w:t>
            </w:r>
          </w:p>
        </w:tc>
      </w:tr>
      <w:tr>
        <w:trPr>
          <w:trHeight w:val="41"/>
        </w:trPr>
        <w:tc>
          <w:tcPr>
            <w:tcW w:w="2960" w:type="dxa"/>
            <w:vAlign w:val="bottom"/>
            <w:gridSpan w:val="2"/>
          </w:tcPr>
          <w:p>
            <w:pPr>
              <w:spacing w:after="0"/>
              <w:rPr>
                <w:sz w:val="20"/>
                <w:szCs w:val="20"/>
                <w:color w:val="auto"/>
              </w:rPr>
            </w:pPr>
            <w:r>
              <w:rPr>
                <w:rFonts w:ascii="Arial" w:cs="Arial" w:eastAsia="Arial" w:hAnsi="Arial"/>
                <w:sz w:val="3"/>
                <w:szCs w:val="3"/>
                <w:color w:val="FFFFFF"/>
              </w:rPr>
              <w:t>If an available-for-sale asset is impaired, an amount</w:t>
            </w:r>
          </w:p>
        </w:tc>
        <w:tc>
          <w:tcPr>
            <w:tcW w:w="8340" w:type="dxa"/>
            <w:vAlign w:val="bottom"/>
            <w:gridSpan w:val="3"/>
          </w:tcPr>
          <w:p>
            <w:pPr>
              <w:ind w:left="520"/>
              <w:spacing w:after="0"/>
              <w:rPr>
                <w:sz w:val="20"/>
                <w:szCs w:val="20"/>
                <w:color w:val="auto"/>
              </w:rPr>
            </w:pPr>
            <w:r>
              <w:rPr>
                <w:rFonts w:ascii="Arial" w:cs="Arial" w:eastAsia="Arial" w:hAnsi="Arial"/>
                <w:sz w:val="3"/>
                <w:szCs w:val="3"/>
                <w:color w:val="FFFFFF"/>
              </w:rPr>
              <w:t>the difference between its cost (net of any principal payment and amortization) and its current fair value, less any impairment loss previously</w:t>
            </w:r>
          </w:p>
        </w:tc>
      </w:tr>
      <w:tr>
        <w:trPr>
          <w:trHeight w:val="213"/>
        </w:trPr>
        <w:tc>
          <w:tcPr>
            <w:tcW w:w="8760" w:type="dxa"/>
            <w:vAlign w:val="bottom"/>
            <w:gridSpan w:val="4"/>
          </w:tcPr>
          <w:p>
            <w:pPr>
              <w:spacing w:after="0"/>
              <w:rPr>
                <w:sz w:val="20"/>
                <w:szCs w:val="20"/>
                <w:color w:val="auto"/>
              </w:rPr>
            </w:pPr>
            <w:r>
              <w:rPr>
                <w:rFonts w:ascii="Arial" w:cs="Arial" w:eastAsia="Arial" w:hAnsi="Arial"/>
                <w:sz w:val="14"/>
                <w:szCs w:val="14"/>
                <w:color w:val="FFFFFF"/>
                <w:w w:val="83"/>
              </w:rPr>
              <w:t>recognized in the statement of comprehensive income,comprisingremoved from other comprehensive income and recognized in the statement of comprehensive income.</w:t>
            </w:r>
          </w:p>
        </w:tc>
        <w:tc>
          <w:tcPr>
            <w:tcW w:w="2540" w:type="dxa"/>
            <w:vAlign w:val="bottom"/>
          </w:tcPr>
          <w:p>
            <w:pPr>
              <w:spacing w:after="0"/>
              <w:rPr>
                <w:sz w:val="18"/>
                <w:szCs w:val="18"/>
                <w:color w:val="auto"/>
              </w:rPr>
            </w:pPr>
          </w:p>
        </w:tc>
      </w:tr>
    </w:tbl>
    <w:p>
      <w:pPr>
        <w:sectPr>
          <w:pgSz w:w="11900" w:h="16838" w:orient="portrait"/>
          <w:cols w:equalWidth="0" w:num="1">
            <w:col w:w="11300"/>
          </w:cols>
          <w:pgMar w:left="240" w:top="1440" w:right="35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gridSpan w:val="2"/>
          </w:tcPr>
          <w:p>
            <w:pPr>
              <w:spacing w:after="0"/>
              <w:rPr>
                <w:sz w:val="20"/>
                <w:szCs w:val="20"/>
                <w:color w:val="auto"/>
              </w:rPr>
            </w:pPr>
            <w:r>
              <w:rPr>
                <w:rFonts w:ascii="Arial" w:cs="Arial" w:eastAsia="Arial" w:hAnsi="Arial"/>
                <w:sz w:val="14"/>
                <w:szCs w:val="14"/>
                <w:color w:val="FFFFFF"/>
              </w:rPr>
              <w:t>88 Wynn Macau, Limited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Financial Statements</w:t>
            </w:r>
          </w:p>
        </w:tc>
        <w:tc>
          <w:tcPr>
            <w:tcW w:w="9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Impairment of fi nancial assets (continued)</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Available-for-sale fi nancial investments (continued)</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In the case of debt instruments classifi ed as available-for-sale, impairment is assessed based on the same criteria as fi nancial assets carried at amortized cost. However, the amount recorded for impairment is the</w:t>
            </w: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cumulative loss measured as the difference between the amortized cost and the current fair value, less any impairment loss on that</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ind w:left="120"/>
              <w:spacing w:after="0"/>
              <w:rPr>
                <w:sz w:val="20"/>
                <w:szCs w:val="20"/>
                <w:color w:val="auto"/>
              </w:rPr>
            </w:pPr>
            <w:r>
              <w:rPr>
                <w:rFonts w:ascii="Arial" w:cs="Arial" w:eastAsia="Arial" w:hAnsi="Arial"/>
                <w:sz w:val="3"/>
                <w:szCs w:val="3"/>
                <w:color w:val="FFFFFF"/>
              </w:rPr>
              <w:t>vestment previously recognized in the statement of comprehensive income. Future interest income continues to be accrued based on the reduced carrying amount of the asset and is accrued using the rate of</w:t>
            </w: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interest used to discount the future cash fl ows for the purpose of measuring the impairment loss. The interest income is recorded as part of fi nance revenue. Impairment losses on debt</w:t>
            </w:r>
          </w:p>
        </w:tc>
        <w:tc>
          <w:tcPr>
            <w:tcW w:w="1120" w:type="dxa"/>
            <w:vAlign w:val="bottom"/>
          </w:tcPr>
          <w:p>
            <w:pPr>
              <w:ind w:left="340"/>
              <w:spacing w:after="0"/>
              <w:rPr>
                <w:sz w:val="20"/>
                <w:szCs w:val="20"/>
                <w:color w:val="auto"/>
              </w:rPr>
            </w:pPr>
            <w:r>
              <w:rPr>
                <w:rFonts w:ascii="Arial" w:cs="Arial" w:eastAsia="Arial" w:hAnsi="Arial"/>
                <w:sz w:val="3"/>
                <w:szCs w:val="3"/>
                <w:color w:val="FFFFFF"/>
              </w:rPr>
              <w:t>are reversed</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through the statement of comprehensive income if the increase in fair value of the instruments can be objectively related to an event occurring after the impairment loss was recognized instrumentsthestatement of</w:t>
            </w: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comprehensive income.</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400" w:type="dxa"/>
            <w:vAlign w:val="bottom"/>
            <w:gridSpan w:val="3"/>
          </w:tcPr>
          <w:p>
            <w:pPr>
              <w:spacing w:after="0" w:line="81" w:lineRule="exact"/>
              <w:rPr>
                <w:sz w:val="20"/>
                <w:szCs w:val="20"/>
                <w:color w:val="auto"/>
              </w:rPr>
            </w:pPr>
            <w:r>
              <w:rPr>
                <w:rFonts w:ascii="Arial" w:cs="Arial" w:eastAsia="Arial" w:hAnsi="Arial"/>
                <w:sz w:val="9"/>
                <w:szCs w:val="9"/>
                <w:color w:val="FFFFFF"/>
              </w:rPr>
              <w:t>Inventories are valued at the lower of cost and net realizable value. Cost is determined on the fi rst-in, fi rst-out, average or specifi c identifi cation methods. Net realizable value is based on estimated selling</w:t>
            </w: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prices less e timated costs to be incurred on completion and disposal.</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400" w:type="dxa"/>
            <w:vAlign w:val="bottom"/>
            <w:gridSpan w:val="3"/>
          </w:tcPr>
          <w:p>
            <w:pPr>
              <w:spacing w:after="0" w:line="81" w:lineRule="exact"/>
              <w:rPr>
                <w:sz w:val="20"/>
                <w:szCs w:val="20"/>
                <w:color w:val="auto"/>
              </w:rPr>
            </w:pPr>
            <w:r>
              <w:rPr>
                <w:rFonts w:ascii="Arial" w:cs="Arial" w:eastAsia="Arial" w:hAnsi="Arial"/>
                <w:sz w:val="9"/>
                <w:szCs w:val="9"/>
                <w:color w:val="FFFFFF"/>
              </w:rPr>
              <w:t>C sh and cash equivalents in the statement of fi  ancial position comprise cash at banks and on hand and short term deposits with an original maturity of three months or less. For the purpose of the consolidated</w:t>
            </w: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statement of cash fl ows, cash and cash equivalents consist of cash and cash equivalents as defi ned above.</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Financial</w:t>
            </w:r>
          </w:p>
        </w:tc>
        <w:tc>
          <w:tcPr>
            <w:tcW w:w="10260" w:type="dxa"/>
            <w:vAlign w:val="bottom"/>
            <w:gridSpan w:val="2"/>
            <w:vMerge w:val="restart"/>
          </w:tcPr>
          <w:p>
            <w:pPr>
              <w:spacing w:after="0" w:line="81" w:lineRule="exact"/>
              <w:rPr>
                <w:sz w:val="20"/>
                <w:szCs w:val="20"/>
                <w:color w:val="auto"/>
              </w:rPr>
            </w:pPr>
            <w:r>
              <w:rPr>
                <w:rFonts w:ascii="Arial" w:cs="Arial" w:eastAsia="Arial" w:hAnsi="Arial"/>
                <w:sz w:val="9"/>
                <w:szCs w:val="9"/>
                <w:color w:val="FFFFFF"/>
              </w:rPr>
              <w:t>Company’s fi nancial liabilities are generally classifi ed   other fi n ncial liabilities, which include accounts payable, other payables, amounts due to related companies, interest-bearing</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The Group’liabilitiesand</w:t>
            </w:r>
          </w:p>
        </w:tc>
        <w:tc>
          <w:tcPr>
            <w:tcW w:w="10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bank loans, and other current and long-term liabilities, and are subsequently measured at amortized cost, using the effective interest rate method.</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80" w:type="dxa"/>
            <w:vAlign w:val="bottom"/>
            <w:gridSpan w:val="2"/>
          </w:tcPr>
          <w:p>
            <w:pPr>
              <w:spacing w:after="0"/>
              <w:rPr>
                <w:sz w:val="20"/>
                <w:szCs w:val="20"/>
                <w:color w:val="auto"/>
              </w:rPr>
            </w:pPr>
            <w:r>
              <w:rPr>
                <w:rFonts w:ascii="Arial" w:cs="Arial" w:eastAsia="Arial" w:hAnsi="Arial"/>
                <w:sz w:val="3"/>
                <w:szCs w:val="3"/>
                <w:color w:val="FFFFFF"/>
              </w:rPr>
              <w:t>Interest-bearing loans and borrowings</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0280" w:type="dxa"/>
            <w:vAlign w:val="bottom"/>
            <w:gridSpan w:val="2"/>
          </w:tcPr>
          <w:p>
            <w:pPr>
              <w:spacing w:after="0"/>
              <w:rPr>
                <w:sz w:val="20"/>
                <w:szCs w:val="20"/>
                <w:color w:val="auto"/>
              </w:rPr>
            </w:pPr>
            <w:r>
              <w:rPr>
                <w:rFonts w:ascii="Arial" w:cs="Arial" w:eastAsia="Arial" w:hAnsi="Arial"/>
                <w:sz w:val="14"/>
                <w:szCs w:val="14"/>
                <w:color w:val="FFFFFF"/>
                <w:w w:val="97"/>
              </w:rPr>
              <w:t>All loans and borrowings are initially recognized at fair value less directly attributable transaction costs, and have not been designated as “fair value through profi t or loss”.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Arial" w:cs="Arial" w:eastAsia="Arial" w:hAnsi="Arial"/>
                <w:sz w:val="14"/>
                <w:szCs w:val="14"/>
                <w:color w:val="FFFFFF"/>
                <w:w w:val="87"/>
              </w:rPr>
              <w:t>Annual Report 2011 89</w:t>
            </w:r>
          </w:p>
        </w:tc>
        <w:tc>
          <w:tcPr>
            <w:tcW w:w="560" w:type="dxa"/>
            <w:vAlign w:val="bottom"/>
          </w:tcPr>
          <w:p>
            <w:pPr>
              <w:spacing w:after="0"/>
              <w:rPr>
                <w:sz w:val="14"/>
                <w:szCs w:val="14"/>
                <w:color w:val="auto"/>
              </w:rPr>
            </w:pPr>
          </w:p>
        </w:tc>
        <w:tc>
          <w:tcPr>
            <w:tcW w:w="9560" w:type="dxa"/>
            <w:vAlign w:val="bottom"/>
          </w:tcPr>
          <w:p>
            <w:pPr>
              <w:spacing w:after="0"/>
              <w:rPr>
                <w:sz w:val="14"/>
                <w:szCs w:val="14"/>
                <w:color w:val="auto"/>
              </w:rPr>
            </w:pPr>
          </w:p>
        </w:tc>
      </w:tr>
      <w:tr>
        <w:trPr>
          <w:trHeight w:val="41"/>
        </w:trPr>
        <w:tc>
          <w:tcPr>
            <w:tcW w:w="1280" w:type="dxa"/>
            <w:vAlign w:val="bottom"/>
          </w:tcPr>
          <w:p>
            <w:pPr>
              <w:spacing w:after="0"/>
              <w:rPr>
                <w:sz w:val="20"/>
                <w:szCs w:val="20"/>
                <w:color w:val="auto"/>
              </w:rPr>
            </w:pPr>
            <w:r>
              <w:rPr>
                <w:rFonts w:ascii="Arial" w:cs="Arial" w:eastAsia="Arial" w:hAnsi="Arial"/>
                <w:sz w:val="3"/>
                <w:szCs w:val="3"/>
                <w:color w:val="FFFFFF"/>
              </w:rPr>
              <w:t>Financial Statements</w:t>
            </w:r>
          </w:p>
        </w:tc>
        <w:tc>
          <w:tcPr>
            <w:tcW w:w="560" w:type="dxa"/>
            <w:vAlign w:val="bottom"/>
          </w:tcPr>
          <w:p>
            <w:pPr>
              <w:spacing w:after="0"/>
              <w:rPr>
                <w:sz w:val="3"/>
                <w:szCs w:val="3"/>
                <w:color w:val="auto"/>
              </w:rPr>
            </w:pPr>
          </w:p>
        </w:tc>
        <w:tc>
          <w:tcPr>
            <w:tcW w:w="9560" w:type="dxa"/>
            <w:vAlign w:val="bottom"/>
          </w:tcPr>
          <w:p>
            <w:pPr>
              <w:spacing w:after="0"/>
              <w:rPr>
                <w:sz w:val="3"/>
                <w:szCs w:val="3"/>
                <w:color w:val="auto"/>
              </w:rPr>
            </w:pP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956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For the year ended 31 December 2011</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Financial liabilities (continued)</w:t>
            </w:r>
          </w:p>
        </w:tc>
        <w:tc>
          <w:tcPr>
            <w:tcW w:w="956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Interest-bearing loans and borrowings (continued)</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After initial recognition, inter st bearing loans and borrowings are subsequently measured at amortized cost, using the effective interest rate method.</w:t>
            </w: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Gains and losses are recognized</w:t>
            </w:r>
          </w:p>
        </w:tc>
        <w:tc>
          <w:tcPr>
            <w:tcW w:w="9560" w:type="dxa"/>
            <w:vAlign w:val="bottom"/>
          </w:tcPr>
          <w:p>
            <w:pPr>
              <w:ind w:left="60"/>
              <w:spacing w:after="0"/>
              <w:rPr>
                <w:sz w:val="20"/>
                <w:szCs w:val="20"/>
                <w:color w:val="auto"/>
              </w:rPr>
            </w:pPr>
            <w:r>
              <w:rPr>
                <w:rFonts w:ascii="Arial" w:cs="Arial" w:eastAsia="Arial" w:hAnsi="Arial"/>
                <w:sz w:val="3"/>
                <w:szCs w:val="3"/>
                <w:color w:val="FFFFFF"/>
              </w:rPr>
              <w:t>the statement of comprehensive income when the liabilities are derecognized as well as through the effective interest rate method (“EIR”) amortization process.</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Amortized cost is calculated by taking into account any discount or premium on acquisition and fees or costs that are an integral part of the EIR. The EIR amortization is included in fi nance costs in the</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statement of comprehensive income.</w:t>
            </w: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Derivative fi nancial instruments</w:t>
            </w:r>
          </w:p>
        </w:tc>
        <w:tc>
          <w:tcPr>
            <w:tcW w:w="956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Group uses derivative fi nancial instruments, such as interest rate swaps, to manage risks associated with interest rate fl uctuations. Such derivative fi nancial instruments are initially recognized at fair value</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on the date a derivative contract is entered into and are subsequently remeasured at fair value. The Group adjusts this amount by applying  non-performance valuation after considering the Group’s</w:t>
            </w:r>
          </w:p>
        </w:tc>
      </w:tr>
      <w:tr>
        <w:trPr>
          <w:trHeight w:val="41"/>
        </w:trPr>
        <w:tc>
          <w:tcPr>
            <w:tcW w:w="1280" w:type="dxa"/>
            <w:vAlign w:val="bottom"/>
          </w:tcPr>
          <w:p>
            <w:pPr>
              <w:ind w:left="940"/>
              <w:spacing w:after="0"/>
              <w:rPr>
                <w:sz w:val="20"/>
                <w:szCs w:val="20"/>
                <w:color w:val="auto"/>
              </w:rPr>
            </w:pPr>
            <w:r>
              <w:rPr>
                <w:rFonts w:ascii="Arial" w:cs="Arial" w:eastAsia="Arial" w:hAnsi="Arial"/>
                <w:sz w:val="3"/>
                <w:szCs w:val="3"/>
                <w:color w:val="FFFFFF"/>
              </w:rPr>
              <w:t>or the</w:t>
            </w:r>
          </w:p>
        </w:tc>
        <w:tc>
          <w:tcPr>
            <w:tcW w:w="560" w:type="dxa"/>
            <w:vAlign w:val="bottom"/>
          </w:tcPr>
          <w:p>
            <w:pPr>
              <w:spacing w:after="0"/>
              <w:rPr>
                <w:sz w:val="3"/>
                <w:szCs w:val="3"/>
                <w:color w:val="auto"/>
              </w:rPr>
            </w:pPr>
          </w:p>
        </w:tc>
        <w:tc>
          <w:tcPr>
            <w:tcW w:w="9560" w:type="dxa"/>
            <w:vAlign w:val="bottom"/>
          </w:tcPr>
          <w:p>
            <w:pPr>
              <w:ind w:left="360"/>
              <w:spacing w:after="0"/>
              <w:rPr>
                <w:sz w:val="20"/>
                <w:szCs w:val="20"/>
                <w:color w:val="auto"/>
              </w:rPr>
            </w:pPr>
            <w:r>
              <w:rPr>
                <w:rFonts w:ascii="Arial" w:cs="Arial" w:eastAsia="Arial" w:hAnsi="Arial"/>
                <w:sz w:val="3"/>
                <w:szCs w:val="3"/>
                <w:color w:val="FFFFFF"/>
              </w:rPr>
              <w:t>of the Group’ counterparties at each settlement date. Derivatives are carried as assets when the fair value is positive and as liabilities when the fair value is negative. All</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creditworthinessgainslossesarising fromcreditworthinesschangesfair value on derivatives are taken directly to the statement of comprehensive income as none of the derivatives qualify for hedge accounting.</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fair value of interest rate swap contracts is determined by using appropriate valuation techniques.</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Cu rent versus non-current classifi cation</w:t>
            </w:r>
          </w:p>
        </w:tc>
      </w:tr>
      <w:tr>
        <w:trPr>
          <w:trHeight w:val="0"/>
        </w:trPr>
        <w:tc>
          <w:tcPr>
            <w:tcW w:w="1280" w:type="dxa"/>
            <w:vAlign w:val="bottom"/>
          </w:tcPr>
          <w:p>
            <w:pPr>
              <w:spacing w:after="0" w:line="80" w:lineRule="exact"/>
              <w:rPr>
                <w:sz w:val="20"/>
                <w:szCs w:val="20"/>
                <w:color w:val="auto"/>
              </w:rPr>
            </w:pPr>
            <w:r>
              <w:rPr>
                <w:rFonts w:ascii="Arial" w:cs="Arial" w:eastAsia="Arial" w:hAnsi="Arial"/>
                <w:sz w:val="9"/>
                <w:szCs w:val="9"/>
                <w:color w:val="FFFFFF"/>
              </w:rPr>
              <w:t>Derivative</w:t>
            </w:r>
          </w:p>
        </w:tc>
        <w:tc>
          <w:tcPr>
            <w:tcW w:w="10120" w:type="dxa"/>
            <w:vAlign w:val="bottom"/>
            <w:gridSpan w:val="2"/>
          </w:tcPr>
          <w:p>
            <w:pPr>
              <w:spacing w:after="0" w:line="80" w:lineRule="exact"/>
              <w:rPr>
                <w:sz w:val="20"/>
                <w:szCs w:val="20"/>
                <w:color w:val="auto"/>
              </w:rPr>
            </w:pPr>
            <w:r>
              <w:rPr>
                <w:rFonts w:ascii="Arial" w:cs="Arial" w:eastAsia="Arial" w:hAnsi="Arial"/>
                <w:sz w:val="9"/>
                <w:szCs w:val="9"/>
                <w:color w:val="FFFFFF"/>
              </w:rPr>
              <w:t>that are not designated as effective hedging instruments are classifi ed as current or non-current, or are separated into a current or a non-current portion, based on an assessment of the facts</w:t>
            </w:r>
          </w:p>
        </w:tc>
      </w:tr>
    </w:tbl>
    <w:p>
      <w:pPr>
        <w:spacing w:after="0" w:line="180" w:lineRule="auto"/>
        <w:rPr>
          <w:sz w:val="20"/>
          <w:szCs w:val="20"/>
          <w:color w:val="auto"/>
        </w:rPr>
      </w:pPr>
      <w:r>
        <w:rPr>
          <w:rFonts w:ascii="Arial" w:cs="Arial" w:eastAsia="Arial" w:hAnsi="Arial"/>
          <w:sz w:val="14"/>
          <w:szCs w:val="14"/>
          <w:color w:val="FFFFFF"/>
        </w:rPr>
        <w:t>and circumstancesinstruments(i.. the underlying contracted cash fl ows).</w:t>
      </w:r>
    </w:p>
    <w:p>
      <w:pPr>
        <w:sectPr>
          <w:pgSz w:w="11900" w:h="16838" w:orient="portrait"/>
          <w:cols w:equalWidth="0" w:num="1">
            <w:col w:w="11400"/>
          </w:cols>
          <w:pgMar w:left="240" w:top="1440" w:right="25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00" w:type="dxa"/>
            <w:vAlign w:val="bottom"/>
          </w:tcPr>
          <w:p>
            <w:pPr>
              <w:spacing w:after="0"/>
              <w:rPr>
                <w:sz w:val="20"/>
                <w:szCs w:val="20"/>
                <w:color w:val="auto"/>
              </w:rPr>
            </w:pPr>
            <w:r>
              <w:rPr>
                <w:rFonts w:ascii="Arial" w:cs="Arial" w:eastAsia="Arial" w:hAnsi="Arial"/>
                <w:sz w:val="14"/>
                <w:szCs w:val="14"/>
                <w:color w:val="FFFFFF"/>
              </w:rPr>
              <w:t>90 Wynn Macau, Limited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0300" w:type="dxa"/>
            <w:vAlign w:val="bottom"/>
          </w:tcPr>
          <w:p>
            <w:pPr>
              <w:spacing w:after="0"/>
              <w:rPr>
                <w:sz w:val="20"/>
                <w:szCs w:val="20"/>
                <w:color w:val="auto"/>
              </w:rPr>
            </w:pPr>
            <w:r>
              <w:rPr>
                <w:rFonts w:ascii="Arial" w:cs="Arial" w:eastAsia="Arial" w:hAnsi="Arial"/>
                <w:sz w:val="3"/>
                <w:szCs w:val="3"/>
                <w:color w:val="FFFFFF"/>
              </w:rPr>
              <w:t>Financial Statements</w:t>
            </w: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tcPr>
          <w:p>
            <w:pPr>
              <w:spacing w:after="0"/>
              <w:rPr>
                <w:sz w:val="20"/>
                <w:szCs w:val="20"/>
                <w:color w:val="auto"/>
              </w:rPr>
            </w:pPr>
            <w:r>
              <w:rPr>
                <w:rFonts w:ascii="Arial" w:cs="Arial" w:eastAsia="Arial" w:hAnsi="Arial"/>
                <w:sz w:val="3"/>
                <w:szCs w:val="3"/>
                <w:color w:val="FFFFFF"/>
              </w:rPr>
              <w:t>For the year ended 31 December 2011</w:t>
            </w: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tcPr>
          <w:p>
            <w:pPr>
              <w:spacing w:after="0"/>
              <w:rPr>
                <w:sz w:val="20"/>
                <w:szCs w:val="20"/>
                <w:color w:val="auto"/>
              </w:rPr>
            </w:pPr>
            <w:r>
              <w:rPr>
                <w:rFonts w:ascii="Arial" w:cs="Arial" w:eastAsia="Arial" w:hAnsi="Arial"/>
                <w:sz w:val="3"/>
                <w:szCs w:val="3"/>
                <w:color w:val="FFFFFF"/>
              </w:rPr>
              <w:t>Derecognition of fi nancial assets and liabilities</w:t>
            </w: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tcPr>
          <w:p>
            <w:pPr>
              <w:spacing w:after="0"/>
              <w:rPr>
                <w:sz w:val="20"/>
                <w:szCs w:val="20"/>
                <w:color w:val="auto"/>
              </w:rPr>
            </w:pPr>
            <w:r>
              <w:rPr>
                <w:rFonts w:ascii="Arial" w:cs="Arial" w:eastAsia="Arial" w:hAnsi="Arial"/>
                <w:sz w:val="3"/>
                <w:szCs w:val="3"/>
                <w:color w:val="FFFFFF"/>
              </w:rPr>
              <w:t>Financial assets</w:t>
            </w: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tcPr>
          <w:p>
            <w:pPr>
              <w:spacing w:after="0"/>
              <w:rPr>
                <w:sz w:val="20"/>
                <w:szCs w:val="20"/>
                <w:color w:val="auto"/>
              </w:rPr>
            </w:pPr>
            <w:r>
              <w:rPr>
                <w:rFonts w:ascii="Arial" w:cs="Arial" w:eastAsia="Arial" w:hAnsi="Arial"/>
                <w:sz w:val="3"/>
                <w:szCs w:val="3"/>
                <w:color w:val="FFFFFF"/>
              </w:rPr>
              <w:t>A fi nancial asset (or, where applicable, a part of  fi nancial asset or part of a group of similar fi nancial assets) is derecognized when:</w:t>
            </w: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300" w:type="dxa"/>
            <w:vAlign w:val="bottom"/>
          </w:tcPr>
          <w:p>
            <w:pPr>
              <w:ind w:left="280"/>
              <w:spacing w:after="0"/>
              <w:rPr>
                <w:sz w:val="20"/>
                <w:szCs w:val="20"/>
                <w:color w:val="auto"/>
              </w:rPr>
            </w:pPr>
            <w:r>
              <w:rPr>
                <w:rFonts w:ascii="Arial" w:cs="Arial" w:eastAsia="Arial" w:hAnsi="Arial"/>
                <w:sz w:val="3"/>
                <w:szCs w:val="3"/>
                <w:color w:val="FFFFFF"/>
              </w:rPr>
              <w:t>rights to receive cash fl ows from the asset have expired; or</w:t>
            </w: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 the Group has transferred its rights to receive cash fl ows from the asset or has assumed an obligation to pay cash fl ow receipts in full without material delay to  third party under a “pass-through”</w:t>
            </w: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arrangement; and either (a) the Group has transferred substantially all the risks and rewards of the asset, or (b) the Group has neither transferred nor retained substantially all the risks and rewards of the asset, but</w:t>
            </w:r>
          </w:p>
        </w:tc>
        <w:tc>
          <w:tcPr>
            <w:tcW w:w="0" w:type="dxa"/>
            <w:vAlign w:val="bottom"/>
          </w:tcPr>
          <w:p>
            <w:pPr>
              <w:spacing w:after="0"/>
              <w:rPr>
                <w:sz w:val="1"/>
                <w:szCs w:val="1"/>
                <w:color w:val="auto"/>
              </w:rPr>
            </w:pPr>
          </w:p>
        </w:tc>
      </w:tr>
      <w:tr>
        <w:trPr>
          <w:trHeight w:val="41"/>
        </w:trPr>
        <w:tc>
          <w:tcPr>
            <w:tcW w:w="10300" w:type="dxa"/>
            <w:vAlign w:val="bottom"/>
          </w:tcPr>
          <w:p>
            <w:pPr>
              <w:spacing w:after="0"/>
              <w:rPr>
                <w:sz w:val="20"/>
                <w:szCs w:val="20"/>
                <w:color w:val="auto"/>
              </w:rPr>
            </w:pPr>
            <w:r>
              <w:rPr>
                <w:rFonts w:ascii="Arial" w:cs="Arial" w:eastAsia="Arial" w:hAnsi="Arial"/>
                <w:sz w:val="3"/>
                <w:szCs w:val="3"/>
                <w:color w:val="FFFFFF"/>
              </w:rPr>
              <w:t>has transferred control of the asset.</w:t>
            </w:r>
          </w:p>
        </w:tc>
        <w:tc>
          <w:tcPr>
            <w:tcW w:w="1100" w:type="dxa"/>
            <w:vAlign w:val="bottom"/>
            <w:vMerge w:val="restart"/>
          </w:tcPr>
          <w:p>
            <w:pPr>
              <w:ind w:left="240"/>
              <w:spacing w:after="0"/>
              <w:rPr>
                <w:sz w:val="20"/>
                <w:szCs w:val="20"/>
                <w:color w:val="auto"/>
              </w:rPr>
            </w:pPr>
            <w:r>
              <w:rPr>
                <w:rFonts w:ascii="Arial" w:cs="Arial" w:eastAsia="Arial" w:hAnsi="Arial"/>
                <w:sz w:val="3"/>
                <w:szCs w:val="3"/>
                <w:color w:val="FFFFFF"/>
              </w:rPr>
              <w:t>of ownership of</w:t>
            </w:r>
          </w:p>
        </w:tc>
        <w:tc>
          <w:tcPr>
            <w:tcW w:w="0" w:type="dxa"/>
            <w:vAlign w:val="bottom"/>
          </w:tcPr>
          <w:p>
            <w:pPr>
              <w:spacing w:after="0"/>
              <w:rPr>
                <w:sz w:val="1"/>
                <w:szCs w:val="1"/>
                <w:color w:val="auto"/>
              </w:rPr>
            </w:pPr>
          </w:p>
        </w:tc>
      </w:tr>
      <w:tr>
        <w:trPr>
          <w:trHeight w:val="0"/>
        </w:trPr>
        <w:tc>
          <w:tcPr>
            <w:tcW w:w="10300" w:type="dxa"/>
            <w:vAlign w:val="bottom"/>
          </w:tcPr>
          <w:p>
            <w:pPr>
              <w:spacing w:after="0" w:line="80" w:lineRule="exact"/>
              <w:rPr>
                <w:sz w:val="20"/>
                <w:szCs w:val="20"/>
                <w:color w:val="auto"/>
              </w:rPr>
            </w:pPr>
            <w:r>
              <w:rPr>
                <w:rFonts w:ascii="Arial" w:cs="Arial" w:eastAsia="Arial" w:hAnsi="Arial"/>
                <w:sz w:val="9"/>
                <w:szCs w:val="9"/>
                <w:color w:val="FFFFFF"/>
              </w:rPr>
              <w:t>When the Group has transferred its rights to receive cash fl ows from an asset or has entered into a pass-through arrangement, it evaluates if and to what extent it has retained the risk and</w:t>
            </w: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60"/>
        <w:spacing w:after="0"/>
        <w:rPr>
          <w:sz w:val="20"/>
          <w:szCs w:val="20"/>
          <w:color w:val="auto"/>
        </w:rPr>
      </w:pPr>
      <w:r>
        <w:rPr>
          <w:rFonts w:ascii="Arial" w:cs="Arial" w:eastAsia="Arial" w:hAnsi="Arial"/>
          <w:sz w:val="5"/>
          <w:szCs w:val="5"/>
          <w:color w:val="FFFFFF"/>
        </w:rPr>
        <w:t>the asset. When it has neither transferred nor retained substantially all the risks and rewards of the asset nor transferred control of the asset, the asset is recognized to the extent of the Group’rewardscontinuing involvement in the asset. Continuing involvement that takes the form of a guarantee over the transferred asset is measured at the lower of the original carrying amount of the asset and the maximum amount of consideration that the Group could be required to repay.</w:t>
      </w:r>
    </w:p>
    <w:p>
      <w:pPr>
        <w:spacing w:after="0" w:line="194" w:lineRule="auto"/>
        <w:rPr>
          <w:sz w:val="20"/>
          <w:szCs w:val="20"/>
          <w:color w:val="auto"/>
        </w:rPr>
      </w:pPr>
      <w:r>
        <w:rPr>
          <w:rFonts w:ascii="Arial" w:cs="Arial" w:eastAsia="Arial" w:hAnsi="Arial"/>
          <w:sz w:val="6"/>
          <w:szCs w:val="6"/>
          <w:color w:val="FFFFFF"/>
        </w:rPr>
        <w:t>When continuing involvement takes the form of a written and/or purchased option (including a cash settled option or similar provision) on the transferred asset, the extent of the Group’</w:t>
      </w:r>
      <w:r>
        <w:rPr>
          <w:rFonts w:ascii="Arial" w:cs="Arial" w:eastAsia="Arial" w:hAnsi="Arial"/>
          <w:sz w:val="7"/>
          <w:szCs w:val="7"/>
          <w:color w:val="FFFFFF"/>
          <w:vertAlign w:val="subscript"/>
        </w:rPr>
        <w:t>measured</w:t>
      </w:r>
      <w:r>
        <w:rPr>
          <w:rFonts w:ascii="Arial" w:cs="Arial" w:eastAsia="Arial" w:hAnsi="Arial"/>
          <w:sz w:val="6"/>
          <w:szCs w:val="6"/>
          <w:color w:val="FFFFFF"/>
        </w:rPr>
        <w:t>continuing involvement</w:t>
      </w:r>
    </w:p>
    <w:p>
      <w:pPr>
        <w:spacing w:after="0" w:line="188" w:lineRule="auto"/>
        <w:tabs>
          <w:tab w:leader="none" w:pos="10260" w:val="left"/>
        </w:tabs>
        <w:rPr>
          <w:sz w:val="20"/>
          <w:szCs w:val="20"/>
          <w:color w:val="auto"/>
        </w:rPr>
      </w:pPr>
      <w:r>
        <w:rPr>
          <w:rFonts w:ascii="Arial" w:cs="Arial" w:eastAsia="Arial" w:hAnsi="Arial"/>
          <w:sz w:val="7"/>
          <w:szCs w:val="7"/>
          <w:color w:val="FFFFFF"/>
        </w:rPr>
        <w:t xml:space="preserve">is the amount of the transferred asset that the Group may repurchase, except that in the case </w:t>
      </w:r>
      <w:r>
        <w:rPr>
          <w:rFonts w:ascii="Arial" w:cs="Arial" w:eastAsia="Arial" w:hAnsi="Arial"/>
          <w:sz w:val="9"/>
          <w:szCs w:val="9"/>
          <w:color w:val="FFFFFF"/>
          <w:vertAlign w:val="subscript"/>
        </w:rPr>
        <w:t>transferred</w:t>
      </w:r>
      <w:r>
        <w:rPr>
          <w:rFonts w:ascii="Arial" w:cs="Arial" w:eastAsia="Arial" w:hAnsi="Arial"/>
          <w:sz w:val="7"/>
          <w:szCs w:val="7"/>
          <w:color w:val="FFFFFF"/>
        </w:rPr>
        <w:t>ofwritten put option (including a cash settled option or similar provision) on an asset</w:t>
      </w:r>
      <w:r>
        <w:rPr>
          <w:sz w:val="20"/>
          <w:szCs w:val="20"/>
          <w:color w:val="auto"/>
        </w:rPr>
        <w:tab/>
      </w:r>
      <w:r>
        <w:rPr>
          <w:rFonts w:ascii="Arial" w:cs="Arial" w:eastAsia="Arial" w:hAnsi="Arial"/>
          <w:sz w:val="9"/>
          <w:szCs w:val="9"/>
          <w:color w:val="FFFFFF"/>
        </w:rPr>
        <w:t>at fair value, the</w:t>
      </w:r>
    </w:p>
    <w:p>
      <w:pPr>
        <w:spacing w:after="0"/>
        <w:tabs>
          <w:tab w:leader="none" w:pos="5560" w:val="left"/>
        </w:tabs>
        <w:rPr>
          <w:sz w:val="20"/>
          <w:szCs w:val="20"/>
          <w:color w:val="auto"/>
        </w:rPr>
      </w:pPr>
      <w:r>
        <w:rPr>
          <w:rFonts w:ascii="Arial" w:cs="Arial" w:eastAsia="Arial" w:hAnsi="Arial"/>
          <w:sz w:val="3"/>
          <w:szCs w:val="3"/>
          <w:color w:val="FFFFFF"/>
        </w:rPr>
        <w:t>Financialextentof theliabilitiesGroup’s continuing involvement is limited to the lower of the fair value of the</w:t>
      </w:r>
      <w:r>
        <w:rPr>
          <w:sz w:val="20"/>
          <w:szCs w:val="20"/>
          <w:color w:val="auto"/>
        </w:rPr>
        <w:tab/>
      </w:r>
      <w:r>
        <w:rPr>
          <w:rFonts w:ascii="Arial" w:cs="Arial" w:eastAsia="Arial" w:hAnsi="Arial"/>
          <w:sz w:val="3"/>
          <w:szCs w:val="3"/>
          <w:color w:val="FFFFFF"/>
        </w:rPr>
        <w:t>asset and the option exercise price.</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A fi nancial liability is derecognized when the obligation under the liability is discharged or cancelled, or expires. When an existing fi nancial liability is replaced by another from the same lender on substantially </w:t>
      </w:r>
      <w:r>
        <w:rPr>
          <w:rFonts w:ascii="Arial" w:cs="Arial" w:eastAsia="Arial" w:hAnsi="Arial"/>
          <w:sz w:val="7"/>
          <w:szCs w:val="7"/>
          <w:color w:val="FFFFFF"/>
          <w:vertAlign w:val="subscript"/>
        </w:rPr>
        <w:t>difference</w:t>
      </w:r>
      <w:r>
        <w:rPr>
          <w:rFonts w:ascii="Arial" w:cs="Arial" w:eastAsia="Arial" w:hAnsi="Arial"/>
          <w:sz w:val="6"/>
          <w:szCs w:val="6"/>
          <w:color w:val="FFFFFF"/>
        </w:rPr>
        <w:t>tterms, or the terms of an existing liability are substantially modifi ed, such an exchange or modifi cation is treated as a derecognition of the original liability and the recognition of a new liability, and the</w:t>
      </w:r>
    </w:p>
    <w:p>
      <w:pPr>
        <w:ind w:left="580"/>
        <w:spacing w:after="0"/>
        <w:rPr>
          <w:sz w:val="20"/>
          <w:szCs w:val="20"/>
          <w:color w:val="auto"/>
        </w:rPr>
      </w:pPr>
      <w:r>
        <w:rPr>
          <w:rFonts w:ascii="Arial" w:cs="Arial" w:eastAsia="Arial" w:hAnsi="Arial"/>
          <w:sz w:val="14"/>
          <w:szCs w:val="14"/>
          <w:color w:val="FFFFFF"/>
        </w:rPr>
        <w:t>in the respective carrying amounts is recognized in the statement of comprehensive income.</w:t>
      </w:r>
    </w:p>
    <w:p>
      <w:pPr>
        <w:sectPr>
          <w:pgSz w:w="11900" w:h="16838" w:orient="portrait"/>
          <w:cols w:equalWidth="0" w:num="1">
            <w:col w:w="11400"/>
          </w:cols>
          <w:pgMar w:left="240" w:top="1440" w:right="25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spacing w:after="0"/>
              <w:rPr>
                <w:sz w:val="20"/>
                <w:szCs w:val="20"/>
                <w:color w:val="auto"/>
              </w:rPr>
            </w:pPr>
            <w:r>
              <w:rPr>
                <w:rFonts w:ascii="Arial" w:cs="Arial" w:eastAsia="Arial" w:hAnsi="Arial"/>
                <w:sz w:val="14"/>
                <w:szCs w:val="14"/>
                <w:color w:val="FFFFFF"/>
              </w:rPr>
              <w:t>Annual Report 2011 91</w:t>
            </w:r>
          </w:p>
        </w:tc>
        <w:tc>
          <w:tcPr>
            <w:tcW w:w="360" w:type="dxa"/>
            <w:vAlign w:val="bottom"/>
          </w:tcPr>
          <w:p>
            <w:pPr>
              <w:spacing w:after="0"/>
              <w:rPr>
                <w:sz w:val="14"/>
                <w:szCs w:val="14"/>
                <w:color w:val="auto"/>
              </w:rPr>
            </w:pPr>
          </w:p>
        </w:tc>
        <w:tc>
          <w:tcPr>
            <w:tcW w:w="9100" w:type="dxa"/>
            <w:vAlign w:val="bottom"/>
          </w:tcPr>
          <w:p>
            <w:pPr>
              <w:spacing w:after="0"/>
              <w:rPr>
                <w:sz w:val="14"/>
                <w:szCs w:val="14"/>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Financial Statements</w:t>
            </w: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100" w:type="dxa"/>
            <w:vAlign w:val="bottom"/>
          </w:tcPr>
          <w:p>
            <w:pPr>
              <w:spacing w:after="0"/>
              <w:rPr>
                <w:sz w:val="3"/>
                <w:szCs w:val="3"/>
                <w:color w:val="auto"/>
              </w:rPr>
            </w:pP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360" w:type="dxa"/>
            <w:vAlign w:val="bottom"/>
          </w:tcPr>
          <w:p>
            <w:pPr>
              <w:spacing w:after="0"/>
              <w:rPr>
                <w:sz w:val="3"/>
                <w:szCs w:val="3"/>
                <w:color w:val="auto"/>
              </w:rPr>
            </w:pPr>
          </w:p>
        </w:tc>
        <w:tc>
          <w:tcPr>
            <w:tcW w:w="9100" w:type="dxa"/>
            <w:vAlign w:val="bottom"/>
          </w:tcPr>
          <w:p>
            <w:pPr>
              <w:spacing w:after="0"/>
              <w:rPr>
                <w:sz w:val="3"/>
                <w:szCs w:val="3"/>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For the year ended 31 December 2011</w:t>
            </w:r>
          </w:p>
        </w:tc>
        <w:tc>
          <w:tcPr>
            <w:tcW w:w="9100" w:type="dxa"/>
            <w:vAlign w:val="bottom"/>
          </w:tcPr>
          <w:p>
            <w:pPr>
              <w:spacing w:after="0"/>
              <w:rPr>
                <w:sz w:val="3"/>
                <w:szCs w:val="3"/>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2.2 SUMMARY OF SIGNIFICANT ACCOUNTING POLICIES (continued)</w:t>
            </w:r>
          </w:p>
        </w:tc>
      </w:tr>
      <w:tr>
        <w:trPr>
          <w:trHeight w:val="81"/>
        </w:trPr>
        <w:tc>
          <w:tcPr>
            <w:tcW w:w="11300" w:type="dxa"/>
            <w:vAlign w:val="bottom"/>
            <w:gridSpan w:val="4"/>
          </w:tcPr>
          <w:p>
            <w:pPr>
              <w:spacing w:after="0" w:line="81" w:lineRule="exact"/>
              <w:rPr>
                <w:sz w:val="20"/>
                <w:szCs w:val="20"/>
                <w:color w:val="auto"/>
              </w:rPr>
            </w:pPr>
            <w:r>
              <w:rPr>
                <w:rFonts w:ascii="Arial" w:cs="Arial" w:eastAsia="Arial" w:hAnsi="Arial"/>
                <w:sz w:val="9"/>
                <w:szCs w:val="9"/>
                <w:color w:val="FFFFFF"/>
              </w:rPr>
              <w:t>Provisions are recognized when the Group has a present obligation (legal or constructive) as a result of a past event, it is probable that an outfl ow of resources embodying economic benefi ts will be required to</w:t>
            </w: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settle the obligation and a</w:t>
            </w:r>
          </w:p>
        </w:tc>
        <w:tc>
          <w:tcPr>
            <w:tcW w:w="9460" w:type="dxa"/>
            <w:vAlign w:val="bottom"/>
            <w:gridSpan w:val="2"/>
          </w:tcPr>
          <w:p>
            <w:pPr>
              <w:ind w:left="20"/>
              <w:spacing w:after="0"/>
              <w:rPr>
                <w:sz w:val="20"/>
                <w:szCs w:val="20"/>
                <w:color w:val="auto"/>
              </w:rPr>
            </w:pPr>
            <w:r>
              <w:rPr>
                <w:rFonts w:ascii="Arial" w:cs="Arial" w:eastAsia="Arial" w:hAnsi="Arial"/>
                <w:sz w:val="3"/>
                <w:szCs w:val="3"/>
                <w:color w:val="FFFFFF"/>
              </w:rPr>
              <w:t>estimate can be made of the amount of the obligation. Where the Group expects some or all of a provision to be reimbursed, for example under an insurance contract, the</w:t>
            </w: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reimbursement is recognizedreliableas</w:t>
            </w:r>
          </w:p>
        </w:tc>
        <w:tc>
          <w:tcPr>
            <w:tcW w:w="9460" w:type="dxa"/>
            <w:vAlign w:val="bottom"/>
            <w:gridSpan w:val="2"/>
          </w:tcPr>
          <w:p>
            <w:pPr>
              <w:spacing w:after="0"/>
              <w:rPr>
                <w:sz w:val="20"/>
                <w:szCs w:val="20"/>
                <w:color w:val="auto"/>
              </w:rPr>
            </w:pPr>
            <w:r>
              <w:rPr>
                <w:rFonts w:ascii="Arial" w:cs="Arial" w:eastAsia="Arial" w:hAnsi="Arial"/>
                <w:sz w:val="3"/>
                <w:szCs w:val="3"/>
                <w:color w:val="FFFFFF"/>
              </w:rPr>
              <w:t>separate asset but only when the reimbursement  virtually certain. The expense relating to any provision is presented in the consolidated statement of comprehensive income</w:t>
            </w: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net of any reimbursement. If the effect of the time value of money is material, provisions are discounted using a current pre-tax rate that refl ects, where appropriate, the risks specifi c to the liability. Where</w:t>
            </w: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discounting is used, the increase in the provision due to the passage of time is recognized as a fi nance cost.</w:t>
            </w: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Pensions and other post employment benefi ts</w:t>
            </w: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The Group operates a defi ned contribution retirement benefi t scheme (the “Scheme”). The Scheme allows eligible employees to contribute 5% of their salary to the Scheme and the Group matches the</w:t>
            </w: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contributions with an equal amount. The assets of the Scheme are held separately from those of the Group in an independently administered fund. The Group’s matching contributions vest to the employees at</w:t>
            </w: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10% per y ar with full vesting in ten years. Forfeitures of unvested contributions are used to reduce the Group’s liability for its contributions payable under the Scheme. The contributions are charged to the</w:t>
            </w: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consolidated</w:t>
            </w:r>
          </w:p>
        </w:tc>
        <w:tc>
          <w:tcPr>
            <w:tcW w:w="10120" w:type="dxa"/>
            <w:vAlign w:val="bottom"/>
            <w:gridSpan w:val="3"/>
          </w:tcPr>
          <w:p>
            <w:pPr>
              <w:ind w:left="100"/>
              <w:spacing w:after="0"/>
              <w:rPr>
                <w:sz w:val="20"/>
                <w:szCs w:val="20"/>
                <w:color w:val="auto"/>
              </w:rPr>
            </w:pPr>
            <w:r>
              <w:rPr>
                <w:rFonts w:ascii="Arial" w:cs="Arial" w:eastAsia="Arial" w:hAnsi="Arial"/>
                <w:sz w:val="3"/>
                <w:szCs w:val="3"/>
                <w:color w:val="FFFFFF"/>
              </w:rPr>
              <w:t>of comprehensive income as they become payable in accordance with the rules of the Scheme.</w:t>
            </w: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Share-based paymestatementtra sactions</w:t>
            </w:r>
          </w:p>
        </w:tc>
        <w:tc>
          <w:tcPr>
            <w:tcW w:w="9100" w:type="dxa"/>
            <w:vAlign w:val="bottom"/>
          </w:tcPr>
          <w:p>
            <w:pPr>
              <w:spacing w:after="0"/>
              <w:rPr>
                <w:sz w:val="3"/>
                <w:szCs w:val="3"/>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Employees</w:t>
            </w:r>
          </w:p>
        </w:tc>
        <w:tc>
          <w:tcPr>
            <w:tcW w:w="10120" w:type="dxa"/>
            <w:vAlign w:val="bottom"/>
            <w:gridSpan w:val="3"/>
          </w:tcPr>
          <w:p>
            <w:pPr>
              <w:ind w:left="60"/>
              <w:spacing w:after="0"/>
              <w:rPr>
                <w:sz w:val="20"/>
                <w:szCs w:val="20"/>
                <w:color w:val="auto"/>
              </w:rPr>
            </w:pPr>
            <w:r>
              <w:rPr>
                <w:rFonts w:ascii="Arial" w:cs="Arial" w:eastAsia="Arial" w:hAnsi="Arial"/>
                <w:sz w:val="3"/>
                <w:szCs w:val="3"/>
                <w:color w:val="FFFFFF"/>
              </w:rPr>
              <w:t>senior executives and directors) of the Group receive remuneration in the form of share-based payment transactions, whereby employees render services as consideration for equity</w:t>
            </w:r>
          </w:p>
        </w:tc>
      </w:tr>
      <w:tr>
        <w:trPr>
          <w:trHeight w:val="0"/>
        </w:trPr>
        <w:tc>
          <w:tcPr>
            <w:tcW w:w="2200" w:type="dxa"/>
            <w:vAlign w:val="bottom"/>
            <w:gridSpan w:val="3"/>
          </w:tcPr>
          <w:p>
            <w:pPr>
              <w:spacing w:after="0" w:line="80" w:lineRule="exact"/>
              <w:rPr>
                <w:sz w:val="20"/>
                <w:szCs w:val="20"/>
                <w:color w:val="auto"/>
              </w:rPr>
            </w:pPr>
            <w:r>
              <w:rPr>
                <w:rFonts w:ascii="Arial" w:cs="Arial" w:eastAsia="Arial" w:hAnsi="Arial"/>
                <w:sz w:val="9"/>
                <w:szCs w:val="9"/>
                <w:color w:val="FFFFFF"/>
              </w:rPr>
              <w:t>instruments(includingtheform of common</w:t>
            </w:r>
          </w:p>
        </w:tc>
        <w:tc>
          <w:tcPr>
            <w:tcW w:w="9100" w:type="dxa"/>
            <w:vAlign w:val="bottom"/>
          </w:tcPr>
          <w:p>
            <w:pPr>
              <w:ind w:left="140"/>
              <w:spacing w:after="0" w:line="80" w:lineRule="exact"/>
              <w:rPr>
                <w:sz w:val="20"/>
                <w:szCs w:val="20"/>
                <w:color w:val="auto"/>
              </w:rPr>
            </w:pPr>
            <w:r>
              <w:rPr>
                <w:rFonts w:ascii="Arial" w:cs="Arial" w:eastAsia="Arial" w:hAnsi="Arial"/>
                <w:sz w:val="9"/>
                <w:szCs w:val="9"/>
                <w:color w:val="FFFFFF"/>
              </w:rPr>
              <w:t>of the ultimate parent company, Wynn Resorts, Limited, or beginning in September 2009, the Company.</w:t>
            </w:r>
          </w:p>
        </w:tc>
      </w:tr>
    </w:tbl>
    <w:p>
      <w:pPr>
        <w:spacing w:after="0" w:line="187" w:lineRule="auto"/>
        <w:rPr>
          <w:sz w:val="20"/>
          <w:szCs w:val="20"/>
          <w:color w:val="auto"/>
        </w:rPr>
      </w:pPr>
      <w:r>
        <w:rPr>
          <w:rFonts w:ascii="Arial" w:cs="Arial" w:eastAsia="Arial" w:hAnsi="Arial"/>
          <w:sz w:val="9"/>
          <w:szCs w:val="9"/>
          <w:color w:val="FFFFFF"/>
        </w:rPr>
        <w:t>In situations where equity instrumentsshares issued and some or all of the goods or services received by the entity as consideration cannot be specifi cally identifi ed, they are measured as the difference between the fair value of the share-based payment transaction and the fair value of any identifi able goods or services received at the grant date. This is then capitalized or expensed as appropriate.</w:t>
      </w:r>
    </w:p>
    <w:p>
      <w:pPr>
        <w:sectPr>
          <w:pgSz w:w="11900" w:h="16838" w:orient="portrait"/>
          <w:cols w:equalWidth="0" w:num="1">
            <w:col w:w="11420"/>
          </w:cols>
          <w:pgMar w:left="240" w:top="1440" w:right="23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color w:val="FFFFFF"/>
              </w:rPr>
              <w:t>92 Wynn Macau, Limited</w:t>
            </w:r>
          </w:p>
        </w:tc>
        <w:tc>
          <w:tcPr>
            <w:tcW w:w="1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Financial Statements</w:t>
            </w:r>
          </w:p>
        </w:tc>
        <w:tc>
          <w:tcPr>
            <w:tcW w:w="15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5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336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c>
          <w:tcPr>
            <w:tcW w:w="18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Share-based payment</w:t>
            </w:r>
          </w:p>
        </w:tc>
        <w:tc>
          <w:tcPr>
            <w:tcW w:w="1500" w:type="dxa"/>
            <w:vAlign w:val="bottom"/>
          </w:tcPr>
          <w:p>
            <w:pPr>
              <w:ind w:left="20"/>
              <w:spacing w:after="0"/>
              <w:rPr>
                <w:sz w:val="20"/>
                <w:szCs w:val="20"/>
                <w:color w:val="auto"/>
              </w:rPr>
            </w:pPr>
            <w:r>
              <w:rPr>
                <w:rFonts w:ascii="Arial" w:cs="Arial" w:eastAsia="Arial" w:hAnsi="Arial"/>
                <w:sz w:val="3"/>
                <w:szCs w:val="3"/>
                <w:color w:val="FFFFFF"/>
              </w:rPr>
              <w:t>(continued)</w:t>
            </w:r>
          </w:p>
        </w:tc>
        <w:tc>
          <w:tcPr>
            <w:tcW w:w="18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1860" w:type="dxa"/>
            <w:vAlign w:val="bottom"/>
          </w:tcPr>
          <w:p>
            <w:pPr>
              <w:spacing w:after="0"/>
              <w:rPr>
                <w:sz w:val="20"/>
                <w:szCs w:val="20"/>
                <w:color w:val="auto"/>
              </w:rPr>
            </w:pPr>
            <w:r>
              <w:rPr>
                <w:rFonts w:ascii="Arial" w:cs="Arial" w:eastAsia="Arial" w:hAnsi="Arial"/>
                <w:sz w:val="3"/>
                <w:szCs w:val="3"/>
                <w:color w:val="FFFFFF"/>
              </w:rPr>
              <w:t>Equity-settled transac transactions</w:t>
            </w:r>
          </w:p>
        </w:tc>
        <w:tc>
          <w:tcPr>
            <w:tcW w:w="15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cost of equity-settled transactions with employees, for awards granted after 7 November 2002, is measured by reference to the fair value at the date on which they are granted. The fair value is determined by</w:t>
            </w: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using an appropriate pricing model, further details of which are given   note 23.</w:t>
            </w: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3360" w:type="dxa"/>
            <w:vAlign w:val="bottom"/>
            <w:gridSpan w:val="2"/>
          </w:tcPr>
          <w:p>
            <w:pPr>
              <w:spacing w:after="0"/>
              <w:rPr>
                <w:sz w:val="20"/>
                <w:szCs w:val="20"/>
                <w:color w:val="auto"/>
              </w:rPr>
            </w:pPr>
            <w:r>
              <w:rPr>
                <w:rFonts w:ascii="Arial" w:cs="Arial" w:eastAsia="Arial" w:hAnsi="Arial"/>
                <w:sz w:val="3"/>
                <w:szCs w:val="3"/>
                <w:color w:val="FFFFFF"/>
              </w:rPr>
              <w:t>The cost of equity-settled transactions is recognized,</w:t>
            </w:r>
          </w:p>
        </w:tc>
        <w:tc>
          <w:tcPr>
            <w:tcW w:w="8040" w:type="dxa"/>
            <w:vAlign w:val="bottom"/>
            <w:gridSpan w:val="3"/>
          </w:tcPr>
          <w:p>
            <w:pPr>
              <w:spacing w:after="0"/>
              <w:rPr>
                <w:sz w:val="20"/>
                <w:szCs w:val="20"/>
                <w:color w:val="auto"/>
              </w:rPr>
            </w:pPr>
            <w:r>
              <w:rPr>
                <w:rFonts w:ascii="Arial" w:cs="Arial" w:eastAsia="Arial" w:hAnsi="Arial"/>
                <w:sz w:val="3"/>
                <w:szCs w:val="3"/>
                <w:color w:val="FFFFFF"/>
              </w:rPr>
              <w:t>with a corresponding increase in equity, over the period in which the performance and/or service conditions are fulfi lled, ending on the date on</w:t>
            </w:r>
          </w:p>
        </w:tc>
      </w:tr>
      <w:tr>
        <w:trPr>
          <w:trHeight w:val="41"/>
        </w:trPr>
        <w:tc>
          <w:tcPr>
            <w:tcW w:w="9320" w:type="dxa"/>
            <w:vAlign w:val="bottom"/>
            <w:gridSpan w:val="4"/>
          </w:tcPr>
          <w:p>
            <w:pPr>
              <w:spacing w:after="0"/>
              <w:rPr>
                <w:sz w:val="20"/>
                <w:szCs w:val="20"/>
                <w:color w:val="auto"/>
              </w:rPr>
            </w:pPr>
            <w:r>
              <w:rPr>
                <w:rFonts w:ascii="Arial" w:cs="Arial" w:eastAsia="Arial" w:hAnsi="Arial"/>
                <w:sz w:val="3"/>
                <w:szCs w:val="3"/>
                <w:color w:val="FFFFFF"/>
              </w:rPr>
              <w:t>which he relevant employees become fully entitled totogetheraward (the “vesting date”). The cumulative expense recognized for equity-settled transactions at each reporting</w:t>
            </w:r>
          </w:p>
        </w:tc>
        <w:tc>
          <w:tcPr>
            <w:tcW w:w="2080" w:type="dxa"/>
            <w:vAlign w:val="bottom"/>
          </w:tcPr>
          <w:p>
            <w:pPr>
              <w:ind w:left="160"/>
              <w:spacing w:after="0"/>
              <w:rPr>
                <w:sz w:val="20"/>
                <w:szCs w:val="20"/>
                <w:color w:val="auto"/>
              </w:rPr>
            </w:pPr>
            <w:r>
              <w:rPr>
                <w:rFonts w:ascii="Arial" w:cs="Arial" w:eastAsia="Arial" w:hAnsi="Arial"/>
                <w:sz w:val="3"/>
                <w:szCs w:val="3"/>
                <w:color w:val="FFFFFF"/>
              </w:rPr>
              <w:t>until the vesting date refl ects the</w:t>
            </w:r>
          </w:p>
        </w:tc>
      </w:tr>
      <w:tr>
        <w:trPr>
          <w:trHeight w:val="41"/>
        </w:trPr>
        <w:tc>
          <w:tcPr>
            <w:tcW w:w="3360" w:type="dxa"/>
            <w:vAlign w:val="bottom"/>
            <w:gridSpan w:val="2"/>
          </w:tcPr>
          <w:p>
            <w:pPr>
              <w:spacing w:after="0"/>
              <w:rPr>
                <w:sz w:val="20"/>
                <w:szCs w:val="20"/>
                <w:color w:val="auto"/>
              </w:rPr>
            </w:pPr>
            <w:r>
              <w:rPr>
                <w:rFonts w:ascii="Arial" w:cs="Arial" w:eastAsia="Arial" w:hAnsi="Arial"/>
                <w:sz w:val="3"/>
                <w:szCs w:val="3"/>
                <w:color w:val="FFFFFF"/>
              </w:rPr>
              <w:t>extent to which the vesting period has expired and the Group’</w:t>
            </w:r>
          </w:p>
        </w:tc>
        <w:tc>
          <w:tcPr>
            <w:tcW w:w="8040" w:type="dxa"/>
            <w:vAlign w:val="bottom"/>
            <w:gridSpan w:val="3"/>
          </w:tcPr>
          <w:p>
            <w:pPr>
              <w:ind w:left="60"/>
              <w:spacing w:after="0"/>
              <w:rPr>
                <w:sz w:val="20"/>
                <w:szCs w:val="20"/>
                <w:color w:val="auto"/>
              </w:rPr>
            </w:pPr>
            <w:r>
              <w:rPr>
                <w:rFonts w:ascii="Arial" w:cs="Arial" w:eastAsia="Arial" w:hAnsi="Arial"/>
                <w:sz w:val="3"/>
                <w:szCs w:val="3"/>
                <w:color w:val="FFFFFF"/>
              </w:rPr>
              <w:t>best estimate of the number of equity instruments that will ultimately vest. The charge or credit to the consolidated statement of comprehensive</w:t>
            </w:r>
          </w:p>
        </w:tc>
      </w:tr>
      <w:tr>
        <w:trPr>
          <w:trHeight w:val="41"/>
        </w:trPr>
        <w:tc>
          <w:tcPr>
            <w:tcW w:w="9320" w:type="dxa"/>
            <w:vAlign w:val="bottom"/>
            <w:gridSpan w:val="4"/>
          </w:tcPr>
          <w:p>
            <w:pPr>
              <w:spacing w:after="0"/>
              <w:rPr>
                <w:sz w:val="20"/>
                <w:szCs w:val="20"/>
                <w:color w:val="auto"/>
              </w:rPr>
            </w:pPr>
            <w:r>
              <w:rPr>
                <w:rFonts w:ascii="Arial" w:cs="Arial" w:eastAsia="Arial" w:hAnsi="Arial"/>
                <w:sz w:val="3"/>
                <w:szCs w:val="3"/>
                <w:color w:val="FFFFFF"/>
              </w:rPr>
              <w:t>income for a period represents the movement in cumulative expense recognized as of the beginning and end of that period and is recognized in staff costs.</w:t>
            </w:r>
          </w:p>
        </w:tc>
        <w:tc>
          <w:tcPr>
            <w:tcW w:w="208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No expense is recognized for awards that do not ultimately vest, except for equity-settled transactions where vesting is conditional upon a market condition, which are treated as vesting irrespective of whether or</w:t>
            </w:r>
          </w:p>
        </w:tc>
      </w:tr>
      <w:tr>
        <w:trPr>
          <w:trHeight w:val="41"/>
        </w:trPr>
        <w:tc>
          <w:tcPr>
            <w:tcW w:w="9320" w:type="dxa"/>
            <w:vAlign w:val="bottom"/>
            <w:gridSpan w:val="4"/>
          </w:tcPr>
          <w:p>
            <w:pPr>
              <w:spacing w:after="0"/>
              <w:rPr>
                <w:sz w:val="20"/>
                <w:szCs w:val="20"/>
                <w:color w:val="auto"/>
              </w:rPr>
            </w:pPr>
            <w:r>
              <w:rPr>
                <w:rFonts w:ascii="Arial" w:cs="Arial" w:eastAsia="Arial" w:hAnsi="Arial"/>
                <w:sz w:val="3"/>
                <w:szCs w:val="3"/>
                <w:color w:val="FFFFFF"/>
              </w:rPr>
              <w:t>not the market or non-vesting condition is satisfi ed, provided that all other performance and/or service conditions are satisfi ed.</w:t>
            </w:r>
          </w:p>
        </w:tc>
        <w:tc>
          <w:tcPr>
            <w:tcW w:w="208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Where the terms of an equity-settled award are modifi ed, the minimum expense recognized is the expense as if the terms had not been modifi ed, if the original terms of the award are met. An additional expense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is recognized for any modifi cation that increases the total fair value of the share-based payment transactions, or is otherwise benefi cial to the employee as measured   the date of modifi cation.</w:t>
            </w:r>
          </w:p>
        </w:tc>
      </w:tr>
      <w:tr>
        <w:trPr>
          <w:trHeight w:val="0"/>
        </w:trPr>
        <w:tc>
          <w:tcPr>
            <w:tcW w:w="5240" w:type="dxa"/>
            <w:vAlign w:val="bottom"/>
            <w:gridSpan w:val="3"/>
          </w:tcPr>
          <w:p>
            <w:pPr>
              <w:spacing w:after="0" w:line="121" w:lineRule="exact"/>
              <w:rPr>
                <w:sz w:val="20"/>
                <w:szCs w:val="20"/>
                <w:color w:val="auto"/>
              </w:rPr>
            </w:pPr>
            <w:r>
              <w:rPr>
                <w:rFonts w:ascii="Arial" w:cs="Arial" w:eastAsia="Arial" w:hAnsi="Arial"/>
                <w:sz w:val="12"/>
                <w:szCs w:val="12"/>
                <w:color w:val="FFFFFF"/>
              </w:rPr>
              <w:t>Where an equity-settled award is cancelled, it is treated as if it had vested on the date of</w:t>
            </w:r>
          </w:p>
        </w:tc>
        <w:tc>
          <w:tcPr>
            <w:tcW w:w="4080" w:type="dxa"/>
            <w:vAlign w:val="bottom"/>
          </w:tcPr>
          <w:p>
            <w:pPr>
              <w:ind w:left="500"/>
              <w:spacing w:after="0" w:line="121" w:lineRule="exact"/>
              <w:rPr>
                <w:sz w:val="20"/>
                <w:szCs w:val="20"/>
                <w:color w:val="auto"/>
              </w:rPr>
            </w:pPr>
            <w:r>
              <w:rPr>
                <w:rFonts w:ascii="Arial" w:cs="Arial" w:eastAsia="Arial" w:hAnsi="Arial"/>
                <w:sz w:val="12"/>
                <w:szCs w:val="12"/>
                <w:color w:val="FFFFFF"/>
              </w:rPr>
              <w:t>any expense not yet recognized for the award is recognized</w:t>
            </w:r>
          </w:p>
        </w:tc>
        <w:tc>
          <w:tcPr>
            <w:tcW w:w="2080" w:type="dxa"/>
            <w:vAlign w:val="bottom"/>
          </w:tcPr>
          <w:p>
            <w:pPr>
              <w:ind w:left="300"/>
              <w:spacing w:after="0" w:line="121" w:lineRule="exact"/>
              <w:rPr>
                <w:sz w:val="20"/>
                <w:szCs w:val="20"/>
                <w:color w:val="auto"/>
              </w:rPr>
            </w:pPr>
            <w:r>
              <w:rPr>
                <w:rFonts w:ascii="Arial" w:cs="Arial" w:eastAsia="Arial" w:hAnsi="Arial"/>
                <w:sz w:val="12"/>
                <w:szCs w:val="12"/>
                <w:color w:val="FFFFFF"/>
              </w:rPr>
              <w:t>. This includes any award where</w:t>
            </w:r>
          </w:p>
        </w:tc>
      </w:tr>
    </w:tbl>
    <w:p>
      <w:pPr>
        <w:spacing w:after="0" w:line="191" w:lineRule="auto"/>
        <w:rPr>
          <w:sz w:val="20"/>
          <w:szCs w:val="20"/>
          <w:color w:val="auto"/>
        </w:rPr>
      </w:pPr>
      <w:r>
        <w:rPr>
          <w:rFonts w:ascii="Arial" w:cs="Arial" w:eastAsia="Arial" w:hAnsi="Arial"/>
          <w:sz w:val="11"/>
          <w:szCs w:val="11"/>
          <w:color w:val="FFFFFF"/>
        </w:rPr>
        <w:t>non-vesting conditions within the control of either the entity or the employee are not met.cancellation,Howeverifandnew award is substituted for the cancelled award, and designatedimmediatelyasreplacement award on the date that it is granted, the cancelled and new awards are treated as if they were a modifi cation of the original award, as described in the previous paragraph. All cancellations of equity-settled transaction awards are treated equally.</w:t>
      </w:r>
    </w:p>
    <w:p>
      <w:pPr>
        <w:sectPr>
          <w:pgSz w:w="11900" w:h="16838" w:orient="portrait"/>
          <w:cols w:equalWidth="0" w:num="1">
            <w:col w:w="11420"/>
          </w:cols>
          <w:pgMar w:left="240" w:top="1440" w:right="23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color w:val="FFFFFF"/>
              </w:rPr>
              <w:t>Annual Report 2011 93</w:t>
            </w:r>
          </w:p>
        </w:tc>
        <w:tc>
          <w:tcPr>
            <w:tcW w:w="24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480" w:type="dxa"/>
            <w:vAlign w:val="bottom"/>
          </w:tcPr>
          <w:p>
            <w:pPr>
              <w:spacing w:after="0"/>
              <w:rPr>
                <w:sz w:val="3"/>
                <w:szCs w:val="3"/>
                <w:color w:val="auto"/>
              </w:rPr>
            </w:pPr>
          </w:p>
        </w:tc>
        <w:tc>
          <w:tcPr>
            <w:tcW w:w="4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480" w:type="dxa"/>
            <w:vAlign w:val="bottom"/>
          </w:tcPr>
          <w:p>
            <w:pPr>
              <w:spacing w:after="0"/>
              <w:rPr>
                <w:sz w:val="3"/>
                <w:szCs w:val="3"/>
                <w:color w:val="auto"/>
              </w:rPr>
            </w:pPr>
          </w:p>
        </w:tc>
        <w:tc>
          <w:tcPr>
            <w:tcW w:w="4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c>
          <w:tcPr>
            <w:tcW w:w="2480" w:type="dxa"/>
            <w:vAlign w:val="bottom"/>
          </w:tcPr>
          <w:p>
            <w:pPr>
              <w:spacing w:after="0"/>
              <w:rPr>
                <w:sz w:val="3"/>
                <w:szCs w:val="3"/>
                <w:color w:val="auto"/>
              </w:rPr>
            </w:pPr>
          </w:p>
        </w:tc>
        <w:tc>
          <w:tcPr>
            <w:tcW w:w="4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0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4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Share-based payment transa tions (continued)</w:t>
            </w:r>
          </w:p>
        </w:tc>
        <w:tc>
          <w:tcPr>
            <w:tcW w:w="2480" w:type="dxa"/>
            <w:vAlign w:val="bottom"/>
          </w:tcPr>
          <w:p>
            <w:pPr>
              <w:spacing w:after="0"/>
              <w:rPr>
                <w:sz w:val="3"/>
                <w:szCs w:val="3"/>
                <w:color w:val="auto"/>
              </w:rPr>
            </w:pPr>
          </w:p>
        </w:tc>
        <w:tc>
          <w:tcPr>
            <w:tcW w:w="4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Equity-settled transactions (continued)</w:t>
            </w:r>
          </w:p>
        </w:tc>
        <w:tc>
          <w:tcPr>
            <w:tcW w:w="2480" w:type="dxa"/>
            <w:vAlign w:val="bottom"/>
          </w:tcPr>
          <w:p>
            <w:pPr>
              <w:spacing w:after="0"/>
              <w:rPr>
                <w:sz w:val="3"/>
                <w:szCs w:val="3"/>
                <w:color w:val="auto"/>
              </w:rPr>
            </w:pPr>
          </w:p>
        </w:tc>
        <w:tc>
          <w:tcPr>
            <w:tcW w:w="4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060" w:type="dxa"/>
            <w:vAlign w:val="bottom"/>
            <w:gridSpan w:val="4"/>
          </w:tcPr>
          <w:p>
            <w:pPr>
              <w:spacing w:after="0"/>
              <w:rPr>
                <w:sz w:val="20"/>
                <w:szCs w:val="20"/>
                <w:color w:val="auto"/>
              </w:rPr>
            </w:pPr>
            <w:r>
              <w:rPr>
                <w:rFonts w:ascii="Arial" w:cs="Arial" w:eastAsia="Arial" w:hAnsi="Arial"/>
                <w:sz w:val="3"/>
                <w:szCs w:val="3"/>
                <w:color w:val="FFFFFF"/>
              </w:rPr>
              <w:t>The dilutive effect of outstanding options is refl ected as additional share dilution in the computation of diluted earnings per share.</w:t>
            </w: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Leases</w:t>
            </w:r>
          </w:p>
        </w:tc>
        <w:tc>
          <w:tcPr>
            <w:tcW w:w="2020" w:type="dxa"/>
            <w:vAlign w:val="bottom"/>
          </w:tcPr>
          <w:p>
            <w:pPr>
              <w:spacing w:after="0"/>
              <w:rPr>
                <w:sz w:val="3"/>
                <w:szCs w:val="3"/>
                <w:color w:val="auto"/>
              </w:rPr>
            </w:pPr>
          </w:p>
        </w:tc>
        <w:tc>
          <w:tcPr>
            <w:tcW w:w="8900" w:type="dxa"/>
            <w:vAlign w:val="bottom"/>
            <w:gridSpan w:val="4"/>
            <w:vMerge w:val="restart"/>
          </w:tcPr>
          <w:p>
            <w:pPr>
              <w:spacing w:after="0" w:line="81" w:lineRule="exact"/>
              <w:rPr>
                <w:sz w:val="20"/>
                <w:szCs w:val="20"/>
                <w:color w:val="auto"/>
              </w:rPr>
            </w:pPr>
            <w:r>
              <w:rPr>
                <w:rFonts w:ascii="Arial" w:cs="Arial" w:eastAsia="Arial" w:hAnsi="Arial"/>
                <w:sz w:val="9"/>
                <w:szCs w:val="9"/>
                <w:color w:val="FFFFFF"/>
              </w:rPr>
              <w:t>is or contains  lease is based on the substance of the arrangement at its inception and whether the fulfi llment of the arrangement is dependent on the use of a</w:t>
            </w: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The determination of whether</w:t>
            </w:r>
          </w:p>
        </w:tc>
        <w:tc>
          <w:tcPr>
            <w:tcW w:w="8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specifi c</w:t>
            </w:r>
          </w:p>
        </w:tc>
        <w:tc>
          <w:tcPr>
            <w:tcW w:w="4500" w:type="dxa"/>
            <w:vAlign w:val="bottom"/>
            <w:gridSpan w:val="2"/>
          </w:tcPr>
          <w:p>
            <w:pPr>
              <w:ind w:left="300"/>
              <w:spacing w:after="0"/>
              <w:rPr>
                <w:sz w:val="20"/>
                <w:szCs w:val="20"/>
                <w:color w:val="auto"/>
              </w:rPr>
            </w:pPr>
            <w:r>
              <w:rPr>
                <w:rFonts w:ascii="Arial" w:cs="Arial" w:eastAsia="Arial" w:hAnsi="Arial"/>
                <w:sz w:val="3"/>
                <w:szCs w:val="3"/>
                <w:color w:val="FFFFFF"/>
              </w:rPr>
              <w:t>or the arrangementarrangementconveysright to use the asset.</w:t>
            </w:r>
          </w:p>
        </w:tc>
        <w:tc>
          <w:tcPr>
            <w:tcW w:w="4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Group asassetlessee</w:t>
            </w:r>
          </w:p>
        </w:tc>
        <w:tc>
          <w:tcPr>
            <w:tcW w:w="2480" w:type="dxa"/>
            <w:vAlign w:val="bottom"/>
          </w:tcPr>
          <w:p>
            <w:pPr>
              <w:spacing w:after="0"/>
              <w:rPr>
                <w:sz w:val="3"/>
                <w:szCs w:val="3"/>
                <w:color w:val="auto"/>
              </w:rPr>
            </w:pPr>
          </w:p>
        </w:tc>
        <w:tc>
          <w:tcPr>
            <w:tcW w:w="4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Leases where the Group does not transfer substantially all the risks and benefi ts of ownership of the asset are classifi ed as operating leases. Operating lease payments are recognized as an operating expense in</w:t>
            </w:r>
          </w:p>
        </w:tc>
        <w:tc>
          <w:tcPr>
            <w:tcW w:w="0" w:type="dxa"/>
            <w:vAlign w:val="bottom"/>
          </w:tcPr>
          <w:p>
            <w:pPr>
              <w:spacing w:after="0"/>
              <w:rPr>
                <w:sz w:val="1"/>
                <w:szCs w:val="1"/>
                <w:color w:val="auto"/>
              </w:rPr>
            </w:pP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the</w:t>
            </w:r>
          </w:p>
        </w:tc>
        <w:tc>
          <w:tcPr>
            <w:tcW w:w="4500" w:type="dxa"/>
            <w:vAlign w:val="bottom"/>
            <w:gridSpan w:val="2"/>
          </w:tcPr>
          <w:p>
            <w:pPr>
              <w:ind w:left="260"/>
              <w:spacing w:after="0"/>
              <w:rPr>
                <w:sz w:val="20"/>
                <w:szCs w:val="20"/>
                <w:color w:val="auto"/>
              </w:rPr>
            </w:pPr>
            <w:r>
              <w:rPr>
                <w:rFonts w:ascii="Arial" w:cs="Arial" w:eastAsia="Arial" w:hAnsi="Arial"/>
                <w:sz w:val="3"/>
                <w:szCs w:val="3"/>
                <w:color w:val="FFFFFF"/>
              </w:rPr>
              <w:t>of comprehensive income on the straight-line basis over the lease terms.</w:t>
            </w:r>
          </w:p>
        </w:tc>
        <w:tc>
          <w:tcPr>
            <w:tcW w:w="4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Group as</w:t>
            </w:r>
          </w:p>
        </w:tc>
        <w:tc>
          <w:tcPr>
            <w:tcW w:w="2020" w:type="dxa"/>
            <w:vAlign w:val="bottom"/>
          </w:tcPr>
          <w:p>
            <w:pPr>
              <w:ind w:left="120"/>
              <w:spacing w:after="0"/>
              <w:rPr>
                <w:sz w:val="20"/>
                <w:szCs w:val="20"/>
                <w:color w:val="auto"/>
              </w:rPr>
            </w:pPr>
            <w:r>
              <w:rPr>
                <w:rFonts w:ascii="Arial" w:cs="Arial" w:eastAsia="Arial" w:hAnsi="Arial"/>
                <w:sz w:val="3"/>
                <w:szCs w:val="3"/>
                <w:color w:val="FFFFFF"/>
              </w:rPr>
              <w:t>lessor</w:t>
            </w:r>
          </w:p>
        </w:tc>
        <w:tc>
          <w:tcPr>
            <w:tcW w:w="2480" w:type="dxa"/>
            <w:vAlign w:val="bottom"/>
          </w:tcPr>
          <w:p>
            <w:pPr>
              <w:spacing w:after="0"/>
              <w:rPr>
                <w:sz w:val="3"/>
                <w:szCs w:val="3"/>
                <w:color w:val="auto"/>
              </w:rPr>
            </w:pPr>
          </w:p>
        </w:tc>
        <w:tc>
          <w:tcPr>
            <w:tcW w:w="4060" w:type="dxa"/>
            <w:vAlign w:val="bottom"/>
          </w:tcPr>
          <w:p>
            <w:pPr>
              <w:spacing w:after="0"/>
              <w:rPr>
                <w:sz w:val="3"/>
                <w:szCs w:val="3"/>
                <w:color w:val="auto"/>
              </w:rPr>
            </w:pPr>
          </w:p>
        </w:tc>
        <w:tc>
          <w:tcPr>
            <w:tcW w:w="700" w:type="dxa"/>
            <w:vAlign w:val="bottom"/>
            <w:vMerge w:val="restart"/>
          </w:tcPr>
          <w:p>
            <w:pPr>
              <w:ind w:left="260"/>
              <w:spacing w:after="0" w:line="81" w:lineRule="exact"/>
              <w:rPr>
                <w:sz w:val="20"/>
                <w:szCs w:val="20"/>
                <w:color w:val="auto"/>
              </w:rPr>
            </w:pPr>
            <w:r>
              <w:rPr>
                <w:rFonts w:ascii="Arial" w:cs="Arial" w:eastAsia="Arial" w:hAnsi="Arial"/>
                <w:sz w:val="9"/>
                <w:szCs w:val="9"/>
                <w:color w:val="FFFFFF"/>
              </w:rPr>
              <w:t>in</w:t>
            </w:r>
          </w:p>
        </w:tc>
        <w:tc>
          <w:tcPr>
            <w:tcW w:w="1660" w:type="dxa"/>
            <w:vAlign w:val="bottom"/>
            <w:vMerge w:val="restart"/>
          </w:tcPr>
          <w:p>
            <w:pPr>
              <w:ind w:left="340"/>
              <w:spacing w:after="0" w:line="81" w:lineRule="exact"/>
              <w:rPr>
                <w:sz w:val="20"/>
                <w:szCs w:val="20"/>
                <w:color w:val="auto"/>
              </w:rPr>
            </w:pPr>
            <w:r>
              <w:rPr>
                <w:rFonts w:ascii="Arial" w:cs="Arial" w:eastAsia="Arial" w:hAnsi="Arial"/>
                <w:sz w:val="9"/>
                <w:szCs w:val="9"/>
                <w:color w:val="FFFFFF"/>
              </w:rPr>
              <w:t>an operating lease are</w:t>
            </w:r>
          </w:p>
        </w:tc>
        <w:tc>
          <w:tcPr>
            <w:tcW w:w="0" w:type="dxa"/>
            <w:vAlign w:val="bottom"/>
          </w:tcPr>
          <w:p>
            <w:pPr>
              <w:spacing w:after="0"/>
              <w:rPr>
                <w:sz w:val="1"/>
                <w:szCs w:val="1"/>
                <w:color w:val="auto"/>
              </w:rPr>
            </w:pPr>
          </w:p>
        </w:tc>
      </w:tr>
      <w:tr>
        <w:trPr>
          <w:trHeight w:val="41"/>
        </w:trPr>
        <w:tc>
          <w:tcPr>
            <w:tcW w:w="9060" w:type="dxa"/>
            <w:vAlign w:val="bottom"/>
            <w:gridSpan w:val="4"/>
          </w:tcPr>
          <w:p>
            <w:pPr>
              <w:spacing w:after="0"/>
              <w:rPr>
                <w:sz w:val="20"/>
                <w:szCs w:val="20"/>
                <w:color w:val="auto"/>
              </w:rPr>
            </w:pPr>
            <w:r>
              <w:rPr>
                <w:rFonts w:ascii="Arial" w:cs="Arial" w:eastAsia="Arial" w:hAnsi="Arial"/>
                <w:sz w:val="3"/>
                <w:szCs w:val="3"/>
                <w:color w:val="FFFFFF"/>
              </w:rPr>
              <w:t>Whstatementanasset is leased out under an operating lease, the asset is included in the statement of fi nancial position based on the nature of the asset. Initial direct costs</w:t>
            </w:r>
          </w:p>
        </w:tc>
        <w:tc>
          <w:tcPr>
            <w:tcW w:w="70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added to the carrying amount of the leased asset and recognized over the lease term on the same basis as rental income. Contingent rents are recognized as revenue incurredtheperiodnegotiatingwhich they are earned.</w:t>
            </w: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2020" w:type="dxa"/>
            <w:vAlign w:val="bottom"/>
          </w:tcPr>
          <w:p>
            <w:pPr>
              <w:ind w:left="20"/>
              <w:spacing w:after="0"/>
              <w:rPr>
                <w:sz w:val="20"/>
                <w:szCs w:val="20"/>
                <w:color w:val="auto"/>
              </w:rPr>
            </w:pPr>
            <w:r>
              <w:rPr>
                <w:rFonts w:ascii="Arial" w:cs="Arial" w:eastAsia="Arial" w:hAnsi="Arial"/>
                <w:sz w:val="3"/>
                <w:szCs w:val="3"/>
                <w:color w:val="FFFFFF"/>
              </w:rPr>
              <w:t>recognition</w:t>
            </w:r>
          </w:p>
        </w:tc>
        <w:tc>
          <w:tcPr>
            <w:tcW w:w="2480" w:type="dxa"/>
            <w:vAlign w:val="bottom"/>
          </w:tcPr>
          <w:p>
            <w:pPr>
              <w:spacing w:after="0"/>
              <w:rPr>
                <w:sz w:val="3"/>
                <w:szCs w:val="3"/>
                <w:color w:val="auto"/>
              </w:rPr>
            </w:pPr>
          </w:p>
        </w:tc>
        <w:tc>
          <w:tcPr>
            <w:tcW w:w="4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Revenue is recognized to the extent that it is probable the economic benefi ts will fl ow to the Group and the revenue can be reliably measured, regardless of when the payment is being made. Revenue is</w:t>
            </w:r>
          </w:p>
        </w:tc>
        <w:tc>
          <w:tcPr>
            <w:tcW w:w="0" w:type="dxa"/>
            <w:vAlign w:val="bottom"/>
          </w:tcPr>
          <w:p>
            <w:pPr>
              <w:spacing w:after="0"/>
              <w:rPr>
                <w:sz w:val="1"/>
                <w:szCs w:val="1"/>
                <w:color w:val="auto"/>
              </w:rPr>
            </w:pPr>
          </w:p>
        </w:tc>
      </w:tr>
      <w:tr>
        <w:trPr>
          <w:trHeight w:val="41"/>
        </w:trPr>
        <w:tc>
          <w:tcPr>
            <w:tcW w:w="9060" w:type="dxa"/>
            <w:vAlign w:val="bottom"/>
            <w:gridSpan w:val="4"/>
          </w:tcPr>
          <w:p>
            <w:pPr>
              <w:spacing w:after="0"/>
              <w:rPr>
                <w:sz w:val="20"/>
                <w:szCs w:val="20"/>
                <w:color w:val="auto"/>
              </w:rPr>
            </w:pPr>
            <w:r>
              <w:rPr>
                <w:rFonts w:ascii="Arial" w:cs="Arial" w:eastAsia="Arial" w:hAnsi="Arial"/>
                <w:sz w:val="3"/>
                <w:szCs w:val="3"/>
                <w:color w:val="FFFFFF"/>
              </w:rPr>
              <w:t>measured at the fair value of the consideration received or receivable, taking into account contractually defi ned terms of payment and excluding taxes or duties.</w:t>
            </w:r>
          </w:p>
        </w:tc>
        <w:tc>
          <w:tcPr>
            <w:tcW w:w="2360" w:type="dxa"/>
            <w:vAlign w:val="bottom"/>
            <w:gridSpan w:val="2"/>
            <w:vMerge w:val="restart"/>
          </w:tcPr>
          <w:p>
            <w:pPr>
              <w:ind w:left="240"/>
              <w:spacing w:after="0"/>
              <w:rPr>
                <w:sz w:val="20"/>
                <w:szCs w:val="20"/>
                <w:color w:val="auto"/>
              </w:rPr>
            </w:pPr>
            <w:r>
              <w:rPr>
                <w:rFonts w:ascii="Arial" w:cs="Arial" w:eastAsia="Arial" w:hAnsi="Arial"/>
                <w:sz w:val="3"/>
                <w:szCs w:val="3"/>
                <w:color w:val="FFFFFF"/>
              </w:rPr>
              <w:t>play occurs and for chips in customers’</w:t>
            </w:r>
          </w:p>
        </w:tc>
        <w:tc>
          <w:tcPr>
            <w:tcW w:w="0" w:type="dxa"/>
            <w:vAlign w:val="bottom"/>
          </w:tcPr>
          <w:p>
            <w:pPr>
              <w:spacing w:after="0"/>
              <w:rPr>
                <w:sz w:val="1"/>
                <w:szCs w:val="1"/>
                <w:color w:val="auto"/>
              </w:rPr>
            </w:pPr>
          </w:p>
        </w:tc>
      </w:tr>
      <w:tr>
        <w:trPr>
          <w:trHeight w:val="0"/>
        </w:trPr>
        <w:tc>
          <w:tcPr>
            <w:tcW w:w="5000" w:type="dxa"/>
            <w:vAlign w:val="bottom"/>
            <w:gridSpan w:val="3"/>
          </w:tcPr>
          <w:p>
            <w:pPr>
              <w:spacing w:after="0" w:line="80" w:lineRule="exact"/>
              <w:rPr>
                <w:sz w:val="20"/>
                <w:szCs w:val="20"/>
                <w:color w:val="auto"/>
              </w:rPr>
            </w:pPr>
            <w:r>
              <w:rPr>
                <w:rFonts w:ascii="Arial" w:cs="Arial" w:eastAsia="Arial" w:hAnsi="Arial"/>
                <w:sz w:val="9"/>
                <w:szCs w:val="9"/>
                <w:color w:val="FFFFFF"/>
              </w:rPr>
              <w:t>Casino revenues are measured by the aggregate net difference between gaming wins and</w:t>
            </w:r>
          </w:p>
        </w:tc>
        <w:tc>
          <w:tcPr>
            <w:tcW w:w="4060" w:type="dxa"/>
            <w:vAlign w:val="bottom"/>
          </w:tcPr>
          <w:p>
            <w:pPr>
              <w:ind w:left="220"/>
              <w:spacing w:after="0" w:line="80" w:lineRule="exact"/>
              <w:rPr>
                <w:sz w:val="20"/>
                <w:szCs w:val="20"/>
                <w:color w:val="auto"/>
              </w:rPr>
            </w:pPr>
            <w:r>
              <w:rPr>
                <w:rFonts w:ascii="Arial" w:cs="Arial" w:eastAsia="Arial" w:hAnsi="Arial"/>
                <w:sz w:val="9"/>
                <w:szCs w:val="9"/>
                <w:color w:val="FFFFFF"/>
              </w:rPr>
              <w:t>with liabilities recognized for funds deposited by customers before</w:t>
            </w:r>
          </w:p>
        </w:tc>
        <w:tc>
          <w:tcPr>
            <w:tcW w:w="2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possession. Revenues are recognized net of certain sales incentives. Accordingly, the Group’losses,casino revenues are reduced by discounts, commissions and points earnedgamingcustomer loyalty programs.</w:t>
      </w:r>
    </w:p>
    <w:p>
      <w:pPr>
        <w:sectPr>
          <w:pgSz w:w="11900" w:h="16838" w:orient="portrait"/>
          <w:cols w:equalWidth="0" w:num="1">
            <w:col w:w="11420"/>
          </w:cols>
          <w:pgMar w:left="240" w:top="1440" w:right="2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94FinancialWynn Macau,StatementsLimited</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2.For2 SUMMARYtheyearendedOF31SIGNIFICANTDecember2011ACCOUNTING POLICIES (continued)</w:t>
      </w:r>
    </w:p>
    <w:p>
      <w:pPr>
        <w:spacing w:after="0"/>
        <w:rPr>
          <w:sz w:val="20"/>
          <w:szCs w:val="20"/>
          <w:color w:val="auto"/>
        </w:rPr>
      </w:pPr>
      <w:r>
        <w:rPr>
          <w:rFonts w:ascii="Arial" w:cs="Arial" w:eastAsia="Arial" w:hAnsi="Arial"/>
          <w:sz w:val="8"/>
          <w:szCs w:val="8"/>
          <w:color w:val="FFFFFF"/>
        </w:rPr>
        <w:t>Rooms,evenuefoodrecognitionandbeverage,(continued)retail and other operating revenues are recognized when services are performed or the retail goods are sold. Deposits received from customers in advance on rooms or other services are recorded as liabilities until services are provided to the customers.</w:t>
      </w:r>
    </w:p>
    <w:p>
      <w:pPr>
        <w:spacing w:after="0" w:line="30" w:lineRule="exact"/>
        <w:rPr>
          <w:sz w:val="20"/>
          <w:szCs w:val="20"/>
          <w:color w:val="auto"/>
        </w:rPr>
      </w:pPr>
    </w:p>
    <w:p>
      <w:pPr>
        <w:ind w:right="540"/>
        <w:spacing w:after="0"/>
        <w:rPr>
          <w:sz w:val="20"/>
          <w:szCs w:val="20"/>
          <w:color w:val="auto"/>
        </w:rPr>
      </w:pPr>
      <w:r>
        <w:rPr>
          <w:rFonts w:ascii="Arial" w:cs="Arial" w:eastAsia="Arial" w:hAnsi="Arial"/>
          <w:sz w:val="7"/>
          <w:szCs w:val="7"/>
          <w:color w:val="FFFFFF"/>
        </w:rPr>
        <w:t>comprehensiveTheretailvalue income.ofaccommodation,Theamountsfoodofsuchand beverage,promotionalandallowancesotherservicesexcludedfurnishedfromtototalguestsoperatingwithoutrevenuescharge isareexcludedasfollows:from total operating revenues in the accompanying consolidated statement of Group</w:t>
      </w:r>
    </w:p>
    <w:p>
      <w:pPr>
        <w:spacing w:after="0" w:line="189" w:lineRule="auto"/>
        <w:rPr>
          <w:sz w:val="20"/>
          <w:szCs w:val="20"/>
          <w:color w:val="auto"/>
        </w:rPr>
      </w:pPr>
      <w:r>
        <w:rPr>
          <w:rFonts w:ascii="Arial" w:cs="Arial" w:eastAsia="Arial" w:hAnsi="Arial"/>
          <w:sz w:val="9"/>
          <w:szCs w:val="9"/>
          <w:color w:val="FFFFFF"/>
        </w:rPr>
        <w:t>For the year ended</w:t>
      </w:r>
    </w:p>
    <w:p>
      <w:pPr>
        <w:spacing w:after="0" w:line="188" w:lineRule="auto"/>
        <w:rPr>
          <w:sz w:val="20"/>
          <w:szCs w:val="20"/>
          <w:color w:val="auto"/>
        </w:rPr>
      </w:pPr>
      <w:r>
        <w:rPr>
          <w:rFonts w:ascii="Arial" w:cs="Arial" w:eastAsia="Arial" w:hAnsi="Arial"/>
          <w:sz w:val="9"/>
          <w:szCs w:val="9"/>
          <w:color w:val="FFFFFF"/>
        </w:rPr>
        <w:t>201131December2010</w:t>
      </w:r>
    </w:p>
    <w:p>
      <w:pPr>
        <w:spacing w:after="0"/>
        <w:rPr>
          <w:sz w:val="20"/>
          <w:szCs w:val="20"/>
          <w:color w:val="auto"/>
        </w:rPr>
      </w:pPr>
      <w:r>
        <w:rPr>
          <w:rFonts w:ascii="Arial" w:cs="Arial" w:eastAsia="Arial" w:hAnsi="Arial"/>
          <w:sz w:val="3"/>
          <w:szCs w:val="3"/>
          <w:color w:val="FFFFFF"/>
        </w:rPr>
        <w:t>HK$ HK$</w:t>
      </w:r>
    </w:p>
    <w:p>
      <w:pPr>
        <w:spacing w:after="0" w:line="181" w:lineRule="auto"/>
        <w:rPr>
          <w:sz w:val="20"/>
          <w:szCs w:val="20"/>
          <w:color w:val="auto"/>
        </w:rPr>
      </w:pPr>
      <w:r>
        <w:rPr>
          <w:rFonts w:ascii="Arial" w:cs="Arial" w:eastAsia="Arial" w:hAnsi="Arial"/>
          <w:sz w:val="10"/>
          <w:szCs w:val="10"/>
          <w:color w:val="FFFFFF"/>
        </w:rPr>
        <w:t>Rooms(inthousands)778,438 570,021</w:t>
      </w:r>
    </w:p>
    <w:p>
      <w:pPr>
        <w:spacing w:after="0"/>
        <w:rPr>
          <w:sz w:val="20"/>
          <w:szCs w:val="20"/>
          <w:color w:val="auto"/>
        </w:rPr>
      </w:pPr>
      <w:r>
        <w:rPr>
          <w:rFonts w:ascii="Arial" w:cs="Arial" w:eastAsia="Arial" w:hAnsi="Arial"/>
          <w:sz w:val="3"/>
          <w:szCs w:val="3"/>
          <w:color w:val="FFFFFF"/>
        </w:rPr>
        <w:t>Food and beverage 536,053 384,573</w:t>
      </w:r>
    </w:p>
    <w:p>
      <w:pPr>
        <w:spacing w:after="0" w:line="181" w:lineRule="auto"/>
        <w:rPr>
          <w:sz w:val="20"/>
          <w:szCs w:val="20"/>
          <w:color w:val="auto"/>
        </w:rPr>
      </w:pPr>
      <w:r>
        <w:rPr>
          <w:rFonts w:ascii="Arial" w:cs="Arial" w:eastAsia="Arial" w:hAnsi="Arial"/>
          <w:sz w:val="10"/>
          <w:szCs w:val="10"/>
          <w:color w:val="FFFFFF"/>
        </w:rPr>
        <w:t>1,351,977Retailand 976,865other37,486 22,271</w:t>
      </w:r>
    </w:p>
    <w:p>
      <w:pPr>
        <w:spacing w:after="0"/>
        <w:rPr>
          <w:sz w:val="20"/>
          <w:szCs w:val="20"/>
          <w:color w:val="auto"/>
        </w:rPr>
      </w:pPr>
      <w:r>
        <w:rPr>
          <w:rFonts w:ascii="Arial" w:cs="Arial" w:eastAsia="Arial" w:hAnsi="Arial"/>
          <w:sz w:val="3"/>
          <w:szCs w:val="3"/>
          <w:color w:val="FFFFFF"/>
        </w:rPr>
        <w:t>establishedRetailandotheraccordingrevenueto theincludes agreements.rentalincome which is recognized on a time proportion basis over the lease terms. Contingent rental income is recognized when the right to receive such rental income is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Finance revenue is accrued onleasetime basis by reference to the principal outstanding and at the applicable interest rates.</w:t>
      </w:r>
    </w:p>
    <w:p>
      <w:pPr>
        <w:sectPr>
          <w:pgSz w:w="11900" w:h="16838" w:orient="portrait"/>
          <w:cols w:equalWidth="0" w:num="1">
            <w:col w:w="11280"/>
          </w:cols>
          <w:pgMar w:left="240" w:top="1440" w:right="37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color w:val="FFFFFF"/>
              </w:rPr>
              <w:t>Annual Report 2011 95</w:t>
            </w:r>
          </w:p>
        </w:tc>
        <w:tc>
          <w:tcPr>
            <w:tcW w:w="2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Financial Statements</w:t>
            </w:r>
          </w:p>
        </w:tc>
        <w:tc>
          <w:tcPr>
            <w:tcW w:w="5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3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80" w:type="dxa"/>
            <w:vAlign w:val="bottom"/>
            <w:gridSpan w:val="3"/>
          </w:tcPr>
          <w:p>
            <w:pPr>
              <w:spacing w:after="0"/>
              <w:rPr>
                <w:sz w:val="20"/>
                <w:szCs w:val="20"/>
                <w:color w:val="auto"/>
              </w:rPr>
            </w:pPr>
            <w:r>
              <w:rPr>
                <w:rFonts w:ascii="Arial" w:cs="Arial" w:eastAsia="Arial" w:hAnsi="Arial"/>
                <w:sz w:val="3"/>
                <w:szCs w:val="3"/>
                <w:color w:val="FFFFFF"/>
              </w:rPr>
              <w:t>For the year ended 31 December 2011</w:t>
            </w:r>
          </w:p>
        </w:tc>
        <w:tc>
          <w:tcPr>
            <w:tcW w:w="374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20" w:type="dxa"/>
            <w:vAlign w:val="bottom"/>
            <w:gridSpan w:val="4"/>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Taxes</w:t>
            </w:r>
          </w:p>
        </w:tc>
        <w:tc>
          <w:tcPr>
            <w:tcW w:w="5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400" w:type="dxa"/>
            <w:vAlign w:val="bottom"/>
            <w:gridSpan w:val="5"/>
          </w:tcPr>
          <w:p>
            <w:pPr>
              <w:spacing w:after="0" w:line="81" w:lineRule="exact"/>
              <w:rPr>
                <w:sz w:val="20"/>
                <w:szCs w:val="20"/>
                <w:color w:val="auto"/>
              </w:rPr>
            </w:pPr>
            <w:r>
              <w:rPr>
                <w:rFonts w:ascii="Arial" w:cs="Arial" w:eastAsia="Arial" w:hAnsi="Arial"/>
                <w:sz w:val="9"/>
                <w:szCs w:val="9"/>
                <w:color w:val="FFFFFF"/>
              </w:rPr>
              <w:t>Current income tax assets and liabilities for the current and prior periods are measured at the amounts expected to be recovered from or paid to the taxation authorities. The tax rates and tax laws used to compute</w:t>
            </w:r>
          </w:p>
        </w:tc>
        <w:tc>
          <w:tcPr>
            <w:tcW w:w="0" w:type="dxa"/>
            <w:vAlign w:val="bottom"/>
          </w:tcPr>
          <w:p>
            <w:pPr>
              <w:spacing w:after="0"/>
              <w:rPr>
                <w:sz w:val="1"/>
                <w:szCs w:val="1"/>
                <w:color w:val="auto"/>
              </w:rPr>
            </w:pPr>
          </w:p>
        </w:tc>
      </w:tr>
      <w:tr>
        <w:trPr>
          <w:trHeight w:val="41"/>
        </w:trPr>
        <w:tc>
          <w:tcPr>
            <w:tcW w:w="7720" w:type="dxa"/>
            <w:vAlign w:val="bottom"/>
            <w:gridSpan w:val="4"/>
          </w:tcPr>
          <w:p>
            <w:pPr>
              <w:spacing w:after="0"/>
              <w:rPr>
                <w:sz w:val="20"/>
                <w:szCs w:val="20"/>
                <w:color w:val="auto"/>
              </w:rPr>
            </w:pPr>
            <w:r>
              <w:rPr>
                <w:rFonts w:ascii="Arial" w:cs="Arial" w:eastAsia="Arial" w:hAnsi="Arial"/>
                <w:sz w:val="3"/>
                <w:szCs w:val="3"/>
                <w:color w:val="FFFFFF"/>
              </w:rPr>
              <w:t>the amount are those that are enacted or substantively enacted by the statement of fi nancial position date.</w:t>
            </w: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400" w:type="dxa"/>
            <w:vAlign w:val="bottom"/>
            <w:gridSpan w:val="5"/>
          </w:tcPr>
          <w:p>
            <w:pPr>
              <w:spacing w:after="0" w:line="81" w:lineRule="exact"/>
              <w:rPr>
                <w:sz w:val="20"/>
                <w:szCs w:val="20"/>
                <w:color w:val="auto"/>
              </w:rPr>
            </w:pPr>
            <w:r>
              <w:rPr>
                <w:rFonts w:ascii="Arial" w:cs="Arial" w:eastAsia="Arial" w:hAnsi="Arial"/>
                <w:sz w:val="9"/>
                <w:szCs w:val="9"/>
                <w:color w:val="FFFFFF"/>
              </w:rPr>
              <w:t>Deferred income tax is provided using the liability method on temporary differences at the statement of fi nancial position date between the tax basis of assets and liabilities and their carrying amounts for fi</w:t>
            </w:r>
          </w:p>
        </w:tc>
        <w:tc>
          <w:tcPr>
            <w:tcW w:w="0" w:type="dxa"/>
            <w:vAlign w:val="bottom"/>
          </w:tcPr>
          <w:p>
            <w:pPr>
              <w:spacing w:after="0"/>
              <w:rPr>
                <w:sz w:val="1"/>
                <w:szCs w:val="1"/>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nancial reporting purposes.</w:t>
            </w:r>
          </w:p>
        </w:tc>
        <w:tc>
          <w:tcPr>
            <w:tcW w:w="23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20" w:type="dxa"/>
            <w:vAlign w:val="bottom"/>
            <w:gridSpan w:val="4"/>
          </w:tcPr>
          <w:p>
            <w:pPr>
              <w:spacing w:after="0"/>
              <w:rPr>
                <w:sz w:val="20"/>
                <w:szCs w:val="20"/>
                <w:color w:val="auto"/>
              </w:rPr>
            </w:pPr>
            <w:r>
              <w:rPr>
                <w:rFonts w:ascii="Arial" w:cs="Arial" w:eastAsia="Arial" w:hAnsi="Arial"/>
                <w:sz w:val="3"/>
                <w:szCs w:val="3"/>
                <w:color w:val="FFFFFF"/>
              </w:rPr>
              <w:t>Deferred income tax liabilities are recognized for all taxable temporary differences, except:</w:t>
            </w: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 when the deferred income</w:t>
            </w:r>
          </w:p>
        </w:tc>
        <w:tc>
          <w:tcPr>
            <w:tcW w:w="9720" w:type="dxa"/>
            <w:vAlign w:val="bottom"/>
            <w:gridSpan w:val="3"/>
          </w:tcPr>
          <w:p>
            <w:pPr>
              <w:ind w:left="40"/>
              <w:spacing w:after="0"/>
              <w:rPr>
                <w:sz w:val="20"/>
                <w:szCs w:val="20"/>
                <w:color w:val="auto"/>
              </w:rPr>
            </w:pPr>
            <w:r>
              <w:rPr>
                <w:rFonts w:ascii="Arial" w:cs="Arial" w:eastAsia="Arial" w:hAnsi="Arial"/>
                <w:sz w:val="3"/>
                <w:szCs w:val="3"/>
                <w:color w:val="FFFFFF"/>
              </w:rPr>
              <w:t>liability arises from the initial recognition of goodwill or of an asset or liability in a transaction that is not a business combination and, at the time of the transaction, affects neither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the accounting profi</w:t>
            </w:r>
          </w:p>
        </w:tc>
        <w:tc>
          <w:tcPr>
            <w:tcW w:w="2840" w:type="dxa"/>
            <w:vAlign w:val="bottom"/>
            <w:gridSpan w:val="2"/>
          </w:tcPr>
          <w:p>
            <w:pPr>
              <w:ind w:left="60"/>
              <w:spacing w:after="0"/>
              <w:rPr>
                <w:sz w:val="20"/>
                <w:szCs w:val="20"/>
                <w:color w:val="auto"/>
              </w:rPr>
            </w:pPr>
            <w:r>
              <w:rPr>
                <w:rFonts w:ascii="Arial" w:cs="Arial" w:eastAsia="Arial" w:hAnsi="Arial"/>
                <w:sz w:val="3"/>
                <w:szCs w:val="3"/>
                <w:color w:val="FFFFFF"/>
              </w:rPr>
              <w:t>nor taxable profi t or loss; and</w:t>
            </w:r>
          </w:p>
        </w:tc>
        <w:tc>
          <w:tcPr>
            <w:tcW w:w="7420" w:type="dxa"/>
            <w:vAlign w:val="bottom"/>
            <w:gridSpan w:val="2"/>
            <w:vMerge w:val="restart"/>
          </w:tcPr>
          <w:p>
            <w:pPr>
              <w:spacing w:after="0" w:line="81" w:lineRule="exact"/>
              <w:rPr>
                <w:sz w:val="20"/>
                <w:szCs w:val="20"/>
                <w:color w:val="auto"/>
              </w:rPr>
            </w:pPr>
            <w:r>
              <w:rPr>
                <w:rFonts w:ascii="Arial" w:cs="Arial" w:eastAsia="Arial" w:hAnsi="Arial"/>
                <w:sz w:val="9"/>
                <w:szCs w:val="9"/>
                <w:color w:val="FFFFFF"/>
              </w:rPr>
              <w:t>in subsidiaries, associates and interests in joint ventures, when the timing of the reversal of the temporary differences can be controlled</w:t>
            </w:r>
          </w:p>
        </w:tc>
        <w:tc>
          <w:tcPr>
            <w:tcW w:w="0" w:type="dxa"/>
            <w:vAlign w:val="bottom"/>
          </w:tcPr>
          <w:p>
            <w:pPr>
              <w:spacing w:after="0"/>
              <w:rPr>
                <w:sz w:val="1"/>
                <w:szCs w:val="1"/>
                <w:color w:val="auto"/>
              </w:rPr>
            </w:pPr>
          </w:p>
        </w:tc>
      </w:tr>
      <w:tr>
        <w:trPr>
          <w:trHeight w:val="41"/>
        </w:trPr>
        <w:tc>
          <w:tcPr>
            <w:tcW w:w="3980" w:type="dxa"/>
            <w:vAlign w:val="bottom"/>
            <w:gridSpan w:val="3"/>
          </w:tcPr>
          <w:p>
            <w:pPr>
              <w:spacing w:after="0"/>
              <w:rPr>
                <w:sz w:val="20"/>
                <w:szCs w:val="20"/>
                <w:color w:val="auto"/>
              </w:rPr>
            </w:pPr>
            <w:r>
              <w:rPr>
                <w:rFonts w:ascii="Arial" w:cs="Arial" w:eastAsia="Arial" w:hAnsi="Arial"/>
                <w:sz w:val="3"/>
                <w:szCs w:val="3"/>
                <w:color w:val="FFFFFF"/>
              </w:rPr>
              <w:t>• in respect of taxable temporary differences associated with</w:t>
            </w:r>
          </w:p>
        </w:tc>
        <w:tc>
          <w:tcPr>
            <w:tcW w:w="74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20" w:type="dxa"/>
            <w:vAlign w:val="bottom"/>
            <w:gridSpan w:val="4"/>
          </w:tcPr>
          <w:p>
            <w:pPr>
              <w:spacing w:after="0"/>
              <w:rPr>
                <w:sz w:val="20"/>
                <w:szCs w:val="20"/>
                <w:color w:val="auto"/>
              </w:rPr>
            </w:pPr>
            <w:r>
              <w:rPr>
                <w:rFonts w:ascii="Arial" w:cs="Arial" w:eastAsia="Arial" w:hAnsi="Arial"/>
                <w:sz w:val="3"/>
                <w:szCs w:val="3"/>
                <w:color w:val="FFFFFF"/>
              </w:rPr>
              <w:t>and it is probable that the temporary differences will not reverseinvestmentstheforeseeable future.</w:t>
            </w: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Deferred income</w:t>
            </w:r>
          </w:p>
        </w:tc>
        <w:tc>
          <w:tcPr>
            <w:tcW w:w="10260" w:type="dxa"/>
            <w:vAlign w:val="bottom"/>
            <w:gridSpan w:val="4"/>
          </w:tcPr>
          <w:p>
            <w:pPr>
              <w:ind w:left="20"/>
              <w:spacing w:after="0"/>
              <w:rPr>
                <w:sz w:val="20"/>
                <w:szCs w:val="20"/>
                <w:color w:val="auto"/>
              </w:rPr>
            </w:pPr>
            <w:r>
              <w:rPr>
                <w:rFonts w:ascii="Arial" w:cs="Arial" w:eastAsia="Arial" w:hAnsi="Arial"/>
                <w:sz w:val="3"/>
                <w:szCs w:val="3"/>
                <w:color w:val="FFFFFF"/>
              </w:rPr>
              <w:t>assets are recognized for all deductible temporary differences, the carry forward of unused tax credits and any unused tax losses. Deferred tax assets are recognized to the extent that it is</w:t>
            </w:r>
          </w:p>
        </w:tc>
        <w:tc>
          <w:tcPr>
            <w:tcW w:w="0" w:type="dxa"/>
            <w:vAlign w:val="bottom"/>
          </w:tcPr>
          <w:p>
            <w:pPr>
              <w:spacing w:after="0"/>
              <w:rPr>
                <w:sz w:val="1"/>
                <w:szCs w:val="1"/>
                <w:color w:val="auto"/>
              </w:rPr>
            </w:pPr>
          </w:p>
        </w:tc>
      </w:tr>
      <w:tr>
        <w:trPr>
          <w:trHeight w:val="41"/>
        </w:trPr>
        <w:tc>
          <w:tcPr>
            <w:tcW w:w="7720" w:type="dxa"/>
            <w:vAlign w:val="bottom"/>
            <w:gridSpan w:val="4"/>
          </w:tcPr>
          <w:p>
            <w:pPr>
              <w:spacing w:after="0"/>
              <w:rPr>
                <w:sz w:val="20"/>
                <w:szCs w:val="20"/>
                <w:color w:val="auto"/>
              </w:rPr>
            </w:pPr>
            <w:r>
              <w:rPr>
                <w:rFonts w:ascii="Arial" w:cs="Arial" w:eastAsia="Arial" w:hAnsi="Arial"/>
                <w:sz w:val="3"/>
                <w:szCs w:val="3"/>
                <w:color w:val="FFFFFF"/>
              </w:rPr>
              <w:t>probable that taxable profi t will be available against which the deductible temporary differences and the carry forward of unused tax credits</w:t>
            </w:r>
          </w:p>
        </w:tc>
        <w:tc>
          <w:tcPr>
            <w:tcW w:w="3680" w:type="dxa"/>
            <w:vAlign w:val="bottom"/>
          </w:tcPr>
          <w:p>
            <w:pPr>
              <w:ind w:left="120"/>
              <w:spacing w:after="0"/>
              <w:rPr>
                <w:sz w:val="20"/>
                <w:szCs w:val="20"/>
                <w:color w:val="auto"/>
              </w:rPr>
            </w:pPr>
            <w:r>
              <w:rPr>
                <w:rFonts w:ascii="Arial" w:cs="Arial" w:eastAsia="Arial" w:hAnsi="Arial"/>
                <w:sz w:val="3"/>
                <w:szCs w:val="3"/>
                <w:color w:val="FFFFFF"/>
              </w:rPr>
              <w:t>unused tax losses can be utilized, except:</w:t>
            </w:r>
          </w:p>
        </w:tc>
        <w:tc>
          <w:tcPr>
            <w:tcW w:w="0" w:type="dxa"/>
            <w:vAlign w:val="bottom"/>
          </w:tcPr>
          <w:p>
            <w:pPr>
              <w:spacing w:after="0"/>
              <w:rPr>
                <w:sz w:val="1"/>
                <w:szCs w:val="1"/>
                <w:color w:val="auto"/>
              </w:rPr>
            </w:pPr>
          </w:p>
        </w:tc>
      </w:tr>
      <w:tr>
        <w:trPr>
          <w:trHeight w:val="41"/>
        </w:trPr>
        <w:tc>
          <w:tcPr>
            <w:tcW w:w="3980" w:type="dxa"/>
            <w:vAlign w:val="bottom"/>
            <w:gridSpan w:val="3"/>
          </w:tcPr>
          <w:p>
            <w:pPr>
              <w:spacing w:after="0"/>
              <w:rPr>
                <w:sz w:val="20"/>
                <w:szCs w:val="20"/>
                <w:color w:val="auto"/>
              </w:rPr>
            </w:pPr>
            <w:r>
              <w:rPr>
                <w:rFonts w:ascii="Arial" w:cs="Arial" w:eastAsia="Arial" w:hAnsi="Arial"/>
                <w:sz w:val="3"/>
                <w:szCs w:val="3"/>
                <w:color w:val="FFFFFF"/>
              </w:rPr>
              <w:t>• when the deferred income tax asset relating to the deductible</w:t>
            </w:r>
          </w:p>
        </w:tc>
        <w:tc>
          <w:tcPr>
            <w:tcW w:w="7420" w:type="dxa"/>
            <w:vAlign w:val="bottom"/>
            <w:gridSpan w:val="2"/>
          </w:tcPr>
          <w:p>
            <w:pPr>
              <w:ind w:left="20"/>
              <w:spacing w:after="0"/>
              <w:rPr>
                <w:sz w:val="20"/>
                <w:szCs w:val="20"/>
                <w:color w:val="auto"/>
              </w:rPr>
            </w:pPr>
            <w:r>
              <w:rPr>
                <w:rFonts w:ascii="Arial" w:cs="Arial" w:eastAsia="Arial" w:hAnsi="Arial"/>
                <w:sz w:val="3"/>
                <w:szCs w:val="3"/>
                <w:color w:val="FFFFFF"/>
              </w:rPr>
              <w:t>difference arises from the initial recognition of an asset or liability inand transaction that is not a business combination and, at the time of</w:t>
            </w:r>
          </w:p>
        </w:tc>
        <w:tc>
          <w:tcPr>
            <w:tcW w:w="0" w:type="dxa"/>
            <w:vAlign w:val="bottom"/>
          </w:tcPr>
          <w:p>
            <w:pPr>
              <w:spacing w:after="0"/>
              <w:rPr>
                <w:sz w:val="1"/>
                <w:szCs w:val="1"/>
                <w:color w:val="auto"/>
              </w:rPr>
            </w:pPr>
          </w:p>
        </w:tc>
      </w:tr>
      <w:tr>
        <w:trPr>
          <w:trHeight w:val="213"/>
        </w:trPr>
        <w:tc>
          <w:tcPr>
            <w:tcW w:w="3980" w:type="dxa"/>
            <w:vAlign w:val="bottom"/>
            <w:gridSpan w:val="3"/>
          </w:tcPr>
          <w:p>
            <w:pPr>
              <w:spacing w:after="0"/>
              <w:rPr>
                <w:sz w:val="20"/>
                <w:szCs w:val="20"/>
                <w:color w:val="auto"/>
              </w:rPr>
            </w:pPr>
            <w:r>
              <w:rPr>
                <w:rFonts w:ascii="Arial" w:cs="Arial" w:eastAsia="Arial" w:hAnsi="Arial"/>
                <w:sz w:val="14"/>
                <w:szCs w:val="14"/>
                <w:color w:val="FFFFFF"/>
                <w:w w:val="81"/>
              </w:rPr>
              <w:t>the transaction, affects neither the accounting profi t nor taxabletemporaryprofi</w:t>
            </w:r>
          </w:p>
        </w:tc>
        <w:tc>
          <w:tcPr>
            <w:tcW w:w="3740" w:type="dxa"/>
            <w:vAlign w:val="bottom"/>
          </w:tcPr>
          <w:p>
            <w:pPr>
              <w:ind w:left="40"/>
              <w:spacing w:after="0"/>
              <w:rPr>
                <w:sz w:val="20"/>
                <w:szCs w:val="20"/>
                <w:color w:val="auto"/>
              </w:rPr>
            </w:pPr>
            <w:r>
              <w:rPr>
                <w:rFonts w:ascii="Arial" w:cs="Arial" w:eastAsia="Arial" w:hAnsi="Arial"/>
                <w:sz w:val="14"/>
                <w:szCs w:val="14"/>
                <w:color w:val="FFFFFF"/>
              </w:rPr>
              <w:t>loss; and</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FFFFFF"/>
              </w:rPr>
              <w:t>96 Wynn Macau, Limited</w:t>
            </w:r>
          </w:p>
        </w:tc>
        <w:tc>
          <w:tcPr>
            <w:tcW w:w="9760" w:type="dxa"/>
            <w:vAlign w:val="bottom"/>
          </w:tcPr>
          <w:p>
            <w:pPr>
              <w:spacing w:after="0"/>
              <w:rPr>
                <w:sz w:val="14"/>
                <w:szCs w:val="14"/>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Financial Statements</w:t>
            </w:r>
          </w:p>
        </w:tc>
        <w:tc>
          <w:tcPr>
            <w:tcW w:w="9760" w:type="dxa"/>
            <w:vAlign w:val="bottom"/>
          </w:tcPr>
          <w:p>
            <w:pPr>
              <w:spacing w:after="0"/>
              <w:rPr>
                <w:sz w:val="3"/>
                <w:szCs w:val="3"/>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976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2.2 SUMMARY OF SIGNIFICANT ACCOUNTING POLICIES (continued)</w:t>
            </w: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Taxes (continued)</w:t>
            </w:r>
          </w:p>
        </w:tc>
        <w:tc>
          <w:tcPr>
            <w:tcW w:w="976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Deferred income tax (continued)</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 in respect of deductible temporary differences associated with investments in subsidiaries, associates and interests   joint ventures, deferred income tax assets are recognized only to the extent that it is</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probable that the temporary differences will reverse in the foreseeable future and taxable profi ts will be available against which the temporary differences can be utilized.</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carrying am unt of deferred income tax assets is reviewed at each statement of fi nancial position date and reduced to the extent that it is no longer probable that suffi cient taxable profi ts will be available to</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allow all or part of the deferred income tax asset to be utilized. Unrecognized deferred income tax assets are reassessed at each statement of fi nancial position date and are recognized to the extent that it has</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become probable that future taxable profi ts will allow the deferred tax asset to be recovered.</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Deferred income tax assets and liabilities are measured at the tax rates that are expected to apply in the year when the asset is realized or the liability is settled, based on tax rates (and tax laws) that have been</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enacted or substantively enacted at the statement of fi nancial position date. Deferred income tax items are recognized in correlation to the underlying transaction either in other comprehensive income or directly</w:t>
            </w: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in equity. Deferred income</w:t>
            </w:r>
          </w:p>
        </w:tc>
        <w:tc>
          <w:tcPr>
            <w:tcW w:w="9760" w:type="dxa"/>
            <w:vAlign w:val="bottom"/>
          </w:tcPr>
          <w:p>
            <w:pPr>
              <w:ind w:left="20"/>
              <w:spacing w:after="0"/>
              <w:rPr>
                <w:sz w:val="20"/>
                <w:szCs w:val="20"/>
                <w:color w:val="auto"/>
              </w:rPr>
            </w:pPr>
            <w:r>
              <w:rPr>
                <w:rFonts w:ascii="Arial" w:cs="Arial" w:eastAsia="Arial" w:hAnsi="Arial"/>
                <w:sz w:val="3"/>
                <w:szCs w:val="3"/>
                <w:color w:val="FFFFFF"/>
              </w:rPr>
              <w:t>assets and deferred income tax liabilities are offset if a legally enforceable right exists to set off current tax assets against current income tax liabilities and the deferred income</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taxes relate to the same taxable entity and the same taxation authority.</w:t>
            </w: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Gaming taxes and premiums</w:t>
            </w:r>
          </w:p>
        </w:tc>
        <w:tc>
          <w:tcPr>
            <w:tcW w:w="976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According to the gaming concession granted by the Macau government and the relevant legislation, the Group is required to pay a 35% gaming tax on the gross gaming win. The Group is also required to pay an</w:t>
            </w:r>
          </w:p>
        </w:tc>
      </w:tr>
      <w:tr>
        <w:trPr>
          <w:trHeight w:val="0"/>
        </w:trPr>
        <w:tc>
          <w:tcPr>
            <w:tcW w:w="1660" w:type="dxa"/>
            <w:vAlign w:val="bottom"/>
          </w:tcPr>
          <w:p>
            <w:pPr>
              <w:spacing w:after="0" w:line="80" w:lineRule="exact"/>
              <w:rPr>
                <w:sz w:val="20"/>
                <w:szCs w:val="20"/>
                <w:color w:val="auto"/>
              </w:rPr>
            </w:pPr>
            <w:r>
              <w:rPr>
                <w:rFonts w:ascii="Arial" w:cs="Arial" w:eastAsia="Arial" w:hAnsi="Arial"/>
                <w:sz w:val="9"/>
                <w:szCs w:val="9"/>
                <w:color w:val="FFFFFF"/>
              </w:rPr>
              <w:t>additional 4% of gross</w:t>
            </w:r>
          </w:p>
        </w:tc>
        <w:tc>
          <w:tcPr>
            <w:tcW w:w="9760" w:type="dxa"/>
            <w:vAlign w:val="bottom"/>
          </w:tcPr>
          <w:p>
            <w:pPr>
              <w:ind w:left="40"/>
              <w:spacing w:after="0" w:line="80" w:lineRule="exact"/>
              <w:rPr>
                <w:sz w:val="20"/>
                <w:szCs w:val="20"/>
                <w:color w:val="auto"/>
              </w:rPr>
            </w:pPr>
            <w:r>
              <w:rPr>
                <w:rFonts w:ascii="Arial" w:cs="Arial" w:eastAsia="Arial" w:hAnsi="Arial"/>
                <w:sz w:val="9"/>
                <w:szCs w:val="9"/>
                <w:color w:val="FFFFFF"/>
              </w:rPr>
              <w:t>win as public development and social related contributions. The Group also makes certain variable and fi xed payments to the Macau government based on the number of slot</w:t>
            </w:r>
          </w:p>
        </w:tc>
      </w:tr>
    </w:tbl>
    <w:p>
      <w:pPr>
        <w:spacing w:after="0" w:line="210" w:lineRule="auto"/>
        <w:rPr>
          <w:sz w:val="20"/>
          <w:szCs w:val="20"/>
          <w:color w:val="auto"/>
        </w:rPr>
      </w:pPr>
      <w:r>
        <w:rPr>
          <w:rFonts w:ascii="Arial" w:cs="Arial" w:eastAsia="Arial" w:hAnsi="Arial"/>
          <w:sz w:val="12"/>
          <w:szCs w:val="12"/>
          <w:color w:val="FFFFFF"/>
        </w:rPr>
        <w:t>machines and table gamesgamingoperation on a monthly and yearly basis, respectively. These expenses are reported as “gaming taxes and premiums” in the consolidated statement of comprehensive income.</w:t>
      </w:r>
    </w:p>
    <w:p>
      <w:pPr>
        <w:sectPr>
          <w:pgSz w:w="11900" w:h="16838" w:orient="portrait"/>
          <w:cols w:equalWidth="0" w:num="1">
            <w:col w:w="11420"/>
          </w:cols>
          <w:pgMar w:left="240" w:top="1440" w:right="23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20"/>
                <w:szCs w:val="20"/>
                <w:color w:val="auto"/>
              </w:rPr>
            </w:pPr>
            <w:r>
              <w:rPr>
                <w:rFonts w:ascii="Arial" w:cs="Arial" w:eastAsia="Arial" w:hAnsi="Arial"/>
                <w:sz w:val="14"/>
                <w:szCs w:val="14"/>
                <w:color w:val="FFFFFF"/>
              </w:rPr>
              <w:t>Annual Report 2011 97</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920" w:type="dxa"/>
            <w:vAlign w:val="bottom"/>
          </w:tcPr>
          <w:p>
            <w:pPr>
              <w:spacing w:after="0"/>
              <w:rPr>
                <w:sz w:val="20"/>
                <w:szCs w:val="20"/>
                <w:color w:val="auto"/>
              </w:rPr>
            </w:pPr>
            <w:r>
              <w:rPr>
                <w:rFonts w:ascii="Arial" w:cs="Arial" w:eastAsia="Arial" w:hAnsi="Arial"/>
                <w:sz w:val="3"/>
                <w:szCs w:val="3"/>
                <w:color w:val="FFFFFF"/>
              </w:rPr>
              <w:t>Financial Statements</w:t>
            </w: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tcPr>
          <w:p>
            <w:pPr>
              <w:spacing w:after="0"/>
              <w:rPr>
                <w:sz w:val="20"/>
                <w:szCs w:val="20"/>
                <w:color w:val="auto"/>
              </w:rPr>
            </w:pPr>
            <w:r>
              <w:rPr>
                <w:rFonts w:ascii="Arial" w:cs="Arial" w:eastAsia="Arial" w:hAnsi="Arial"/>
                <w:sz w:val="3"/>
                <w:szCs w:val="3"/>
                <w:color w:val="FFFFFF"/>
              </w:rPr>
              <w:t>For the year ended 31 December 2011</w:t>
            </w: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80" w:type="dxa"/>
            <w:vAlign w:val="bottom"/>
            <w:gridSpan w:val="2"/>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5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20" w:type="dxa"/>
            <w:vAlign w:val="bottom"/>
          </w:tcPr>
          <w:p>
            <w:pPr>
              <w:spacing w:after="0"/>
              <w:rPr>
                <w:sz w:val="20"/>
                <w:szCs w:val="20"/>
                <w:color w:val="auto"/>
              </w:rPr>
            </w:pPr>
            <w:r>
              <w:rPr>
                <w:rFonts w:ascii="Arial" w:cs="Arial" w:eastAsia="Arial" w:hAnsi="Arial"/>
                <w:sz w:val="3"/>
                <w:szCs w:val="3"/>
                <w:color w:val="FFFFFF"/>
              </w:rPr>
              <w:t>A diamond and fi ne art</w:t>
            </w: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Group’s diamond and fi ne art are stated at cost less accumulated impairment. The amount represents the aggregate cost of a diamond and artwork. Any diamond and artwork impairment is assessed based on</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cash-generating unit to which it belongs, which is usually the property in its entirety. No impairment has been recognized for the diamond or artwork for the years ended 31 December 2011 and 2010.</w:t>
            </w:r>
          </w:p>
        </w:tc>
        <w:tc>
          <w:tcPr>
            <w:tcW w:w="0" w:type="dxa"/>
            <w:vAlign w:val="bottom"/>
          </w:tcPr>
          <w:p>
            <w:pPr>
              <w:spacing w:after="0"/>
              <w:rPr>
                <w:sz w:val="1"/>
                <w:szCs w:val="1"/>
                <w:color w:val="auto"/>
              </w:rPr>
            </w:pPr>
          </w:p>
        </w:tc>
      </w:tr>
      <w:tr>
        <w:trPr>
          <w:trHeight w:val="41"/>
        </w:trPr>
        <w:tc>
          <w:tcPr>
            <w:tcW w:w="3920" w:type="dxa"/>
            <w:vAlign w:val="bottom"/>
          </w:tcPr>
          <w:p>
            <w:pPr>
              <w:spacing w:after="0"/>
              <w:rPr>
                <w:sz w:val="20"/>
                <w:szCs w:val="20"/>
                <w:color w:val="auto"/>
              </w:rPr>
            </w:pPr>
            <w:r>
              <w:rPr>
                <w:rFonts w:ascii="Arial" w:cs="Arial" w:eastAsia="Arial" w:hAnsi="Arial"/>
                <w:sz w:val="3"/>
                <w:szCs w:val="3"/>
                <w:color w:val="FFFFFF"/>
              </w:rPr>
              <w:t>Dividends</w:t>
            </w: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00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of fi nancial position, until they have been approved by the</w:t>
            </w:r>
          </w:p>
        </w:tc>
        <w:tc>
          <w:tcPr>
            <w:tcW w:w="0" w:type="dxa"/>
            <w:vAlign w:val="bottom"/>
          </w:tcPr>
          <w:p>
            <w:pPr>
              <w:spacing w:after="0"/>
              <w:rPr>
                <w:sz w:val="1"/>
                <w:szCs w:val="1"/>
                <w:color w:val="auto"/>
              </w:rPr>
            </w:pPr>
          </w:p>
        </w:tc>
      </w:tr>
      <w:tr>
        <w:trPr>
          <w:trHeight w:val="41"/>
        </w:trPr>
        <w:tc>
          <w:tcPr>
            <w:tcW w:w="7420" w:type="dxa"/>
            <w:vAlign w:val="bottom"/>
            <w:gridSpan w:val="4"/>
          </w:tcPr>
          <w:p>
            <w:pPr>
              <w:spacing w:after="0"/>
              <w:rPr>
                <w:sz w:val="20"/>
                <w:szCs w:val="20"/>
                <w:color w:val="auto"/>
              </w:rPr>
            </w:pPr>
            <w:r>
              <w:rPr>
                <w:rFonts w:ascii="Arial" w:cs="Arial" w:eastAsia="Arial" w:hAnsi="Arial"/>
                <w:sz w:val="3"/>
                <w:szCs w:val="3"/>
                <w:color w:val="FFFFFF"/>
              </w:rPr>
              <w:t>Final dividends proposed by the directors are classifi ed as  separate allocation of retained earnings within the equity section of the</w:t>
            </w:r>
          </w:p>
        </w:tc>
        <w:tc>
          <w:tcPr>
            <w:tcW w:w="4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80" w:type="dxa"/>
            <w:vAlign w:val="bottom"/>
            <w:gridSpan w:val="2"/>
          </w:tcPr>
          <w:p>
            <w:pPr>
              <w:spacing w:after="0"/>
              <w:rPr>
                <w:sz w:val="20"/>
                <w:szCs w:val="20"/>
                <w:color w:val="auto"/>
              </w:rPr>
            </w:pPr>
            <w:r>
              <w:rPr>
                <w:rFonts w:ascii="Arial" w:cs="Arial" w:eastAsia="Arial" w:hAnsi="Arial"/>
                <w:sz w:val="3"/>
                <w:szCs w:val="3"/>
                <w:color w:val="FFFFFF"/>
              </w:rPr>
              <w:t>shareholders in a general meeting. When these dividends have been approved by the</w:t>
            </w:r>
          </w:p>
        </w:tc>
        <w:tc>
          <w:tcPr>
            <w:tcW w:w="540" w:type="dxa"/>
            <w:vAlign w:val="bottom"/>
          </w:tcPr>
          <w:p>
            <w:pPr>
              <w:ind w:left="300"/>
              <w:spacing w:after="0"/>
              <w:rPr>
                <w:sz w:val="20"/>
                <w:szCs w:val="20"/>
                <w:color w:val="auto"/>
              </w:rPr>
            </w:pPr>
            <w:r>
              <w:rPr>
                <w:rFonts w:ascii="Arial" w:cs="Arial" w:eastAsia="Arial" w:hAnsi="Arial"/>
                <w:sz w:val="3"/>
                <w:szCs w:val="3"/>
                <w:color w:val="FFFFFF"/>
              </w:rPr>
              <w:t>rs</w:t>
            </w:r>
          </w:p>
        </w:tc>
        <w:tc>
          <w:tcPr>
            <w:tcW w:w="6000" w:type="dxa"/>
            <w:vAlign w:val="bottom"/>
            <w:gridSpan w:val="2"/>
          </w:tcPr>
          <w:p>
            <w:pPr>
              <w:ind w:left="120"/>
              <w:spacing w:after="0"/>
              <w:rPr>
                <w:sz w:val="20"/>
                <w:szCs w:val="20"/>
                <w:color w:val="auto"/>
              </w:rPr>
            </w:pPr>
            <w:r>
              <w:rPr>
                <w:rFonts w:ascii="Arial" w:cs="Arial" w:eastAsia="Arial" w:hAnsi="Arial"/>
                <w:sz w:val="3"/>
                <w:szCs w:val="3"/>
                <w:color w:val="FFFFFF"/>
              </w:rPr>
              <w:t>declared, they are recognized statementasliability.</w:t>
            </w:r>
          </w:p>
        </w:tc>
        <w:tc>
          <w:tcPr>
            <w:tcW w:w="0" w:type="dxa"/>
            <w:vAlign w:val="bottom"/>
          </w:tcPr>
          <w:p>
            <w:pPr>
              <w:spacing w:after="0"/>
              <w:rPr>
                <w:sz w:val="1"/>
                <w:szCs w:val="1"/>
                <w:color w:val="auto"/>
              </w:rPr>
            </w:pPr>
          </w:p>
        </w:tc>
      </w:tr>
      <w:tr>
        <w:trPr>
          <w:trHeight w:val="41"/>
        </w:trPr>
        <w:tc>
          <w:tcPr>
            <w:tcW w:w="3920" w:type="dxa"/>
            <w:vAlign w:val="bottom"/>
          </w:tcPr>
          <w:p>
            <w:pPr>
              <w:spacing w:after="0"/>
              <w:rPr>
                <w:sz w:val="20"/>
                <w:szCs w:val="20"/>
                <w:color w:val="auto"/>
              </w:rPr>
            </w:pPr>
            <w:r>
              <w:rPr>
                <w:rFonts w:ascii="Arial" w:cs="Arial" w:eastAsia="Arial" w:hAnsi="Arial"/>
                <w:sz w:val="3"/>
                <w:szCs w:val="3"/>
                <w:color w:val="FFFFFF"/>
              </w:rPr>
              <w:t>Interim/special dividends are simultaneously proposed and declared</w:t>
            </w:r>
          </w:p>
        </w:tc>
        <w:tc>
          <w:tcPr>
            <w:tcW w:w="7500" w:type="dxa"/>
            <w:vAlign w:val="bottom"/>
            <w:gridSpan w:val="4"/>
          </w:tcPr>
          <w:p>
            <w:pPr>
              <w:ind w:left="260"/>
              <w:spacing w:after="0"/>
              <w:rPr>
                <w:sz w:val="20"/>
                <w:szCs w:val="20"/>
                <w:color w:val="auto"/>
              </w:rPr>
            </w:pPr>
            <w:r>
              <w:rPr>
                <w:rFonts w:ascii="Arial" w:cs="Arial" w:eastAsia="Arial" w:hAnsi="Arial"/>
                <w:sz w:val="3"/>
                <w:szCs w:val="3"/>
                <w:color w:val="FFFFFF"/>
              </w:rPr>
              <w:t>the Company’shareholdmemorandum and articles of association grant the Directors the authority to declare interim/ special dividends.</w:t>
            </w:r>
          </w:p>
        </w:tc>
        <w:tc>
          <w:tcPr>
            <w:tcW w:w="0" w:type="dxa"/>
            <w:vAlign w:val="bottom"/>
          </w:tcPr>
          <w:p>
            <w:pPr>
              <w:spacing w:after="0"/>
              <w:rPr>
                <w:sz w:val="1"/>
                <w:szCs w:val="1"/>
                <w:color w:val="auto"/>
              </w:rPr>
            </w:pPr>
          </w:p>
        </w:tc>
      </w:tr>
      <w:tr>
        <w:trPr>
          <w:trHeight w:val="41"/>
        </w:trPr>
        <w:tc>
          <w:tcPr>
            <w:tcW w:w="7420" w:type="dxa"/>
            <w:vAlign w:val="bottom"/>
            <w:gridSpan w:val="4"/>
          </w:tcPr>
          <w:p>
            <w:pPr>
              <w:spacing w:after="0"/>
              <w:rPr>
                <w:sz w:val="20"/>
                <w:szCs w:val="20"/>
                <w:color w:val="auto"/>
              </w:rPr>
            </w:pPr>
            <w:r>
              <w:rPr>
                <w:rFonts w:ascii="Arial" w:cs="Arial" w:eastAsia="Arial" w:hAnsi="Arial"/>
                <w:sz w:val="3"/>
                <w:szCs w:val="3"/>
                <w:color w:val="FFFFFF"/>
              </w:rPr>
              <w:t>Consequently, interim/special dividends are recognized immediately becauseasliability when they are proposed and declared.</w:t>
            </w:r>
          </w:p>
        </w:tc>
        <w:tc>
          <w:tcPr>
            <w:tcW w:w="4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920" w:type="dxa"/>
            <w:vAlign w:val="bottom"/>
          </w:tcPr>
          <w:p>
            <w:pPr>
              <w:spacing w:after="0"/>
              <w:rPr>
                <w:sz w:val="20"/>
                <w:szCs w:val="20"/>
                <w:color w:val="auto"/>
              </w:rPr>
            </w:pPr>
            <w:r>
              <w:rPr>
                <w:rFonts w:ascii="Arial" w:cs="Arial" w:eastAsia="Arial" w:hAnsi="Arial"/>
                <w:sz w:val="3"/>
                <w:szCs w:val="3"/>
                <w:color w:val="FFFFFF"/>
              </w:rPr>
              <w:t>Statutory reserve</w:t>
            </w: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60"/>
        <w:spacing w:after="0" w:line="187" w:lineRule="auto"/>
        <w:rPr>
          <w:sz w:val="20"/>
          <w:szCs w:val="20"/>
          <w:color w:val="auto"/>
        </w:rPr>
      </w:pPr>
      <w:r>
        <w:rPr>
          <w:rFonts w:ascii="Arial" w:cs="Arial" w:eastAsia="Arial" w:hAnsi="Arial"/>
          <w:sz w:val="9"/>
          <w:szCs w:val="9"/>
          <w:color w:val="FFFFFF"/>
        </w:rPr>
        <w:t>In accordance with the provisions of the Macau Commercial Code, Wynn Macau, Limited’s subsidiaries incorporated in Macau are required to transfer a minimum of 10% of their annual net profi t to a legal reserve until that reserve equals 25% of their initial capital. This reserve is not distributable to the shareholders.</w:t>
      </w:r>
    </w:p>
    <w:p>
      <w:pPr>
        <w:sectPr>
          <w:pgSz w:w="11900" w:h="16838" w:orient="portrait"/>
          <w:cols w:equalWidth="0" w:num="1">
            <w:col w:w="11420"/>
          </w:cols>
          <w:pgMar w:left="240" w:top="1440" w:right="23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tcPr>
          <w:p>
            <w:pPr>
              <w:spacing w:after="0"/>
              <w:rPr>
                <w:sz w:val="20"/>
                <w:szCs w:val="20"/>
                <w:color w:val="auto"/>
              </w:rPr>
            </w:pPr>
            <w:r>
              <w:rPr>
                <w:rFonts w:ascii="Arial" w:cs="Arial" w:eastAsia="Arial" w:hAnsi="Arial"/>
                <w:sz w:val="14"/>
                <w:szCs w:val="14"/>
                <w:color w:val="FFFFFF"/>
              </w:rPr>
              <w:t>98 Wynn Macau, Limited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20" w:type="dxa"/>
            <w:vAlign w:val="bottom"/>
            <w:gridSpan w:val="3"/>
          </w:tcPr>
          <w:p>
            <w:pPr>
              <w:spacing w:after="0"/>
              <w:rPr>
                <w:sz w:val="20"/>
                <w:szCs w:val="20"/>
                <w:color w:val="auto"/>
              </w:rPr>
            </w:pPr>
            <w:r>
              <w:rPr>
                <w:rFonts w:ascii="Arial" w:cs="Arial" w:eastAsia="Arial" w:hAnsi="Arial"/>
                <w:sz w:val="3"/>
                <w:szCs w:val="3"/>
                <w:color w:val="FFFFFF"/>
              </w:rPr>
              <w:t>2.3 IMPACT OF NEW AND REVISED INTERNATIONAL FINANCIAL REPORTING</w:t>
            </w: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STANDARDS</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20" w:type="dxa"/>
            <w:vAlign w:val="bottom"/>
            <w:gridSpan w:val="3"/>
          </w:tcPr>
          <w:p>
            <w:pPr>
              <w:spacing w:after="0"/>
              <w:rPr>
                <w:sz w:val="20"/>
                <w:szCs w:val="20"/>
                <w:color w:val="auto"/>
              </w:rPr>
            </w:pPr>
            <w:r>
              <w:rPr>
                <w:rFonts w:ascii="Arial" w:cs="Arial" w:eastAsia="Arial" w:hAnsi="Arial"/>
                <w:sz w:val="3"/>
                <w:szCs w:val="3"/>
                <w:color w:val="FFFFFF"/>
              </w:rPr>
              <w:t>The Group has adopted the following new and revised IFRSs for the first time for the current</w:t>
            </w: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year’s financial statements:</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IFRS 1 Amendment Amendment to IFRS 1 First-time Adoption of International</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Financial Reporting Standards — Limited Exemption</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from Comparative IFRS 7 Disclosures for First-time</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20"/>
                <w:szCs w:val="20"/>
                <w:color w:val="auto"/>
              </w:rPr>
            </w:pPr>
            <w:r>
              <w:rPr>
                <w:rFonts w:ascii="Arial" w:cs="Arial" w:eastAsia="Arial" w:hAnsi="Arial"/>
                <w:sz w:val="3"/>
                <w:szCs w:val="3"/>
                <w:color w:val="FFFFFF"/>
              </w:rPr>
              <w:t>Adopters</w:t>
            </w:r>
          </w:p>
        </w:tc>
        <w:tc>
          <w:tcPr>
            <w:tcW w:w="3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ind w:left="260"/>
              <w:spacing w:after="0"/>
              <w:rPr>
                <w:sz w:val="20"/>
                <w:szCs w:val="20"/>
                <w:color w:val="auto"/>
              </w:rPr>
            </w:pPr>
            <w:r>
              <w:rPr>
                <w:rFonts w:ascii="Arial" w:cs="Arial" w:eastAsia="Arial" w:hAnsi="Arial"/>
                <w:sz w:val="3"/>
                <w:szCs w:val="3"/>
                <w:color w:val="FFFFFF"/>
              </w:rPr>
              <w:t>24 (Revised) Related Party Disclosures</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IAS 32 Amendment Amendment to IAS 32 Financial Instruments: Presentation</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 Classification of Rights Issues</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IFRIC 14 Amendments Amendments to IFRIC 14 Prepayments of a Minimum</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Funding Requirement</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ind w:left="60"/>
              <w:spacing w:after="0"/>
              <w:rPr>
                <w:sz w:val="20"/>
                <w:szCs w:val="20"/>
                <w:color w:val="auto"/>
              </w:rPr>
            </w:pPr>
            <w:r>
              <w:rPr>
                <w:rFonts w:ascii="Arial" w:cs="Arial" w:eastAsia="Arial" w:hAnsi="Arial"/>
                <w:sz w:val="3"/>
                <w:szCs w:val="3"/>
                <w:color w:val="FFFFFF"/>
              </w:rPr>
              <w:t>FRIC 19 Extinguishing Financial Liabilities with Equity Instruments</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20" w:type="dxa"/>
            <w:vAlign w:val="bottom"/>
            <w:gridSpan w:val="2"/>
          </w:tcPr>
          <w:p>
            <w:pPr>
              <w:ind w:left="60"/>
              <w:spacing w:after="0"/>
              <w:rPr>
                <w:sz w:val="20"/>
                <w:szCs w:val="20"/>
                <w:color w:val="auto"/>
              </w:rPr>
            </w:pPr>
            <w:r>
              <w:rPr>
                <w:rFonts w:ascii="Arial" w:cs="Arial" w:eastAsia="Arial" w:hAnsi="Arial"/>
                <w:sz w:val="3"/>
                <w:szCs w:val="3"/>
                <w:color w:val="FFFFFF"/>
              </w:rPr>
              <w:t>mprovements to Amendments to a number of IFRSs issued in May 2010</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20"/>
                <w:szCs w:val="20"/>
                <w:color w:val="auto"/>
              </w:rPr>
            </w:pPr>
            <w:r>
              <w:rPr>
                <w:rFonts w:ascii="Arial" w:cs="Arial" w:eastAsia="Arial" w:hAnsi="Arial"/>
                <w:sz w:val="3"/>
                <w:szCs w:val="3"/>
                <w:color w:val="FFFFFF"/>
              </w:rPr>
              <w:t>IFRSs 2010</w:t>
            </w:r>
          </w:p>
        </w:tc>
        <w:tc>
          <w:tcPr>
            <w:tcW w:w="3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20" w:type="dxa"/>
            <w:vAlign w:val="bottom"/>
            <w:gridSpan w:val="3"/>
          </w:tcPr>
          <w:p>
            <w:pPr>
              <w:spacing w:after="0"/>
              <w:rPr>
                <w:sz w:val="20"/>
                <w:szCs w:val="20"/>
                <w:color w:val="auto"/>
              </w:rPr>
            </w:pPr>
            <w:r>
              <w:rPr>
                <w:rFonts w:ascii="Arial" w:cs="Arial" w:eastAsia="Arial" w:hAnsi="Arial"/>
                <w:sz w:val="3"/>
                <w:szCs w:val="3"/>
                <w:color w:val="FFFFFF"/>
              </w:rPr>
              <w:t>Other than as further explained below regarding the impact of IAS 24 (Revised), the</w:t>
            </w:r>
          </w:p>
        </w:tc>
        <w:tc>
          <w:tcPr>
            <w:tcW w:w="0" w:type="dxa"/>
            <w:vAlign w:val="bottom"/>
          </w:tcPr>
          <w:p>
            <w:pPr>
              <w:spacing w:after="0"/>
              <w:rPr>
                <w:sz w:val="1"/>
                <w:szCs w:val="1"/>
                <w:color w:val="auto"/>
              </w:rPr>
            </w:pPr>
          </w:p>
        </w:tc>
      </w:tr>
      <w:tr>
        <w:trPr>
          <w:trHeight w:val="41"/>
        </w:trPr>
        <w:tc>
          <w:tcPr>
            <w:tcW w:w="5120" w:type="dxa"/>
            <w:vAlign w:val="bottom"/>
            <w:gridSpan w:val="3"/>
          </w:tcPr>
          <w:p>
            <w:pPr>
              <w:spacing w:after="0"/>
              <w:rPr>
                <w:sz w:val="20"/>
                <w:szCs w:val="20"/>
                <w:color w:val="auto"/>
              </w:rPr>
            </w:pPr>
            <w:r>
              <w:rPr>
                <w:rFonts w:ascii="Arial" w:cs="Arial" w:eastAsia="Arial" w:hAnsi="Arial"/>
                <w:sz w:val="3"/>
                <w:szCs w:val="3"/>
                <w:color w:val="FFFFFF"/>
              </w:rPr>
              <w:t>of these new and revised IFRSs and interpretations has had no significant financial effectsadoption</w:t>
            </w:r>
          </w:p>
        </w:tc>
        <w:tc>
          <w:tcPr>
            <w:tcW w:w="0" w:type="dxa"/>
            <w:vAlign w:val="bottom"/>
          </w:tcPr>
          <w:p>
            <w:pPr>
              <w:spacing w:after="0"/>
              <w:rPr>
                <w:sz w:val="1"/>
                <w:szCs w:val="1"/>
                <w:color w:val="auto"/>
              </w:rPr>
            </w:pPr>
          </w:p>
        </w:tc>
      </w:tr>
      <w:tr>
        <w:trPr>
          <w:trHeight w:val="41"/>
        </w:trPr>
        <w:tc>
          <w:tcPr>
            <w:tcW w:w="680" w:type="dxa"/>
            <w:vAlign w:val="bottom"/>
          </w:tcPr>
          <w:p>
            <w:pPr>
              <w:spacing w:after="0"/>
              <w:rPr>
                <w:sz w:val="20"/>
                <w:szCs w:val="20"/>
                <w:color w:val="auto"/>
              </w:rPr>
            </w:pPr>
            <w:r>
              <w:rPr>
                <w:rFonts w:ascii="Arial" w:cs="Arial" w:eastAsia="Arial" w:hAnsi="Arial"/>
                <w:sz w:val="3"/>
                <w:szCs w:val="3"/>
                <w:color w:val="FFFFFF"/>
              </w:rPr>
              <w:t>the</w:t>
            </w:r>
          </w:p>
        </w:tc>
        <w:tc>
          <w:tcPr>
            <w:tcW w:w="4440" w:type="dxa"/>
            <w:vAlign w:val="bottom"/>
            <w:gridSpan w:val="2"/>
          </w:tcPr>
          <w:p>
            <w:pPr>
              <w:ind w:left="40"/>
              <w:spacing w:after="0"/>
              <w:rPr>
                <w:sz w:val="20"/>
                <w:szCs w:val="20"/>
                <w:color w:val="auto"/>
              </w:rPr>
            </w:pPr>
            <w:r>
              <w:rPr>
                <w:rFonts w:ascii="Arial" w:cs="Arial" w:eastAsia="Arial" w:hAnsi="Arial"/>
                <w:sz w:val="3"/>
                <w:szCs w:val="3"/>
                <w:color w:val="FFFFFF"/>
              </w:rPr>
              <w:t>statements and there have been no significant changes to the accounting policies</w:t>
            </w: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appliedfinancialthe financial statements.</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20" w:type="dxa"/>
            <w:vAlign w:val="bottom"/>
            <w:gridSpan w:val="3"/>
          </w:tcPr>
          <w:p>
            <w:pPr>
              <w:spacing w:after="0"/>
              <w:rPr>
                <w:sz w:val="20"/>
                <w:szCs w:val="20"/>
                <w:color w:val="auto"/>
              </w:rPr>
            </w:pPr>
            <w:r>
              <w:rPr>
                <w:rFonts w:ascii="Arial" w:cs="Arial" w:eastAsia="Arial" w:hAnsi="Arial"/>
                <w:sz w:val="3"/>
                <w:szCs w:val="3"/>
                <w:color w:val="FFFFFF"/>
              </w:rPr>
              <w:t>The principal effects of adopting IAS 24 (Revised) Related Party Disclosures are as follows:</w:t>
            </w:r>
          </w:p>
        </w:tc>
        <w:tc>
          <w:tcPr>
            <w:tcW w:w="0" w:type="dxa"/>
            <w:vAlign w:val="bottom"/>
          </w:tcPr>
          <w:p>
            <w:pPr>
              <w:spacing w:after="0"/>
              <w:rPr>
                <w:sz w:val="1"/>
                <w:szCs w:val="1"/>
                <w:color w:val="auto"/>
              </w:rPr>
            </w:pP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IAS 24 (Revised) clarifies and simplifies the definitions of related parties. The new</w:t>
            </w:r>
          </w:p>
        </w:tc>
        <w:tc>
          <w:tcPr>
            <w:tcW w:w="600" w:type="dxa"/>
            <w:vAlign w:val="bottom"/>
            <w:vMerge w:val="restart"/>
          </w:tcPr>
          <w:p>
            <w:pPr>
              <w:ind w:left="20"/>
              <w:spacing w:after="0"/>
              <w:rPr>
                <w:sz w:val="20"/>
                <w:szCs w:val="20"/>
                <w:color w:val="auto"/>
              </w:rPr>
            </w:pPr>
            <w:r>
              <w:rPr>
                <w:rFonts w:ascii="Arial" w:cs="Arial" w:eastAsia="Arial" w:hAnsi="Arial"/>
                <w:sz w:val="3"/>
                <w:szCs w:val="3"/>
                <w:color w:val="FFFFFF"/>
              </w:rPr>
              <w:t>definitions</w:t>
            </w:r>
          </w:p>
        </w:tc>
        <w:tc>
          <w:tcPr>
            <w:tcW w:w="0" w:type="dxa"/>
            <w:vAlign w:val="bottom"/>
          </w:tcPr>
          <w:p>
            <w:pPr>
              <w:spacing w:after="0"/>
              <w:rPr>
                <w:sz w:val="1"/>
                <w:szCs w:val="1"/>
                <w:color w:val="auto"/>
              </w:rPr>
            </w:pPr>
          </w:p>
        </w:tc>
      </w:tr>
      <w:tr>
        <w:trPr>
          <w:trHeight w:val="0"/>
        </w:trPr>
        <w:tc>
          <w:tcPr>
            <w:tcW w:w="4520" w:type="dxa"/>
            <w:vAlign w:val="bottom"/>
            <w:gridSpan w:val="2"/>
          </w:tcPr>
          <w:p>
            <w:pPr>
              <w:spacing w:after="0" w:line="80" w:lineRule="exact"/>
              <w:rPr>
                <w:sz w:val="20"/>
                <w:szCs w:val="20"/>
                <w:color w:val="auto"/>
              </w:rPr>
            </w:pPr>
            <w:r>
              <w:rPr>
                <w:rFonts w:ascii="Arial" w:cs="Arial" w:eastAsia="Arial" w:hAnsi="Arial"/>
                <w:sz w:val="9"/>
                <w:szCs w:val="9"/>
                <w:color w:val="FFFFFF"/>
              </w:rPr>
              <w:t>emphasize a symmetrical view of related party relationships and clarify the</w:t>
            </w: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which persons and key management personnel affect related party relationshipscircumstancesofentity.</w:t>
      </w:r>
    </w:p>
    <w:p>
      <w:pPr>
        <w:spacing w:after="0" w:line="199" w:lineRule="auto"/>
        <w:rPr>
          <w:sz w:val="20"/>
          <w:szCs w:val="20"/>
          <w:color w:val="auto"/>
        </w:rPr>
      </w:pPr>
      <w:r>
        <w:rPr>
          <w:rFonts w:ascii="Arial" w:cs="Arial" w:eastAsia="Arial" w:hAnsi="Arial"/>
          <w:sz w:val="5"/>
          <w:szCs w:val="5"/>
          <w:color w:val="FFFFFF"/>
          <w:vertAlign w:val="superscript"/>
        </w:rPr>
        <w:t>did</w:t>
      </w:r>
      <w:r>
        <w:rPr>
          <w:rFonts w:ascii="Arial" w:cs="Arial" w:eastAsia="Arial" w:hAnsi="Arial"/>
          <w:sz w:val="3"/>
          <w:szCs w:val="3"/>
          <w:color w:val="FFFFFF"/>
        </w:rPr>
        <w:t>Theefinitionsaccountingofrelatedpolicypartiesforrelatedunderpartiestherevisedhasbeenstandard.revisedTheto adoptionreflecttheofchangestherevisedinthestandard</w:t>
      </w:r>
    </w:p>
    <w:p>
      <w:pPr>
        <w:ind w:left="220"/>
        <w:spacing w:after="0"/>
        <w:rPr>
          <w:sz w:val="20"/>
          <w:szCs w:val="20"/>
          <w:color w:val="auto"/>
        </w:rPr>
      </w:pPr>
      <w:r>
        <w:rPr>
          <w:rFonts w:ascii="Arial" w:cs="Arial" w:eastAsia="Arial" w:hAnsi="Arial"/>
          <w:sz w:val="3"/>
          <w:szCs w:val="3"/>
          <w:color w:val="FFFFFF"/>
        </w:rPr>
        <w:t>not have any impact on the financial position or performance of the Group. Details of the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related party transactions, including the related comparative information, are included in note 27 to the financial statements.</w:t>
      </w:r>
    </w:p>
    <w:p>
      <w:pPr>
        <w:sectPr>
          <w:pgSz w:w="11900" w:h="16838" w:orient="portrait"/>
          <w:cols w:equalWidth="0" w:num="1">
            <w:col w:w="10219"/>
          </w:cols>
          <w:pgMar w:left="240" w:top="1440" w:right="1440"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gridSpan w:val="3"/>
          </w:tcPr>
          <w:p>
            <w:pPr>
              <w:spacing w:after="0"/>
              <w:rPr>
                <w:sz w:val="20"/>
                <w:szCs w:val="20"/>
                <w:color w:val="auto"/>
              </w:rPr>
            </w:pPr>
            <w:r>
              <w:rPr>
                <w:rFonts w:ascii="Arial" w:cs="Arial" w:eastAsia="Arial" w:hAnsi="Arial"/>
                <w:sz w:val="14"/>
                <w:szCs w:val="14"/>
                <w:color w:val="FFFFFF"/>
              </w:rPr>
              <w:t>Annual Report 2011 99</w:t>
            </w:r>
          </w:p>
        </w:tc>
        <w:tc>
          <w:tcPr>
            <w:tcW w:w="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50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9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0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9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00" w:type="dxa"/>
            <w:vAlign w:val="bottom"/>
            <w:gridSpan w:val="3"/>
          </w:tcPr>
          <w:p>
            <w:pPr>
              <w:spacing w:after="0"/>
              <w:rPr>
                <w:sz w:val="20"/>
                <w:szCs w:val="20"/>
                <w:color w:val="auto"/>
              </w:rPr>
            </w:pPr>
            <w:r>
              <w:rPr>
                <w:rFonts w:ascii="Arial" w:cs="Arial" w:eastAsia="Arial" w:hAnsi="Arial"/>
                <w:sz w:val="3"/>
                <w:szCs w:val="3"/>
                <w:color w:val="FFFFFF"/>
              </w:rPr>
              <w:t>For the year ended 31 December 2011</w:t>
            </w:r>
          </w:p>
        </w:tc>
        <w:tc>
          <w:tcPr>
            <w:tcW w:w="9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80" w:type="dxa"/>
            <w:vAlign w:val="bottom"/>
            <w:gridSpan w:val="5"/>
          </w:tcPr>
          <w:p>
            <w:pPr>
              <w:spacing w:after="0"/>
              <w:rPr>
                <w:sz w:val="20"/>
                <w:szCs w:val="20"/>
                <w:color w:val="auto"/>
              </w:rPr>
            </w:pPr>
            <w:r>
              <w:rPr>
                <w:rFonts w:ascii="Arial" w:cs="Arial" w:eastAsia="Arial" w:hAnsi="Arial"/>
                <w:sz w:val="3"/>
                <w:szCs w:val="3"/>
                <w:color w:val="FFFFFF"/>
              </w:rPr>
              <w:t>2.4 IMPACT OF ISSUED BUT NOT YET EFFECTIVE INTERNATIONAL FINANCIAL</w:t>
            </w:r>
          </w:p>
        </w:tc>
        <w:tc>
          <w:tcPr>
            <w:tcW w:w="0" w:type="dxa"/>
            <w:vAlign w:val="bottom"/>
          </w:tcPr>
          <w:p>
            <w:pPr>
              <w:spacing w:after="0"/>
              <w:rPr>
                <w:sz w:val="1"/>
                <w:szCs w:val="1"/>
                <w:color w:val="auto"/>
              </w:rPr>
            </w:pPr>
          </w:p>
        </w:tc>
      </w:tr>
      <w:tr>
        <w:trPr>
          <w:trHeight w:val="41"/>
        </w:trPr>
        <w:tc>
          <w:tcPr>
            <w:tcW w:w="2500" w:type="dxa"/>
            <w:vAlign w:val="bottom"/>
            <w:gridSpan w:val="3"/>
          </w:tcPr>
          <w:p>
            <w:pPr>
              <w:spacing w:after="0"/>
              <w:rPr>
                <w:sz w:val="20"/>
                <w:szCs w:val="20"/>
                <w:color w:val="auto"/>
              </w:rPr>
            </w:pPr>
            <w:r>
              <w:rPr>
                <w:rFonts w:ascii="Arial" w:cs="Arial" w:eastAsia="Arial" w:hAnsi="Arial"/>
                <w:sz w:val="3"/>
                <w:szCs w:val="3"/>
                <w:color w:val="FFFFFF"/>
              </w:rPr>
              <w:t>REPORTING STANDARDS</w:t>
            </w:r>
          </w:p>
        </w:tc>
        <w:tc>
          <w:tcPr>
            <w:tcW w:w="9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80" w:type="dxa"/>
            <w:vAlign w:val="bottom"/>
            <w:gridSpan w:val="5"/>
          </w:tcPr>
          <w:p>
            <w:pPr>
              <w:spacing w:after="0"/>
              <w:rPr>
                <w:sz w:val="20"/>
                <w:szCs w:val="20"/>
                <w:color w:val="auto"/>
              </w:rPr>
            </w:pPr>
            <w:r>
              <w:rPr>
                <w:rFonts w:ascii="Arial" w:cs="Arial" w:eastAsia="Arial" w:hAnsi="Arial"/>
                <w:sz w:val="3"/>
                <w:szCs w:val="3"/>
                <w:color w:val="FFFFFF"/>
              </w:rPr>
              <w:t>The following new/revised standards, amendments to standards and interpretations to existing</w:t>
            </w:r>
          </w:p>
        </w:tc>
        <w:tc>
          <w:tcPr>
            <w:tcW w:w="0" w:type="dxa"/>
            <w:vAlign w:val="bottom"/>
          </w:tcPr>
          <w:p>
            <w:pPr>
              <w:spacing w:after="0"/>
              <w:rPr>
                <w:sz w:val="1"/>
                <w:szCs w:val="1"/>
                <w:color w:val="auto"/>
              </w:rPr>
            </w:pPr>
          </w:p>
        </w:tc>
      </w:tr>
      <w:tr>
        <w:trPr>
          <w:trHeight w:val="41"/>
        </w:trPr>
        <w:tc>
          <w:tcPr>
            <w:tcW w:w="5080" w:type="dxa"/>
            <w:vAlign w:val="bottom"/>
            <w:gridSpan w:val="5"/>
          </w:tcPr>
          <w:p>
            <w:pPr>
              <w:spacing w:after="0"/>
              <w:rPr>
                <w:sz w:val="20"/>
                <w:szCs w:val="20"/>
                <w:color w:val="auto"/>
              </w:rPr>
            </w:pPr>
            <w:r>
              <w:rPr>
                <w:rFonts w:ascii="Arial" w:cs="Arial" w:eastAsia="Arial" w:hAnsi="Arial"/>
                <w:sz w:val="3"/>
                <w:szCs w:val="3"/>
                <w:color w:val="FFFFFF"/>
              </w:rPr>
              <w:t>standards have been issued but are not effective for the year ended 31 December 2011:</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IFRS 1</w:t>
            </w:r>
          </w:p>
        </w:tc>
        <w:tc>
          <w:tcPr>
            <w:tcW w:w="4680" w:type="dxa"/>
            <w:vAlign w:val="bottom"/>
            <w:gridSpan w:val="4"/>
          </w:tcPr>
          <w:p>
            <w:pPr>
              <w:ind w:left="20"/>
              <w:spacing w:after="0"/>
              <w:rPr>
                <w:sz w:val="20"/>
                <w:szCs w:val="20"/>
                <w:color w:val="auto"/>
              </w:rPr>
            </w:pPr>
            <w:r>
              <w:rPr>
                <w:rFonts w:ascii="Arial" w:cs="Arial" w:eastAsia="Arial" w:hAnsi="Arial"/>
                <w:sz w:val="3"/>
                <w:szCs w:val="3"/>
                <w:color w:val="FFFFFF"/>
              </w:rPr>
              <w:t>Amendments Amendments to IFRS 1 First-time Adoption of International</w:t>
            </w:r>
          </w:p>
        </w:tc>
        <w:tc>
          <w:tcPr>
            <w:tcW w:w="0" w:type="dxa"/>
            <w:vAlign w:val="bottom"/>
          </w:tcPr>
          <w:p>
            <w:pPr>
              <w:spacing w:after="0"/>
              <w:rPr>
                <w:sz w:val="1"/>
                <w:szCs w:val="1"/>
                <w:color w:val="auto"/>
              </w:rPr>
            </w:pPr>
          </w:p>
        </w:tc>
      </w:tr>
      <w:tr>
        <w:trPr>
          <w:trHeight w:val="41"/>
        </w:trPr>
        <w:tc>
          <w:tcPr>
            <w:tcW w:w="3420" w:type="dxa"/>
            <w:vAlign w:val="bottom"/>
            <w:gridSpan w:val="4"/>
          </w:tcPr>
          <w:p>
            <w:pPr>
              <w:spacing w:after="0"/>
              <w:rPr>
                <w:sz w:val="20"/>
                <w:szCs w:val="20"/>
                <w:color w:val="auto"/>
              </w:rPr>
            </w:pPr>
            <w:r>
              <w:rPr>
                <w:rFonts w:ascii="Arial" w:cs="Arial" w:eastAsia="Arial" w:hAnsi="Arial"/>
                <w:sz w:val="3"/>
                <w:szCs w:val="3"/>
                <w:color w:val="FFFFFF"/>
              </w:rPr>
              <w:t>Financial Reporting Standards — Severe Hyperinflation</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4"/>
          </w:tcPr>
          <w:p>
            <w:pPr>
              <w:spacing w:after="0"/>
              <w:rPr>
                <w:sz w:val="20"/>
                <w:szCs w:val="20"/>
                <w:color w:val="auto"/>
              </w:rPr>
            </w:pPr>
            <w:r>
              <w:rPr>
                <w:rFonts w:ascii="Arial" w:cs="Arial" w:eastAsia="Arial" w:hAnsi="Arial"/>
                <w:sz w:val="3"/>
                <w:szCs w:val="3"/>
                <w:color w:val="FFFFFF"/>
              </w:rPr>
              <w:t>and Removal of Fixed Dates for First-time Adopters1</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IFRS 7</w:t>
            </w:r>
          </w:p>
        </w:tc>
        <w:tc>
          <w:tcPr>
            <w:tcW w:w="4680" w:type="dxa"/>
            <w:vAlign w:val="bottom"/>
            <w:gridSpan w:val="4"/>
          </w:tcPr>
          <w:p>
            <w:pPr>
              <w:ind w:left="20"/>
              <w:spacing w:after="0"/>
              <w:rPr>
                <w:sz w:val="20"/>
                <w:szCs w:val="20"/>
                <w:color w:val="auto"/>
              </w:rPr>
            </w:pPr>
            <w:r>
              <w:rPr>
                <w:rFonts w:ascii="Arial" w:cs="Arial" w:eastAsia="Arial" w:hAnsi="Arial"/>
                <w:sz w:val="3"/>
                <w:szCs w:val="3"/>
                <w:color w:val="FFFFFF"/>
              </w:rPr>
              <w:t>Amendments Amendments to IFRS 7 Financial Instruments: Disclosures</w:t>
            </w:r>
          </w:p>
        </w:tc>
        <w:tc>
          <w:tcPr>
            <w:tcW w:w="0" w:type="dxa"/>
            <w:vAlign w:val="bottom"/>
          </w:tcPr>
          <w:p>
            <w:pPr>
              <w:spacing w:after="0"/>
              <w:rPr>
                <w:sz w:val="1"/>
                <w:szCs w:val="1"/>
                <w:color w:val="auto"/>
              </w:rPr>
            </w:pPr>
          </w:p>
        </w:tc>
      </w:tr>
      <w:tr>
        <w:trPr>
          <w:trHeight w:val="41"/>
        </w:trPr>
        <w:tc>
          <w:tcPr>
            <w:tcW w:w="2500" w:type="dxa"/>
            <w:vAlign w:val="bottom"/>
            <w:gridSpan w:val="3"/>
          </w:tcPr>
          <w:p>
            <w:pPr>
              <w:spacing w:after="0"/>
              <w:rPr>
                <w:sz w:val="20"/>
                <w:szCs w:val="20"/>
                <w:color w:val="auto"/>
              </w:rPr>
            </w:pPr>
            <w:r>
              <w:rPr>
                <w:rFonts w:ascii="Arial" w:cs="Arial" w:eastAsia="Arial" w:hAnsi="Arial"/>
                <w:sz w:val="3"/>
                <w:szCs w:val="3"/>
                <w:color w:val="FFFFFF"/>
              </w:rPr>
              <w:t>— Transfers of Financial Assets1</w:t>
            </w:r>
          </w:p>
        </w:tc>
        <w:tc>
          <w:tcPr>
            <w:tcW w:w="9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IFRS 7</w:t>
            </w:r>
          </w:p>
        </w:tc>
        <w:tc>
          <w:tcPr>
            <w:tcW w:w="4680" w:type="dxa"/>
            <w:vAlign w:val="bottom"/>
            <w:gridSpan w:val="4"/>
          </w:tcPr>
          <w:p>
            <w:pPr>
              <w:ind w:left="20"/>
              <w:spacing w:after="0"/>
              <w:rPr>
                <w:sz w:val="20"/>
                <w:szCs w:val="20"/>
                <w:color w:val="auto"/>
              </w:rPr>
            </w:pPr>
            <w:r>
              <w:rPr>
                <w:rFonts w:ascii="Arial" w:cs="Arial" w:eastAsia="Arial" w:hAnsi="Arial"/>
                <w:sz w:val="3"/>
                <w:szCs w:val="3"/>
                <w:color w:val="FFFFFF"/>
              </w:rPr>
              <w:t>Amendments Amendments to IFRS 7 Financial Instruments: Disclosures</w:t>
            </w:r>
          </w:p>
        </w:tc>
        <w:tc>
          <w:tcPr>
            <w:tcW w:w="0" w:type="dxa"/>
            <w:vAlign w:val="bottom"/>
          </w:tcPr>
          <w:p>
            <w:pPr>
              <w:spacing w:after="0"/>
              <w:rPr>
                <w:sz w:val="1"/>
                <w:szCs w:val="1"/>
                <w:color w:val="auto"/>
              </w:rPr>
            </w:pPr>
          </w:p>
        </w:tc>
      </w:tr>
      <w:tr>
        <w:trPr>
          <w:trHeight w:val="41"/>
        </w:trPr>
        <w:tc>
          <w:tcPr>
            <w:tcW w:w="3420" w:type="dxa"/>
            <w:vAlign w:val="bottom"/>
            <w:gridSpan w:val="4"/>
          </w:tcPr>
          <w:p>
            <w:pPr>
              <w:spacing w:after="0"/>
              <w:rPr>
                <w:sz w:val="20"/>
                <w:szCs w:val="20"/>
                <w:color w:val="auto"/>
              </w:rPr>
            </w:pPr>
            <w:r>
              <w:rPr>
                <w:rFonts w:ascii="Arial" w:cs="Arial" w:eastAsia="Arial" w:hAnsi="Arial"/>
                <w:sz w:val="3"/>
                <w:szCs w:val="3"/>
                <w:color w:val="FFFFFF"/>
              </w:rPr>
              <w:t>— Offsetting Financial Assets and Financial Liabilities4</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jc w:val="right"/>
              <w:spacing w:after="0"/>
              <w:rPr>
                <w:sz w:val="20"/>
                <w:szCs w:val="20"/>
                <w:color w:val="auto"/>
              </w:rPr>
            </w:pPr>
            <w:r>
              <w:rPr>
                <w:rFonts w:ascii="Arial" w:cs="Arial" w:eastAsia="Arial" w:hAnsi="Arial"/>
                <w:sz w:val="3"/>
                <w:szCs w:val="3"/>
                <w:color w:val="FFFFFF"/>
              </w:rPr>
              <w:t>9</w:t>
            </w:r>
          </w:p>
        </w:tc>
        <w:tc>
          <w:tcPr>
            <w:tcW w:w="2100" w:type="dxa"/>
            <w:vAlign w:val="bottom"/>
            <w:gridSpan w:val="2"/>
          </w:tcPr>
          <w:p>
            <w:pPr>
              <w:ind w:left="20"/>
              <w:spacing w:after="0"/>
              <w:rPr>
                <w:sz w:val="20"/>
                <w:szCs w:val="20"/>
                <w:color w:val="auto"/>
              </w:rPr>
            </w:pPr>
            <w:r>
              <w:rPr>
                <w:rFonts w:ascii="Arial" w:cs="Arial" w:eastAsia="Arial" w:hAnsi="Arial"/>
                <w:sz w:val="3"/>
                <w:szCs w:val="3"/>
                <w:color w:val="FFFFFF"/>
              </w:rPr>
              <w:t>Financial Instruments6</w:t>
            </w:r>
          </w:p>
        </w:tc>
        <w:tc>
          <w:tcPr>
            <w:tcW w:w="9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2100" w:type="dxa"/>
            <w:vAlign w:val="bottom"/>
            <w:gridSpan w:val="2"/>
          </w:tcPr>
          <w:p>
            <w:pPr>
              <w:spacing w:after="0"/>
              <w:rPr>
                <w:sz w:val="20"/>
                <w:szCs w:val="20"/>
                <w:color w:val="auto"/>
              </w:rPr>
            </w:pPr>
            <w:r>
              <w:rPr>
                <w:rFonts w:ascii="Arial" w:cs="Arial" w:eastAsia="Arial" w:hAnsi="Arial"/>
                <w:sz w:val="3"/>
                <w:szCs w:val="3"/>
                <w:color w:val="FFFFFF"/>
              </w:rPr>
              <w:t>0 Consolidated Financial Statements4</w:t>
            </w:r>
          </w:p>
        </w:tc>
        <w:tc>
          <w:tcPr>
            <w:tcW w:w="9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60" w:type="dxa"/>
            <w:vAlign w:val="bottom"/>
            <w:vMerge w:val="restart"/>
          </w:tcPr>
          <w:p>
            <w:pPr>
              <w:spacing w:after="0" w:line="81" w:lineRule="exact"/>
              <w:rPr>
                <w:sz w:val="20"/>
                <w:szCs w:val="20"/>
                <w:color w:val="auto"/>
              </w:rPr>
            </w:pPr>
            <w:r>
              <w:rPr>
                <w:rFonts w:ascii="Arial" w:cs="Arial" w:eastAsia="Arial" w:hAnsi="Arial"/>
                <w:sz w:val="9"/>
                <w:szCs w:val="9"/>
                <w:color w:val="FFFFFF"/>
                <w:w w:val="78"/>
              </w:rPr>
              <w:t>2</w:t>
            </w:r>
          </w:p>
        </w:tc>
        <w:tc>
          <w:tcPr>
            <w:tcW w:w="2040" w:type="dxa"/>
            <w:vAlign w:val="bottom"/>
          </w:tcPr>
          <w:p>
            <w:pPr>
              <w:ind w:left="40"/>
              <w:spacing w:after="0"/>
              <w:rPr>
                <w:sz w:val="20"/>
                <w:szCs w:val="20"/>
                <w:color w:val="auto"/>
              </w:rPr>
            </w:pPr>
            <w:r>
              <w:rPr>
                <w:rFonts w:ascii="Arial" w:cs="Arial" w:eastAsia="Arial" w:hAnsi="Arial"/>
                <w:sz w:val="3"/>
                <w:szCs w:val="3"/>
                <w:color w:val="FFFFFF"/>
              </w:rPr>
              <w:t>Joint Arrangements4</w:t>
            </w:r>
          </w:p>
        </w:tc>
        <w:tc>
          <w:tcPr>
            <w:tcW w:w="9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960" w:type="dxa"/>
            <w:vAlign w:val="bottom"/>
            <w:gridSpan w:val="2"/>
          </w:tcPr>
          <w:p>
            <w:pPr>
              <w:ind w:left="40"/>
              <w:spacing w:after="0"/>
              <w:rPr>
                <w:sz w:val="20"/>
                <w:szCs w:val="20"/>
                <w:color w:val="auto"/>
              </w:rPr>
            </w:pPr>
            <w:r>
              <w:rPr>
                <w:rFonts w:ascii="Arial" w:cs="Arial" w:eastAsia="Arial" w:hAnsi="Arial"/>
                <w:sz w:val="3"/>
                <w:szCs w:val="3"/>
                <w:color w:val="FFFFFF"/>
              </w:rPr>
              <w:t>Disclosure of interests in Other Entities4</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gridSpan w:val="2"/>
          </w:tcPr>
          <w:p>
            <w:pPr>
              <w:ind w:left="60"/>
              <w:spacing w:after="0"/>
              <w:rPr>
                <w:sz w:val="20"/>
                <w:szCs w:val="20"/>
                <w:color w:val="auto"/>
              </w:rPr>
            </w:pPr>
            <w:r>
              <w:rPr>
                <w:rFonts w:ascii="Arial" w:cs="Arial" w:eastAsia="Arial" w:hAnsi="Arial"/>
                <w:sz w:val="3"/>
                <w:szCs w:val="3"/>
                <w:color w:val="FFFFFF"/>
              </w:rPr>
              <w:t>FRS 13</w:t>
            </w:r>
          </w:p>
        </w:tc>
        <w:tc>
          <w:tcPr>
            <w:tcW w:w="2040" w:type="dxa"/>
            <w:vAlign w:val="bottom"/>
          </w:tcPr>
          <w:p>
            <w:pPr>
              <w:ind w:left="40"/>
              <w:spacing w:after="0"/>
              <w:rPr>
                <w:sz w:val="20"/>
                <w:szCs w:val="20"/>
                <w:color w:val="auto"/>
              </w:rPr>
            </w:pPr>
            <w:r>
              <w:rPr>
                <w:rFonts w:ascii="Arial" w:cs="Arial" w:eastAsia="Arial" w:hAnsi="Arial"/>
                <w:sz w:val="3"/>
                <w:szCs w:val="3"/>
                <w:color w:val="FFFFFF"/>
              </w:rPr>
              <w:t>Fair Value Measurement4</w:t>
            </w:r>
          </w:p>
        </w:tc>
        <w:tc>
          <w:tcPr>
            <w:tcW w:w="9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80" w:type="dxa"/>
            <w:vAlign w:val="bottom"/>
            <w:gridSpan w:val="5"/>
          </w:tcPr>
          <w:p>
            <w:pPr>
              <w:spacing w:after="0"/>
              <w:rPr>
                <w:sz w:val="20"/>
                <w:szCs w:val="20"/>
                <w:color w:val="auto"/>
              </w:rPr>
            </w:pPr>
            <w:r>
              <w:rPr>
                <w:rFonts w:ascii="Arial" w:cs="Arial" w:eastAsia="Arial" w:hAnsi="Arial"/>
                <w:sz w:val="3"/>
                <w:szCs w:val="3"/>
                <w:color w:val="FFFFFF"/>
              </w:rPr>
              <w:t>IAS 1 Amendments Amendments to IAS 1 Presentation of Financial Statements —</w:t>
            </w:r>
          </w:p>
        </w:tc>
        <w:tc>
          <w:tcPr>
            <w:tcW w:w="0" w:type="dxa"/>
            <w:vAlign w:val="bottom"/>
          </w:tcPr>
          <w:p>
            <w:pPr>
              <w:spacing w:after="0"/>
              <w:rPr>
                <w:sz w:val="1"/>
                <w:szCs w:val="1"/>
                <w:color w:val="auto"/>
              </w:rPr>
            </w:pPr>
          </w:p>
        </w:tc>
      </w:tr>
      <w:tr>
        <w:trPr>
          <w:trHeight w:val="41"/>
        </w:trPr>
        <w:tc>
          <w:tcPr>
            <w:tcW w:w="3420" w:type="dxa"/>
            <w:vAlign w:val="bottom"/>
            <w:gridSpan w:val="4"/>
          </w:tcPr>
          <w:p>
            <w:pPr>
              <w:spacing w:after="0"/>
              <w:rPr>
                <w:sz w:val="20"/>
                <w:szCs w:val="20"/>
                <w:color w:val="auto"/>
              </w:rPr>
            </w:pPr>
            <w:r>
              <w:rPr>
                <w:rFonts w:ascii="Arial" w:cs="Arial" w:eastAsia="Arial" w:hAnsi="Arial"/>
                <w:sz w:val="3"/>
                <w:szCs w:val="3"/>
                <w:color w:val="FFFFFF"/>
              </w:rPr>
              <w:t>Presentation of Items of Other Comprehensive Income3</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80" w:type="dxa"/>
            <w:vAlign w:val="bottom"/>
            <w:gridSpan w:val="5"/>
          </w:tcPr>
          <w:p>
            <w:pPr>
              <w:spacing w:after="0"/>
              <w:rPr>
                <w:sz w:val="20"/>
                <w:szCs w:val="20"/>
                <w:color w:val="auto"/>
              </w:rPr>
            </w:pPr>
            <w:r>
              <w:rPr>
                <w:rFonts w:ascii="Arial" w:cs="Arial" w:eastAsia="Arial" w:hAnsi="Arial"/>
                <w:sz w:val="3"/>
                <w:szCs w:val="3"/>
                <w:color w:val="FFFFFF"/>
              </w:rPr>
              <w:t>IAS 12 Amendments Amendments to IAS 12 Income Taxes — Deferred</w:t>
            </w:r>
          </w:p>
        </w:tc>
        <w:tc>
          <w:tcPr>
            <w:tcW w:w="0" w:type="dxa"/>
            <w:vAlign w:val="bottom"/>
          </w:tcPr>
          <w:p>
            <w:pPr>
              <w:spacing w:after="0"/>
              <w:rPr>
                <w:sz w:val="1"/>
                <w:szCs w:val="1"/>
                <w:color w:val="auto"/>
              </w:rPr>
            </w:pPr>
          </w:p>
        </w:tc>
      </w:tr>
      <w:tr>
        <w:trPr>
          <w:trHeight w:val="41"/>
        </w:trPr>
        <w:tc>
          <w:tcPr>
            <w:tcW w:w="2500" w:type="dxa"/>
            <w:vAlign w:val="bottom"/>
            <w:gridSpan w:val="3"/>
          </w:tcPr>
          <w:p>
            <w:pPr>
              <w:spacing w:after="0"/>
              <w:rPr>
                <w:sz w:val="20"/>
                <w:szCs w:val="20"/>
                <w:color w:val="auto"/>
              </w:rPr>
            </w:pPr>
            <w:r>
              <w:rPr>
                <w:rFonts w:ascii="Arial" w:cs="Arial" w:eastAsia="Arial" w:hAnsi="Arial"/>
                <w:sz w:val="3"/>
                <w:szCs w:val="3"/>
                <w:color w:val="FFFFFF"/>
              </w:rPr>
              <w:t>Tax: Recovery of Underlying Assets2</w:t>
            </w:r>
          </w:p>
        </w:tc>
        <w:tc>
          <w:tcPr>
            <w:tcW w:w="9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jc w:val="right"/>
              <w:spacing w:after="0"/>
              <w:rPr>
                <w:sz w:val="20"/>
                <w:szCs w:val="20"/>
                <w:color w:val="auto"/>
              </w:rPr>
            </w:pPr>
            <w:r>
              <w:rPr>
                <w:rFonts w:ascii="Arial" w:cs="Arial" w:eastAsia="Arial" w:hAnsi="Arial"/>
                <w:sz w:val="3"/>
                <w:szCs w:val="3"/>
                <w:color w:val="FFFFFF"/>
              </w:rPr>
              <w:t>19</w:t>
            </w:r>
          </w:p>
        </w:tc>
        <w:tc>
          <w:tcPr>
            <w:tcW w:w="60" w:type="dxa"/>
            <w:vAlign w:val="bottom"/>
          </w:tcPr>
          <w:p>
            <w:pPr>
              <w:spacing w:after="0"/>
              <w:rPr>
                <w:sz w:val="3"/>
                <w:szCs w:val="3"/>
                <w:color w:val="auto"/>
              </w:rPr>
            </w:pPr>
          </w:p>
        </w:tc>
        <w:tc>
          <w:tcPr>
            <w:tcW w:w="2040" w:type="dxa"/>
            <w:vAlign w:val="bottom"/>
          </w:tcPr>
          <w:p>
            <w:pPr>
              <w:ind w:left="20"/>
              <w:spacing w:after="0"/>
              <w:rPr>
                <w:sz w:val="20"/>
                <w:szCs w:val="20"/>
                <w:color w:val="auto"/>
              </w:rPr>
            </w:pPr>
            <w:r>
              <w:rPr>
                <w:rFonts w:ascii="Arial" w:cs="Arial" w:eastAsia="Arial" w:hAnsi="Arial"/>
                <w:sz w:val="3"/>
                <w:szCs w:val="3"/>
                <w:color w:val="FFFFFF"/>
              </w:rPr>
              <w:t>Amendment) Employee Benefits4</w:t>
            </w:r>
          </w:p>
        </w:tc>
        <w:tc>
          <w:tcPr>
            <w:tcW w:w="92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Statements4</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jc w:val="right"/>
              <w:spacing w:after="0"/>
              <w:rPr>
                <w:sz w:val="20"/>
                <w:szCs w:val="20"/>
                <w:color w:val="auto"/>
              </w:rPr>
            </w:pPr>
            <w:r>
              <w:rPr>
                <w:rFonts w:ascii="Arial" w:cs="Arial" w:eastAsia="Arial" w:hAnsi="Arial"/>
                <w:sz w:val="3"/>
                <w:szCs w:val="3"/>
                <w:color w:val="FFFFFF"/>
              </w:rPr>
              <w:t>7</w:t>
            </w:r>
          </w:p>
        </w:tc>
        <w:tc>
          <w:tcPr>
            <w:tcW w:w="60" w:type="dxa"/>
            <w:vAlign w:val="bottom"/>
          </w:tcPr>
          <w:p>
            <w:pPr>
              <w:spacing w:after="0"/>
              <w:rPr>
                <w:sz w:val="3"/>
                <w:szCs w:val="3"/>
                <w:color w:val="auto"/>
              </w:rPr>
            </w:pPr>
          </w:p>
        </w:tc>
        <w:tc>
          <w:tcPr>
            <w:tcW w:w="2040" w:type="dxa"/>
            <w:vAlign w:val="bottom"/>
          </w:tcPr>
          <w:p>
            <w:pPr>
              <w:ind w:left="1060"/>
              <w:spacing w:after="0"/>
              <w:rPr>
                <w:sz w:val="20"/>
                <w:szCs w:val="20"/>
                <w:color w:val="auto"/>
              </w:rPr>
            </w:pPr>
            <w:r>
              <w:rPr>
                <w:rFonts w:ascii="Arial" w:cs="Arial" w:eastAsia="Arial" w:hAnsi="Arial"/>
                <w:sz w:val="3"/>
                <w:szCs w:val="3"/>
                <w:color w:val="FFFFFF"/>
              </w:rPr>
              <w:t>Separate</w:t>
            </w:r>
          </w:p>
        </w:tc>
        <w:tc>
          <w:tcPr>
            <w:tcW w:w="92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jc w:val="right"/>
              <w:spacing w:after="0"/>
              <w:rPr>
                <w:sz w:val="20"/>
                <w:szCs w:val="20"/>
                <w:color w:val="auto"/>
              </w:rPr>
            </w:pPr>
            <w:r>
              <w:rPr>
                <w:rFonts w:ascii="Arial" w:cs="Arial" w:eastAsia="Arial" w:hAnsi="Arial"/>
                <w:sz w:val="3"/>
                <w:szCs w:val="3"/>
                <w:color w:val="FFFFFF"/>
              </w:rPr>
              <w:t>28</w:t>
            </w:r>
          </w:p>
        </w:tc>
        <w:tc>
          <w:tcPr>
            <w:tcW w:w="4680" w:type="dxa"/>
            <w:vAlign w:val="bottom"/>
            <w:gridSpan w:val="4"/>
          </w:tcPr>
          <w:p>
            <w:pPr>
              <w:ind w:left="20"/>
              <w:spacing w:after="0"/>
              <w:rPr>
                <w:sz w:val="20"/>
                <w:szCs w:val="20"/>
                <w:color w:val="auto"/>
              </w:rPr>
            </w:pPr>
            <w:r>
              <w:rPr>
                <w:rFonts w:ascii="Arial" w:cs="Arial" w:eastAsia="Arial" w:hAnsi="Arial"/>
                <w:sz w:val="3"/>
                <w:szCs w:val="3"/>
                <w:color w:val="FFFFFF"/>
              </w:rPr>
              <w:t>(as revised in 2011) InvestmentsFinancialAssociates and Joint Ventures4</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IAS 32</w:t>
            </w:r>
          </w:p>
        </w:tc>
        <w:tc>
          <w:tcPr>
            <w:tcW w:w="4680" w:type="dxa"/>
            <w:vAlign w:val="bottom"/>
            <w:gridSpan w:val="4"/>
          </w:tcPr>
          <w:p>
            <w:pPr>
              <w:ind w:left="20"/>
              <w:spacing w:after="0"/>
              <w:rPr>
                <w:sz w:val="20"/>
                <w:szCs w:val="20"/>
                <w:color w:val="auto"/>
              </w:rPr>
            </w:pPr>
            <w:r>
              <w:rPr>
                <w:rFonts w:ascii="Arial" w:cs="Arial" w:eastAsia="Arial" w:hAnsi="Arial"/>
                <w:sz w:val="3"/>
                <w:szCs w:val="3"/>
                <w:color w:val="FFFFFF"/>
              </w:rPr>
              <w:t>Amendments Amendments to IAS 32 Financial Instruments: Presentation</w:t>
            </w:r>
          </w:p>
        </w:tc>
        <w:tc>
          <w:tcPr>
            <w:tcW w:w="0" w:type="dxa"/>
            <w:vAlign w:val="bottom"/>
          </w:tcPr>
          <w:p>
            <w:pPr>
              <w:spacing w:after="0"/>
              <w:rPr>
                <w:sz w:val="1"/>
                <w:szCs w:val="1"/>
                <w:color w:val="auto"/>
              </w:rPr>
            </w:pPr>
          </w:p>
        </w:tc>
      </w:tr>
      <w:tr>
        <w:trPr>
          <w:trHeight w:val="41"/>
        </w:trPr>
        <w:tc>
          <w:tcPr>
            <w:tcW w:w="2500" w:type="dxa"/>
            <w:vAlign w:val="bottom"/>
            <w:gridSpan w:val="3"/>
          </w:tcPr>
          <w:p>
            <w:pPr>
              <w:spacing w:after="0"/>
              <w:rPr>
                <w:sz w:val="20"/>
                <w:szCs w:val="20"/>
                <w:color w:val="auto"/>
              </w:rPr>
            </w:pPr>
            <w:r>
              <w:rPr>
                <w:rFonts w:ascii="Arial" w:cs="Arial" w:eastAsia="Arial" w:hAnsi="Arial"/>
                <w:sz w:val="3"/>
                <w:szCs w:val="3"/>
                <w:color w:val="FFFFFF"/>
              </w:rPr>
              <w:t>— Offsetting Financial Assets and Financial</w:t>
            </w:r>
          </w:p>
        </w:tc>
        <w:tc>
          <w:tcPr>
            <w:tcW w:w="9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80" w:type="dxa"/>
            <w:vAlign w:val="bottom"/>
            <w:gridSpan w:val="5"/>
          </w:tcPr>
          <w:p>
            <w:pPr>
              <w:spacing w:after="0"/>
              <w:rPr>
                <w:sz w:val="20"/>
                <w:szCs w:val="20"/>
                <w:color w:val="auto"/>
              </w:rPr>
            </w:pPr>
            <w:r>
              <w:rPr>
                <w:rFonts w:ascii="Arial" w:cs="Arial" w:eastAsia="Arial" w:hAnsi="Arial"/>
                <w:sz w:val="3"/>
                <w:szCs w:val="3"/>
                <w:color w:val="FFFFFF"/>
              </w:rPr>
              <w:t>IFRIC 20 Stripping Costs in the Production PhaseLiabilities5ofSurface Mine4</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580" w:type="dxa"/>
            <w:vAlign w:val="bottom"/>
            <w:gridSpan w:val="2"/>
          </w:tcPr>
          <w:p>
            <w:pPr>
              <w:ind w:left="380"/>
              <w:spacing w:after="0" w:line="81" w:lineRule="exact"/>
              <w:rPr>
                <w:sz w:val="20"/>
                <w:szCs w:val="20"/>
                <w:color w:val="auto"/>
              </w:rPr>
            </w:pPr>
            <w:r>
              <w:rPr>
                <w:rFonts w:ascii="Arial" w:cs="Arial" w:eastAsia="Arial" w:hAnsi="Arial"/>
                <w:sz w:val="7"/>
                <w:szCs w:val="7"/>
                <w:color w:val="FFFFFF"/>
              </w:rPr>
              <w:t>anuary</w:t>
            </w:r>
            <w:r>
              <w:rPr>
                <w:rFonts w:ascii="Arial" w:cs="Arial" w:eastAsia="Arial" w:hAnsi="Arial"/>
                <w:sz w:val="9"/>
                <w:szCs w:val="9"/>
                <w:color w:val="FFFFFF"/>
                <w:vertAlign w:val="superscript"/>
              </w:rPr>
              <w:t>201</w:t>
            </w:r>
            <w:r>
              <w:rPr>
                <w:rFonts w:ascii="Arial" w:cs="Arial" w:eastAsia="Arial" w:hAnsi="Arial"/>
                <w:sz w:val="7"/>
                <w:szCs w:val="7"/>
                <w:color w:val="FFFFFF"/>
              </w:rPr>
              <w:t>2012</w:t>
            </w:r>
          </w:p>
        </w:tc>
        <w:tc>
          <w:tcPr>
            <w:tcW w:w="0" w:type="dxa"/>
            <w:vAlign w:val="bottom"/>
          </w:tcPr>
          <w:p>
            <w:pPr>
              <w:spacing w:after="0"/>
              <w:rPr>
                <w:sz w:val="1"/>
                <w:szCs w:val="1"/>
                <w:color w:val="auto"/>
              </w:rPr>
            </w:pPr>
          </w:p>
        </w:tc>
      </w:tr>
      <w:tr>
        <w:trPr>
          <w:trHeight w:val="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ind w:left="380"/>
              <w:spacing w:after="0" w:line="2" w:lineRule="exact"/>
              <w:rPr>
                <w:sz w:val="20"/>
                <w:szCs w:val="20"/>
                <w:color w:val="auto"/>
              </w:rPr>
            </w:pPr>
            <w:r>
              <w:rPr>
                <w:rFonts w:ascii="Arial" w:cs="Arial" w:eastAsia="Arial" w:hAnsi="Arial"/>
                <w:sz w:val="1"/>
                <w:szCs w:val="1"/>
                <w:color w:val="FFFFFF"/>
              </w:rPr>
              <w:t>uly 2012</w:t>
            </w:r>
          </w:p>
        </w:tc>
        <w:tc>
          <w:tcPr>
            <w:tcW w:w="1660" w:type="dxa"/>
            <w:vAlign w:val="bottom"/>
          </w:tcPr>
          <w:p>
            <w:pPr>
              <w:jc w:val="right"/>
              <w:ind w:right="1534"/>
              <w:spacing w:after="0" w:line="2" w:lineRule="exact"/>
              <w:rPr>
                <w:sz w:val="20"/>
                <w:szCs w:val="20"/>
                <w:color w:val="auto"/>
              </w:rPr>
            </w:pPr>
            <w:r>
              <w:rPr>
                <w:rFonts w:ascii="Arial" w:cs="Arial" w:eastAsia="Arial" w:hAnsi="Arial"/>
                <w:sz w:val="1"/>
                <w:szCs w:val="1"/>
                <w:color w:val="FFFFFF"/>
              </w:rPr>
              <w:t>3</w:t>
            </w: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jc w:val="right"/>
        <w:ind w:right="6679"/>
        <w:spacing w:after="0"/>
        <w:rPr>
          <w:sz w:val="20"/>
          <w:szCs w:val="20"/>
          <w:color w:val="auto"/>
        </w:rPr>
      </w:pPr>
      <w:r>
        <w:rPr>
          <w:rFonts w:ascii="Arial" w:cs="Arial" w:eastAsia="Arial" w:hAnsi="Arial"/>
          <w:sz w:val="12"/>
          <w:szCs w:val="12"/>
          <w:color w:val="FFFFFF"/>
        </w:rPr>
        <w:t>Effective for annual periods beginning on or after 1 January 20154</w:t>
      </w:r>
    </w:p>
    <w:p>
      <w:pPr>
        <w:sectPr>
          <w:pgSz w:w="11900" w:h="16838" w:orient="portrait"/>
          <w:cols w:equalWidth="0" w:num="1">
            <w:col w:w="10219"/>
          </w:cols>
          <w:pgMar w:left="240" w:top="1440" w:right="1440"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Arial" w:cs="Arial" w:eastAsia="Arial" w:hAnsi="Arial"/>
                <w:sz w:val="14"/>
                <w:szCs w:val="14"/>
                <w:color w:val="FFFFFF"/>
              </w:rPr>
              <w:t>100 Wynn Macau, Limited</w:t>
            </w:r>
          </w:p>
        </w:tc>
        <w:tc>
          <w:tcPr>
            <w:tcW w:w="444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4440" w:type="dxa"/>
            <w:vAlign w:val="bottom"/>
          </w:tcPr>
          <w:p>
            <w:pPr>
              <w:spacing w:after="0"/>
              <w:rPr>
                <w:sz w:val="3"/>
                <w:szCs w:val="3"/>
                <w:color w:val="auto"/>
              </w:rPr>
            </w:pPr>
          </w:p>
        </w:tc>
        <w:tc>
          <w:tcPr>
            <w:tcW w:w="4560" w:type="dxa"/>
            <w:vAlign w:val="bottom"/>
          </w:tcPr>
          <w:p>
            <w:pPr>
              <w:spacing w:after="0"/>
              <w:rPr>
                <w:sz w:val="3"/>
                <w:szCs w:val="3"/>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4440" w:type="dxa"/>
            <w:vAlign w:val="bottom"/>
          </w:tcPr>
          <w:p>
            <w:pPr>
              <w:spacing w:after="0"/>
              <w:rPr>
                <w:sz w:val="3"/>
                <w:szCs w:val="3"/>
                <w:color w:val="auto"/>
              </w:rPr>
            </w:pPr>
          </w:p>
        </w:tc>
        <w:tc>
          <w:tcPr>
            <w:tcW w:w="4560" w:type="dxa"/>
            <w:vAlign w:val="bottom"/>
          </w:tcPr>
          <w:p>
            <w:pPr>
              <w:spacing w:after="0"/>
              <w:rPr>
                <w:sz w:val="3"/>
                <w:szCs w:val="3"/>
                <w:color w:val="auto"/>
              </w:rPr>
            </w:pPr>
          </w:p>
        </w:tc>
      </w:tr>
      <w:tr>
        <w:trPr>
          <w:trHeight w:val="108"/>
        </w:trPr>
        <w:tc>
          <w:tcPr>
            <w:tcW w:w="2420" w:type="dxa"/>
            <w:vAlign w:val="bottom"/>
            <w:gridSpan w:val="2"/>
          </w:tcPr>
          <w:p>
            <w:pPr>
              <w:spacing w:after="0" w:line="108" w:lineRule="exact"/>
              <w:rPr>
                <w:sz w:val="20"/>
                <w:szCs w:val="20"/>
                <w:color w:val="auto"/>
              </w:rPr>
            </w:pPr>
            <w:r>
              <w:rPr>
                <w:rFonts w:ascii="Arial" w:cs="Arial" w:eastAsia="Arial" w:hAnsi="Arial"/>
                <w:sz w:val="12"/>
                <w:szCs w:val="12"/>
                <w:color w:val="FFFFFF"/>
              </w:rPr>
              <w:t>For the year ended 31 December 2011</w:t>
            </w:r>
          </w:p>
        </w:tc>
        <w:tc>
          <w:tcPr>
            <w:tcW w:w="4440" w:type="dxa"/>
            <w:vAlign w:val="bottom"/>
          </w:tcPr>
          <w:p>
            <w:pPr>
              <w:spacing w:after="0"/>
              <w:rPr>
                <w:sz w:val="9"/>
                <w:szCs w:val="9"/>
                <w:color w:val="auto"/>
              </w:rPr>
            </w:pPr>
          </w:p>
        </w:tc>
        <w:tc>
          <w:tcPr>
            <w:tcW w:w="4560" w:type="dxa"/>
            <w:vAlign w:val="bottom"/>
          </w:tcPr>
          <w:p>
            <w:pPr>
              <w:spacing w:after="0"/>
              <w:rPr>
                <w:sz w:val="9"/>
                <w:szCs w:val="9"/>
                <w:color w:val="auto"/>
              </w:rPr>
            </w:pPr>
          </w:p>
        </w:tc>
      </w:tr>
      <w:tr>
        <w:trPr>
          <w:trHeight w:val="41"/>
        </w:trPr>
        <w:tc>
          <w:tcPr>
            <w:tcW w:w="6860" w:type="dxa"/>
            <w:vAlign w:val="bottom"/>
            <w:gridSpan w:val="3"/>
          </w:tcPr>
          <w:p>
            <w:pPr>
              <w:spacing w:after="0"/>
              <w:rPr>
                <w:sz w:val="20"/>
                <w:szCs w:val="20"/>
                <w:color w:val="auto"/>
              </w:rPr>
            </w:pPr>
            <w:r>
              <w:rPr>
                <w:rFonts w:ascii="Arial" w:cs="Arial" w:eastAsia="Arial" w:hAnsi="Arial"/>
                <w:sz w:val="3"/>
                <w:szCs w:val="3"/>
                <w:color w:val="FFFFFF"/>
              </w:rPr>
              <w:t>2.4 IMPACT OF ISSUED BUT NOT YET EFFECTIVE INTERNATIONAL FINANCIAL</w:t>
            </w:r>
          </w:p>
        </w:tc>
        <w:tc>
          <w:tcPr>
            <w:tcW w:w="4560" w:type="dxa"/>
            <w:vAlign w:val="bottom"/>
          </w:tcPr>
          <w:p>
            <w:pPr>
              <w:spacing w:after="0"/>
              <w:rPr>
                <w:sz w:val="3"/>
                <w:szCs w:val="3"/>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REPORTING STANDARDS (continued)</w:t>
            </w:r>
          </w:p>
        </w:tc>
        <w:tc>
          <w:tcPr>
            <w:tcW w:w="4440" w:type="dxa"/>
            <w:vAlign w:val="bottom"/>
          </w:tcPr>
          <w:p>
            <w:pPr>
              <w:spacing w:after="0"/>
              <w:rPr>
                <w:sz w:val="3"/>
                <w:szCs w:val="3"/>
                <w:color w:val="auto"/>
              </w:rPr>
            </w:pPr>
          </w:p>
        </w:tc>
        <w:tc>
          <w:tcPr>
            <w:tcW w:w="4560" w:type="dxa"/>
            <w:vAlign w:val="bottom"/>
          </w:tcPr>
          <w:p>
            <w:pPr>
              <w:spacing w:after="0"/>
              <w:rPr>
                <w:sz w:val="3"/>
                <w:szCs w:val="3"/>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The Group has not early adopted any of the above standards, interpretations and amendments to the existing standards, and continues to assess the impact of these new and revised IFRSs on the Group’s results of</w:t>
            </w: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operations, fi nancial position, and its fi</w:t>
            </w:r>
          </w:p>
        </w:tc>
        <w:tc>
          <w:tcPr>
            <w:tcW w:w="9000" w:type="dxa"/>
            <w:vAlign w:val="bottom"/>
            <w:gridSpan w:val="2"/>
          </w:tcPr>
          <w:p>
            <w:pPr>
              <w:ind w:left="200"/>
              <w:spacing w:after="0"/>
              <w:rPr>
                <w:sz w:val="20"/>
                <w:szCs w:val="20"/>
                <w:color w:val="auto"/>
              </w:rPr>
            </w:pPr>
            <w:r>
              <w:rPr>
                <w:rFonts w:ascii="Arial" w:cs="Arial" w:eastAsia="Arial" w:hAnsi="Arial"/>
                <w:sz w:val="3"/>
                <w:szCs w:val="3"/>
                <w:color w:val="FFFFFF"/>
              </w:rPr>
              <w:t>reporting disclosures. While the adoption of some of the amendments and the new and revised IFRSs may result in change in accounting policies and new</w:t>
            </w:r>
          </w:p>
        </w:tc>
      </w:tr>
      <w:tr>
        <w:trPr>
          <w:trHeight w:val="41"/>
        </w:trPr>
        <w:tc>
          <w:tcPr>
            <w:tcW w:w="6860" w:type="dxa"/>
            <w:vAlign w:val="bottom"/>
            <w:gridSpan w:val="3"/>
          </w:tcPr>
          <w:p>
            <w:pPr>
              <w:spacing w:after="0"/>
              <w:rPr>
                <w:sz w:val="20"/>
                <w:szCs w:val="20"/>
                <w:color w:val="auto"/>
              </w:rPr>
            </w:pPr>
            <w:r>
              <w:rPr>
                <w:rFonts w:ascii="Arial" w:cs="Arial" w:eastAsia="Arial" w:hAnsi="Arial"/>
                <w:sz w:val="3"/>
                <w:szCs w:val="3"/>
                <w:color w:val="FFFFFF"/>
              </w:rPr>
              <w:t>disclosure, none of these are expected tonancialhave signifi cant fi nancial impact on the Group.</w:t>
            </w:r>
          </w:p>
        </w:tc>
        <w:tc>
          <w:tcPr>
            <w:tcW w:w="4560" w:type="dxa"/>
            <w:vAlign w:val="bottom"/>
          </w:tcPr>
          <w:p>
            <w:pPr>
              <w:spacing w:after="0"/>
              <w:rPr>
                <w:sz w:val="3"/>
                <w:szCs w:val="3"/>
                <w:color w:val="auto"/>
              </w:rPr>
            </w:pPr>
          </w:p>
        </w:tc>
      </w:tr>
      <w:tr>
        <w:trPr>
          <w:trHeight w:val="41"/>
        </w:trPr>
        <w:tc>
          <w:tcPr>
            <w:tcW w:w="6860" w:type="dxa"/>
            <w:vAlign w:val="bottom"/>
            <w:gridSpan w:val="3"/>
          </w:tcPr>
          <w:p>
            <w:pPr>
              <w:spacing w:after="0"/>
              <w:rPr>
                <w:sz w:val="20"/>
                <w:szCs w:val="20"/>
                <w:color w:val="auto"/>
              </w:rPr>
            </w:pPr>
            <w:r>
              <w:rPr>
                <w:rFonts w:ascii="Arial" w:cs="Arial" w:eastAsia="Arial" w:hAnsi="Arial"/>
                <w:sz w:val="3"/>
                <w:szCs w:val="3"/>
                <w:color w:val="FFFFFF"/>
              </w:rPr>
              <w:t>2.5 SIGNIFICANT ACCOUNTING JUDGMENTS AND ESTIMATES</w:t>
            </w:r>
          </w:p>
        </w:tc>
        <w:tc>
          <w:tcPr>
            <w:tcW w:w="4560" w:type="dxa"/>
            <w:vAlign w:val="bottom"/>
          </w:tcPr>
          <w:p>
            <w:pPr>
              <w:spacing w:after="0"/>
              <w:rPr>
                <w:sz w:val="3"/>
                <w:szCs w:val="3"/>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The preparation of the Group’ fi nancial statements requires management to make judgments, estimates and assumptions that affect the reported amounts of revenues, expenses, assets and liabilities, and the</w:t>
            </w:r>
          </w:p>
        </w:tc>
      </w:tr>
      <w:tr>
        <w:trPr>
          <w:trHeight w:val="41"/>
        </w:trPr>
        <w:tc>
          <w:tcPr>
            <w:tcW w:w="6860" w:type="dxa"/>
            <w:vAlign w:val="bottom"/>
            <w:gridSpan w:val="3"/>
          </w:tcPr>
          <w:p>
            <w:pPr>
              <w:spacing w:after="0"/>
              <w:rPr>
                <w:sz w:val="20"/>
                <w:szCs w:val="20"/>
                <w:color w:val="auto"/>
              </w:rPr>
            </w:pPr>
            <w:r>
              <w:rPr>
                <w:rFonts w:ascii="Arial" w:cs="Arial" w:eastAsia="Arial" w:hAnsi="Arial"/>
                <w:sz w:val="3"/>
                <w:szCs w:val="3"/>
                <w:color w:val="FFFFFF"/>
              </w:rPr>
              <w:t>disclosure of contingent liabilities, at the reporting date. However, uncertainty about these assumptions and estimates may</w:t>
            </w:r>
          </w:p>
        </w:tc>
        <w:tc>
          <w:tcPr>
            <w:tcW w:w="4560" w:type="dxa"/>
            <w:vAlign w:val="bottom"/>
          </w:tcPr>
          <w:p>
            <w:pPr>
              <w:ind w:left="260"/>
              <w:spacing w:after="0"/>
              <w:rPr>
                <w:sz w:val="20"/>
                <w:szCs w:val="20"/>
                <w:color w:val="auto"/>
              </w:rPr>
            </w:pPr>
            <w:r>
              <w:rPr>
                <w:rFonts w:ascii="Arial" w:cs="Arial" w:eastAsia="Arial" w:hAnsi="Arial"/>
                <w:sz w:val="3"/>
                <w:szCs w:val="3"/>
                <w:color w:val="FFFFFF"/>
              </w:rPr>
              <w:t>outcomes that may require a material adjustment to the carrying amount of the</w:t>
            </w: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asset or liability affected in the future. Key sources of estimation uncertainty and critical judgments in applying the Group’resultaccounting policies which have a signifi cant effect on the fi nancial statements are set</w:t>
            </w: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out below.</w:t>
            </w:r>
          </w:p>
        </w:tc>
        <w:tc>
          <w:tcPr>
            <w:tcW w:w="1700" w:type="dxa"/>
            <w:vAlign w:val="bottom"/>
          </w:tcPr>
          <w:p>
            <w:pPr>
              <w:spacing w:after="0"/>
              <w:rPr>
                <w:sz w:val="3"/>
                <w:szCs w:val="3"/>
                <w:color w:val="auto"/>
              </w:rPr>
            </w:pPr>
          </w:p>
        </w:tc>
        <w:tc>
          <w:tcPr>
            <w:tcW w:w="4440" w:type="dxa"/>
            <w:vAlign w:val="bottom"/>
          </w:tcPr>
          <w:p>
            <w:pPr>
              <w:spacing w:after="0"/>
              <w:rPr>
                <w:sz w:val="3"/>
                <w:szCs w:val="3"/>
                <w:color w:val="auto"/>
              </w:rPr>
            </w:pPr>
          </w:p>
        </w:tc>
        <w:tc>
          <w:tcPr>
            <w:tcW w:w="4560" w:type="dxa"/>
            <w:vAlign w:val="bottom"/>
          </w:tcPr>
          <w:p>
            <w:pPr>
              <w:spacing w:after="0"/>
              <w:rPr>
                <w:sz w:val="3"/>
                <w:szCs w:val="3"/>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Us ful lives of property and equipment</w:t>
            </w:r>
          </w:p>
        </w:tc>
        <w:tc>
          <w:tcPr>
            <w:tcW w:w="4440" w:type="dxa"/>
            <w:vAlign w:val="bottom"/>
          </w:tcPr>
          <w:p>
            <w:pPr>
              <w:spacing w:after="0"/>
              <w:rPr>
                <w:sz w:val="3"/>
                <w:szCs w:val="3"/>
                <w:color w:val="auto"/>
              </w:rPr>
            </w:pPr>
          </w:p>
        </w:tc>
        <w:tc>
          <w:tcPr>
            <w:tcW w:w="4560" w:type="dxa"/>
            <w:vAlign w:val="bottom"/>
          </w:tcPr>
          <w:p>
            <w:pPr>
              <w:spacing w:after="0"/>
              <w:rPr>
                <w:sz w:val="3"/>
                <w:szCs w:val="3"/>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The useful lives of assets are based on management’s estimations. Management considers the impact of changes in technology customer service requirements, availability of capital funding and the required</w:t>
            </w:r>
          </w:p>
        </w:tc>
      </w:tr>
      <w:tr>
        <w:trPr>
          <w:trHeight w:val="0"/>
        </w:trPr>
        <w:tc>
          <w:tcPr>
            <w:tcW w:w="720" w:type="dxa"/>
            <w:vAlign w:val="bottom"/>
          </w:tcPr>
          <w:p>
            <w:pPr>
              <w:spacing w:after="0" w:line="80" w:lineRule="exact"/>
              <w:rPr>
                <w:sz w:val="20"/>
                <w:szCs w:val="20"/>
                <w:color w:val="auto"/>
              </w:rPr>
            </w:pPr>
            <w:r>
              <w:rPr>
                <w:rFonts w:ascii="Arial" w:cs="Arial" w:eastAsia="Arial" w:hAnsi="Arial"/>
                <w:sz w:val="9"/>
                <w:szCs w:val="9"/>
                <w:color w:val="FFFFFF"/>
              </w:rPr>
              <w:t>return on</w:t>
            </w:r>
          </w:p>
        </w:tc>
        <w:tc>
          <w:tcPr>
            <w:tcW w:w="10700" w:type="dxa"/>
            <w:vAlign w:val="bottom"/>
            <w:gridSpan w:val="3"/>
          </w:tcPr>
          <w:p>
            <w:pPr>
              <w:ind w:left="160"/>
              <w:spacing w:after="0" w:line="80" w:lineRule="exact"/>
              <w:rPr>
                <w:sz w:val="20"/>
                <w:szCs w:val="20"/>
                <w:color w:val="auto"/>
              </w:rPr>
            </w:pPr>
            <w:r>
              <w:rPr>
                <w:rFonts w:ascii="Arial" w:cs="Arial" w:eastAsia="Arial" w:hAnsi="Arial"/>
                <w:sz w:val="9"/>
                <w:szCs w:val="9"/>
                <w:color w:val="FFFFFF"/>
              </w:rPr>
              <w:t>and equity to determine the optimum useful life expectation for each of the individual catego ies of property, plant, and equipment. The estimations of residual values of assets are also based on</w:t>
            </w:r>
          </w:p>
        </w:tc>
      </w:tr>
    </w:tbl>
    <w:p>
      <w:pPr>
        <w:spacing w:after="0" w:line="25" w:lineRule="auto"/>
        <w:rPr>
          <w:sz w:val="20"/>
          <w:szCs w:val="20"/>
          <w:color w:val="auto"/>
        </w:rPr>
      </w:pPr>
      <w:r>
        <w:rPr>
          <w:rFonts w:ascii="Arial" w:cs="Arial" w:eastAsia="Arial" w:hAnsi="Arial"/>
          <w:sz w:val="1"/>
          <w:szCs w:val="1"/>
          <w:color w:val="FFFFFF"/>
        </w:rPr>
        <w:t>management’assetsjudgments whether the assets will be sold or used to the end of their useful lives and what their condition</w:t>
      </w:r>
      <w:r>
        <w:rPr>
          <w:rFonts w:ascii="Arial" w:cs="Arial" w:eastAsia="Arial" w:hAnsi="Arial"/>
          <w:sz w:val="1"/>
          <w:szCs w:val="1"/>
          <w:color w:val="FFFFFF"/>
          <w:vertAlign w:val="subscript"/>
        </w:rPr>
        <w:t>gaming</w:t>
      </w:r>
      <w:r>
        <w:rPr>
          <w:rFonts w:ascii="Arial" w:cs="Arial" w:eastAsia="Arial" w:hAnsi="Arial"/>
          <w:sz w:val="1"/>
          <w:szCs w:val="1"/>
          <w:color w:val="FFFFFF"/>
        </w:rPr>
        <w:t>will be like at that time. Depreciation is calculated on the straight-line basis to write off</w:t>
      </w:r>
    </w:p>
    <w:p>
      <w:pPr>
        <w:ind w:right="100"/>
        <w:spacing w:after="0" w:line="190" w:lineRule="auto"/>
        <w:rPr>
          <w:sz w:val="20"/>
          <w:szCs w:val="20"/>
          <w:color w:val="auto"/>
        </w:rPr>
      </w:pPr>
      <w:r>
        <w:rPr>
          <w:rFonts w:ascii="Arial" w:cs="Arial" w:eastAsia="Arial" w:hAnsi="Arial"/>
          <w:sz w:val="11"/>
          <w:szCs w:val="11"/>
          <w:color w:val="FFFFFF"/>
        </w:rPr>
        <w:t>the cost of each item of property and equipment to its residual value over the shorter of the remaining term of the concession (for designated gaming assets and space) or land concession (for all other assets), as applicable, and their estimated useful lives. Management’s periodic reviews on the estimations made could result in changes in depreciable lives and, therefore, depreciation expense in future periods.</w:t>
      </w:r>
    </w:p>
    <w:p>
      <w:pPr>
        <w:sectPr>
          <w:pgSz w:w="11900" w:h="16838" w:orient="portrait"/>
          <w:cols w:equalWidth="0" w:num="1">
            <w:col w:w="11420"/>
          </w:cols>
          <w:pgMar w:left="240" w:top="1440" w:right="23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20"/>
                <w:szCs w:val="20"/>
                <w:color w:val="auto"/>
              </w:rPr>
            </w:pPr>
            <w:r>
              <w:rPr>
                <w:rFonts w:ascii="Arial" w:cs="Arial" w:eastAsia="Arial" w:hAnsi="Arial"/>
                <w:sz w:val="14"/>
                <w:szCs w:val="14"/>
                <w:color w:val="FFFFFF"/>
              </w:rPr>
              <w:t>Annual Report 2011 101</w:t>
            </w:r>
          </w:p>
        </w:tc>
        <w:tc>
          <w:tcPr>
            <w:tcW w:w="3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Financial Statements</w:t>
            </w:r>
          </w:p>
        </w:tc>
        <w:tc>
          <w:tcPr>
            <w:tcW w:w="35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35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line="108" w:lineRule="exact"/>
              <w:rPr>
                <w:sz w:val="20"/>
                <w:szCs w:val="20"/>
                <w:color w:val="auto"/>
              </w:rPr>
            </w:pPr>
            <w:r>
              <w:rPr>
                <w:rFonts w:ascii="Arial" w:cs="Arial" w:eastAsia="Arial" w:hAnsi="Arial"/>
                <w:sz w:val="12"/>
                <w:szCs w:val="12"/>
                <w:color w:val="FFFFFF"/>
              </w:rPr>
              <w:t>For the year ended 31 December 2011</w:t>
            </w:r>
          </w:p>
        </w:tc>
        <w:tc>
          <w:tcPr>
            <w:tcW w:w="35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2.5 SIGNIFICANT ACCOUNTING JUDGMENTS AND ESTIMATES (continued)</w:t>
            </w:r>
          </w:p>
        </w:tc>
        <w:tc>
          <w:tcPr>
            <w:tcW w:w="1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Impairment of non-fi nancial assets</w:t>
            </w:r>
          </w:p>
        </w:tc>
        <w:tc>
          <w:tcPr>
            <w:tcW w:w="35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Management is required to make judgments concerning the cause, timing and amount of impairments. In the identifi cation of impairment indicators, management considers the impact of changes in current</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competitive conditions, cost of capital, availability of funding, technological obsolescence, discontinuance of services and other circumstances that could indicate that an impairment exists. The Group applies the</w:t>
            </w:r>
          </w:p>
        </w:tc>
        <w:tc>
          <w:tcPr>
            <w:tcW w:w="0" w:type="dxa"/>
            <w:vAlign w:val="bottom"/>
          </w:tcPr>
          <w:p>
            <w:pPr>
              <w:spacing w:after="0"/>
              <w:rPr>
                <w:sz w:val="1"/>
                <w:szCs w:val="1"/>
                <w:color w:val="auto"/>
              </w:rPr>
            </w:pPr>
          </w:p>
        </w:tc>
      </w:tr>
      <w:tr>
        <w:trPr>
          <w:trHeight w:val="41"/>
        </w:trPr>
        <w:tc>
          <w:tcPr>
            <w:tcW w:w="10500" w:type="dxa"/>
            <w:vAlign w:val="bottom"/>
            <w:gridSpan w:val="6"/>
          </w:tcPr>
          <w:p>
            <w:pPr>
              <w:spacing w:after="0"/>
              <w:rPr>
                <w:sz w:val="20"/>
                <w:szCs w:val="20"/>
                <w:color w:val="auto"/>
              </w:rPr>
            </w:pPr>
            <w:r>
              <w:rPr>
                <w:rFonts w:ascii="Arial" w:cs="Arial" w:eastAsia="Arial" w:hAnsi="Arial"/>
                <w:sz w:val="3"/>
                <w:szCs w:val="3"/>
                <w:color w:val="FFFFFF"/>
              </w:rPr>
              <w:t>impairment assessment to its separate CGUs. This requires management to make signifi cant judgments concerning the existence of impairment indicators, identifi cation of separate CGU’s</w:t>
            </w:r>
          </w:p>
        </w:tc>
        <w:tc>
          <w:tcPr>
            <w:tcW w:w="920" w:type="dxa"/>
            <w:vAlign w:val="bottom"/>
          </w:tcPr>
          <w:p>
            <w:pPr>
              <w:ind w:left="320"/>
              <w:spacing w:after="0"/>
              <w:rPr>
                <w:sz w:val="20"/>
                <w:szCs w:val="20"/>
                <w:color w:val="auto"/>
              </w:rPr>
            </w:pPr>
            <w:r>
              <w:rPr>
                <w:rFonts w:ascii="Arial" w:cs="Arial" w:eastAsia="Arial" w:hAnsi="Arial"/>
                <w:sz w:val="3"/>
                <w:szCs w:val="3"/>
                <w:color w:val="FFFFFF"/>
              </w:rPr>
              <w:t>useful</w:t>
            </w:r>
          </w:p>
        </w:tc>
        <w:tc>
          <w:tcPr>
            <w:tcW w:w="0" w:type="dxa"/>
            <w:vAlign w:val="bottom"/>
          </w:tcPr>
          <w:p>
            <w:pPr>
              <w:spacing w:after="0"/>
              <w:rPr>
                <w:sz w:val="1"/>
                <w:szCs w:val="1"/>
                <w:color w:val="auto"/>
              </w:rPr>
            </w:pPr>
          </w:p>
        </w:tc>
      </w:tr>
      <w:tr>
        <w:trPr>
          <w:trHeight w:val="41"/>
        </w:trPr>
        <w:tc>
          <w:tcPr>
            <w:tcW w:w="7580" w:type="dxa"/>
            <w:vAlign w:val="bottom"/>
            <w:gridSpan w:val="3"/>
          </w:tcPr>
          <w:p>
            <w:pPr>
              <w:spacing w:after="0"/>
              <w:rPr>
                <w:sz w:val="20"/>
                <w:szCs w:val="20"/>
                <w:color w:val="auto"/>
              </w:rPr>
            </w:pPr>
            <w:r>
              <w:rPr>
                <w:rFonts w:ascii="Arial" w:cs="Arial" w:eastAsia="Arial" w:hAnsi="Arial"/>
                <w:sz w:val="3"/>
                <w:szCs w:val="3"/>
                <w:color w:val="FFFFFF"/>
              </w:rPr>
              <w:t>lives of assets and estimates of projected cash fl ows and fair value less costs to sell. For non-fi nancial assets other than goodwill,</w:t>
            </w:r>
          </w:p>
        </w:tc>
        <w:tc>
          <w:tcPr>
            <w:tcW w:w="3840" w:type="dxa"/>
            <w:vAlign w:val="bottom"/>
            <w:gridSpan w:val="4"/>
          </w:tcPr>
          <w:p>
            <w:pPr>
              <w:ind w:left="300"/>
              <w:spacing w:after="0"/>
              <w:rPr>
                <w:sz w:val="20"/>
                <w:szCs w:val="20"/>
                <w:color w:val="auto"/>
              </w:rPr>
            </w:pPr>
            <w:r>
              <w:rPr>
                <w:rFonts w:ascii="Arial" w:cs="Arial" w:eastAsia="Arial" w:hAnsi="Arial"/>
                <w:sz w:val="3"/>
                <w:szCs w:val="3"/>
                <w:color w:val="FFFFFF"/>
              </w:rPr>
              <w:t>judgment is also required when assessing whetherremainingpreviously</w:t>
            </w:r>
          </w:p>
        </w:tc>
        <w:tc>
          <w:tcPr>
            <w:tcW w:w="0" w:type="dxa"/>
            <w:vAlign w:val="bottom"/>
          </w:tcPr>
          <w:p>
            <w:pPr>
              <w:spacing w:after="0"/>
              <w:rPr>
                <w:sz w:val="1"/>
                <w:szCs w:val="1"/>
                <w:color w:val="auto"/>
              </w:rPr>
            </w:pPr>
          </w:p>
        </w:tc>
      </w:tr>
      <w:tr>
        <w:trPr>
          <w:trHeight w:val="41"/>
        </w:trPr>
        <w:tc>
          <w:tcPr>
            <w:tcW w:w="8000" w:type="dxa"/>
            <w:vAlign w:val="bottom"/>
            <w:gridSpan w:val="4"/>
          </w:tcPr>
          <w:p>
            <w:pPr>
              <w:spacing w:after="0"/>
              <w:rPr>
                <w:sz w:val="20"/>
                <w:szCs w:val="20"/>
                <w:color w:val="auto"/>
              </w:rPr>
            </w:pPr>
            <w:r>
              <w:rPr>
                <w:rFonts w:ascii="Arial" w:cs="Arial" w:eastAsia="Arial" w:hAnsi="Arial"/>
                <w:sz w:val="3"/>
                <w:szCs w:val="3"/>
                <w:color w:val="FFFFFF"/>
              </w:rPr>
              <w:t>recognized impairment loss should be reversed. Where impairment indicators exist, the determination of the recoverable amount ofmanagement’requiresCGU</w:t>
            </w:r>
          </w:p>
        </w:tc>
        <w:tc>
          <w:tcPr>
            <w:tcW w:w="3420" w:type="dxa"/>
            <w:vAlign w:val="bottom"/>
            <w:gridSpan w:val="3"/>
          </w:tcPr>
          <w:p>
            <w:pPr>
              <w:ind w:left="20"/>
              <w:spacing w:after="0"/>
              <w:rPr>
                <w:sz w:val="20"/>
                <w:szCs w:val="20"/>
                <w:color w:val="auto"/>
              </w:rPr>
            </w:pPr>
            <w:r>
              <w:rPr>
                <w:rFonts w:ascii="Arial" w:cs="Arial" w:eastAsia="Arial" w:hAnsi="Arial"/>
                <w:sz w:val="3"/>
                <w:szCs w:val="3"/>
                <w:color w:val="FFFFFF"/>
              </w:rPr>
              <w:t>management to make assumptions to determine the fair value</w:t>
            </w:r>
          </w:p>
        </w:tc>
        <w:tc>
          <w:tcPr>
            <w:tcW w:w="0" w:type="dxa"/>
            <w:vAlign w:val="bottom"/>
          </w:tcPr>
          <w:p>
            <w:pPr>
              <w:spacing w:after="0"/>
              <w:rPr>
                <w:sz w:val="1"/>
                <w:szCs w:val="1"/>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less costs to sell and value in use. In addition, for goodwill, the recoverable amount is estimated annually</w:t>
            </w:r>
          </w:p>
        </w:tc>
        <w:tc>
          <w:tcPr>
            <w:tcW w:w="3660" w:type="dxa"/>
            <w:vAlign w:val="bottom"/>
            <w:gridSpan w:val="3"/>
          </w:tcPr>
          <w:p>
            <w:pPr>
              <w:ind w:left="460"/>
              <w:spacing w:after="0"/>
              <w:rPr>
                <w:sz w:val="20"/>
                <w:szCs w:val="20"/>
                <w:color w:val="auto"/>
              </w:rPr>
            </w:pPr>
            <w:r>
              <w:rPr>
                <w:rFonts w:ascii="Arial" w:cs="Arial" w:eastAsia="Arial" w:hAnsi="Arial"/>
                <w:sz w:val="3"/>
                <w:szCs w:val="3"/>
                <w:color w:val="FFFFFF"/>
              </w:rPr>
              <w:t>or not there is any indication of impairment.</w:t>
            </w:r>
          </w:p>
        </w:tc>
        <w:tc>
          <w:tcPr>
            <w:tcW w:w="204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of value in use include projected</w:t>
            </w:r>
          </w:p>
        </w:tc>
        <w:tc>
          <w:tcPr>
            <w:tcW w:w="0" w:type="dxa"/>
            <w:vAlign w:val="bottom"/>
          </w:tcPr>
          <w:p>
            <w:pPr>
              <w:spacing w:after="0"/>
              <w:rPr>
                <w:sz w:val="1"/>
                <w:szCs w:val="1"/>
                <w:color w:val="auto"/>
              </w:rPr>
            </w:pPr>
          </w:p>
        </w:tc>
      </w:tr>
      <w:tr>
        <w:trPr>
          <w:trHeight w:val="41"/>
        </w:trPr>
        <w:tc>
          <w:tcPr>
            <w:tcW w:w="9380" w:type="dxa"/>
            <w:vAlign w:val="bottom"/>
            <w:gridSpan w:val="5"/>
          </w:tcPr>
          <w:p>
            <w:pPr>
              <w:spacing w:after="0"/>
              <w:rPr>
                <w:sz w:val="20"/>
                <w:szCs w:val="20"/>
                <w:color w:val="auto"/>
              </w:rPr>
            </w:pPr>
            <w:r>
              <w:rPr>
                <w:rFonts w:ascii="Arial" w:cs="Arial" w:eastAsia="Arial" w:hAnsi="Arial"/>
                <w:sz w:val="3"/>
                <w:szCs w:val="3"/>
                <w:color w:val="FFFFFF"/>
              </w:rPr>
              <w:t>Key assumptions on which management has based its determination of fair value less costs to sell include whetherexistence of binding sale agreements, and for the</w:t>
            </w:r>
          </w:p>
        </w:tc>
        <w:tc>
          <w:tcPr>
            <w:tcW w:w="2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380" w:type="dxa"/>
            <w:vAlign w:val="bottom"/>
            <w:gridSpan w:val="5"/>
          </w:tcPr>
          <w:p>
            <w:pPr>
              <w:spacing w:after="0"/>
              <w:rPr>
                <w:sz w:val="20"/>
                <w:szCs w:val="20"/>
                <w:color w:val="auto"/>
              </w:rPr>
            </w:pPr>
            <w:r>
              <w:rPr>
                <w:rFonts w:ascii="Arial" w:cs="Arial" w:eastAsia="Arial" w:hAnsi="Arial"/>
                <w:sz w:val="3"/>
                <w:szCs w:val="3"/>
                <w:color w:val="FFFFFF"/>
              </w:rPr>
              <w:t>revenues, gross margins, and average revenue per asset component, capital expenditures, expected customer base and market share. Management is also requireddeterminationto</w:t>
            </w:r>
          </w:p>
        </w:tc>
        <w:tc>
          <w:tcPr>
            <w:tcW w:w="2040" w:type="dxa"/>
            <w:vAlign w:val="bottom"/>
            <w:gridSpan w:val="2"/>
          </w:tcPr>
          <w:p>
            <w:pPr>
              <w:spacing w:after="0"/>
              <w:rPr>
                <w:sz w:val="20"/>
                <w:szCs w:val="20"/>
                <w:color w:val="auto"/>
              </w:rPr>
            </w:pPr>
            <w:r>
              <w:rPr>
                <w:rFonts w:ascii="Arial" w:cs="Arial" w:eastAsia="Arial" w:hAnsi="Arial"/>
                <w:sz w:val="3"/>
                <w:szCs w:val="3"/>
                <w:color w:val="FFFFFF"/>
              </w:rPr>
              <w:t>suitable discount rate in order to</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calculate the present value of those cash fl ows. Changes in key assumptions on which the recoverable amount of the assets is based could signifi cantly affect the Group’choosefi nancial condition and results of</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operations.</w:t>
            </w:r>
          </w:p>
        </w:tc>
        <w:tc>
          <w:tcPr>
            <w:tcW w:w="35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Impairment of accounts receivable</w:t>
            </w:r>
          </w:p>
        </w:tc>
        <w:tc>
          <w:tcPr>
            <w:tcW w:w="35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Management evaluates the reserve for bad debts based on a specifi  review of customer accounts as well as experience with collection trends in the casino industry and current economic and business conditions.</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As customer payment experience evolves, management will continue to refi ne the estimated reserve for bad debts. Accordingly, the associated provision for doubtful accounts charge may fl uctuate. Because</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individual customer account balances</w:t>
            </w:r>
          </w:p>
        </w:tc>
        <w:tc>
          <w:tcPr>
            <w:tcW w:w="3540" w:type="dxa"/>
            <w:vAlign w:val="bottom"/>
          </w:tcPr>
          <w:p>
            <w:pPr>
              <w:ind w:left="120"/>
              <w:spacing w:after="0"/>
              <w:rPr>
                <w:sz w:val="20"/>
                <w:szCs w:val="20"/>
                <w:color w:val="auto"/>
              </w:rPr>
            </w:pPr>
            <w:r>
              <w:rPr>
                <w:rFonts w:ascii="Arial" w:cs="Arial" w:eastAsia="Arial" w:hAnsi="Arial"/>
                <w:sz w:val="3"/>
                <w:szCs w:val="3"/>
                <w:color w:val="FFFFFF"/>
              </w:rPr>
              <w:t>be signifi cant, the reserve and the provision can</w:t>
            </w:r>
          </w:p>
        </w:tc>
        <w:tc>
          <w:tcPr>
            <w:tcW w:w="1860" w:type="dxa"/>
            <w:vAlign w:val="bottom"/>
          </w:tcPr>
          <w:p>
            <w:pPr>
              <w:ind w:left="20"/>
              <w:spacing w:after="0"/>
              <w:rPr>
                <w:sz w:val="20"/>
                <w:szCs w:val="20"/>
                <w:color w:val="auto"/>
              </w:rPr>
            </w:pPr>
            <w:r>
              <w:rPr>
                <w:rFonts w:ascii="Arial" w:cs="Arial" w:eastAsia="Arial" w:hAnsi="Arial"/>
                <w:sz w:val="3"/>
                <w:szCs w:val="3"/>
                <w:color w:val="FFFFFF"/>
              </w:rPr>
              <w:t>cantly</w:t>
            </w: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7580" w:type="dxa"/>
            <w:vAlign w:val="bottom"/>
            <w:gridSpan w:val="3"/>
          </w:tcPr>
          <w:p>
            <w:pPr>
              <w:spacing w:after="0"/>
              <w:rPr>
                <w:sz w:val="20"/>
                <w:szCs w:val="20"/>
                <w:color w:val="auto"/>
              </w:rPr>
            </w:pPr>
            <w:r>
              <w:rPr>
                <w:rFonts w:ascii="Arial" w:cs="Arial" w:eastAsia="Arial" w:hAnsi="Arial"/>
                <w:sz w:val="14"/>
                <w:szCs w:val="14"/>
                <w:color w:val="FFFFFF"/>
                <w:w w:val="83"/>
              </w:rPr>
              <w:t>between periods, as information aboutcancertain customer becomes known or as changes in changeregion’signifieconomy or legal systems occur.</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102 Wynn Macau, Limited</w:t>
      </w:r>
    </w:p>
    <w:p>
      <w:pPr>
        <w:spacing w:after="0" w:line="187" w:lineRule="auto"/>
        <w:rPr>
          <w:sz w:val="20"/>
          <w:szCs w:val="20"/>
          <w:color w:val="auto"/>
        </w:rPr>
      </w:pPr>
      <w:r>
        <w:rPr>
          <w:rFonts w:ascii="Arial" w:cs="Arial" w:eastAsia="Arial" w:hAnsi="Arial"/>
          <w:sz w:val="12"/>
          <w:szCs w:val="12"/>
          <w:color w:val="FFFFFF"/>
        </w:rPr>
        <w:t>NotesFinancialtoFinancialStatementsStatements</w:t>
      </w:r>
    </w:p>
    <w:p>
      <w:pPr>
        <w:spacing w:after="0" w:line="189" w:lineRule="auto"/>
        <w:rPr>
          <w:sz w:val="20"/>
          <w:szCs w:val="20"/>
          <w:color w:val="auto"/>
        </w:rPr>
      </w:pPr>
      <w:r>
        <w:rPr>
          <w:rFonts w:ascii="Arial" w:cs="Arial" w:eastAsia="Arial" w:hAnsi="Arial"/>
          <w:sz w:val="9"/>
          <w:szCs w:val="9"/>
          <w:color w:val="FFFFFF"/>
        </w:rPr>
        <w:t>For the year ended 31 December 2011</w:t>
      </w:r>
    </w:p>
    <w:p>
      <w:pPr>
        <w:spacing w:after="0"/>
        <w:rPr>
          <w:sz w:val="20"/>
          <w:szCs w:val="20"/>
          <w:color w:val="auto"/>
        </w:rPr>
      </w:pPr>
      <w:r>
        <w:rPr>
          <w:rFonts w:ascii="Arial" w:cs="Arial" w:eastAsia="Arial" w:hAnsi="Arial"/>
          <w:sz w:val="3"/>
          <w:szCs w:val="3"/>
          <w:color w:val="FFFFFF"/>
        </w:rPr>
        <w:t>2.5 SIGNIFICANT ACCOUNTING JUDGMENTS AND ESTIMATES (continued)</w:t>
      </w:r>
    </w:p>
    <w:p>
      <w:pPr>
        <w:spacing w:after="0" w:line="181" w:lineRule="auto"/>
        <w:rPr>
          <w:sz w:val="20"/>
          <w:szCs w:val="20"/>
          <w:color w:val="auto"/>
        </w:rPr>
      </w:pPr>
      <w:r>
        <w:rPr>
          <w:rFonts w:ascii="Arial" w:cs="Arial" w:eastAsia="Arial" w:hAnsi="Arial"/>
          <w:sz w:val="10"/>
          <w:szCs w:val="10"/>
          <w:color w:val="FFFFFF"/>
        </w:rPr>
        <w:t>TheSegmentGroupreportingcurrently operatesAccordinglyonebusiness segment, namely,havethe management of its casino and hotel resort. A single management team reports to the chief operating decision-maker who comprehensively</w:t>
      </w:r>
    </w:p>
    <w:p>
      <w:pPr>
        <w:spacing w:after="0"/>
        <w:tabs>
          <w:tab w:leader="none" w:pos="2220" w:val="left"/>
          <w:tab w:leader="none" w:pos="3640" w:val="left"/>
        </w:tabs>
        <w:rPr>
          <w:sz w:val="20"/>
          <w:szCs w:val="20"/>
          <w:color w:val="auto"/>
        </w:rPr>
      </w:pPr>
      <w:r>
        <w:rPr>
          <w:rFonts w:ascii="Arial" w:cs="Arial" w:eastAsia="Arial" w:hAnsi="Arial"/>
          <w:sz w:val="3"/>
          <w:szCs w:val="3"/>
          <w:color w:val="FFFFFF"/>
        </w:rPr>
        <w:t>manages the entire business.</w:t>
      </w:r>
      <w:r>
        <w:rPr>
          <w:sz w:val="20"/>
          <w:szCs w:val="20"/>
          <w:color w:val="auto"/>
        </w:rPr>
        <w:tab/>
      </w:r>
      <w:r>
        <w:rPr>
          <w:rFonts w:ascii="Arial" w:cs="Arial" w:eastAsia="Arial" w:hAnsi="Arial"/>
          <w:sz w:val="3"/>
          <w:szCs w:val="3"/>
          <w:color w:val="FFFFFF"/>
        </w:rPr>
        <w:t>, the Group does not</w:t>
      </w:r>
      <w:r>
        <w:rPr>
          <w:sz w:val="20"/>
          <w:szCs w:val="20"/>
          <w:color w:val="auto"/>
        </w:rPr>
        <w:tab/>
      </w:r>
      <w:r>
        <w:rPr>
          <w:rFonts w:ascii="Arial" w:cs="Arial" w:eastAsia="Arial" w:hAnsi="Arial"/>
          <w:sz w:val="3"/>
          <w:szCs w:val="3"/>
          <w:color w:val="FFFFFF"/>
        </w:rPr>
        <w:t>separate reportable segments.</w:t>
      </w:r>
    </w:p>
    <w:p>
      <w:pPr>
        <w:spacing w:after="0" w:line="181" w:lineRule="auto"/>
        <w:rPr>
          <w:sz w:val="20"/>
          <w:szCs w:val="20"/>
          <w:color w:val="auto"/>
        </w:rPr>
      </w:pPr>
      <w:r>
        <w:rPr>
          <w:rFonts w:ascii="Arial" w:cs="Arial" w:eastAsia="Arial" w:hAnsi="Arial"/>
          <w:sz w:val="10"/>
          <w:szCs w:val="10"/>
          <w:color w:val="FFFFFF"/>
        </w:rPr>
        <w:t>Financialairvalueassetsestimationandliabilities—financialarerecognizedassetsand liabilitiesordisclosed at fair values. The fair value of fi nancial instruments traded in active markets is based on quoted market prices. In assessing the fair value of non-traded</w:t>
      </w:r>
    </w:p>
    <w:p>
      <w:pPr>
        <w:ind w:right="100"/>
        <w:spacing w:after="0" w:line="181" w:lineRule="auto"/>
        <w:rPr>
          <w:sz w:val="20"/>
          <w:szCs w:val="20"/>
          <w:color w:val="auto"/>
        </w:rPr>
      </w:pPr>
      <w:r>
        <w:rPr>
          <w:rFonts w:ascii="Arial" w:cs="Arial" w:eastAsia="Arial" w:hAnsi="Arial"/>
          <w:sz w:val="7"/>
          <w:szCs w:val="7"/>
          <w:color w:val="FFFFFF"/>
        </w:rPr>
        <w:t>yearinstruments,includingdiscountedprepayments,cash flotherowspayablesormarketorassessmentscurrentborrowings,areused.areTheassumednominaltovaluesapproximatelessanytheirestimatedfairvalues.creditManagementrealizablevaluedeterminesadjustmentstheseforassumptionsfinancial assetsbyreviewingandliabilitiescurrentwithmarketmaturityrates,makingofless thanindustryone comparisons and reviewing conditions relevant to the Group.</w:t>
      </w:r>
    </w:p>
    <w:p>
      <w:pPr>
        <w:spacing w:after="0" w:line="181" w:lineRule="auto"/>
        <w:rPr>
          <w:sz w:val="20"/>
          <w:szCs w:val="20"/>
          <w:color w:val="auto"/>
        </w:rPr>
      </w:pPr>
      <w:r>
        <w:rPr>
          <w:rFonts w:ascii="Arial" w:cs="Arial" w:eastAsia="Arial" w:hAnsi="Arial"/>
          <w:sz w:val="7"/>
          <w:szCs w:val="7"/>
          <w:color w:val="FFFFFF"/>
        </w:rPr>
        <w:t>TheFair GroupvalueestimationusestheBlack—Black-Scholes-Scholesvaluationvaluationmodelmodeltovalue Wynn Resorts, Limited’s and Wynn Macau, Limited’s grants of options issued. The Black-Scholes valuation model uses assumptions of expected volatility, risk-free interest rates, the expected terms of options granted, and expected rates of dividends. Changes in these assumptions could materially affect the estimated fair value. Expected volatility is based</w:t>
      </w:r>
    </w:p>
    <w:p>
      <w:pPr>
        <w:ind w:right="320"/>
        <w:spacing w:after="0" w:line="181" w:lineRule="auto"/>
        <w:rPr>
          <w:sz w:val="20"/>
          <w:szCs w:val="20"/>
          <w:color w:val="auto"/>
        </w:rPr>
      </w:pPr>
      <w:r>
        <w:rPr>
          <w:rFonts w:ascii="Arial" w:cs="Arial" w:eastAsia="Arial" w:hAnsi="Arial"/>
          <w:sz w:val="7"/>
          <w:szCs w:val="7"/>
          <w:color w:val="FFFFFF"/>
        </w:rPr>
        <w:t>exerciseonimplieddate.andThehistoricalrisk-freefactorsinterestrelatedrate usedtoWynnisequalResorts,totheLimited’U.S.TreasuryandWynnyieldMacau,curveandLimited’theHongcommonKong Exchangestock.ExpectedFundBillsterm forrepresentstheWRLtheStockweightedPlan averageandWynntimeMacau,betweenLimited’stheoption’sSharegrantOptiondateScheme,andits respectively, at the time of grant for the period equal to the expected term.</w:t>
      </w:r>
    </w:p>
    <w:p>
      <w:pPr>
        <w:spacing w:after="0"/>
        <w:tabs>
          <w:tab w:leader="none" w:pos="740" w:val="left"/>
          <w:tab w:leader="none" w:pos="9520" w:val="left"/>
        </w:tabs>
        <w:rPr>
          <w:sz w:val="20"/>
          <w:szCs w:val="20"/>
          <w:color w:val="auto"/>
        </w:rPr>
      </w:pPr>
      <w:r>
        <w:rPr>
          <w:rFonts w:ascii="Arial" w:cs="Arial" w:eastAsia="Arial" w:hAnsi="Arial"/>
          <w:sz w:val="3"/>
          <w:szCs w:val="3"/>
          <w:color w:val="FFFFFF"/>
        </w:rPr>
        <w:t>Income</w:t>
      </w:r>
      <w:r>
        <w:rPr>
          <w:sz w:val="20"/>
          <w:szCs w:val="20"/>
          <w:color w:val="auto"/>
        </w:rPr>
        <w:tab/>
      </w:r>
      <w:r>
        <w:rPr>
          <w:rFonts w:ascii="Arial" w:cs="Arial" w:eastAsia="Arial" w:hAnsi="Arial"/>
          <w:sz w:val="3"/>
          <w:szCs w:val="3"/>
          <w:color w:val="FFFFFF"/>
        </w:rPr>
        <w:t>represent the sum of income taxes currently payable and any deferred taxes. The calculation of deferred income taxes and any associated allowance is subject to</w:t>
      </w:r>
      <w:r>
        <w:rPr>
          <w:sz w:val="20"/>
          <w:szCs w:val="20"/>
          <w:color w:val="auto"/>
        </w:rPr>
        <w:tab/>
      </w:r>
      <w:r>
        <w:rPr>
          <w:rFonts w:ascii="Arial" w:cs="Arial" w:eastAsia="Arial" w:hAnsi="Arial"/>
          <w:sz w:val="3"/>
          <w:szCs w:val="3"/>
          <w:color w:val="FFFFFF"/>
        </w:rPr>
        <w:t>signifi cant amount of judgment.</w:t>
      </w:r>
    </w:p>
    <w:p>
      <w:pPr>
        <w:spacing w:after="0" w:line="22" w:lineRule="exact"/>
        <w:rPr>
          <w:sz w:val="20"/>
          <w:szCs w:val="20"/>
          <w:color w:val="auto"/>
        </w:rPr>
      </w:pPr>
    </w:p>
    <w:p>
      <w:pPr>
        <w:ind w:right="340"/>
        <w:spacing w:after="0" w:line="189" w:lineRule="auto"/>
        <w:rPr>
          <w:sz w:val="20"/>
          <w:szCs w:val="20"/>
          <w:color w:val="auto"/>
        </w:rPr>
      </w:pPr>
      <w:r>
        <w:rPr>
          <w:rFonts w:ascii="Arial" w:cs="Arial" w:eastAsia="Arial" w:hAnsi="Arial"/>
          <w:sz w:val="14"/>
          <w:szCs w:val="14"/>
          <w:color w:val="FFFFFF"/>
        </w:rPr>
        <w:t>The Group’taxesincome tax reports may be examined by governmental authorities. Accordingly, the Group reviews any potentially unfavorable tax outcome and, when an unfavorable outcome is identifi ed as probable and can be reasonably estimated, an allowance is established.</w:t>
      </w:r>
    </w:p>
    <w:p>
      <w:pPr>
        <w:sectPr>
          <w:pgSz w:w="11900" w:h="16838" w:orient="portrait"/>
          <w:cols w:equalWidth="0" w:num="1">
            <w:col w:w="11400"/>
          </w:cols>
          <w:pgMar w:left="240" w:top="1440" w:right="25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103</w:t>
      </w:r>
    </w:p>
    <w:p>
      <w:pPr>
        <w:spacing w:after="0" w:line="187" w:lineRule="auto"/>
        <w:rPr>
          <w:sz w:val="20"/>
          <w:szCs w:val="20"/>
          <w:color w:val="auto"/>
        </w:rPr>
      </w:pPr>
      <w:r>
        <w:rPr>
          <w:rFonts w:ascii="Arial" w:cs="Arial" w:eastAsia="Arial" w:hAnsi="Arial"/>
          <w:sz w:val="12"/>
          <w:szCs w:val="12"/>
          <w:color w:val="FFFFFF"/>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For the year ended 31 December 2011</w:t>
      </w:r>
    </w:p>
    <w:p>
      <w:pPr>
        <w:spacing w:after="0" w:line="181" w:lineRule="auto"/>
        <w:rPr>
          <w:sz w:val="20"/>
          <w:szCs w:val="20"/>
          <w:color w:val="auto"/>
        </w:rPr>
      </w:pPr>
      <w:r>
        <w:rPr>
          <w:rFonts w:ascii="Arial" w:cs="Arial" w:eastAsia="Arial" w:hAnsi="Arial"/>
          <w:sz w:val="10"/>
          <w:szCs w:val="10"/>
          <w:color w:val="FFFFFF"/>
          <w:vertAlign w:val="superscript"/>
        </w:rPr>
        <w:t>3.</w:t>
      </w:r>
      <w:r>
        <w:rPr>
          <w:rFonts w:ascii="Arial" w:cs="Arial" w:eastAsia="Arial" w:hAnsi="Arial"/>
          <w:sz w:val="7"/>
          <w:szCs w:val="7"/>
          <w:color w:val="FFFFFF"/>
        </w:rPr>
        <w:t xml:space="preserve"> OTHER REVENUES AND EXPENSES</w:t>
      </w:r>
    </w:p>
    <w:p>
      <w:pPr>
        <w:spacing w:after="0"/>
        <w:rPr>
          <w:sz w:val="20"/>
          <w:szCs w:val="20"/>
          <w:color w:val="auto"/>
        </w:rPr>
      </w:pPr>
      <w:r>
        <w:rPr>
          <w:rFonts w:ascii="Arial" w:cs="Arial" w:eastAsia="Arial" w:hAnsi="Arial"/>
          <w:sz w:val="3"/>
          <w:szCs w:val="3"/>
          <w:color w:val="FFFFFF"/>
        </w:rPr>
        <w:t>Group1Staff costs</w:t>
      </w:r>
    </w:p>
    <w:p>
      <w:pPr>
        <w:spacing w:after="0" w:line="181" w:lineRule="auto"/>
        <w:rPr>
          <w:sz w:val="20"/>
          <w:szCs w:val="20"/>
          <w:color w:val="auto"/>
        </w:rPr>
      </w:pPr>
      <w:r>
        <w:rPr>
          <w:rFonts w:ascii="Arial" w:cs="Arial" w:eastAsia="Arial" w:hAnsi="Arial"/>
          <w:sz w:val="10"/>
          <w:szCs w:val="10"/>
          <w:color w:val="FFFFFF"/>
        </w:rPr>
        <w:t>For the year ended</w:t>
      </w:r>
    </w:p>
    <w:p>
      <w:pPr>
        <w:spacing w:after="0" w:line="188" w:lineRule="auto"/>
        <w:rPr>
          <w:sz w:val="20"/>
          <w:szCs w:val="20"/>
          <w:color w:val="auto"/>
        </w:rPr>
      </w:pPr>
      <w:r>
        <w:rPr>
          <w:rFonts w:ascii="Arial" w:cs="Arial" w:eastAsia="Arial" w:hAnsi="Arial"/>
          <w:sz w:val="9"/>
          <w:szCs w:val="9"/>
          <w:color w:val="FFFFFF"/>
        </w:rPr>
        <w:t>201031December</w:t>
      </w:r>
    </w:p>
    <w:p>
      <w:pPr>
        <w:spacing w:after="0" w:line="188" w:lineRule="auto"/>
        <w:rPr>
          <w:sz w:val="20"/>
          <w:szCs w:val="20"/>
          <w:color w:val="auto"/>
        </w:rPr>
      </w:pPr>
      <w:r>
        <w:rPr>
          <w:rFonts w:ascii="Arial" w:cs="Arial" w:eastAsia="Arial" w:hAnsi="Arial"/>
          <w:sz w:val="9"/>
          <w:szCs w:val="9"/>
          <w:color w:val="FFFFFF"/>
        </w:rPr>
        <w:t>HK$</w:t>
      </w:r>
    </w:p>
    <w:p>
      <w:pPr>
        <w:spacing w:after="0" w:line="188" w:lineRule="auto"/>
        <w:rPr>
          <w:sz w:val="20"/>
          <w:szCs w:val="20"/>
          <w:color w:val="auto"/>
        </w:rPr>
      </w:pPr>
      <w:r>
        <w:rPr>
          <w:rFonts w:ascii="Arial" w:cs="Arial" w:eastAsia="Arial" w:hAnsi="Arial"/>
          <w:sz w:val="9"/>
          <w:szCs w:val="9"/>
          <w:color w:val="FFFFFF"/>
          <w:vertAlign w:val="superscript"/>
        </w:rPr>
        <w:t>(in</w:t>
      </w:r>
      <w:r>
        <w:rPr>
          <w:rFonts w:ascii="Arial" w:cs="Arial" w:eastAsia="Arial" w:hAnsi="Arial"/>
          <w:sz w:val="7"/>
          <w:szCs w:val="7"/>
          <w:color w:val="FFFFFF"/>
        </w:rPr>
        <w:t xml:space="preserve"> thousands)</w:t>
      </w:r>
    </w:p>
    <w:p>
      <w:pPr>
        <w:spacing w:after="0" w:line="181" w:lineRule="auto"/>
        <w:rPr>
          <w:sz w:val="20"/>
          <w:szCs w:val="20"/>
          <w:color w:val="auto"/>
        </w:rPr>
      </w:pPr>
      <w:r>
        <w:rPr>
          <w:rFonts w:ascii="Arial" w:cs="Arial" w:eastAsia="Arial" w:hAnsi="Arial"/>
          <w:sz w:val="9"/>
          <w:szCs w:val="9"/>
          <w:color w:val="FFFFFF"/>
        </w:rPr>
        <w:t>1,593,924Wages</w:t>
      </w:r>
      <w:r>
        <w:rPr>
          <w:rFonts w:ascii="Arial" w:cs="Arial" w:eastAsia="Arial" w:hAnsi="Arial"/>
          <w:sz w:val="14"/>
          <w:szCs w:val="14"/>
          <w:color w:val="FFFFFF"/>
          <w:vertAlign w:val="superscript"/>
        </w:rPr>
        <w:t>7647</w:t>
      </w:r>
      <w:r>
        <w:rPr>
          <w:rFonts w:ascii="Arial" w:cs="Arial" w:eastAsia="Arial" w:hAnsi="Arial"/>
          <w:sz w:val="9"/>
          <w:szCs w:val="9"/>
          <w:color w:val="FFFFFF"/>
        </w:rPr>
        <w:t xml:space="preserve"> salaries</w:t>
      </w:r>
    </w:p>
    <w:p>
      <w:pPr>
        <w:spacing w:after="0" w:line="181" w:lineRule="auto"/>
        <w:rPr>
          <w:sz w:val="20"/>
          <w:szCs w:val="20"/>
          <w:color w:val="auto"/>
        </w:rPr>
      </w:pPr>
      <w:r>
        <w:rPr>
          <w:rFonts w:ascii="Arial" w:cs="Arial" w:eastAsia="Arial" w:hAnsi="Arial"/>
          <w:sz w:val="9"/>
          <w:szCs w:val="9"/>
          <w:color w:val="FFFFFF"/>
        </w:rPr>
        <w:t>154,487Other</w:t>
      </w:r>
      <w:r>
        <w:rPr>
          <w:rFonts w:ascii="Arial" w:cs="Arial" w:eastAsia="Arial" w:hAnsi="Arial"/>
          <w:sz w:val="14"/>
          <w:szCs w:val="14"/>
          <w:color w:val="FFFFFF"/>
          <w:vertAlign w:val="superscript"/>
        </w:rPr>
        <w:t>99804</w:t>
      </w:r>
      <w:r>
        <w:rPr>
          <w:rFonts w:ascii="Arial" w:cs="Arial" w:eastAsia="Arial" w:hAnsi="Arial"/>
          <w:sz w:val="9"/>
          <w:szCs w:val="9"/>
          <w:color w:val="FFFFFF"/>
        </w:rPr>
        <w:t>costs and benefits</w:t>
      </w:r>
    </w:p>
    <w:p>
      <w:pPr>
        <w:spacing w:after="0" w:line="189" w:lineRule="auto"/>
        <w:rPr>
          <w:sz w:val="20"/>
          <w:szCs w:val="20"/>
          <w:color w:val="auto"/>
        </w:rPr>
      </w:pPr>
      <w:r>
        <w:rPr>
          <w:rFonts w:ascii="Arial" w:cs="Arial" w:eastAsia="Arial" w:hAnsi="Arial"/>
          <w:sz w:val="7"/>
          <w:szCs w:val="7"/>
          <w:color w:val="FFFFFF"/>
        </w:rPr>
        <w:t>46,613Expense</w:t>
      </w:r>
      <w:r>
        <w:rPr>
          <w:rFonts w:ascii="Arial" w:cs="Arial" w:eastAsia="Arial" w:hAnsi="Arial"/>
          <w:sz w:val="9"/>
          <w:szCs w:val="9"/>
          <w:color w:val="FFFFFF"/>
          <w:vertAlign w:val="superscript"/>
        </w:rPr>
        <w:t>9196</w:t>
      </w:r>
      <w:r>
        <w:rPr>
          <w:rFonts w:ascii="Arial" w:cs="Arial" w:eastAsia="Arial" w:hAnsi="Arial"/>
          <w:sz w:val="7"/>
          <w:szCs w:val="7"/>
          <w:color w:val="FFFFFF"/>
        </w:rPr>
        <w:t xml:space="preserve"> of share-based payments</w:t>
      </w:r>
    </w:p>
    <w:p>
      <w:pPr>
        <w:spacing w:after="0"/>
        <w:rPr>
          <w:sz w:val="20"/>
          <w:szCs w:val="20"/>
          <w:color w:val="auto"/>
        </w:rPr>
      </w:pPr>
      <w:r>
        <w:rPr>
          <w:rFonts w:ascii="Arial" w:cs="Arial" w:eastAsia="Arial" w:hAnsi="Arial"/>
          <w:sz w:val="3"/>
          <w:szCs w:val="3"/>
          <w:color w:val="FFFFFF"/>
        </w:rPr>
        <w:t>Retirement plan contributions</w:t>
      </w:r>
    </w:p>
    <w:p>
      <w:pPr>
        <w:spacing w:after="0" w:line="190" w:lineRule="auto"/>
        <w:rPr>
          <w:sz w:val="20"/>
          <w:szCs w:val="20"/>
          <w:color w:val="auto"/>
        </w:rPr>
      </w:pPr>
      <w:r>
        <w:rPr>
          <w:rFonts w:ascii="Arial" w:cs="Arial" w:eastAsia="Arial" w:hAnsi="Arial"/>
          <w:sz w:val="14"/>
          <w:szCs w:val="14"/>
          <w:color w:val="FFFFFF"/>
          <w:vertAlign w:val="superscript"/>
        </w:rPr>
        <w:t>51</w:t>
      </w:r>
      <w:r>
        <w:rPr>
          <w:rFonts w:ascii="Arial" w:cs="Arial" w:eastAsia="Arial" w:hAnsi="Arial"/>
          <w:sz w:val="9"/>
          <w:szCs w:val="9"/>
          <w:color w:val="FFFFFF"/>
        </w:rPr>
        <w:t>25,415</w:t>
      </w:r>
      <w:r>
        <w:rPr>
          <w:rFonts w:ascii="Arial" w:cs="Arial" w:eastAsia="Arial" w:hAnsi="Arial"/>
          <w:sz w:val="14"/>
          <w:szCs w:val="14"/>
          <w:color w:val="FFFFFF"/>
          <w:vertAlign w:val="superscript"/>
        </w:rPr>
        <w:t>689</w:t>
      </w:r>
    </w:p>
    <w:p>
      <w:pPr>
        <w:spacing w:after="0" w:line="188" w:lineRule="auto"/>
        <w:rPr>
          <w:sz w:val="20"/>
          <w:szCs w:val="20"/>
          <w:color w:val="auto"/>
        </w:rPr>
      </w:pPr>
      <w:r>
        <w:rPr>
          <w:rFonts w:ascii="Arial" w:cs="Arial" w:eastAsia="Arial" w:hAnsi="Arial"/>
          <w:sz w:val="7"/>
          <w:szCs w:val="7"/>
          <w:color w:val="FFFFFF"/>
        </w:rPr>
        <w:t>14,712Employee</w:t>
      </w:r>
      <w:r>
        <w:rPr>
          <w:rFonts w:ascii="Arial" w:cs="Arial" w:eastAsia="Arial" w:hAnsi="Arial"/>
          <w:sz w:val="9"/>
          <w:szCs w:val="9"/>
          <w:color w:val="FFFFFF"/>
          <w:vertAlign w:val="superscript"/>
        </w:rPr>
        <w:t>9379</w:t>
      </w:r>
      <w:r>
        <w:rPr>
          <w:rFonts w:ascii="Arial" w:cs="Arial" w:eastAsia="Arial" w:hAnsi="Arial"/>
          <w:sz w:val="7"/>
          <w:szCs w:val="7"/>
          <w:color w:val="FFFFFF"/>
        </w:rPr>
        <w:t xml:space="preserve"> relations and training</w:t>
      </w:r>
    </w:p>
    <w:p>
      <w:pPr>
        <w:spacing w:after="0"/>
        <w:rPr>
          <w:sz w:val="20"/>
          <w:szCs w:val="20"/>
          <w:color w:val="auto"/>
        </w:rPr>
      </w:pPr>
      <w:r>
        <w:rPr>
          <w:rFonts w:ascii="Arial" w:cs="Arial" w:eastAsia="Arial" w:hAnsi="Arial"/>
          <w:sz w:val="3"/>
          <w:szCs w:val="3"/>
          <w:color w:val="FFFFFF"/>
        </w:rPr>
        <w:t>Social security costs</w:t>
      </w:r>
    </w:p>
    <w:p>
      <w:pPr>
        <w:spacing w:after="0" w:line="194" w:lineRule="auto"/>
        <w:rPr>
          <w:sz w:val="20"/>
          <w:szCs w:val="20"/>
          <w:color w:val="auto"/>
        </w:rPr>
      </w:pPr>
      <w:r>
        <w:rPr>
          <w:rFonts w:ascii="Arial" w:cs="Arial" w:eastAsia="Arial" w:hAnsi="Arial"/>
          <w:sz w:val="3"/>
          <w:szCs w:val="3"/>
          <w:color w:val="FFFFFF"/>
        </w:rPr>
        <w:t>4</w:t>
      </w:r>
      <w:r>
        <w:rPr>
          <w:rFonts w:ascii="Arial" w:cs="Arial" w:eastAsia="Arial" w:hAnsi="Arial"/>
          <w:sz w:val="5"/>
          <w:szCs w:val="5"/>
          <w:color w:val="FFFFFF"/>
          <w:vertAlign w:val="subscript"/>
        </w:rPr>
        <w:t>5</w:t>
      </w:r>
      <w:r>
        <w:rPr>
          <w:rFonts w:ascii="Arial" w:cs="Arial" w:eastAsia="Arial" w:hAnsi="Arial"/>
          <w:sz w:val="3"/>
          <w:szCs w:val="3"/>
          <w:color w:val="FFFFFF"/>
        </w:rPr>
        <w:t xml:space="preserve"> 407</w:t>
      </w:r>
      <w:r>
        <w:rPr>
          <w:rFonts w:ascii="Arial" w:cs="Arial" w:eastAsia="Arial" w:hAnsi="Arial"/>
          <w:sz w:val="5"/>
          <w:szCs w:val="5"/>
          <w:color w:val="FFFFFF"/>
          <w:vertAlign w:val="subscript"/>
        </w:rPr>
        <w:t>71</w:t>
      </w:r>
    </w:p>
    <w:p>
      <w:pPr>
        <w:spacing w:after="0" w:line="181" w:lineRule="auto"/>
        <w:rPr>
          <w:sz w:val="20"/>
          <w:szCs w:val="20"/>
          <w:color w:val="auto"/>
        </w:rPr>
      </w:pPr>
      <w:r>
        <w:rPr>
          <w:rFonts w:ascii="Arial" w:cs="Arial" w:eastAsia="Arial" w:hAnsi="Arial"/>
          <w:sz w:val="9"/>
          <w:szCs w:val="9"/>
          <w:color w:val="FFFFFF"/>
        </w:rPr>
        <w:t>1,840,222</w:t>
      </w:r>
      <w:r>
        <w:rPr>
          <w:rFonts w:ascii="Arial" w:cs="Arial" w:eastAsia="Arial" w:hAnsi="Arial"/>
          <w:sz w:val="14"/>
          <w:szCs w:val="14"/>
          <w:color w:val="FFFFFF"/>
          <w:vertAlign w:val="superscript"/>
        </w:rPr>
        <w:t>089199</w:t>
      </w:r>
    </w:p>
    <w:p>
      <w:pPr>
        <w:spacing w:after="0"/>
        <w:rPr>
          <w:sz w:val="20"/>
          <w:szCs w:val="20"/>
          <w:color w:val="auto"/>
        </w:rPr>
      </w:pPr>
      <w:r>
        <w:rPr>
          <w:rFonts w:ascii="Arial" w:cs="Arial" w:eastAsia="Arial" w:hAnsi="Arial"/>
          <w:sz w:val="12"/>
          <w:szCs w:val="12"/>
          <w:color w:val="FFFFFF"/>
        </w:rPr>
        <w:t>“Other costs and benefi ts” includes rental expense for staff housing of approximately HK$14.2 million for the year ended 31 December 2011 (2010: HK$6.7 million).</w:t>
      </w:r>
    </w:p>
    <w:p>
      <w:pPr>
        <w:sectPr>
          <w:pgSz w:w="11900" w:h="16838" w:orient="portrait"/>
          <w:cols w:equalWidth="0" w:num="1">
            <w:col w:w="10219"/>
          </w:cols>
          <w:pgMar w:left="240" w:top="1440" w:right="1440"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Financial104WynnStatementsMacau,Limited</w:t>
      </w:r>
    </w:p>
    <w:p>
      <w:pPr>
        <w:spacing w:after="0" w:line="187" w:lineRule="auto"/>
        <w:rPr>
          <w:sz w:val="20"/>
          <w:szCs w:val="20"/>
          <w:color w:val="auto"/>
        </w:rPr>
      </w:pPr>
      <w:r>
        <w:rPr>
          <w:rFonts w:ascii="Arial" w:cs="Arial" w:eastAsia="Arial" w:hAnsi="Arial"/>
          <w:sz w:val="12"/>
          <w:szCs w:val="12"/>
          <w:color w:val="FFFFFF"/>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For the year ended 31 December 2011</w:t>
      </w:r>
    </w:p>
    <w:p>
      <w:pPr>
        <w:spacing w:after="0" w:line="181" w:lineRule="auto"/>
        <w:rPr>
          <w:sz w:val="20"/>
          <w:szCs w:val="20"/>
          <w:color w:val="auto"/>
        </w:rPr>
      </w:pPr>
      <w:r>
        <w:rPr>
          <w:rFonts w:ascii="Arial" w:cs="Arial" w:eastAsia="Arial" w:hAnsi="Arial"/>
          <w:sz w:val="10"/>
          <w:szCs w:val="10"/>
          <w:color w:val="FFFFFF"/>
          <w:vertAlign w:val="superscript"/>
        </w:rPr>
        <w:t>3.</w:t>
      </w:r>
      <w:r>
        <w:rPr>
          <w:rFonts w:ascii="Arial" w:cs="Arial" w:eastAsia="Arial" w:hAnsi="Arial"/>
          <w:sz w:val="7"/>
          <w:szCs w:val="7"/>
          <w:color w:val="FFFFFF"/>
        </w:rPr>
        <w:t xml:space="preserve"> OTHER REVENUES AND EXPENSES (continued)</w:t>
      </w:r>
    </w:p>
    <w:p>
      <w:pPr>
        <w:spacing w:after="0"/>
        <w:rPr>
          <w:sz w:val="20"/>
          <w:szCs w:val="20"/>
          <w:color w:val="auto"/>
        </w:rPr>
      </w:pPr>
      <w:r>
        <w:rPr>
          <w:rFonts w:ascii="Arial" w:cs="Arial" w:eastAsia="Arial" w:hAnsi="Arial"/>
          <w:sz w:val="3"/>
          <w:szCs w:val="3"/>
          <w:color w:val="FFFFFF"/>
        </w:rPr>
        <w:t>Group2Other operating expenses</w:t>
      </w:r>
    </w:p>
    <w:p>
      <w:pPr>
        <w:spacing w:after="0" w:line="181" w:lineRule="auto"/>
        <w:rPr>
          <w:sz w:val="20"/>
          <w:szCs w:val="20"/>
          <w:color w:val="auto"/>
        </w:rPr>
      </w:pPr>
      <w:r>
        <w:rPr>
          <w:rFonts w:ascii="Arial" w:cs="Arial" w:eastAsia="Arial" w:hAnsi="Arial"/>
          <w:sz w:val="10"/>
          <w:szCs w:val="10"/>
          <w:color w:val="FFFFFF"/>
        </w:rPr>
        <w:t>For the year ended</w:t>
      </w:r>
    </w:p>
    <w:p>
      <w:pPr>
        <w:spacing w:after="0" w:line="188" w:lineRule="auto"/>
        <w:rPr>
          <w:sz w:val="20"/>
          <w:szCs w:val="20"/>
          <w:color w:val="auto"/>
        </w:rPr>
      </w:pPr>
      <w:r>
        <w:rPr>
          <w:rFonts w:ascii="Arial" w:cs="Arial" w:eastAsia="Arial" w:hAnsi="Arial"/>
          <w:sz w:val="9"/>
          <w:szCs w:val="9"/>
          <w:color w:val="FFFFFF"/>
        </w:rPr>
        <w:t>201031December</w:t>
      </w:r>
    </w:p>
    <w:p>
      <w:pPr>
        <w:spacing w:after="0" w:line="188" w:lineRule="auto"/>
        <w:rPr>
          <w:sz w:val="20"/>
          <w:szCs w:val="20"/>
          <w:color w:val="auto"/>
        </w:rPr>
      </w:pPr>
      <w:r>
        <w:rPr>
          <w:rFonts w:ascii="Arial" w:cs="Arial" w:eastAsia="Arial" w:hAnsi="Arial"/>
          <w:sz w:val="9"/>
          <w:szCs w:val="9"/>
          <w:color w:val="FFFFFF"/>
        </w:rPr>
        <w:t>HK$</w:t>
      </w:r>
    </w:p>
    <w:p>
      <w:pPr>
        <w:spacing w:after="0"/>
        <w:rPr>
          <w:sz w:val="20"/>
          <w:szCs w:val="20"/>
          <w:color w:val="auto"/>
        </w:rPr>
      </w:pPr>
      <w:r>
        <w:rPr>
          <w:rFonts w:ascii="Arial" w:cs="Arial" w:eastAsia="Arial" w:hAnsi="Arial"/>
          <w:sz w:val="3"/>
          <w:szCs w:val="3"/>
          <w:color w:val="FFFFFF"/>
        </w:rPr>
        <w:t>(in thousands)</w:t>
      </w:r>
    </w:p>
    <w:p>
      <w:pPr>
        <w:spacing w:after="0" w:line="194" w:lineRule="auto"/>
        <w:rPr>
          <w:sz w:val="20"/>
          <w:szCs w:val="20"/>
          <w:color w:val="auto"/>
        </w:rPr>
      </w:pPr>
      <w:r>
        <w:rPr>
          <w:rFonts w:ascii="Arial" w:cs="Arial" w:eastAsia="Arial" w:hAnsi="Arial"/>
          <w:sz w:val="5"/>
          <w:szCs w:val="5"/>
          <w:color w:val="FFFFFF"/>
        </w:rPr>
        <w:t>Gaming promoters’ commissions</w:t>
      </w:r>
    </w:p>
    <w:p>
      <w:pPr>
        <w:spacing w:after="0" w:line="188" w:lineRule="auto"/>
        <w:rPr>
          <w:sz w:val="20"/>
          <w:szCs w:val="20"/>
          <w:color w:val="auto"/>
        </w:rPr>
      </w:pPr>
      <w:r>
        <w:rPr>
          <w:rFonts w:ascii="Arial" w:cs="Arial" w:eastAsia="Arial" w:hAnsi="Arial"/>
          <w:sz w:val="9"/>
          <w:szCs w:val="9"/>
          <w:color w:val="FFFFFF"/>
          <w:vertAlign w:val="superscript"/>
        </w:rPr>
        <w:t>2</w:t>
      </w:r>
      <w:r>
        <w:rPr>
          <w:rFonts w:ascii="Arial" w:cs="Arial" w:eastAsia="Arial" w:hAnsi="Arial"/>
          <w:sz w:val="7"/>
          <w:szCs w:val="7"/>
          <w:color w:val="FFFFFF"/>
        </w:rPr>
        <w:t>1,450,665</w:t>
      </w:r>
      <w:r>
        <w:rPr>
          <w:rFonts w:ascii="Arial" w:cs="Arial" w:eastAsia="Arial" w:hAnsi="Arial"/>
          <w:sz w:val="9"/>
          <w:szCs w:val="9"/>
          <w:color w:val="FFFFFF"/>
          <w:vertAlign w:val="superscript"/>
        </w:rPr>
        <w:t>013590</w:t>
      </w:r>
    </w:p>
    <w:p>
      <w:pPr>
        <w:spacing w:after="0" w:line="181" w:lineRule="auto"/>
        <w:rPr>
          <w:sz w:val="20"/>
          <w:szCs w:val="20"/>
          <w:color w:val="auto"/>
        </w:rPr>
      </w:pPr>
      <w:r>
        <w:rPr>
          <w:rFonts w:ascii="Arial" w:cs="Arial" w:eastAsia="Arial" w:hAnsi="Arial"/>
          <w:sz w:val="14"/>
          <w:szCs w:val="14"/>
          <w:color w:val="FFFFFF"/>
        </w:rPr>
        <w:t>Royalty1,186,900fees</w:t>
      </w:r>
    </w:p>
    <w:p>
      <w:pPr>
        <w:spacing w:after="0"/>
        <w:rPr>
          <w:sz w:val="20"/>
          <w:szCs w:val="20"/>
          <w:color w:val="auto"/>
        </w:rPr>
      </w:pPr>
      <w:r>
        <w:rPr>
          <w:rFonts w:ascii="Arial" w:cs="Arial" w:eastAsia="Arial" w:hAnsi="Arial"/>
          <w:sz w:val="3"/>
          <w:szCs w:val="3"/>
          <w:color w:val="FFFFFF"/>
        </w:rPr>
        <w:t>Cost892,571ofsales</w:t>
      </w:r>
    </w:p>
    <w:p>
      <w:pPr>
        <w:spacing w:after="0" w:line="181" w:lineRule="auto"/>
        <w:rPr>
          <w:sz w:val="20"/>
          <w:szCs w:val="20"/>
          <w:color w:val="auto"/>
        </w:rPr>
      </w:pPr>
      <w:r>
        <w:rPr>
          <w:rFonts w:ascii="Arial" w:cs="Arial" w:eastAsia="Arial" w:hAnsi="Arial"/>
          <w:sz w:val="10"/>
          <w:szCs w:val="10"/>
          <w:color w:val="FFFFFF"/>
          <w:vertAlign w:val="superscript"/>
        </w:rPr>
        <w:t>70</w:t>
      </w:r>
      <w:r>
        <w:rPr>
          <w:rFonts w:ascii="Arial" w:cs="Arial" w:eastAsia="Arial" w:hAnsi="Arial"/>
          <w:sz w:val="7"/>
          <w:szCs w:val="7"/>
          <w:color w:val="FFFFFF"/>
        </w:rPr>
        <w:t>585,302</w:t>
      </w:r>
      <w:r>
        <w:rPr>
          <w:rFonts w:ascii="Arial" w:cs="Arial" w:eastAsia="Arial" w:hAnsi="Arial"/>
          <w:sz w:val="10"/>
          <w:szCs w:val="10"/>
          <w:color w:val="FFFFFF"/>
          <w:vertAlign w:val="superscript"/>
        </w:rPr>
        <w:t>513</w:t>
      </w:r>
    </w:p>
    <w:p>
      <w:pPr>
        <w:spacing w:after="0"/>
        <w:rPr>
          <w:sz w:val="20"/>
          <w:szCs w:val="20"/>
          <w:color w:val="auto"/>
        </w:rPr>
      </w:pPr>
      <w:r>
        <w:rPr>
          <w:rFonts w:ascii="Arial" w:cs="Arial" w:eastAsia="Arial" w:hAnsi="Arial"/>
          <w:sz w:val="3"/>
          <w:szCs w:val="3"/>
          <w:color w:val="FFFFFF"/>
        </w:rPr>
        <w:t>Advertising and promotions</w:t>
      </w:r>
    </w:p>
    <w:p>
      <w:pPr>
        <w:spacing w:after="0" w:line="190" w:lineRule="auto"/>
        <w:rPr>
          <w:sz w:val="20"/>
          <w:szCs w:val="20"/>
          <w:color w:val="auto"/>
        </w:rPr>
      </w:pPr>
      <w:r>
        <w:rPr>
          <w:rFonts w:ascii="Arial" w:cs="Arial" w:eastAsia="Arial" w:hAnsi="Arial"/>
          <w:sz w:val="14"/>
          <w:szCs w:val="14"/>
          <w:color w:val="FFFFFF"/>
          <w:vertAlign w:val="superscript"/>
        </w:rPr>
        <w:t>205</w:t>
      </w:r>
      <w:r>
        <w:rPr>
          <w:rFonts w:ascii="Arial" w:cs="Arial" w:eastAsia="Arial" w:hAnsi="Arial"/>
          <w:sz w:val="9"/>
          <w:szCs w:val="9"/>
          <w:color w:val="FFFFFF"/>
        </w:rPr>
        <w:t>172,860</w:t>
      </w:r>
      <w:r>
        <w:rPr>
          <w:rFonts w:ascii="Arial" w:cs="Arial" w:eastAsia="Arial" w:hAnsi="Arial"/>
          <w:sz w:val="14"/>
          <w:szCs w:val="14"/>
          <w:color w:val="FFFFFF"/>
          <w:vertAlign w:val="superscript"/>
        </w:rPr>
        <w:t>54</w:t>
      </w:r>
    </w:p>
    <w:p>
      <w:pPr>
        <w:spacing w:after="0" w:line="181" w:lineRule="auto"/>
        <w:rPr>
          <w:sz w:val="20"/>
          <w:szCs w:val="20"/>
          <w:color w:val="auto"/>
        </w:rPr>
      </w:pPr>
      <w:r>
        <w:rPr>
          <w:rFonts w:ascii="Arial" w:cs="Arial" w:eastAsia="Arial" w:hAnsi="Arial"/>
          <w:sz w:val="9"/>
          <w:szCs w:val="9"/>
          <w:color w:val="FFFFFF"/>
        </w:rPr>
        <w:t>164,952Corporate</w:t>
      </w:r>
      <w:r>
        <w:rPr>
          <w:rFonts w:ascii="Arial" w:cs="Arial" w:eastAsia="Arial" w:hAnsi="Arial"/>
          <w:sz w:val="14"/>
          <w:szCs w:val="14"/>
          <w:color w:val="FFFFFF"/>
          <w:vertAlign w:val="superscript"/>
        </w:rPr>
        <w:t>79414</w:t>
      </w:r>
      <w:r>
        <w:rPr>
          <w:rFonts w:ascii="Arial" w:cs="Arial" w:eastAsia="Arial" w:hAnsi="Arial"/>
          <w:sz w:val="9"/>
          <w:szCs w:val="9"/>
          <w:color w:val="FFFFFF"/>
        </w:rPr>
        <w:t xml:space="preserve"> support services and other</w:t>
      </w:r>
    </w:p>
    <w:p>
      <w:pPr>
        <w:spacing w:after="0" w:line="181" w:lineRule="auto"/>
        <w:rPr>
          <w:sz w:val="20"/>
          <w:szCs w:val="20"/>
          <w:color w:val="auto"/>
        </w:rPr>
      </w:pPr>
      <w:r>
        <w:rPr>
          <w:rFonts w:ascii="Arial" w:cs="Arial" w:eastAsia="Arial" w:hAnsi="Arial"/>
          <w:sz w:val="9"/>
          <w:szCs w:val="9"/>
          <w:color w:val="FFFFFF"/>
        </w:rPr>
        <w:t>158,759Utilities</w:t>
      </w:r>
      <w:r>
        <w:rPr>
          <w:rFonts w:ascii="Arial" w:cs="Arial" w:eastAsia="Arial" w:hAnsi="Arial"/>
          <w:sz w:val="14"/>
          <w:szCs w:val="14"/>
          <w:color w:val="FFFFFF"/>
          <w:vertAlign w:val="superscript"/>
        </w:rPr>
        <w:t>205</w:t>
      </w:r>
      <w:r>
        <w:rPr>
          <w:rFonts w:ascii="Arial" w:cs="Arial" w:eastAsia="Arial" w:hAnsi="Arial"/>
          <w:sz w:val="9"/>
          <w:szCs w:val="9"/>
          <w:color w:val="FFFFFF"/>
        </w:rPr>
        <w:t xml:space="preserve"> and fuel</w:t>
      </w:r>
    </w:p>
    <w:p>
      <w:pPr>
        <w:spacing w:after="0" w:line="188" w:lineRule="auto"/>
        <w:rPr>
          <w:sz w:val="20"/>
          <w:szCs w:val="20"/>
          <w:color w:val="auto"/>
        </w:rPr>
      </w:pPr>
      <w:r>
        <w:rPr>
          <w:rFonts w:ascii="Arial" w:cs="Arial" w:eastAsia="Arial" w:hAnsi="Arial"/>
          <w:sz w:val="7"/>
          <w:szCs w:val="7"/>
          <w:color w:val="FFFFFF"/>
        </w:rPr>
        <w:t>128,989Operating</w:t>
      </w:r>
      <w:r>
        <w:rPr>
          <w:rFonts w:ascii="Arial" w:cs="Arial" w:eastAsia="Arial" w:hAnsi="Arial"/>
          <w:sz w:val="9"/>
          <w:szCs w:val="9"/>
          <w:color w:val="FFFFFF"/>
          <w:vertAlign w:val="superscript"/>
        </w:rPr>
        <w:t>4718</w:t>
      </w:r>
      <w:r>
        <w:rPr>
          <w:rFonts w:ascii="Arial" w:cs="Arial" w:eastAsia="Arial" w:hAnsi="Arial"/>
          <w:sz w:val="7"/>
          <w:szCs w:val="7"/>
          <w:color w:val="FFFFFF"/>
        </w:rPr>
        <w:t xml:space="preserve"> supplies and equipment</w:t>
      </w:r>
    </w:p>
    <w:p>
      <w:pPr>
        <w:spacing w:after="0" w:line="188" w:lineRule="auto"/>
        <w:rPr>
          <w:sz w:val="20"/>
          <w:szCs w:val="20"/>
          <w:color w:val="auto"/>
        </w:rPr>
      </w:pPr>
      <w:r>
        <w:rPr>
          <w:rFonts w:ascii="Arial" w:cs="Arial" w:eastAsia="Arial" w:hAnsi="Arial"/>
          <w:sz w:val="9"/>
          <w:szCs w:val="9"/>
          <w:color w:val="FFFFFF"/>
        </w:rPr>
        <w:t>Other support services</w:t>
      </w:r>
    </w:p>
    <w:p>
      <w:pPr>
        <w:spacing w:after="0"/>
        <w:rPr>
          <w:sz w:val="20"/>
          <w:szCs w:val="20"/>
          <w:color w:val="auto"/>
        </w:rPr>
      </w:pPr>
      <w:r>
        <w:rPr>
          <w:rFonts w:ascii="Arial" w:cs="Arial" w:eastAsia="Arial" w:hAnsi="Arial"/>
          <w:sz w:val="3"/>
          <w:szCs w:val="3"/>
          <w:color w:val="FFFFFF"/>
        </w:rPr>
        <w:t>83,883108,175</w:t>
      </w:r>
    </w:p>
    <w:p>
      <w:pPr>
        <w:spacing w:after="0" w:line="181" w:lineRule="auto"/>
        <w:rPr>
          <w:sz w:val="20"/>
          <w:szCs w:val="20"/>
          <w:color w:val="auto"/>
        </w:rPr>
      </w:pPr>
      <w:r>
        <w:rPr>
          <w:rFonts w:ascii="Arial" w:cs="Arial" w:eastAsia="Arial" w:hAnsi="Arial"/>
          <w:sz w:val="10"/>
          <w:szCs w:val="10"/>
          <w:color w:val="FFFFFF"/>
        </w:rPr>
        <w:t>Provision for doubtful accounts</w:t>
      </w:r>
    </w:p>
    <w:p>
      <w:pPr>
        <w:spacing w:after="0" w:line="188" w:lineRule="auto"/>
        <w:rPr>
          <w:sz w:val="20"/>
          <w:szCs w:val="20"/>
          <w:color w:val="auto"/>
        </w:rPr>
      </w:pPr>
      <w:r>
        <w:rPr>
          <w:rFonts w:ascii="Arial" w:cs="Arial" w:eastAsia="Arial" w:hAnsi="Arial"/>
          <w:sz w:val="9"/>
          <w:szCs w:val="9"/>
          <w:color w:val="FFFFFF"/>
        </w:rPr>
        <w:t>98,224104,621</w:t>
      </w:r>
    </w:p>
    <w:p>
      <w:pPr>
        <w:spacing w:after="0" w:line="181" w:lineRule="auto"/>
        <w:rPr>
          <w:sz w:val="20"/>
          <w:szCs w:val="20"/>
          <w:color w:val="auto"/>
        </w:rPr>
      </w:pPr>
      <w:r>
        <w:rPr>
          <w:rFonts w:ascii="Arial" w:cs="Arial" w:eastAsia="Arial" w:hAnsi="Arial"/>
          <w:sz w:val="9"/>
          <w:szCs w:val="9"/>
          <w:color w:val="FFFFFF"/>
        </w:rPr>
        <w:t>26,107Operating</w:t>
      </w:r>
      <w:r>
        <w:rPr>
          <w:rFonts w:ascii="Arial" w:cs="Arial" w:eastAsia="Arial" w:hAnsi="Arial"/>
          <w:sz w:val="14"/>
          <w:szCs w:val="14"/>
          <w:color w:val="FFFFFF"/>
          <w:vertAlign w:val="superscript"/>
        </w:rPr>
        <w:t>452</w:t>
      </w:r>
      <w:r>
        <w:rPr>
          <w:rFonts w:ascii="Arial" w:cs="Arial" w:eastAsia="Arial" w:hAnsi="Arial"/>
          <w:sz w:val="9"/>
          <w:szCs w:val="9"/>
          <w:color w:val="FFFFFF"/>
        </w:rPr>
        <w:t xml:space="preserve"> rental expenses</w:t>
      </w:r>
    </w:p>
    <w:p>
      <w:pPr>
        <w:spacing w:after="0" w:line="188" w:lineRule="auto"/>
        <w:rPr>
          <w:sz w:val="20"/>
          <w:szCs w:val="20"/>
          <w:color w:val="auto"/>
        </w:rPr>
      </w:pPr>
      <w:r>
        <w:rPr>
          <w:rFonts w:ascii="Arial" w:cs="Arial" w:eastAsia="Arial" w:hAnsi="Arial"/>
          <w:sz w:val="7"/>
          <w:szCs w:val="7"/>
          <w:color w:val="FFFFFF"/>
        </w:rPr>
        <w:t>3,437Auditors’</w:t>
      </w:r>
      <w:r>
        <w:rPr>
          <w:rFonts w:ascii="Arial" w:cs="Arial" w:eastAsia="Arial" w:hAnsi="Arial"/>
          <w:sz w:val="9"/>
          <w:szCs w:val="9"/>
          <w:color w:val="FFFFFF"/>
          <w:vertAlign w:val="superscript"/>
        </w:rPr>
        <w:t>510</w:t>
      </w:r>
      <w:r>
        <w:rPr>
          <w:rFonts w:ascii="Arial" w:cs="Arial" w:eastAsia="Arial" w:hAnsi="Arial"/>
          <w:sz w:val="7"/>
          <w:szCs w:val="7"/>
          <w:color w:val="FFFFFF"/>
        </w:rPr>
        <w:t xml:space="preserve"> remuneration</w:t>
      </w:r>
    </w:p>
    <w:p>
      <w:pPr>
        <w:spacing w:after="0"/>
        <w:rPr>
          <w:sz w:val="20"/>
          <w:szCs w:val="20"/>
          <w:color w:val="auto"/>
        </w:rPr>
      </w:pPr>
      <w:r>
        <w:rPr>
          <w:rFonts w:ascii="Arial" w:cs="Arial" w:eastAsia="Arial" w:hAnsi="Arial"/>
          <w:sz w:val="3"/>
          <w:szCs w:val="3"/>
          <w:color w:val="FFFFFF"/>
        </w:rPr>
        <w:t>Other</w:t>
      </w:r>
    </w:p>
    <w:p>
      <w:pPr>
        <w:spacing w:after="0" w:line="181" w:lineRule="auto"/>
        <w:rPr>
          <w:sz w:val="20"/>
          <w:szCs w:val="20"/>
          <w:color w:val="auto"/>
        </w:rPr>
      </w:pPr>
      <w:r>
        <w:rPr>
          <w:rFonts w:ascii="Arial" w:cs="Arial" w:eastAsia="Arial" w:hAnsi="Arial"/>
          <w:sz w:val="10"/>
          <w:szCs w:val="10"/>
          <w:color w:val="FFFFFF"/>
          <w:vertAlign w:val="superscript"/>
        </w:rPr>
        <w:t>324</w:t>
      </w:r>
      <w:r>
        <w:rPr>
          <w:rFonts w:ascii="Arial" w:cs="Arial" w:eastAsia="Arial" w:hAnsi="Arial"/>
          <w:sz w:val="7"/>
          <w:szCs w:val="7"/>
          <w:color w:val="FFFFFF"/>
        </w:rPr>
        <w:t>288,518</w:t>
      </w:r>
      <w:r>
        <w:rPr>
          <w:rFonts w:ascii="Arial" w:cs="Arial" w:eastAsia="Arial" w:hAnsi="Arial"/>
          <w:sz w:val="10"/>
          <w:szCs w:val="10"/>
          <w:color w:val="FFFFFF"/>
          <w:vertAlign w:val="superscript"/>
        </w:rPr>
        <w:t>263</w:t>
      </w:r>
    </w:p>
    <w:p>
      <w:pPr>
        <w:spacing w:after="0"/>
        <w:rPr>
          <w:sz w:val="20"/>
          <w:szCs w:val="20"/>
          <w:color w:val="auto"/>
        </w:rPr>
      </w:pPr>
      <w:r>
        <w:rPr>
          <w:rFonts w:ascii="Arial" w:cs="Arial" w:eastAsia="Arial" w:hAnsi="Arial"/>
          <w:sz w:val="14"/>
          <w:szCs w:val="14"/>
          <w:color w:val="FFFFFF"/>
        </w:rPr>
        <w:t>4,054,267</w:t>
      </w:r>
      <w:r>
        <w:rPr>
          <w:rFonts w:ascii="Arial" w:cs="Arial" w:eastAsia="Arial" w:hAnsi="Arial"/>
          <w:sz w:val="27"/>
          <w:szCs w:val="27"/>
          <w:color w:val="FFFFFF"/>
          <w:vertAlign w:val="superscript"/>
        </w:rPr>
        <w:t>179925</w:t>
      </w:r>
    </w:p>
    <w:p>
      <w:pPr>
        <w:sectPr>
          <w:pgSz w:w="11900" w:h="16838" w:orient="portrait"/>
          <w:cols w:equalWidth="0" w:num="1">
            <w:col w:w="10219"/>
          </w:cols>
          <w:pgMar w:left="240" w:top="1440" w:right="1440"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105</w:t>
      </w:r>
    </w:p>
    <w:p>
      <w:pPr>
        <w:spacing w:after="0" w:line="187" w:lineRule="auto"/>
        <w:rPr>
          <w:sz w:val="20"/>
          <w:szCs w:val="20"/>
          <w:color w:val="auto"/>
        </w:rPr>
      </w:pPr>
      <w:r>
        <w:rPr>
          <w:rFonts w:ascii="Arial" w:cs="Arial" w:eastAsia="Arial" w:hAnsi="Arial"/>
          <w:sz w:val="12"/>
          <w:szCs w:val="12"/>
          <w:color w:val="FFFFFF"/>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For the year ended 31 December 2011</w:t>
      </w:r>
    </w:p>
    <w:p>
      <w:pPr>
        <w:spacing w:after="0" w:line="181" w:lineRule="auto"/>
        <w:rPr>
          <w:sz w:val="20"/>
          <w:szCs w:val="20"/>
          <w:color w:val="auto"/>
        </w:rPr>
      </w:pPr>
      <w:r>
        <w:rPr>
          <w:rFonts w:ascii="Arial" w:cs="Arial" w:eastAsia="Arial" w:hAnsi="Arial"/>
          <w:sz w:val="10"/>
          <w:szCs w:val="10"/>
          <w:color w:val="FFFFFF"/>
          <w:vertAlign w:val="superscript"/>
        </w:rPr>
        <w:t>3.</w:t>
      </w:r>
      <w:r>
        <w:rPr>
          <w:rFonts w:ascii="Arial" w:cs="Arial" w:eastAsia="Arial" w:hAnsi="Arial"/>
          <w:sz w:val="7"/>
          <w:szCs w:val="7"/>
          <w:color w:val="FFFFFF"/>
        </w:rPr>
        <w:t xml:space="preserve"> OTHER REVENUES AND EXPENSES (continued)</w:t>
      </w:r>
    </w:p>
    <w:p>
      <w:pPr>
        <w:spacing w:after="0"/>
        <w:rPr>
          <w:sz w:val="20"/>
          <w:szCs w:val="20"/>
          <w:color w:val="auto"/>
        </w:rPr>
      </w:pPr>
      <w:r>
        <w:rPr>
          <w:rFonts w:ascii="Arial" w:cs="Arial" w:eastAsia="Arial" w:hAnsi="Arial"/>
          <w:sz w:val="3"/>
          <w:szCs w:val="3"/>
          <w:color w:val="FFFFFF"/>
        </w:rPr>
        <w:t>Group3Depreciation and amortization</w:t>
      </w:r>
    </w:p>
    <w:p>
      <w:pPr>
        <w:spacing w:after="0" w:line="181" w:lineRule="auto"/>
        <w:rPr>
          <w:sz w:val="20"/>
          <w:szCs w:val="20"/>
          <w:color w:val="auto"/>
        </w:rPr>
      </w:pPr>
      <w:r>
        <w:rPr>
          <w:rFonts w:ascii="Arial" w:cs="Arial" w:eastAsia="Arial" w:hAnsi="Arial"/>
          <w:sz w:val="10"/>
          <w:szCs w:val="10"/>
          <w:color w:val="FFFFFF"/>
        </w:rPr>
        <w:t>For the year ended</w:t>
      </w:r>
    </w:p>
    <w:p>
      <w:pPr>
        <w:spacing w:after="0" w:line="188" w:lineRule="auto"/>
        <w:rPr>
          <w:sz w:val="20"/>
          <w:szCs w:val="20"/>
          <w:color w:val="auto"/>
        </w:rPr>
      </w:pPr>
      <w:r>
        <w:rPr>
          <w:rFonts w:ascii="Arial" w:cs="Arial" w:eastAsia="Arial" w:hAnsi="Arial"/>
          <w:sz w:val="9"/>
          <w:szCs w:val="9"/>
          <w:color w:val="FFFFFF"/>
        </w:rPr>
        <w:t>201031December</w:t>
      </w:r>
    </w:p>
    <w:p>
      <w:pPr>
        <w:spacing w:after="0" w:line="188" w:lineRule="auto"/>
        <w:rPr>
          <w:sz w:val="20"/>
          <w:szCs w:val="20"/>
          <w:color w:val="auto"/>
        </w:rPr>
      </w:pPr>
      <w:r>
        <w:rPr>
          <w:rFonts w:ascii="Arial" w:cs="Arial" w:eastAsia="Arial" w:hAnsi="Arial"/>
          <w:sz w:val="9"/>
          <w:szCs w:val="9"/>
          <w:color w:val="FFFFFF"/>
        </w:rPr>
        <w:t>HK$</w:t>
      </w:r>
    </w:p>
    <w:p>
      <w:pPr>
        <w:spacing w:after="0" w:line="188" w:lineRule="auto"/>
        <w:rPr>
          <w:sz w:val="20"/>
          <w:szCs w:val="20"/>
          <w:color w:val="auto"/>
        </w:rPr>
      </w:pPr>
      <w:r>
        <w:rPr>
          <w:rFonts w:ascii="Arial" w:cs="Arial" w:eastAsia="Arial" w:hAnsi="Arial"/>
          <w:sz w:val="9"/>
          <w:szCs w:val="9"/>
          <w:color w:val="FFFFFF"/>
        </w:rPr>
        <w:t>(in thousands)</w:t>
      </w:r>
    </w:p>
    <w:p>
      <w:pPr>
        <w:spacing w:after="0" w:line="181" w:lineRule="auto"/>
        <w:rPr>
          <w:sz w:val="20"/>
          <w:szCs w:val="20"/>
          <w:color w:val="auto"/>
        </w:rPr>
      </w:pPr>
      <w:r>
        <w:rPr>
          <w:rFonts w:ascii="Arial" w:cs="Arial" w:eastAsia="Arial" w:hAnsi="Arial"/>
          <w:sz w:val="9"/>
          <w:szCs w:val="9"/>
          <w:color w:val="FFFFFF"/>
        </w:rPr>
        <w:t>967,494Depreciation</w:t>
      </w:r>
      <w:r>
        <w:rPr>
          <w:rFonts w:ascii="Arial" w:cs="Arial" w:eastAsia="Arial" w:hAnsi="Arial"/>
          <w:sz w:val="14"/>
          <w:szCs w:val="14"/>
          <w:color w:val="FFFFFF"/>
          <w:vertAlign w:val="superscript"/>
        </w:rPr>
        <w:t>92655</w:t>
      </w:r>
      <w:r>
        <w:rPr>
          <w:rFonts w:ascii="Arial" w:cs="Arial" w:eastAsia="Arial" w:hAnsi="Arial"/>
          <w:sz w:val="9"/>
          <w:szCs w:val="9"/>
          <w:color w:val="FFFFFF"/>
        </w:rPr>
        <w:t xml:space="preserve"> of property and equipment</w:t>
      </w:r>
    </w:p>
    <w:p>
      <w:pPr>
        <w:spacing w:after="0" w:line="181" w:lineRule="auto"/>
        <w:rPr>
          <w:sz w:val="20"/>
          <w:szCs w:val="20"/>
          <w:color w:val="auto"/>
        </w:rPr>
      </w:pPr>
      <w:r>
        <w:rPr>
          <w:rFonts w:ascii="Arial" w:cs="Arial" w:eastAsia="Arial" w:hAnsi="Arial"/>
          <w:sz w:val="9"/>
          <w:szCs w:val="9"/>
          <w:color w:val="FFFFFF"/>
        </w:rPr>
        <w:t>22,022Amortization</w:t>
      </w:r>
      <w:r>
        <w:rPr>
          <w:rFonts w:ascii="Arial" w:cs="Arial" w:eastAsia="Arial" w:hAnsi="Arial"/>
          <w:sz w:val="14"/>
          <w:szCs w:val="14"/>
          <w:color w:val="FFFFFF"/>
          <w:vertAlign w:val="superscript"/>
        </w:rPr>
        <w:t>3766</w:t>
      </w:r>
      <w:r>
        <w:rPr>
          <w:rFonts w:ascii="Arial" w:cs="Arial" w:eastAsia="Arial" w:hAnsi="Arial"/>
          <w:sz w:val="9"/>
          <w:szCs w:val="9"/>
          <w:color w:val="FFFFFF"/>
        </w:rPr>
        <w:t xml:space="preserve"> of leasehold interest in land</w:t>
      </w:r>
    </w:p>
    <w:p>
      <w:pPr>
        <w:spacing w:after="0"/>
        <w:rPr>
          <w:sz w:val="20"/>
          <w:szCs w:val="20"/>
          <w:color w:val="auto"/>
        </w:rPr>
      </w:pPr>
      <w:r>
        <w:rPr>
          <w:rFonts w:ascii="Arial" w:cs="Arial" w:eastAsia="Arial" w:hAnsi="Arial"/>
          <w:sz w:val="3"/>
          <w:szCs w:val="3"/>
          <w:color w:val="FFFFFF"/>
        </w:rPr>
        <w:t>989,5161,016,421</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Depreciation and amortization expenses of approximately HK$569,000 and HK$841,000, respectively, for the year ended 31 December 2011 (2010: HK$332,000 and HK$490,000, respectively) are excluded from the table above and are classifi ed as staff costs and included in other costs and benefi ts in note 3.1 to the fi nancial statements. Such balances are related to a home purchased by WRM for the use by one of the Group’s executives as described in note 27 to the fi 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Group3.4Property charges and other</w:t>
      </w:r>
    </w:p>
    <w:p>
      <w:pPr>
        <w:spacing w:after="0" w:line="181" w:lineRule="auto"/>
        <w:rPr>
          <w:sz w:val="20"/>
          <w:szCs w:val="20"/>
          <w:color w:val="auto"/>
        </w:rPr>
      </w:pPr>
      <w:r>
        <w:rPr>
          <w:rFonts w:ascii="Arial" w:cs="Arial" w:eastAsia="Arial" w:hAnsi="Arial"/>
          <w:sz w:val="10"/>
          <w:szCs w:val="10"/>
          <w:color w:val="FFFFFF"/>
        </w:rPr>
        <w:t>For the year ended</w:t>
      </w:r>
    </w:p>
    <w:p>
      <w:pPr>
        <w:spacing w:after="0" w:line="188" w:lineRule="auto"/>
        <w:rPr>
          <w:sz w:val="20"/>
          <w:szCs w:val="20"/>
          <w:color w:val="auto"/>
        </w:rPr>
      </w:pPr>
      <w:r>
        <w:rPr>
          <w:rFonts w:ascii="Arial" w:cs="Arial" w:eastAsia="Arial" w:hAnsi="Arial"/>
          <w:sz w:val="9"/>
          <w:szCs w:val="9"/>
          <w:color w:val="FFFFFF"/>
        </w:rPr>
        <w:t>201031December</w:t>
      </w:r>
    </w:p>
    <w:p>
      <w:pPr>
        <w:spacing w:after="0" w:line="188" w:lineRule="auto"/>
        <w:rPr>
          <w:sz w:val="20"/>
          <w:szCs w:val="20"/>
          <w:color w:val="auto"/>
        </w:rPr>
      </w:pPr>
      <w:r>
        <w:rPr>
          <w:rFonts w:ascii="Arial" w:cs="Arial" w:eastAsia="Arial" w:hAnsi="Arial"/>
          <w:sz w:val="9"/>
          <w:szCs w:val="9"/>
          <w:color w:val="FFFFFF"/>
        </w:rPr>
        <w:t>HK$</w:t>
      </w:r>
    </w:p>
    <w:p>
      <w:pPr>
        <w:spacing w:after="0"/>
        <w:rPr>
          <w:sz w:val="20"/>
          <w:szCs w:val="20"/>
          <w:color w:val="auto"/>
        </w:rPr>
      </w:pPr>
      <w:r>
        <w:rPr>
          <w:rFonts w:ascii="Arial" w:cs="Arial" w:eastAsia="Arial" w:hAnsi="Arial"/>
          <w:sz w:val="3"/>
          <w:szCs w:val="3"/>
          <w:color w:val="FFFFFF"/>
        </w:rPr>
        <w:t>(in thousands)</w:t>
      </w:r>
    </w:p>
    <w:p>
      <w:pPr>
        <w:spacing w:after="0" w:line="181" w:lineRule="auto"/>
        <w:rPr>
          <w:sz w:val="20"/>
          <w:szCs w:val="20"/>
          <w:color w:val="auto"/>
        </w:rPr>
      </w:pPr>
      <w:r>
        <w:rPr>
          <w:rFonts w:ascii="Arial" w:cs="Arial" w:eastAsia="Arial" w:hAnsi="Arial"/>
          <w:sz w:val="10"/>
          <w:szCs w:val="10"/>
          <w:color w:val="FFFFFF"/>
          <w:vertAlign w:val="subscript"/>
        </w:rPr>
        <w:t>Development</w:t>
      </w:r>
      <w:r>
        <w:rPr>
          <w:rFonts w:ascii="Arial" w:cs="Arial" w:eastAsia="Arial" w:hAnsi="Arial"/>
          <w:sz w:val="7"/>
          <w:szCs w:val="7"/>
          <w:color w:val="FFFFFF"/>
        </w:rPr>
        <w:t>onationtothe</w:t>
      </w:r>
      <w:r>
        <w:rPr>
          <w:rFonts w:ascii="Arial" w:cs="Arial" w:eastAsia="Arial" w:hAnsi="Arial"/>
          <w:sz w:val="10"/>
          <w:szCs w:val="10"/>
          <w:color w:val="FFFFFF"/>
          <w:vertAlign w:val="subscript"/>
        </w:rPr>
        <w:t>Foundation</w:t>
      </w:r>
      <w:r>
        <w:rPr>
          <w:rFonts w:ascii="Arial" w:cs="Arial" w:eastAsia="Arial" w:hAnsi="Arial"/>
          <w:sz w:val="7"/>
          <w:szCs w:val="7"/>
          <w:color w:val="FFFFFF"/>
        </w:rPr>
        <w:t>Uiversity of Macau</w:t>
      </w:r>
    </w:p>
    <w:p>
      <w:pPr>
        <w:spacing w:after="0"/>
        <w:rPr>
          <w:sz w:val="20"/>
          <w:szCs w:val="20"/>
          <w:color w:val="auto"/>
        </w:rPr>
      </w:pPr>
      <w:r>
        <w:rPr>
          <w:rFonts w:ascii="Arial" w:cs="Arial" w:eastAsia="Arial" w:hAnsi="Arial"/>
          <w:sz w:val="3"/>
          <w:szCs w:val="3"/>
          <w:color w:val="FFFFFF"/>
        </w:rPr>
        <w:t>831,128</w:t>
      </w:r>
    </w:p>
    <w:p>
      <w:pPr>
        <w:spacing w:after="0" w:line="194" w:lineRule="auto"/>
        <w:rPr>
          <w:sz w:val="20"/>
          <w:szCs w:val="20"/>
          <w:color w:val="auto"/>
        </w:rPr>
      </w:pPr>
      <w:r>
        <w:rPr>
          <w:rFonts w:ascii="Arial" w:cs="Arial" w:eastAsia="Arial" w:hAnsi="Arial"/>
          <w:sz w:val="5"/>
          <w:szCs w:val="5"/>
          <w:color w:val="FFFFFF"/>
        </w:rPr>
        <w:t>—</w:t>
      </w:r>
    </w:p>
    <w:p>
      <w:pPr>
        <w:spacing w:after="0"/>
        <w:rPr>
          <w:sz w:val="20"/>
          <w:szCs w:val="20"/>
          <w:color w:val="auto"/>
        </w:rPr>
      </w:pPr>
      <w:r>
        <w:rPr>
          <w:rFonts w:ascii="Arial" w:cs="Arial" w:eastAsia="Arial" w:hAnsi="Arial"/>
          <w:sz w:val="3"/>
          <w:szCs w:val="3"/>
          <w:color w:val="FFFFFF"/>
        </w:rPr>
        <w:t>Loss on disposals and abandonment of assets</w:t>
      </w:r>
    </w:p>
    <w:p>
      <w:pPr>
        <w:spacing w:after="0" w:line="181" w:lineRule="auto"/>
        <w:rPr>
          <w:sz w:val="20"/>
          <w:szCs w:val="20"/>
          <w:color w:val="auto"/>
        </w:rPr>
      </w:pPr>
      <w:r>
        <w:rPr>
          <w:rFonts w:ascii="Arial" w:cs="Arial" w:eastAsia="Arial" w:hAnsi="Arial"/>
          <w:sz w:val="10"/>
          <w:szCs w:val="10"/>
          <w:color w:val="FFFFFF"/>
          <w:vertAlign w:val="superscript"/>
        </w:rPr>
        <w:t>34</w:t>
      </w:r>
      <w:r>
        <w:rPr>
          <w:rFonts w:ascii="Arial" w:cs="Arial" w:eastAsia="Arial" w:hAnsi="Arial"/>
          <w:sz w:val="7"/>
          <w:szCs w:val="7"/>
          <w:color w:val="FFFFFF"/>
        </w:rPr>
        <w:t>47,009</w:t>
      </w:r>
      <w:r>
        <w:rPr>
          <w:rFonts w:ascii="Arial" w:cs="Arial" w:eastAsia="Arial" w:hAnsi="Arial"/>
          <w:sz w:val="10"/>
          <w:szCs w:val="10"/>
          <w:color w:val="FFFFFF"/>
          <w:vertAlign w:val="superscript"/>
        </w:rPr>
        <w:t>725</w:t>
      </w:r>
    </w:p>
    <w:p>
      <w:pPr>
        <w:spacing w:after="0"/>
        <w:rPr>
          <w:sz w:val="20"/>
          <w:szCs w:val="20"/>
          <w:color w:val="auto"/>
        </w:rPr>
      </w:pPr>
      <w:r>
        <w:rPr>
          <w:rFonts w:ascii="Arial" w:cs="Arial" w:eastAsia="Arial" w:hAnsi="Arial"/>
          <w:sz w:val="3"/>
          <w:szCs w:val="3"/>
          <w:color w:val="FFFFFF"/>
        </w:rPr>
        <w:t>865,853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47,009</w:t>
      </w:r>
    </w:p>
    <w:p>
      <w:pPr>
        <w:sectPr>
          <w:pgSz w:w="11900" w:h="16838" w:orient="portrait"/>
          <w:cols w:equalWidth="0" w:num="1">
            <w:col w:w="11420"/>
          </w:cols>
          <w:pgMar w:left="240" w:top="1440" w:right="23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106 Wynn Macau, Limited</w:t>
      </w:r>
    </w:p>
    <w:p>
      <w:pPr>
        <w:spacing w:after="0" w:line="221" w:lineRule="auto"/>
        <w:rPr>
          <w:sz w:val="20"/>
          <w:szCs w:val="20"/>
          <w:color w:val="auto"/>
        </w:rPr>
      </w:pPr>
      <w:r>
        <w:rPr>
          <w:rFonts w:ascii="Arial" w:cs="Arial" w:eastAsia="Arial" w:hAnsi="Arial"/>
          <w:sz w:val="14"/>
          <w:szCs w:val="14"/>
          <w:color w:val="FFFFFF"/>
        </w:rPr>
        <w:t>NotesFinancialtoFinancialStatementsStatements</w:t>
      </w:r>
    </w:p>
    <w:p>
      <w:pPr>
        <w:spacing w:after="0"/>
        <w:rPr>
          <w:sz w:val="20"/>
          <w:szCs w:val="20"/>
          <w:color w:val="auto"/>
        </w:rPr>
      </w:pPr>
      <w:r>
        <w:rPr>
          <w:rFonts w:ascii="Arial" w:cs="Arial" w:eastAsia="Arial" w:hAnsi="Arial"/>
          <w:sz w:val="3"/>
          <w:szCs w:val="3"/>
          <w:color w:val="FFFFFF"/>
        </w:rPr>
        <w:t>For the year ended 31 December 2011</w:t>
      </w:r>
    </w:p>
    <w:p>
      <w:pPr>
        <w:spacing w:after="0" w:line="181" w:lineRule="auto"/>
        <w:rPr>
          <w:sz w:val="20"/>
          <w:szCs w:val="20"/>
          <w:color w:val="auto"/>
        </w:rPr>
      </w:pPr>
      <w:r>
        <w:rPr>
          <w:rFonts w:ascii="Arial" w:cs="Arial" w:eastAsia="Arial" w:hAnsi="Arial"/>
          <w:sz w:val="10"/>
          <w:szCs w:val="10"/>
          <w:color w:val="FFFFFF"/>
        </w:rPr>
        <w:t>3.4OTHERPropertyREVENUESchargesand ANDother EXPENSES(continued) (continued)</w:t>
      </w:r>
    </w:p>
    <w:p>
      <w:pPr>
        <w:ind w:right="60"/>
        <w:spacing w:after="0" w:line="181" w:lineRule="auto"/>
        <w:rPr>
          <w:sz w:val="20"/>
          <w:szCs w:val="20"/>
          <w:color w:val="auto"/>
        </w:rPr>
      </w:pPr>
      <w:r>
        <w:rPr>
          <w:rFonts w:ascii="Arial" w:cs="Arial" w:eastAsia="Arial" w:hAnsi="Arial"/>
          <w:sz w:val="7"/>
          <w:szCs w:val="7"/>
          <w:color w:val="FFFFFF"/>
        </w:rPr>
        <w:t>Foundation“Propertychargestodonateandaother”certainincludesamount atodonationtheFoundationmadebywiththe theGroupprimarytothepurposeUniversityofsupportingofMacau Developmentthecreation,promotion,Foundationoperation(the“Foundation”)andotheractivities.InMay 2011,relatedtheto GrouptheAsiaentered-PacifiintocAcademyanagreementofEconomicswiththe and Management created by the University of Macau. Under such agreement, the Group donated MOP200.0 million (approximately HK$194.2 million) in May 201HK$831and for each of the years from 2012 through</w:t>
      </w:r>
    </w:p>
    <w:p>
      <w:pPr>
        <w:ind w:left="8940"/>
        <w:spacing w:after="0" w:line="2" w:lineRule="auto"/>
        <w:tabs>
          <w:tab w:leader="none" w:pos="8920" w:val="left"/>
        </w:tabs>
        <w:rPr>
          <w:sz w:val="20"/>
          <w:szCs w:val="20"/>
          <w:color w:val="auto"/>
        </w:rPr>
      </w:pPr>
      <w:r>
        <w:rPr>
          <w:rFonts w:ascii="Arial" w:cs="Arial" w:eastAsia="Arial" w:hAnsi="Arial"/>
          <w:sz w:val="1"/>
          <w:szCs w:val="1"/>
          <w:color w:val="FFFFFF"/>
        </w:rPr>
        <w:t>the2022donationtheGroupas willexpensedonateforMOP80.0theyearmillionended 31(approximatelyDecember2011.HK$No77.7suchmillion)arrangement.Asresultexistedof thefor abovethe arrangement,ended31DecembertheGroup2010.recognized approximately</w:t>
      </w:r>
      <w:r>
        <w:rPr>
          <w:sz w:val="20"/>
          <w:szCs w:val="20"/>
          <w:color w:val="auto"/>
        </w:rPr>
        <w:tab/>
      </w:r>
      <w:r>
        <w:rPr>
          <w:rFonts w:ascii="Arial" w:cs="Arial" w:eastAsia="Arial" w:hAnsi="Arial"/>
          <w:sz w:val="1"/>
          <w:szCs w:val="1"/>
          <w:color w:val="FFFFFF"/>
        </w:rPr>
        <w:t>.1 million representing the present value of</w:t>
      </w:r>
    </w:p>
    <w:p>
      <w:pPr>
        <w:spacing w:after="0"/>
        <w:rPr>
          <w:sz w:val="20"/>
          <w:szCs w:val="20"/>
          <w:color w:val="auto"/>
        </w:rPr>
      </w:pPr>
      <w:r>
        <w:rPr>
          <w:rFonts w:ascii="Arial" w:cs="Arial" w:eastAsia="Arial" w:hAnsi="Arial"/>
          <w:sz w:val="11"/>
          <w:szCs w:val="11"/>
          <w:color w:val="FFFFFF"/>
        </w:rPr>
        <w:t>Asset abandonment losses related to property and equipment and construction in progress abandoned asyearresult of renovating certain assets of Wynn Macau in response to customer preferences and changes in market demand.</w:t>
      </w:r>
    </w:p>
    <w:p>
      <w:pPr>
        <w:spacing w:after="0" w:line="198" w:lineRule="auto"/>
        <w:rPr>
          <w:sz w:val="20"/>
          <w:szCs w:val="20"/>
          <w:color w:val="auto"/>
        </w:rPr>
      </w:pPr>
      <w:r>
        <w:rPr>
          <w:rFonts w:ascii="Arial" w:cs="Arial" w:eastAsia="Arial" w:hAnsi="Arial"/>
          <w:sz w:val="8"/>
          <w:szCs w:val="8"/>
          <w:color w:val="FFFFFF"/>
        </w:rPr>
        <w:t>Group3.5Finance revenues</w:t>
      </w:r>
    </w:p>
    <w:p>
      <w:pPr>
        <w:spacing w:after="0" w:line="188" w:lineRule="auto"/>
        <w:rPr>
          <w:sz w:val="20"/>
          <w:szCs w:val="20"/>
          <w:color w:val="auto"/>
        </w:rPr>
      </w:pPr>
      <w:r>
        <w:rPr>
          <w:rFonts w:ascii="Arial" w:cs="Arial" w:eastAsia="Arial" w:hAnsi="Arial"/>
          <w:sz w:val="9"/>
          <w:szCs w:val="9"/>
          <w:color w:val="FFFFFF"/>
        </w:rPr>
        <w:t>For the year ended</w:t>
      </w:r>
    </w:p>
    <w:p>
      <w:pPr>
        <w:spacing w:after="0" w:line="188" w:lineRule="auto"/>
        <w:rPr>
          <w:sz w:val="20"/>
          <w:szCs w:val="20"/>
          <w:color w:val="auto"/>
        </w:rPr>
      </w:pPr>
      <w:r>
        <w:rPr>
          <w:rFonts w:ascii="Arial" w:cs="Arial" w:eastAsia="Arial" w:hAnsi="Arial"/>
          <w:sz w:val="9"/>
          <w:szCs w:val="9"/>
          <w:color w:val="FFFFFF"/>
        </w:rPr>
        <w:t>201031December</w:t>
      </w:r>
    </w:p>
    <w:p>
      <w:pPr>
        <w:spacing w:after="0" w:line="181" w:lineRule="auto"/>
        <w:rPr>
          <w:sz w:val="20"/>
          <w:szCs w:val="20"/>
          <w:color w:val="auto"/>
        </w:rPr>
      </w:pPr>
      <w:r>
        <w:rPr>
          <w:rFonts w:ascii="Arial" w:cs="Arial" w:eastAsia="Arial" w:hAnsi="Arial"/>
          <w:sz w:val="14"/>
          <w:szCs w:val="14"/>
          <w:color w:val="FFFFFF"/>
        </w:rPr>
        <w:t>HK$</w:t>
      </w:r>
    </w:p>
    <w:p>
      <w:pPr>
        <w:spacing w:after="0"/>
        <w:rPr>
          <w:sz w:val="20"/>
          <w:szCs w:val="20"/>
          <w:color w:val="auto"/>
        </w:rPr>
      </w:pPr>
      <w:r>
        <w:rPr>
          <w:rFonts w:ascii="Arial" w:cs="Arial" w:eastAsia="Arial" w:hAnsi="Arial"/>
          <w:sz w:val="3"/>
          <w:szCs w:val="3"/>
          <w:color w:val="FFFFFF"/>
        </w:rPr>
        <w:t>Interest(inthousands)income from:</w:t>
      </w:r>
    </w:p>
    <w:p>
      <w:pPr>
        <w:spacing w:after="0" w:line="181" w:lineRule="auto"/>
        <w:rPr>
          <w:sz w:val="20"/>
          <w:szCs w:val="20"/>
          <w:color w:val="auto"/>
        </w:rPr>
      </w:pPr>
      <w:r>
        <w:rPr>
          <w:rFonts w:ascii="Arial" w:cs="Arial" w:eastAsia="Arial" w:hAnsi="Arial"/>
          <w:sz w:val="10"/>
          <w:szCs w:val="10"/>
          <w:color w:val="FFFFFF"/>
        </w:rPr>
        <w:t>Available-for-sale financial assets</w:t>
      </w:r>
    </w:p>
    <w:p>
      <w:pPr>
        <w:spacing w:after="0" w:line="181" w:lineRule="auto"/>
        <w:rPr>
          <w:sz w:val="20"/>
          <w:szCs w:val="20"/>
          <w:color w:val="auto"/>
        </w:rPr>
      </w:pPr>
      <w:r>
        <w:rPr>
          <w:rFonts w:ascii="Arial" w:cs="Arial" w:eastAsia="Arial" w:hAnsi="Arial"/>
          <w:sz w:val="14"/>
          <w:szCs w:val="14"/>
          <w:color w:val="FFFFFF"/>
        </w:rPr>
        <w:t>4,028—listed</w:t>
      </w:r>
    </w:p>
    <w:p>
      <w:pPr>
        <w:spacing w:after="0"/>
        <w:rPr>
          <w:sz w:val="20"/>
          <w:szCs w:val="20"/>
          <w:color w:val="auto"/>
        </w:rPr>
      </w:pPr>
      <w:r>
        <w:rPr>
          <w:rFonts w:ascii="Arial" w:cs="Arial" w:eastAsia="Arial" w:hAnsi="Arial"/>
          <w:sz w:val="3"/>
          <w:szCs w:val="3"/>
          <w:color w:val="FFFFFF"/>
        </w:rPr>
        <w:t>1,088—unlisted</w:t>
      </w:r>
    </w:p>
    <w:p>
      <w:pPr>
        <w:spacing w:after="0" w:line="194" w:lineRule="auto"/>
        <w:rPr>
          <w:sz w:val="20"/>
          <w:szCs w:val="20"/>
          <w:color w:val="auto"/>
        </w:rPr>
      </w:pPr>
      <w:r>
        <w:rPr>
          <w:rFonts w:ascii="Arial" w:cs="Arial" w:eastAsia="Arial" w:hAnsi="Arial"/>
          <w:sz w:val="5"/>
          <w:szCs w:val="5"/>
          <w:color w:val="FFFFFF"/>
        </w:rPr>
        <w:t>—</w:t>
      </w:r>
    </w:p>
    <w:p>
      <w:pPr>
        <w:spacing w:after="0" w:line="188" w:lineRule="auto"/>
        <w:rPr>
          <w:sz w:val="20"/>
          <w:szCs w:val="20"/>
          <w:color w:val="auto"/>
        </w:rPr>
      </w:pPr>
      <w:r>
        <w:rPr>
          <w:rFonts w:ascii="Arial" w:cs="Arial" w:eastAsia="Arial" w:hAnsi="Arial"/>
          <w:sz w:val="9"/>
          <w:szCs w:val="9"/>
          <w:color w:val="FFFFFF"/>
        </w:rPr>
        <w:t>Held-to-maturity investments</w:t>
      </w:r>
    </w:p>
    <w:p>
      <w:pPr>
        <w:spacing w:after="0" w:line="181" w:lineRule="auto"/>
        <w:rPr>
          <w:sz w:val="20"/>
          <w:szCs w:val="20"/>
          <w:color w:val="auto"/>
        </w:rPr>
      </w:pPr>
      <w:r>
        <w:rPr>
          <w:rFonts w:ascii="Arial" w:cs="Arial" w:eastAsia="Arial" w:hAnsi="Arial"/>
          <w:sz w:val="14"/>
          <w:szCs w:val="14"/>
          <w:color w:val="FFFFFF"/>
        </w:rPr>
        <w:t>1,260—listed</w:t>
      </w:r>
    </w:p>
    <w:p>
      <w:pPr>
        <w:spacing w:after="0"/>
        <w:rPr>
          <w:sz w:val="20"/>
          <w:szCs w:val="20"/>
          <w:color w:val="auto"/>
        </w:rPr>
      </w:pPr>
      <w:r>
        <w:rPr>
          <w:rFonts w:ascii="Arial" w:cs="Arial" w:eastAsia="Arial" w:hAnsi="Arial"/>
          <w:sz w:val="3"/>
          <w:szCs w:val="3"/>
          <w:color w:val="FFFFFF"/>
        </w:rPr>
        <w:t>105—unlisted</w:t>
      </w:r>
    </w:p>
    <w:p>
      <w:pPr>
        <w:spacing w:after="0" w:line="181" w:lineRule="auto"/>
        <w:rPr>
          <w:sz w:val="20"/>
          <w:szCs w:val="20"/>
          <w:color w:val="auto"/>
        </w:rPr>
      </w:pPr>
      <w:r>
        <w:rPr>
          <w:rFonts w:ascii="Arial" w:cs="Arial" w:eastAsia="Arial" w:hAnsi="Arial"/>
          <w:sz w:val="10"/>
          <w:szCs w:val="10"/>
          <w:color w:val="FFFFFF"/>
        </w:rPr>
        <w:t>—</w:t>
      </w:r>
    </w:p>
    <w:p>
      <w:pPr>
        <w:spacing w:after="0"/>
        <w:rPr>
          <w:sz w:val="20"/>
          <w:szCs w:val="20"/>
          <w:color w:val="auto"/>
        </w:rPr>
      </w:pPr>
      <w:r>
        <w:rPr>
          <w:rFonts w:ascii="Arial" w:cs="Arial" w:eastAsia="Arial" w:hAnsi="Arial"/>
          <w:sz w:val="3"/>
          <w:szCs w:val="3"/>
          <w:color w:val="FFFFFF"/>
        </w:rPr>
        <w:t>Cash at banks</w:t>
      </w:r>
    </w:p>
    <w:p>
      <w:pPr>
        <w:spacing w:after="0" w:line="181" w:lineRule="auto"/>
        <w:rPr>
          <w:sz w:val="20"/>
          <w:szCs w:val="20"/>
          <w:color w:val="auto"/>
        </w:rPr>
      </w:pPr>
      <w:r>
        <w:rPr>
          <w:rFonts w:ascii="Arial" w:cs="Arial" w:eastAsia="Arial" w:hAnsi="Arial"/>
          <w:sz w:val="10"/>
          <w:szCs w:val="10"/>
          <w:color w:val="FFFFFF"/>
        </w:rPr>
        <w:t>2,02742,585</w:t>
      </w:r>
    </w:p>
    <w:p>
      <w:pPr>
        <w:spacing w:after="0"/>
        <w:rPr>
          <w:sz w:val="20"/>
          <w:szCs w:val="20"/>
          <w:color w:val="auto"/>
        </w:rPr>
      </w:pPr>
      <w:r>
        <w:rPr>
          <w:rFonts w:ascii="Arial" w:cs="Arial" w:eastAsia="Arial" w:hAnsi="Arial"/>
          <w:sz w:val="14"/>
          <w:szCs w:val="14"/>
          <w:color w:val="FFFFFF"/>
        </w:rPr>
        <w:t>2,02749,066</w:t>
      </w:r>
    </w:p>
    <w:p>
      <w:pPr>
        <w:sectPr>
          <w:pgSz w:w="11900" w:h="16838" w:orient="portrait"/>
          <w:cols w:equalWidth="0" w:num="1">
            <w:col w:w="11260"/>
          </w:cols>
          <w:pgMar w:left="240" w:top="1440" w:right="39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107</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line="188" w:lineRule="auto"/>
        <w:rPr>
          <w:sz w:val="20"/>
          <w:szCs w:val="20"/>
          <w:color w:val="auto"/>
        </w:rPr>
      </w:pPr>
      <w:r>
        <w:rPr>
          <w:rFonts w:ascii="Arial" w:cs="Arial" w:eastAsia="Arial" w:hAnsi="Arial"/>
          <w:sz w:val="9"/>
          <w:szCs w:val="9"/>
          <w:color w:val="FFFFFF"/>
          <w:vertAlign w:val="superscript"/>
        </w:rPr>
        <w:t>3.</w:t>
      </w:r>
      <w:r>
        <w:rPr>
          <w:rFonts w:ascii="Arial" w:cs="Arial" w:eastAsia="Arial" w:hAnsi="Arial"/>
          <w:sz w:val="7"/>
          <w:szCs w:val="7"/>
          <w:color w:val="FFFFFF"/>
        </w:rPr>
        <w:t xml:space="preserve"> OTHER REVENUES AND EXPENSES (continued)</w:t>
      </w:r>
    </w:p>
    <w:p>
      <w:pPr>
        <w:spacing w:after="0"/>
        <w:rPr>
          <w:sz w:val="20"/>
          <w:szCs w:val="20"/>
          <w:color w:val="auto"/>
        </w:rPr>
      </w:pPr>
      <w:r>
        <w:rPr>
          <w:rFonts w:ascii="Arial" w:cs="Arial" w:eastAsia="Arial" w:hAnsi="Arial"/>
          <w:sz w:val="3"/>
          <w:szCs w:val="3"/>
          <w:color w:val="FFFFFF"/>
        </w:rPr>
        <w:t>Group6Finance costs</w:t>
      </w:r>
    </w:p>
    <w:p>
      <w:pPr>
        <w:spacing w:after="0" w:line="181" w:lineRule="auto"/>
        <w:rPr>
          <w:sz w:val="20"/>
          <w:szCs w:val="20"/>
          <w:color w:val="auto"/>
        </w:rPr>
      </w:pPr>
      <w:r>
        <w:rPr>
          <w:rFonts w:ascii="Arial" w:cs="Arial" w:eastAsia="Arial" w:hAnsi="Arial"/>
          <w:sz w:val="10"/>
          <w:szCs w:val="10"/>
          <w:color w:val="FFFFFF"/>
        </w:rPr>
        <w:t>For the year ended</w:t>
      </w:r>
    </w:p>
    <w:p>
      <w:pPr>
        <w:spacing w:after="0" w:line="188" w:lineRule="auto"/>
        <w:rPr>
          <w:sz w:val="20"/>
          <w:szCs w:val="20"/>
          <w:color w:val="auto"/>
        </w:rPr>
      </w:pPr>
      <w:r>
        <w:rPr>
          <w:rFonts w:ascii="Arial" w:cs="Arial" w:eastAsia="Arial" w:hAnsi="Arial"/>
          <w:sz w:val="9"/>
          <w:szCs w:val="9"/>
          <w:color w:val="FFFFFF"/>
        </w:rPr>
        <w:t>201031December</w:t>
      </w:r>
    </w:p>
    <w:p>
      <w:pPr>
        <w:spacing w:after="0" w:line="181" w:lineRule="auto"/>
        <w:rPr>
          <w:sz w:val="20"/>
          <w:szCs w:val="20"/>
          <w:color w:val="auto"/>
        </w:rPr>
      </w:pPr>
      <w:r>
        <w:rPr>
          <w:rFonts w:ascii="Arial" w:cs="Arial" w:eastAsia="Arial" w:hAnsi="Arial"/>
          <w:sz w:val="14"/>
          <w:szCs w:val="14"/>
          <w:color w:val="FFFFFF"/>
        </w:rPr>
        <w:t>HK$</w:t>
      </w:r>
    </w:p>
    <w:p>
      <w:pPr>
        <w:spacing w:after="0"/>
        <w:rPr>
          <w:sz w:val="20"/>
          <w:szCs w:val="20"/>
          <w:color w:val="auto"/>
        </w:rPr>
      </w:pPr>
      <w:r>
        <w:rPr>
          <w:rFonts w:ascii="Arial" w:cs="Arial" w:eastAsia="Arial" w:hAnsi="Arial"/>
          <w:sz w:val="3"/>
          <w:szCs w:val="3"/>
          <w:color w:val="FFFFFF"/>
        </w:rPr>
        <w:t>Interest(inthousands)expense for:</w:t>
      </w:r>
    </w:p>
    <w:p>
      <w:pPr>
        <w:spacing w:after="0" w:line="181" w:lineRule="auto"/>
        <w:rPr>
          <w:sz w:val="20"/>
          <w:szCs w:val="20"/>
          <w:color w:val="auto"/>
        </w:rPr>
      </w:pPr>
      <w:r>
        <w:rPr>
          <w:rFonts w:ascii="Arial" w:cs="Arial" w:eastAsia="Arial" w:hAnsi="Arial"/>
          <w:sz w:val="10"/>
          <w:szCs w:val="10"/>
          <w:color w:val="FFFFFF"/>
        </w:rPr>
        <w:t>Bank loans wholly repayable within 5 years</w:t>
      </w:r>
    </w:p>
    <w:p>
      <w:pPr>
        <w:spacing w:after="0"/>
        <w:rPr>
          <w:sz w:val="20"/>
          <w:szCs w:val="20"/>
          <w:color w:val="auto"/>
        </w:rPr>
      </w:pPr>
      <w:r>
        <w:rPr>
          <w:rFonts w:ascii="Arial" w:cs="Arial" w:eastAsia="Arial" w:hAnsi="Arial"/>
          <w:sz w:val="3"/>
          <w:szCs w:val="3"/>
          <w:color w:val="FFFFFF"/>
        </w:rPr>
        <w:t>110,64568,797</w:t>
      </w:r>
    </w:p>
    <w:p>
      <w:pPr>
        <w:spacing w:after="0" w:line="181" w:lineRule="auto"/>
        <w:rPr>
          <w:sz w:val="20"/>
          <w:szCs w:val="20"/>
          <w:color w:val="auto"/>
        </w:rPr>
      </w:pPr>
      <w:r>
        <w:rPr>
          <w:rFonts w:ascii="Arial" w:cs="Arial" w:eastAsia="Arial" w:hAnsi="Arial"/>
          <w:sz w:val="10"/>
          <w:szCs w:val="10"/>
          <w:color w:val="FFFFFF"/>
        </w:rPr>
        <w:t>Interest rate swaps wholly repayable within 5 years</w:t>
      </w:r>
    </w:p>
    <w:p>
      <w:pPr>
        <w:spacing w:after="0" w:line="188" w:lineRule="auto"/>
        <w:rPr>
          <w:sz w:val="20"/>
          <w:szCs w:val="20"/>
          <w:color w:val="auto"/>
        </w:rPr>
      </w:pPr>
      <w:r>
        <w:rPr>
          <w:rFonts w:ascii="Arial" w:cs="Arial" w:eastAsia="Arial" w:hAnsi="Arial"/>
          <w:sz w:val="9"/>
          <w:szCs w:val="9"/>
          <w:color w:val="FFFFFF"/>
        </w:rPr>
        <w:t>118,42693,335</w:t>
      </w:r>
    </w:p>
    <w:p>
      <w:pPr>
        <w:spacing w:after="0" w:line="181" w:lineRule="auto"/>
        <w:rPr>
          <w:sz w:val="20"/>
          <w:szCs w:val="20"/>
          <w:color w:val="auto"/>
        </w:rPr>
      </w:pPr>
      <w:r>
        <w:rPr>
          <w:rFonts w:ascii="Arial" w:cs="Arial" w:eastAsia="Arial" w:hAnsi="Arial"/>
          <w:sz w:val="9"/>
          <w:szCs w:val="9"/>
          <w:color w:val="FFFFFF"/>
        </w:rPr>
        <w:t>5,097Other</w:t>
      </w:r>
      <w:r>
        <w:rPr>
          <w:rFonts w:ascii="Arial" w:cs="Arial" w:eastAsia="Arial" w:hAnsi="Arial"/>
          <w:sz w:val="14"/>
          <w:szCs w:val="14"/>
          <w:color w:val="FFFFFF"/>
          <w:vertAlign w:val="superscript"/>
        </w:rPr>
        <w:t>85</w:t>
      </w:r>
      <w:r>
        <w:rPr>
          <w:rFonts w:ascii="Arial" w:cs="Arial" w:eastAsia="Arial" w:hAnsi="Arial"/>
          <w:sz w:val="9"/>
          <w:szCs w:val="9"/>
          <w:color w:val="FFFFFF"/>
        </w:rPr>
        <w:t xml:space="preserve"> payments wholly payable within 5 years</w:t>
      </w:r>
    </w:p>
    <w:p>
      <w:pPr>
        <w:spacing w:after="0"/>
        <w:rPr>
          <w:sz w:val="20"/>
          <w:szCs w:val="20"/>
          <w:color w:val="auto"/>
        </w:rPr>
      </w:pPr>
      <w:r>
        <w:rPr>
          <w:rFonts w:ascii="Arial" w:cs="Arial" w:eastAsia="Arial" w:hAnsi="Arial"/>
          <w:sz w:val="3"/>
          <w:szCs w:val="3"/>
          <w:color w:val="FFFFFF"/>
        </w:rPr>
        <w:t>20,486Imputed interest expense on long-term other payable</w:t>
      </w:r>
    </w:p>
    <w:p>
      <w:pPr>
        <w:spacing w:after="0" w:line="194" w:lineRule="auto"/>
        <w:rPr>
          <w:sz w:val="20"/>
          <w:szCs w:val="20"/>
          <w:color w:val="auto"/>
        </w:rPr>
      </w:pPr>
      <w:r>
        <w:rPr>
          <w:rFonts w:ascii="Arial" w:cs="Arial" w:eastAsia="Arial" w:hAnsi="Arial"/>
          <w:sz w:val="5"/>
          <w:szCs w:val="5"/>
          <w:color w:val="FFFFFF"/>
        </w:rPr>
        <w:t>—</w:t>
      </w:r>
    </w:p>
    <w:p>
      <w:pPr>
        <w:spacing w:after="0"/>
        <w:rPr>
          <w:sz w:val="20"/>
          <w:szCs w:val="20"/>
          <w:color w:val="auto"/>
        </w:rPr>
      </w:pPr>
      <w:r>
        <w:rPr>
          <w:rFonts w:ascii="Arial" w:cs="Arial" w:eastAsia="Arial" w:hAnsi="Arial"/>
          <w:sz w:val="3"/>
          <w:szCs w:val="3"/>
          <w:color w:val="FFFFFF"/>
        </w:rPr>
        <w:t>Bank fees for unused facilities</w:t>
      </w:r>
    </w:p>
    <w:p>
      <w:pPr>
        <w:spacing w:after="0" w:line="190" w:lineRule="auto"/>
        <w:rPr>
          <w:sz w:val="20"/>
          <w:szCs w:val="20"/>
          <w:color w:val="auto"/>
        </w:rPr>
      </w:pPr>
      <w:r>
        <w:rPr>
          <w:rFonts w:ascii="Arial" w:cs="Arial" w:eastAsia="Arial" w:hAnsi="Arial"/>
          <w:sz w:val="14"/>
          <w:szCs w:val="14"/>
          <w:color w:val="FFFFFF"/>
          <w:vertAlign w:val="superscript"/>
        </w:rPr>
        <w:t>28</w:t>
      </w:r>
      <w:r>
        <w:rPr>
          <w:rFonts w:ascii="Arial" w:cs="Arial" w:eastAsia="Arial" w:hAnsi="Arial"/>
          <w:sz w:val="9"/>
          <w:szCs w:val="9"/>
          <w:color w:val="FFFFFF"/>
        </w:rPr>
        <w:t>30,190</w:t>
      </w:r>
      <w:r>
        <w:rPr>
          <w:rFonts w:ascii="Arial" w:cs="Arial" w:eastAsia="Arial" w:hAnsi="Arial"/>
          <w:sz w:val="14"/>
          <w:szCs w:val="14"/>
          <w:color w:val="FFFFFF"/>
          <w:vertAlign w:val="superscript"/>
        </w:rPr>
        <w:t>935</w:t>
      </w:r>
    </w:p>
    <w:p>
      <w:pPr>
        <w:spacing w:after="0" w:line="188" w:lineRule="auto"/>
        <w:rPr>
          <w:sz w:val="20"/>
          <w:szCs w:val="20"/>
          <w:color w:val="auto"/>
        </w:rPr>
      </w:pPr>
      <w:r>
        <w:rPr>
          <w:rFonts w:ascii="Arial" w:cs="Arial" w:eastAsia="Arial" w:hAnsi="Arial"/>
          <w:sz w:val="9"/>
          <w:szCs w:val="9"/>
          <w:color w:val="FFFFFF"/>
        </w:rPr>
        <w:t>42,748Amortization of debt financing costs</w:t>
      </w:r>
    </w:p>
    <w:p>
      <w:pPr>
        <w:spacing w:after="0"/>
        <w:rPr>
          <w:sz w:val="20"/>
          <w:szCs w:val="20"/>
          <w:color w:val="auto"/>
        </w:rPr>
      </w:pPr>
      <w:r>
        <w:rPr>
          <w:rFonts w:ascii="Arial" w:cs="Arial" w:eastAsia="Arial" w:hAnsi="Arial"/>
          <w:sz w:val="3"/>
          <w:szCs w:val="3"/>
          <w:color w:val="FFFFFF"/>
        </w:rPr>
        <w:t>Less: capitalized interest</w:t>
      </w:r>
    </w:p>
    <w:p>
      <w:pPr>
        <w:spacing w:after="0" w:line="194" w:lineRule="auto"/>
        <w:rPr>
          <w:sz w:val="20"/>
          <w:szCs w:val="20"/>
          <w:color w:val="auto"/>
        </w:rPr>
      </w:pPr>
      <w:r>
        <w:rPr>
          <w:rFonts w:ascii="Arial" w:cs="Arial" w:eastAsia="Arial" w:hAnsi="Arial"/>
          <w:sz w:val="5"/>
          <w:szCs w:val="5"/>
          <w:color w:val="FFFFFF"/>
        </w:rPr>
        <w:t>—</w:t>
      </w:r>
    </w:p>
    <w:p>
      <w:pPr>
        <w:spacing w:after="0"/>
        <w:rPr>
          <w:sz w:val="20"/>
          <w:szCs w:val="20"/>
          <w:color w:val="auto"/>
        </w:rPr>
      </w:pPr>
      <w:r>
        <w:rPr>
          <w:rFonts w:ascii="Arial" w:cs="Arial" w:eastAsia="Arial" w:hAnsi="Arial"/>
          <w:sz w:val="3"/>
          <w:szCs w:val="3"/>
          <w:color w:val="FFFFFF"/>
        </w:rPr>
        <w:t>(51,626)9</w:t>
      </w:r>
    </w:p>
    <w:p>
      <w:pPr>
        <w:spacing w:after="0" w:line="181" w:lineRule="auto"/>
        <w:rPr>
          <w:sz w:val="20"/>
          <w:szCs w:val="20"/>
          <w:color w:val="auto"/>
        </w:rPr>
      </w:pPr>
      <w:r>
        <w:rPr>
          <w:rFonts w:ascii="Arial" w:cs="Arial" w:eastAsia="Arial" w:hAnsi="Arial"/>
          <w:sz w:val="7"/>
          <w:szCs w:val="7"/>
          <w:color w:val="FFFFFF"/>
        </w:rPr>
        <w:t>255,480</w:t>
      </w:r>
      <w:r>
        <w:rPr>
          <w:rFonts w:ascii="Arial" w:cs="Arial" w:eastAsia="Arial" w:hAnsi="Arial"/>
          <w:sz w:val="10"/>
          <w:szCs w:val="10"/>
          <w:color w:val="FFFFFF"/>
          <w:vertAlign w:val="superscript"/>
        </w:rPr>
        <w:t>3</w:t>
      </w:r>
    </w:p>
    <w:p>
      <w:pPr>
        <w:spacing w:after="0"/>
        <w:rPr>
          <w:sz w:val="20"/>
          <w:szCs w:val="20"/>
          <w:color w:val="auto"/>
        </w:rPr>
      </w:pPr>
      <w:r>
        <w:rPr>
          <w:rFonts w:ascii="Arial" w:cs="Arial" w:eastAsia="Arial" w:hAnsi="Arial"/>
          <w:sz w:val="3"/>
          <w:szCs w:val="3"/>
          <w:color w:val="FFFFFF"/>
        </w:rPr>
        <w:t>For the year ended 31 December 2011, no interest was capitalized. For the year ended 31 December 2010, interest was capitalized using a weighted average cost of 4.7%.</w:t>
      </w:r>
    </w:p>
    <w:p>
      <w:pPr>
        <w:spacing w:after="0" w:line="194" w:lineRule="auto"/>
        <w:rPr>
          <w:sz w:val="20"/>
          <w:szCs w:val="20"/>
          <w:color w:val="auto"/>
        </w:rPr>
      </w:pPr>
      <w:r>
        <w:rPr>
          <w:rFonts w:ascii="Arial" w:cs="Arial" w:eastAsia="Arial" w:hAnsi="Arial"/>
          <w:sz w:val="5"/>
          <w:szCs w:val="5"/>
          <w:color w:val="FFFFFF"/>
        </w:rPr>
        <w:t>4. INTEREST RATE SWAPS</w:t>
      </w:r>
    </w:p>
    <w:p>
      <w:pPr>
        <w:spacing w:after="0"/>
        <w:rPr>
          <w:sz w:val="20"/>
          <w:szCs w:val="20"/>
          <w:color w:val="auto"/>
        </w:rPr>
      </w:pPr>
      <w:r>
        <w:rPr>
          <w:rFonts w:ascii="Arial" w:cs="Arial" w:eastAsia="Arial" w:hAnsi="Arial"/>
          <w:sz w:val="8"/>
          <w:szCs w:val="8"/>
          <w:color w:val="FFFFFF"/>
        </w:rPr>
        <w:t xml:space="preserve">As at 31 December 2011, the Group had one interest rate swap agreement. Under this </w:t>
      </w:r>
      <w:r>
        <w:rPr>
          <w:rFonts w:ascii="Arial" w:cs="Arial" w:eastAsia="Arial" w:hAnsi="Arial"/>
          <w:sz w:val="12"/>
          <w:szCs w:val="12"/>
          <w:color w:val="FFFFFF"/>
          <w:vertAlign w:val="subscript"/>
        </w:rPr>
        <w:t>swap</w:t>
      </w:r>
      <w:r>
        <w:rPr>
          <w:rFonts w:ascii="Arial" w:cs="Arial" w:eastAsia="Arial" w:hAnsi="Arial"/>
          <w:sz w:val="8"/>
          <w:szCs w:val="8"/>
          <w:color w:val="FFFFFF"/>
        </w:rPr>
        <w:t xml:space="preserve"> agreement, the Group paid a fi xed interest rate of 2.15% on borrowings of </w:t>
      </w:r>
      <w:r>
        <w:rPr>
          <w:rFonts w:ascii="Arial" w:cs="Arial" w:eastAsia="Arial" w:hAnsi="Arial"/>
          <w:sz w:val="12"/>
          <w:szCs w:val="12"/>
          <w:color w:val="FFFFFF"/>
          <w:vertAlign w:val="subscript"/>
        </w:rPr>
        <w:t>approximately</w:t>
      </w:r>
      <w:r>
        <w:rPr>
          <w:rFonts w:ascii="Arial" w:cs="Arial" w:eastAsia="Arial" w:hAnsi="Arial"/>
          <w:sz w:val="8"/>
          <w:szCs w:val="8"/>
          <w:color w:val="FFFFFF"/>
        </w:rPr>
        <w:t xml:space="preserve"> HK$2.3 billion incurred under the Wynn Macau Credit Facilities in exchange for receipts on the same amount at variable interest rate based on the applicable HIBOR at the time of payment. As 31 December 2011, this interest rate swap fi xed the interest rate on HK$2.3 billion of borrowings under the Wynn Macau Credit Facilities at approximately 3.4% (2010: 3.4%). This interest rate swap agreement will terminate in June 2012.</w:t>
      </w:r>
    </w:p>
    <w:p>
      <w:pPr>
        <w:sectPr>
          <w:pgSz w:w="11900" w:h="16838" w:orient="portrait"/>
          <w:cols w:equalWidth="0" w:num="1">
            <w:col w:w="11320"/>
          </w:cols>
          <w:pgMar w:left="240" w:top="1440"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Arial" w:cs="Arial" w:eastAsia="Arial" w:hAnsi="Arial"/>
                <w:sz w:val="14"/>
                <w:szCs w:val="14"/>
                <w:color w:val="FFFFFF"/>
              </w:rPr>
              <w:t>108 Wynn Macau, Limited</w:t>
            </w:r>
          </w:p>
        </w:tc>
        <w:tc>
          <w:tcPr>
            <w:tcW w:w="5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20"/>
                <w:szCs w:val="20"/>
                <w:color w:val="auto"/>
              </w:rPr>
            </w:pPr>
            <w:r>
              <w:rPr>
                <w:rFonts w:ascii="Arial" w:cs="Arial" w:eastAsia="Arial" w:hAnsi="Arial"/>
                <w:sz w:val="3"/>
                <w:szCs w:val="3"/>
                <w:color w:val="FFFFFF"/>
              </w:rPr>
              <w:t>Financial Statements</w:t>
            </w:r>
          </w:p>
        </w:tc>
        <w:tc>
          <w:tcPr>
            <w:tcW w:w="5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5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line="108" w:lineRule="exact"/>
              <w:rPr>
                <w:sz w:val="20"/>
                <w:szCs w:val="20"/>
                <w:color w:val="auto"/>
              </w:rPr>
            </w:pPr>
            <w:r>
              <w:rPr>
                <w:rFonts w:ascii="Arial" w:cs="Arial" w:eastAsia="Arial" w:hAnsi="Arial"/>
                <w:sz w:val="12"/>
                <w:szCs w:val="12"/>
                <w:color w:val="FFFFFF"/>
              </w:rPr>
              <w:t>For the year ended 31 December 2011</w:t>
            </w:r>
          </w:p>
        </w:tc>
        <w:tc>
          <w:tcPr>
            <w:tcW w:w="5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20"/>
                <w:szCs w:val="20"/>
                <w:color w:val="auto"/>
              </w:rPr>
            </w:pPr>
            <w:r>
              <w:rPr>
                <w:rFonts w:ascii="Arial" w:cs="Arial" w:eastAsia="Arial" w:hAnsi="Arial"/>
                <w:sz w:val="3"/>
                <w:szCs w:val="3"/>
                <w:color w:val="FFFFFF"/>
              </w:rPr>
              <w:t>4. INTEREST RATE SWAPS (continued)</w:t>
            </w:r>
          </w:p>
        </w:tc>
        <w:tc>
          <w:tcPr>
            <w:tcW w:w="5680" w:type="dxa"/>
            <w:vAlign w:val="bottom"/>
          </w:tcPr>
          <w:p>
            <w:pPr>
              <w:spacing w:after="0"/>
              <w:rPr>
                <w:sz w:val="3"/>
                <w:szCs w:val="3"/>
                <w:color w:val="auto"/>
              </w:rPr>
            </w:pPr>
          </w:p>
        </w:tc>
        <w:tc>
          <w:tcPr>
            <w:tcW w:w="3160" w:type="dxa"/>
            <w:vAlign w:val="bottom"/>
            <w:gridSpan w:val="3"/>
            <w:vMerge w:val="restart"/>
          </w:tcPr>
          <w:p>
            <w:pPr>
              <w:ind w:left="60"/>
              <w:spacing w:after="0" w:line="81" w:lineRule="exact"/>
              <w:rPr>
                <w:sz w:val="20"/>
                <w:szCs w:val="20"/>
                <w:color w:val="auto"/>
              </w:rPr>
            </w:pPr>
            <w:r>
              <w:rPr>
                <w:rFonts w:ascii="Arial" w:cs="Arial" w:eastAsia="Arial" w:hAnsi="Arial"/>
                <w:sz w:val="9"/>
                <w:szCs w:val="9"/>
                <w:color w:val="FFFFFF"/>
              </w:rPr>
              <w:t>fi xed interest rate of 3.632% on U.S. dollar borrowings</w:t>
            </w:r>
          </w:p>
        </w:tc>
        <w:tc>
          <w:tcPr>
            <w:tcW w:w="0" w:type="dxa"/>
            <w:vAlign w:val="bottom"/>
          </w:tcPr>
          <w:p>
            <w:pPr>
              <w:spacing w:after="0"/>
              <w:rPr>
                <w:sz w:val="1"/>
                <w:szCs w:val="1"/>
                <w:color w:val="auto"/>
              </w:rPr>
            </w:pPr>
          </w:p>
        </w:tc>
      </w:tr>
      <w:tr>
        <w:trPr>
          <w:trHeight w:val="41"/>
        </w:trPr>
        <w:tc>
          <w:tcPr>
            <w:tcW w:w="8220" w:type="dxa"/>
            <w:vAlign w:val="bottom"/>
            <w:gridSpan w:val="2"/>
          </w:tcPr>
          <w:p>
            <w:pPr>
              <w:spacing w:after="0"/>
              <w:rPr>
                <w:sz w:val="20"/>
                <w:szCs w:val="20"/>
                <w:color w:val="auto"/>
              </w:rPr>
            </w:pPr>
            <w:r>
              <w:rPr>
                <w:rFonts w:ascii="Arial" w:cs="Arial" w:eastAsia="Arial" w:hAnsi="Arial"/>
                <w:sz w:val="3"/>
                <w:szCs w:val="3"/>
                <w:color w:val="FFFFFF"/>
              </w:rPr>
              <w:t>The G  up had two additional interest rate swap agreements that terminated in August 2011. Under the fi rst of these swap agreements, the Group paid</w:t>
            </w:r>
          </w:p>
        </w:tc>
        <w:tc>
          <w:tcPr>
            <w:tcW w:w="3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4"/>
          </w:tcPr>
          <w:p>
            <w:pPr>
              <w:spacing w:after="0"/>
              <w:rPr>
                <w:sz w:val="20"/>
                <w:szCs w:val="20"/>
                <w:color w:val="auto"/>
              </w:rPr>
            </w:pPr>
            <w:r>
              <w:rPr>
                <w:rFonts w:ascii="Arial" w:cs="Arial" w:eastAsia="Arial" w:hAnsi="Arial"/>
                <w:sz w:val="3"/>
                <w:szCs w:val="3"/>
                <w:color w:val="FFFFFF"/>
              </w:rPr>
              <w:t>of approximately US$153.8 million (approximately HK$1.2 billion) incurred under the Wynn Macau Credit Facilities in exchange for receipts on the same amount</w:t>
            </w:r>
          </w:p>
        </w:tc>
        <w:tc>
          <w:tcPr>
            <w:tcW w:w="2440" w:type="dxa"/>
            <w:vAlign w:val="bottom"/>
          </w:tcPr>
          <w:p>
            <w:pPr>
              <w:ind w:left="140"/>
              <w:spacing w:after="0"/>
              <w:rPr>
                <w:sz w:val="20"/>
                <w:szCs w:val="20"/>
                <w:color w:val="auto"/>
              </w:rPr>
            </w:pPr>
            <w:r>
              <w:rPr>
                <w:rFonts w:ascii="Arial" w:cs="Arial" w:eastAsia="Arial" w:hAnsi="Arial"/>
                <w:sz w:val="3"/>
                <w:szCs w:val="3"/>
                <w:color w:val="FFFFFF"/>
              </w:rPr>
              <w:t>variable interest rate based on the</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applicable LIBOR at the time of payment. Under the second swap agreement, the Group paid a fi xed interest rate of 3.39% on Hong Kong dollar borrowings of approximately HK$991.6 million incurred under</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Wynn Macau Credit Facilities in exchange for receipts on the same amount at a variable interest rate based on the applicable HIBOR at the time of payment. These interest rate swaps fi xed the interest rates</w:t>
            </w:r>
          </w:p>
        </w:tc>
        <w:tc>
          <w:tcPr>
            <w:tcW w:w="0" w:type="dxa"/>
            <w:vAlign w:val="bottom"/>
          </w:tcPr>
          <w:p>
            <w:pPr>
              <w:spacing w:after="0"/>
              <w:rPr>
                <w:sz w:val="1"/>
                <w:szCs w:val="1"/>
                <w:color w:val="auto"/>
              </w:rPr>
            </w:pPr>
          </w:p>
        </w:tc>
      </w:tr>
      <w:tr>
        <w:trPr>
          <w:trHeight w:val="41"/>
        </w:trPr>
        <w:tc>
          <w:tcPr>
            <w:tcW w:w="8560" w:type="dxa"/>
            <w:vAlign w:val="bottom"/>
            <w:gridSpan w:val="3"/>
          </w:tcPr>
          <w:p>
            <w:pPr>
              <w:spacing w:after="0"/>
              <w:rPr>
                <w:sz w:val="20"/>
                <w:szCs w:val="20"/>
                <w:color w:val="auto"/>
              </w:rPr>
            </w:pPr>
            <w:r>
              <w:rPr>
                <w:rFonts w:ascii="Arial" w:cs="Arial" w:eastAsia="Arial" w:hAnsi="Arial"/>
                <w:sz w:val="3"/>
                <w:szCs w:val="3"/>
                <w:color w:val="FFFFFF"/>
              </w:rPr>
              <w:t>on the U.S. dollar and the Hong Kong dollar borrowings   approximately 4.88% to 5.38% and 4.64%, respectively, in 2010 and until their maturity in 2011.</w:t>
            </w:r>
          </w:p>
        </w:tc>
        <w:tc>
          <w:tcPr>
            <w:tcW w:w="3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carrying value of the interest rate swap in the consolidated statement of fi nancial position approximates its fair value. The fair value approximates the amount that the Group would pay if the contract was</w:t>
            </w:r>
          </w:p>
        </w:tc>
        <w:tc>
          <w:tcPr>
            <w:tcW w:w="0" w:type="dxa"/>
            <w:vAlign w:val="bottom"/>
          </w:tcPr>
          <w:p>
            <w:pPr>
              <w:spacing w:after="0"/>
              <w:rPr>
                <w:sz w:val="1"/>
                <w:szCs w:val="1"/>
                <w:color w:val="auto"/>
              </w:rPr>
            </w:pPr>
          </w:p>
        </w:tc>
      </w:tr>
      <w:tr>
        <w:trPr>
          <w:trHeight w:val="0"/>
        </w:trPr>
        <w:tc>
          <w:tcPr>
            <w:tcW w:w="2540" w:type="dxa"/>
            <w:vAlign w:val="bottom"/>
          </w:tcPr>
          <w:p>
            <w:pPr>
              <w:spacing w:after="0" w:line="80" w:lineRule="exact"/>
              <w:rPr>
                <w:sz w:val="20"/>
                <w:szCs w:val="20"/>
                <w:color w:val="auto"/>
              </w:rPr>
            </w:pPr>
            <w:r>
              <w:rPr>
                <w:rFonts w:ascii="Arial" w:cs="Arial" w:eastAsia="Arial" w:hAnsi="Arial"/>
                <w:sz w:val="9"/>
                <w:szCs w:val="9"/>
                <w:color w:val="FFFFFF"/>
              </w:rPr>
              <w:t>settled at the valuation date. Fair value is</w:t>
            </w:r>
          </w:p>
        </w:tc>
        <w:tc>
          <w:tcPr>
            <w:tcW w:w="5680" w:type="dxa"/>
            <w:vAlign w:val="bottom"/>
          </w:tcPr>
          <w:p>
            <w:pPr>
              <w:ind w:left="260"/>
              <w:spacing w:after="0" w:line="80" w:lineRule="exact"/>
              <w:rPr>
                <w:sz w:val="20"/>
                <w:szCs w:val="20"/>
                <w:color w:val="auto"/>
              </w:rPr>
            </w:pPr>
            <w:r>
              <w:rPr>
                <w:rFonts w:ascii="Arial" w:cs="Arial" w:eastAsia="Arial" w:hAnsi="Arial"/>
                <w:sz w:val="9"/>
                <w:szCs w:val="9"/>
                <w:color w:val="FFFFFF"/>
              </w:rPr>
              <w:t>based upon current, and predictions of future interest rate lev ls along  yield curve, the remaining</w:t>
            </w:r>
          </w:p>
        </w:tc>
        <w:tc>
          <w:tcPr>
            <w:tcW w:w="340" w:type="dxa"/>
            <w:vAlign w:val="bottom"/>
          </w:tcPr>
          <w:p>
            <w:pPr>
              <w:spacing w:after="0" w:line="20" w:lineRule="exact"/>
              <w:rPr>
                <w:sz w:val="1"/>
                <w:szCs w:val="1"/>
                <w:color w:val="auto"/>
              </w:rPr>
            </w:pPr>
          </w:p>
        </w:tc>
        <w:tc>
          <w:tcPr>
            <w:tcW w:w="2820" w:type="dxa"/>
            <w:vAlign w:val="bottom"/>
            <w:gridSpan w:val="2"/>
          </w:tcPr>
          <w:p>
            <w:pPr>
              <w:ind w:left="80"/>
              <w:spacing w:after="0" w:line="80" w:lineRule="exact"/>
              <w:rPr>
                <w:sz w:val="20"/>
                <w:szCs w:val="20"/>
                <w:color w:val="auto"/>
              </w:rPr>
            </w:pPr>
            <w:r>
              <w:rPr>
                <w:rFonts w:ascii="Arial" w:cs="Arial" w:eastAsia="Arial" w:hAnsi="Arial"/>
                <w:sz w:val="9"/>
                <w:szCs w:val="9"/>
                <w:color w:val="FFFFFF"/>
              </w:rPr>
              <w:t>of the instrument and other market conditions and,</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bscript"/>
        </w:rPr>
        <w:t>creditworthiness</w:t>
      </w:r>
      <w:r>
        <w:rPr>
          <w:rFonts w:ascii="Arial" w:cs="Arial" w:eastAsia="Arial" w:hAnsi="Arial"/>
          <w:sz w:val="1"/>
          <w:szCs w:val="1"/>
          <w:color w:val="FFFFFF"/>
        </w:rPr>
        <w:t>refore,issubject to signifi cant estimationestimatedand high degree of variability of fl uctuation between periods. The Group adjusts this amount by applyingdurationnon-performance valuation, considering its</w:t>
      </w:r>
    </w:p>
    <w:p>
      <w:pPr>
        <w:ind w:left="940"/>
        <w:spacing w:after="0" w:line="211" w:lineRule="auto"/>
        <w:rPr>
          <w:sz w:val="20"/>
          <w:szCs w:val="20"/>
          <w:color w:val="auto"/>
        </w:rPr>
      </w:pPr>
      <w:r>
        <w:rPr>
          <w:rFonts w:ascii="Arial" w:cs="Arial" w:eastAsia="Arial" w:hAnsi="Arial"/>
          <w:sz w:val="2"/>
          <w:szCs w:val="2"/>
          <w:color w:val="FFFFFF"/>
        </w:rPr>
        <w:t>or the creditworthiness of its counterparties</w:t>
      </w:r>
      <w:r>
        <w:rPr>
          <w:rFonts w:ascii="Arial" w:cs="Arial" w:eastAsia="Arial" w:hAnsi="Arial"/>
          <w:sz w:val="4"/>
          <w:szCs w:val="4"/>
          <w:color w:val="FFFFFF"/>
          <w:vertAlign w:val="subscript"/>
        </w:rPr>
        <w:t>consolidated</w:t>
      </w:r>
      <w:r>
        <w:rPr>
          <w:rFonts w:ascii="Arial" w:cs="Arial" w:eastAsia="Arial" w:hAnsi="Arial"/>
          <w:sz w:val="2"/>
          <w:szCs w:val="2"/>
          <w:color w:val="FFFFFF"/>
        </w:rPr>
        <w:t>thesettlement date, as applicable. This transaction does not qualify for hedge accounting. Accordingly, changes in the fair value during the years</w:t>
      </w:r>
    </w:p>
    <w:p>
      <w:pPr>
        <w:spacing w:after="0"/>
        <w:tabs>
          <w:tab w:leader="none" w:pos="3780" w:val="left"/>
        </w:tabs>
        <w:rPr>
          <w:sz w:val="20"/>
          <w:szCs w:val="20"/>
          <w:color w:val="auto"/>
        </w:rPr>
      </w:pPr>
      <w:r>
        <w:rPr>
          <w:rFonts w:ascii="Arial" w:cs="Arial" w:eastAsia="Arial" w:hAnsi="Arial"/>
          <w:sz w:val="3"/>
          <w:szCs w:val="3"/>
          <w:color w:val="FFFFFF"/>
        </w:rPr>
        <w:t>ended 31 December 2011 and 2010, were charged to the</w:t>
      </w:r>
      <w:r>
        <w:rPr>
          <w:sz w:val="20"/>
          <w:szCs w:val="20"/>
          <w:color w:val="auto"/>
        </w:rPr>
        <w:tab/>
      </w:r>
      <w:r>
        <w:rPr>
          <w:rFonts w:ascii="Arial" w:cs="Arial" w:eastAsia="Arial" w:hAnsi="Arial"/>
          <w:sz w:val="3"/>
          <w:szCs w:val="3"/>
          <w:color w:val="FFFFFF"/>
        </w:rPr>
        <w:t>statement of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The Group’s liabilities under the swap agreement are secured by the same collateral package securing the Wynn Macau Credit Facilities.</w:t>
      </w:r>
    </w:p>
    <w:p>
      <w:pPr>
        <w:sectPr>
          <w:pgSz w:w="11900" w:h="16838" w:orient="portrait"/>
          <w:cols w:equalWidth="0" w:num="1">
            <w:col w:w="11380"/>
          </w:cols>
          <w:pgMar w:left="240" w:top="1440" w:right="27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109</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line="188" w:lineRule="auto"/>
        <w:rPr>
          <w:sz w:val="20"/>
          <w:szCs w:val="20"/>
          <w:color w:val="auto"/>
        </w:rPr>
      </w:pPr>
      <w:r>
        <w:rPr>
          <w:rFonts w:ascii="Arial" w:cs="Arial" w:eastAsia="Arial" w:hAnsi="Arial"/>
          <w:sz w:val="9"/>
          <w:szCs w:val="9"/>
          <w:color w:val="FFFFFF"/>
        </w:rPr>
        <w:t>5. INCOME TAX BENEFIT (EXPENSE)</w:t>
      </w:r>
    </w:p>
    <w:p>
      <w:pPr>
        <w:spacing w:after="0"/>
        <w:rPr>
          <w:sz w:val="20"/>
          <w:szCs w:val="20"/>
          <w:color w:val="auto"/>
        </w:rPr>
      </w:pPr>
      <w:r>
        <w:rPr>
          <w:rFonts w:ascii="Arial" w:cs="Arial" w:eastAsia="Arial" w:hAnsi="Arial"/>
          <w:sz w:val="3"/>
          <w:szCs w:val="3"/>
          <w:color w:val="FFFFFF"/>
        </w:rPr>
        <w:t>GroupThemajor components of the income tax benefi t (expense) for the years ended 31 December 2011 and 2010 were:</w:t>
      </w:r>
    </w:p>
    <w:p>
      <w:pPr>
        <w:spacing w:after="0" w:line="181" w:lineRule="auto"/>
        <w:rPr>
          <w:sz w:val="20"/>
          <w:szCs w:val="20"/>
          <w:color w:val="auto"/>
        </w:rPr>
      </w:pPr>
      <w:r>
        <w:rPr>
          <w:rFonts w:ascii="Arial" w:cs="Arial" w:eastAsia="Arial" w:hAnsi="Arial"/>
          <w:sz w:val="10"/>
          <w:szCs w:val="10"/>
          <w:color w:val="FFFFFF"/>
        </w:rPr>
        <w:t>For the year ended</w:t>
      </w:r>
    </w:p>
    <w:p>
      <w:pPr>
        <w:spacing w:after="0" w:line="188" w:lineRule="auto"/>
        <w:rPr>
          <w:sz w:val="20"/>
          <w:szCs w:val="20"/>
          <w:color w:val="auto"/>
        </w:rPr>
      </w:pPr>
      <w:r>
        <w:rPr>
          <w:rFonts w:ascii="Arial" w:cs="Arial" w:eastAsia="Arial" w:hAnsi="Arial"/>
          <w:sz w:val="9"/>
          <w:szCs w:val="9"/>
          <w:color w:val="FFFFFF"/>
        </w:rPr>
        <w:t>201031December</w:t>
      </w:r>
    </w:p>
    <w:p>
      <w:pPr>
        <w:spacing w:after="0" w:line="188" w:lineRule="auto"/>
        <w:rPr>
          <w:sz w:val="20"/>
          <w:szCs w:val="20"/>
          <w:color w:val="auto"/>
        </w:rPr>
      </w:pPr>
      <w:r>
        <w:rPr>
          <w:rFonts w:ascii="Arial" w:cs="Arial" w:eastAsia="Arial" w:hAnsi="Arial"/>
          <w:sz w:val="9"/>
          <w:szCs w:val="9"/>
          <w:color w:val="FFFFFF"/>
        </w:rPr>
        <w:t>HK$</w:t>
      </w:r>
    </w:p>
    <w:p>
      <w:pPr>
        <w:spacing w:after="0" w:line="212" w:lineRule="auto"/>
        <w:rPr>
          <w:sz w:val="20"/>
          <w:szCs w:val="20"/>
          <w:color w:val="auto"/>
        </w:rPr>
      </w:pPr>
      <w:r>
        <w:rPr>
          <w:rFonts w:ascii="Arial" w:cs="Arial" w:eastAsia="Arial" w:hAnsi="Arial"/>
          <w:sz w:val="2"/>
          <w:szCs w:val="2"/>
          <w:color w:val="FFFFFF"/>
        </w:rPr>
        <w:t>(in thous</w:t>
      </w:r>
      <w:r>
        <w:rPr>
          <w:rFonts w:ascii="Arial" w:cs="Arial" w:eastAsia="Arial" w:hAnsi="Arial"/>
          <w:sz w:val="4"/>
          <w:szCs w:val="4"/>
          <w:color w:val="FFFFFF"/>
          <w:vertAlign w:val="superscript"/>
        </w:rPr>
        <w:t>tax</w:t>
      </w:r>
      <w:r>
        <w:rPr>
          <w:rFonts w:ascii="Arial" w:cs="Arial" w:eastAsia="Arial" w:hAnsi="Arial"/>
          <w:sz w:val="2"/>
          <w:szCs w:val="2"/>
          <w:color w:val="FFFFFF"/>
        </w:rPr>
        <w:t>nds)</w:t>
      </w:r>
    </w:p>
    <w:p>
      <w:pPr>
        <w:spacing w:after="0" w:line="181" w:lineRule="auto"/>
        <w:rPr>
          <w:sz w:val="20"/>
          <w:szCs w:val="20"/>
          <w:color w:val="auto"/>
        </w:rPr>
      </w:pPr>
      <w:r>
        <w:rPr>
          <w:rFonts w:ascii="Arial" w:cs="Arial" w:eastAsia="Arial" w:hAnsi="Arial"/>
          <w:sz w:val="14"/>
          <w:szCs w:val="14"/>
          <w:color w:val="FFFFFF"/>
        </w:rPr>
        <w:t>IncomeCurrent — overseasbenefit(expense):</w:t>
      </w:r>
    </w:p>
    <w:p>
      <w:pPr>
        <w:spacing w:after="0"/>
        <w:rPr>
          <w:sz w:val="20"/>
          <w:szCs w:val="20"/>
          <w:color w:val="auto"/>
        </w:rPr>
      </w:pPr>
      <w:r>
        <w:rPr>
          <w:rFonts w:ascii="Arial" w:cs="Arial" w:eastAsia="Arial" w:hAnsi="Arial"/>
          <w:sz w:val="3"/>
          <w:szCs w:val="3"/>
          <w:color w:val="FFFFFF"/>
        </w:rPr>
        <w:t>(11,505)26,768</w:t>
      </w:r>
    </w:p>
    <w:p>
      <w:pPr>
        <w:spacing w:after="0" w:line="194" w:lineRule="auto"/>
        <w:rPr>
          <w:sz w:val="20"/>
          <w:szCs w:val="20"/>
          <w:color w:val="auto"/>
        </w:rPr>
      </w:pPr>
      <w:r>
        <w:rPr>
          <w:rFonts w:ascii="Arial" w:cs="Arial" w:eastAsia="Arial" w:hAnsi="Arial"/>
          <w:sz w:val="5"/>
          <w:szCs w:val="5"/>
          <w:color w:val="FFFFFF"/>
        </w:rPr>
        <w:t>Deferred</w:t>
      </w:r>
    </w:p>
    <w:p>
      <w:pPr>
        <w:spacing w:after="0"/>
        <w:rPr>
          <w:sz w:val="20"/>
          <w:szCs w:val="20"/>
          <w:color w:val="auto"/>
        </w:rPr>
      </w:pPr>
      <w:r>
        <w:rPr>
          <w:rFonts w:ascii="Arial" w:cs="Arial" w:eastAsia="Arial" w:hAnsi="Arial"/>
          <w:sz w:val="3"/>
          <w:szCs w:val="3"/>
          <w:color w:val="FFFFFF"/>
        </w:rPr>
        <w:t>—</w:t>
      </w:r>
    </w:p>
    <w:p>
      <w:pPr>
        <w:spacing w:after="0" w:line="194" w:lineRule="auto"/>
        <w:rPr>
          <w:sz w:val="20"/>
          <w:szCs w:val="20"/>
          <w:color w:val="auto"/>
        </w:rPr>
      </w:pPr>
      <w:r>
        <w:rPr>
          <w:rFonts w:ascii="Arial" w:cs="Arial" w:eastAsia="Arial" w:hAnsi="Arial"/>
          <w:sz w:val="5"/>
          <w:szCs w:val="5"/>
          <w:color w:val="FFFFFF"/>
        </w:rPr>
        <w:t>(32,588)</w:t>
      </w:r>
    </w:p>
    <w:p>
      <w:pPr>
        <w:spacing w:after="0"/>
        <w:rPr>
          <w:sz w:val="20"/>
          <w:szCs w:val="20"/>
          <w:color w:val="auto"/>
        </w:rPr>
      </w:pPr>
      <w:r>
        <w:rPr>
          <w:rFonts w:ascii="Arial" w:cs="Arial" w:eastAsia="Arial" w:hAnsi="Arial"/>
          <w:sz w:val="3"/>
          <w:szCs w:val="3"/>
          <w:color w:val="FFFFFF"/>
        </w:rPr>
        <w:t>26,768</w:t>
      </w:r>
    </w:p>
    <w:p>
      <w:pPr>
        <w:spacing w:after="0" w:line="194" w:lineRule="auto"/>
        <w:rPr>
          <w:sz w:val="20"/>
          <w:szCs w:val="20"/>
          <w:color w:val="auto"/>
        </w:rPr>
      </w:pPr>
      <w:r>
        <w:rPr>
          <w:rFonts w:ascii="Arial" w:cs="Arial" w:eastAsia="Arial" w:hAnsi="Arial"/>
          <w:sz w:val="5"/>
          <w:szCs w:val="5"/>
          <w:color w:val="FFFFFF"/>
        </w:rPr>
        <w:t>(44,093)</w:t>
      </w:r>
    </w:p>
    <w:p>
      <w:pPr>
        <w:spacing w:after="0"/>
        <w:rPr>
          <w:sz w:val="20"/>
          <w:szCs w:val="20"/>
          <w:color w:val="auto"/>
        </w:rPr>
      </w:pPr>
      <w:r>
        <w:rPr>
          <w:rFonts w:ascii="Arial" w:cs="Arial" w:eastAsia="Arial" w:hAnsi="Arial"/>
          <w:sz w:val="3"/>
          <w:szCs w:val="3"/>
          <w:color w:val="FFFFFF"/>
        </w:rPr>
        <w:t>No provision for Hong Kong profi ts tax for the year ended 31 December 2011 has been made as there was no assessable profi t generated in Hong Kong (2010: nil). Taxation for overseas jurisdictions is charged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at the appropriate prevailing rates ruling in the respective jurisdictions and the maximum rate is 12% (2010: 12%).</w:t>
      </w:r>
    </w:p>
    <w:p>
      <w:pPr>
        <w:sectPr>
          <w:pgSz w:w="11900" w:h="16838" w:orient="portrait"/>
          <w:cols w:equalWidth="0" w:num="1">
            <w:col w:w="11400"/>
          </w:cols>
          <w:pgMar w:left="240" w:top="1440" w:right="25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Financial110WynnStatementsMacau,Limited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line="188" w:lineRule="auto"/>
        <w:rPr>
          <w:sz w:val="20"/>
          <w:szCs w:val="20"/>
          <w:color w:val="auto"/>
        </w:rPr>
      </w:pPr>
      <w:r>
        <w:rPr>
          <w:rFonts w:ascii="Arial" w:cs="Arial" w:eastAsia="Arial" w:hAnsi="Arial"/>
          <w:sz w:val="9"/>
          <w:szCs w:val="9"/>
          <w:color w:val="FFFFFF"/>
        </w:rPr>
        <w:t>5. INCOME TAX BENEFIT (EXPENSE) (continued)</w:t>
      </w:r>
    </w:p>
    <w:p>
      <w:pPr>
        <w:spacing w:after="0" w:line="187" w:lineRule="auto"/>
        <w:rPr>
          <w:sz w:val="20"/>
          <w:szCs w:val="20"/>
          <w:color w:val="auto"/>
        </w:rPr>
      </w:pPr>
      <w:r>
        <w:rPr>
          <w:rFonts w:ascii="Arial" w:cs="Arial" w:eastAsia="Arial" w:hAnsi="Arial"/>
          <w:sz w:val="9"/>
          <w:szCs w:val="9"/>
          <w:color w:val="FFFFFF"/>
        </w:rPr>
        <w:t>GroupThecharge for the years ended 31 December 2011 and 2010 reconciles to profi t before tax as follows:</w:t>
      </w:r>
    </w:p>
    <w:p>
      <w:pPr>
        <w:spacing w:after="0"/>
        <w:rPr>
          <w:sz w:val="20"/>
          <w:szCs w:val="20"/>
          <w:color w:val="auto"/>
        </w:rPr>
      </w:pPr>
      <w:r>
        <w:rPr>
          <w:rFonts w:ascii="Arial" w:cs="Arial" w:eastAsia="Arial" w:hAnsi="Arial"/>
          <w:sz w:val="3"/>
          <w:szCs w:val="3"/>
          <w:color w:val="FFFFFF"/>
        </w:rPr>
        <w:t>2011Forthe2010year ended 31 December</w:t>
      </w:r>
    </w:p>
    <w:p>
      <w:pPr>
        <w:spacing w:after="0" w:line="194" w:lineRule="auto"/>
        <w:rPr>
          <w:sz w:val="20"/>
          <w:szCs w:val="20"/>
          <w:color w:val="auto"/>
        </w:rPr>
      </w:pPr>
      <w:r>
        <w:rPr>
          <w:rFonts w:ascii="Arial" w:cs="Arial" w:eastAsia="Arial" w:hAnsi="Arial"/>
          <w:sz w:val="5"/>
          <w:szCs w:val="5"/>
          <w:color w:val="FFFFFF"/>
        </w:rPr>
        <w:t>HK$ % HK$ %</w:t>
      </w:r>
    </w:p>
    <w:p>
      <w:pPr>
        <w:spacing w:after="0" w:line="188" w:lineRule="auto"/>
        <w:rPr>
          <w:sz w:val="20"/>
          <w:szCs w:val="20"/>
          <w:color w:val="auto"/>
        </w:rPr>
      </w:pPr>
      <w:r>
        <w:rPr>
          <w:rFonts w:ascii="Arial" w:cs="Arial" w:eastAsia="Arial" w:hAnsi="Arial"/>
          <w:sz w:val="9"/>
          <w:szCs w:val="9"/>
          <w:color w:val="FFFFFF"/>
        </w:rPr>
        <w:t>(in thousands, except for percentages)</w:t>
      </w:r>
    </w:p>
    <w:p>
      <w:pPr>
        <w:spacing w:after="0"/>
        <w:rPr>
          <w:sz w:val="20"/>
          <w:szCs w:val="20"/>
          <w:color w:val="auto"/>
        </w:rPr>
      </w:pPr>
      <w:r>
        <w:rPr>
          <w:rFonts w:ascii="Arial" w:cs="Arial" w:eastAsia="Arial" w:hAnsi="Arial"/>
          <w:sz w:val="3"/>
          <w:szCs w:val="3"/>
          <w:color w:val="FFFFFF"/>
        </w:rPr>
        <w:t>TaxProfitat beforetheapplicabletax5,894,245 4,466,103</w:t>
      </w:r>
    </w:p>
    <w:p>
      <w:pPr>
        <w:spacing w:after="0" w:line="181" w:lineRule="auto"/>
        <w:rPr>
          <w:sz w:val="20"/>
          <w:szCs w:val="20"/>
          <w:color w:val="auto"/>
        </w:rPr>
      </w:pPr>
      <w:r>
        <w:rPr>
          <w:rFonts w:ascii="Arial" w:cs="Arial" w:eastAsia="Arial" w:hAnsi="Arial"/>
          <w:sz w:val="10"/>
          <w:szCs w:val="10"/>
          <w:color w:val="FFFFFF"/>
        </w:rPr>
        <w:t>income tax rate (707,309) (12.0) (535,932) (12.0)</w:t>
      </w:r>
    </w:p>
    <w:p>
      <w:pPr>
        <w:spacing w:after="0" w:line="213" w:lineRule="auto"/>
        <w:rPr>
          <w:sz w:val="20"/>
          <w:szCs w:val="20"/>
          <w:color w:val="auto"/>
        </w:rPr>
      </w:pPr>
      <w:r>
        <w:rPr>
          <w:rFonts w:ascii="Arial" w:cs="Arial" w:eastAsia="Arial" w:hAnsi="Arial"/>
          <w:sz w:val="2"/>
          <w:szCs w:val="2"/>
          <w:color w:val="FFFFFF"/>
        </w:rPr>
        <w:t>provincesAdjustments</w:t>
      </w:r>
      <w:r>
        <w:rPr>
          <w:rFonts w:ascii="Arial" w:cs="Arial" w:eastAsia="Arial" w:hAnsi="Arial"/>
          <w:sz w:val="4"/>
          <w:szCs w:val="4"/>
          <w:color w:val="FFFFFF"/>
          <w:vertAlign w:val="subscript"/>
        </w:rPr>
        <w:t>authority</w:t>
      </w:r>
      <w:r>
        <w:rPr>
          <w:rFonts w:ascii="Arial" w:cs="Arial" w:eastAsia="Arial" w:hAnsi="Arial"/>
          <w:sz w:val="2"/>
          <w:szCs w:val="2"/>
          <w:color w:val="FFFFFF"/>
        </w:rPr>
        <w:t>enactedforspecific</w:t>
      </w:r>
    </w:p>
    <w:p>
      <w:pPr>
        <w:spacing w:after="0" w:line="187" w:lineRule="auto"/>
        <w:tabs>
          <w:tab w:leader="none" w:pos="980" w:val="left"/>
        </w:tabs>
        <w:rPr>
          <w:sz w:val="20"/>
          <w:szCs w:val="20"/>
          <w:color w:val="auto"/>
        </w:rPr>
      </w:pPr>
      <w:r>
        <w:rPr>
          <w:rFonts w:ascii="Arial" w:cs="Arial" w:eastAsia="Arial" w:hAnsi="Arial"/>
          <w:sz w:val="9"/>
          <w:szCs w:val="9"/>
          <w:color w:val="FFFFFF"/>
        </w:rPr>
        <w:t>by local</w:t>
      </w:r>
      <w:r>
        <w:rPr>
          <w:sz w:val="20"/>
          <w:szCs w:val="20"/>
          <w:color w:val="auto"/>
        </w:rPr>
        <w:tab/>
      </w:r>
      <w:r>
        <w:rPr>
          <w:rFonts w:ascii="Arial" w:cs="Arial" w:eastAsia="Arial" w:hAnsi="Arial"/>
          <w:sz w:val="7"/>
          <w:szCs w:val="7"/>
          <w:color w:val="FFFFFF"/>
        </w:rPr>
        <w:t>1,384 0.</w:t>
      </w:r>
      <w:r>
        <w:rPr>
          <w:rFonts w:ascii="Arial" w:cs="Arial" w:eastAsia="Arial" w:hAnsi="Arial"/>
          <w:sz w:val="9"/>
          <w:szCs w:val="9"/>
          <w:color w:val="FFFFFF"/>
          <w:vertAlign w:val="subscript"/>
        </w:rPr>
        <w:t>844,186</w:t>
      </w:r>
      <w:r>
        <w:rPr>
          <w:rFonts w:ascii="Arial" w:cs="Arial" w:eastAsia="Arial" w:hAnsi="Arial"/>
          <w:sz w:val="7"/>
          <w:szCs w:val="7"/>
          <w:color w:val="FFFFFF"/>
        </w:rPr>
        <w:t>(5,018) (0.1)</w:t>
      </w:r>
    </w:p>
    <w:p>
      <w:pPr>
        <w:spacing w:after="0"/>
        <w:tabs>
          <w:tab w:leader="none" w:pos="1860" w:val="left"/>
        </w:tabs>
        <w:rPr>
          <w:sz w:val="20"/>
          <w:szCs w:val="20"/>
          <w:color w:val="auto"/>
        </w:rPr>
      </w:pPr>
      <w:r>
        <w:rPr>
          <w:rFonts w:ascii="Arial" w:cs="Arial" w:eastAsia="Arial" w:hAnsi="Arial"/>
          <w:sz w:val="3"/>
          <w:szCs w:val="3"/>
          <w:color w:val="FFFFFF"/>
        </w:rPr>
        <w:t>ExpensesIncomenotnotsubjectdeductibletotax</w:t>
      </w:r>
      <w:r>
        <w:rPr>
          <w:sz w:val="20"/>
          <w:szCs w:val="20"/>
          <w:color w:val="auto"/>
        </w:rPr>
        <w:tab/>
      </w:r>
      <w:r>
        <w:rPr>
          <w:rFonts w:ascii="Arial" w:cs="Arial" w:eastAsia="Arial" w:hAnsi="Arial"/>
          <w:sz w:val="3"/>
          <w:szCs w:val="3"/>
          <w:color w:val="FFFFFF"/>
        </w:rPr>
        <w:t>14.3 671,887 15.1</w:t>
      </w:r>
    </w:p>
    <w:p>
      <w:pPr>
        <w:spacing w:after="0" w:line="194" w:lineRule="auto"/>
        <w:rPr>
          <w:sz w:val="20"/>
          <w:szCs w:val="20"/>
          <w:color w:val="auto"/>
        </w:rPr>
      </w:pPr>
      <w:r>
        <w:rPr>
          <w:rFonts w:ascii="Arial" w:cs="Arial" w:eastAsia="Arial" w:hAnsi="Arial"/>
          <w:sz w:val="5"/>
          <w:szCs w:val="5"/>
          <w:color w:val="FFFFFF"/>
        </w:rPr>
        <w:t>for tax (8,143) (0.1) (1,988) (0.1)</w:t>
      </w:r>
    </w:p>
    <w:p>
      <w:pPr>
        <w:spacing w:after="0" w:line="188" w:lineRule="auto"/>
        <w:rPr>
          <w:sz w:val="20"/>
          <w:szCs w:val="20"/>
          <w:color w:val="auto"/>
        </w:rPr>
      </w:pPr>
      <w:r>
        <w:rPr>
          <w:rFonts w:ascii="Arial" w:cs="Arial" w:eastAsia="Arial" w:hAnsi="Arial"/>
          <w:sz w:val="9"/>
          <w:szCs w:val="9"/>
          <w:color w:val="FFFFFF"/>
        </w:rPr>
        <w:t>Macau dividend tax (15,049) (0.3) (6,990) (0.1)</w:t>
      </w:r>
    </w:p>
    <w:p>
      <w:pPr>
        <w:spacing w:after="0"/>
        <w:rPr>
          <w:sz w:val="20"/>
          <w:szCs w:val="20"/>
          <w:color w:val="auto"/>
        </w:rPr>
      </w:pPr>
      <w:r>
        <w:rPr>
          <w:rFonts w:ascii="Arial" w:cs="Arial" w:eastAsia="Arial" w:hAnsi="Arial"/>
          <w:sz w:val="3"/>
          <w:szCs w:val="3"/>
          <w:color w:val="FFFFFF"/>
        </w:rPr>
        <w:t>OthersTaxlosses41,817not recognized0.7(1,615) (130,118)(0.1) (2.2) (164,437) (3.7)</w:t>
      </w:r>
    </w:p>
    <w:p>
      <w:pPr>
        <w:spacing w:after="0" w:line="194" w:lineRule="auto"/>
        <w:rPr>
          <w:sz w:val="20"/>
          <w:szCs w:val="20"/>
          <w:color w:val="auto"/>
        </w:rPr>
      </w:pPr>
      <w:r>
        <w:rPr>
          <w:rFonts w:ascii="Arial" w:cs="Arial" w:eastAsia="Arial" w:hAnsi="Arial"/>
          <w:sz w:val="5"/>
          <w:szCs w:val="5"/>
          <w:color w:val="FFFFFF"/>
        </w:rPr>
        <w:t>Effective tax benefit</w:t>
      </w:r>
    </w:p>
    <w:p>
      <w:pPr>
        <w:spacing w:after="0"/>
        <w:rPr>
          <w:sz w:val="20"/>
          <w:szCs w:val="20"/>
          <w:color w:val="auto"/>
        </w:rPr>
      </w:pPr>
      <w:r>
        <w:rPr>
          <w:rFonts w:ascii="Arial" w:cs="Arial" w:eastAsia="Arial" w:hAnsi="Arial"/>
          <w:sz w:val="14"/>
          <w:szCs w:val="14"/>
          <w:color w:val="FFFFFF"/>
        </w:rPr>
        <w:t>(expense) for the year 26,768 0.5 (44,093) (1.0)</w:t>
      </w:r>
    </w:p>
    <w:p>
      <w:pPr>
        <w:sectPr>
          <w:pgSz w:w="11900" w:h="16838" w:orient="portrait"/>
          <w:cols w:equalWidth="0" w:num="1">
            <w:col w:w="10219"/>
          </w:cols>
          <w:pgMar w:left="240" w:top="1440" w:right="1440"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111</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line="188" w:lineRule="auto"/>
        <w:rPr>
          <w:sz w:val="20"/>
          <w:szCs w:val="20"/>
          <w:color w:val="auto"/>
        </w:rPr>
      </w:pPr>
      <w:r>
        <w:rPr>
          <w:rFonts w:ascii="Arial" w:cs="Arial" w:eastAsia="Arial" w:hAnsi="Arial"/>
          <w:sz w:val="9"/>
          <w:szCs w:val="9"/>
          <w:color w:val="FFFFFF"/>
        </w:rPr>
        <w:t>5. INCOME TAX BENEFIT (EXPENSE) (continued)</w:t>
      </w:r>
    </w:p>
    <w:p>
      <w:pPr>
        <w:spacing w:after="0" w:line="187" w:lineRule="auto"/>
        <w:rPr>
          <w:sz w:val="20"/>
          <w:szCs w:val="20"/>
          <w:color w:val="auto"/>
        </w:rPr>
      </w:pPr>
      <w:r>
        <w:rPr>
          <w:rFonts w:ascii="Arial" w:cs="Arial" w:eastAsia="Arial" w:hAnsi="Arial"/>
          <w:sz w:val="9"/>
          <w:szCs w:val="9"/>
          <w:color w:val="FFFFFF"/>
        </w:rPr>
        <w:t>GroupDeferred income tax as at 31 December 2011 and 2010 relates to the following:</w:t>
      </w:r>
    </w:p>
    <w:p>
      <w:pPr>
        <w:spacing w:after="0"/>
        <w:rPr>
          <w:sz w:val="20"/>
          <w:szCs w:val="20"/>
          <w:color w:val="auto"/>
        </w:rPr>
      </w:pPr>
      <w:r>
        <w:rPr>
          <w:rFonts w:ascii="Arial" w:cs="Arial" w:eastAsia="Arial" w:hAnsi="Arial"/>
          <w:sz w:val="3"/>
          <w:szCs w:val="3"/>
          <w:color w:val="FFFFFF"/>
        </w:rPr>
        <w:t>financialConsolidatedpositionstatementcomprehensiveofConsolidatedincomestatement of</w:t>
      </w:r>
    </w:p>
    <w:p>
      <w:pPr>
        <w:spacing w:after="0" w:line="181" w:lineRule="auto"/>
        <w:rPr>
          <w:sz w:val="20"/>
          <w:szCs w:val="20"/>
          <w:color w:val="auto"/>
        </w:rPr>
      </w:pPr>
      <w:r>
        <w:rPr>
          <w:rFonts w:ascii="Arial" w:cs="Arial" w:eastAsia="Arial" w:hAnsi="Arial"/>
          <w:sz w:val="10"/>
          <w:szCs w:val="10"/>
          <w:color w:val="FFFFFF"/>
        </w:rPr>
        <w:t>For the year ended</w:t>
      </w:r>
    </w:p>
    <w:p>
      <w:pPr>
        <w:spacing w:after="0"/>
        <w:rPr>
          <w:sz w:val="20"/>
          <w:szCs w:val="20"/>
          <w:color w:val="auto"/>
        </w:rPr>
      </w:pPr>
      <w:r>
        <w:rPr>
          <w:rFonts w:ascii="Arial" w:cs="Arial" w:eastAsia="Arial" w:hAnsi="Arial"/>
          <w:sz w:val="3"/>
          <w:szCs w:val="3"/>
          <w:color w:val="FFFFFF"/>
        </w:rPr>
        <w:t>2011Asat 201031December2011201031 December</w:t>
      </w:r>
    </w:p>
    <w:p>
      <w:pPr>
        <w:spacing w:after="0" w:line="190" w:lineRule="auto"/>
        <w:rPr>
          <w:sz w:val="20"/>
          <w:szCs w:val="20"/>
          <w:color w:val="auto"/>
        </w:rPr>
      </w:pPr>
      <w:r>
        <w:rPr>
          <w:rFonts w:ascii="Arial" w:cs="Arial" w:eastAsia="Arial" w:hAnsi="Arial"/>
          <w:sz w:val="14"/>
          <w:szCs w:val="14"/>
          <w:color w:val="FFFFFF"/>
        </w:rPr>
        <w:t>HK(inthousands)$HK$HK$ HK$</w:t>
      </w:r>
    </w:p>
    <w:p>
      <w:pPr>
        <w:spacing w:after="0"/>
        <w:rPr>
          <w:sz w:val="20"/>
          <w:szCs w:val="20"/>
          <w:color w:val="auto"/>
        </w:rPr>
      </w:pPr>
      <w:r>
        <w:rPr>
          <w:rFonts w:ascii="Arial" w:cs="Arial" w:eastAsia="Arial" w:hAnsi="Arial"/>
          <w:sz w:val="3"/>
          <w:szCs w:val="3"/>
          <w:color w:val="FFFFFF"/>
        </w:rPr>
        <w:t>Property,Deferred taxequipmentliability:</w:t>
      </w:r>
    </w:p>
    <w:p>
      <w:pPr>
        <w:spacing w:after="0" w:line="194" w:lineRule="auto"/>
        <w:rPr>
          <w:sz w:val="20"/>
          <w:szCs w:val="20"/>
          <w:color w:val="auto"/>
        </w:rPr>
      </w:pPr>
      <w:r>
        <w:rPr>
          <w:rFonts w:ascii="Arial" w:cs="Arial" w:eastAsia="Arial" w:hAnsi="Arial"/>
          <w:sz w:val="5"/>
          <w:szCs w:val="5"/>
          <w:color w:val="FFFFFF"/>
        </w:rPr>
        <w:t>and other — — — (50,945)</w:t>
      </w:r>
    </w:p>
    <w:p>
      <w:pPr>
        <w:spacing w:after="0" w:line="188" w:lineRule="auto"/>
        <w:rPr>
          <w:sz w:val="20"/>
          <w:szCs w:val="20"/>
          <w:color w:val="auto"/>
        </w:rPr>
      </w:pPr>
      <w:r>
        <w:rPr>
          <w:rFonts w:ascii="Arial" w:cs="Arial" w:eastAsia="Arial" w:hAnsi="Arial"/>
          <w:sz w:val="9"/>
          <w:szCs w:val="9"/>
          <w:color w:val="FFFFFF"/>
        </w:rPr>
        <w:t>— —</w:t>
      </w:r>
    </w:p>
    <w:p>
      <w:pPr>
        <w:spacing w:after="0" w:line="187" w:lineRule="auto"/>
        <w:rPr>
          <w:sz w:val="20"/>
          <w:szCs w:val="20"/>
          <w:color w:val="auto"/>
        </w:rPr>
      </w:pPr>
      <w:r>
        <w:rPr>
          <w:rFonts w:ascii="Arial" w:cs="Arial" w:eastAsia="Arial" w:hAnsi="Arial"/>
          <w:sz w:val="9"/>
          <w:szCs w:val="9"/>
          <w:color w:val="FFFFFF"/>
        </w:rPr>
        <w:t>assets:Deferred income tax</w:t>
      </w:r>
    </w:p>
    <w:p>
      <w:pPr>
        <w:spacing w:after="0"/>
        <w:rPr>
          <w:sz w:val="20"/>
          <w:szCs w:val="20"/>
          <w:color w:val="auto"/>
        </w:rPr>
      </w:pPr>
      <w:r>
        <w:rPr>
          <w:rFonts w:ascii="Arial" w:cs="Arial" w:eastAsia="Arial" w:hAnsi="Arial"/>
          <w:sz w:val="3"/>
          <w:szCs w:val="3"/>
          <w:color w:val="FFFFFF"/>
        </w:rPr>
        <w:t>Interest rate swap</w:t>
      </w:r>
    </w:p>
    <w:p>
      <w:pPr>
        <w:spacing w:after="0" w:line="181" w:lineRule="auto"/>
        <w:rPr>
          <w:sz w:val="20"/>
          <w:szCs w:val="20"/>
          <w:color w:val="auto"/>
        </w:rPr>
      </w:pPr>
      <w:r>
        <w:rPr>
          <w:rFonts w:ascii="Arial" w:cs="Arial" w:eastAsia="Arial" w:hAnsi="Arial"/>
          <w:sz w:val="10"/>
          <w:szCs w:val="10"/>
          <w:color w:val="FFFFFF"/>
        </w:rPr>
        <w:t>adjustmentmarketvalue— — — 15,199</w:t>
      </w:r>
    </w:p>
    <w:p>
      <w:pPr>
        <w:spacing w:after="0" w:line="188" w:lineRule="auto"/>
        <w:rPr>
          <w:sz w:val="20"/>
          <w:szCs w:val="20"/>
          <w:color w:val="auto"/>
        </w:rPr>
      </w:pPr>
      <w:r>
        <w:rPr>
          <w:rFonts w:ascii="Arial" w:cs="Arial" w:eastAsia="Arial" w:hAnsi="Arial"/>
          <w:sz w:val="9"/>
          <w:szCs w:val="9"/>
          <w:color w:val="FFFFFF"/>
        </w:rPr>
        <w:t>accountsAllowance—for—doubtful—29</w:t>
      </w:r>
    </w:p>
    <w:p>
      <w:pPr>
        <w:spacing w:after="0"/>
        <w:rPr>
          <w:sz w:val="20"/>
          <w:szCs w:val="20"/>
          <w:color w:val="auto"/>
        </w:rPr>
      </w:pPr>
      <w:r>
        <w:rPr>
          <w:rFonts w:ascii="Arial" w:cs="Arial" w:eastAsia="Arial" w:hAnsi="Arial"/>
          <w:sz w:val="3"/>
          <w:szCs w:val="3"/>
          <w:color w:val="FFFFFF"/>
        </w:rPr>
        <w:t>forwardTaxlosses—carried—— 68,305</w:t>
      </w:r>
    </w:p>
    <w:p>
      <w:pPr>
        <w:spacing w:after="0" w:line="181" w:lineRule="auto"/>
        <w:rPr>
          <w:sz w:val="20"/>
          <w:szCs w:val="20"/>
          <w:color w:val="auto"/>
        </w:rPr>
      </w:pPr>
      <w:r>
        <w:rPr>
          <w:rFonts w:ascii="Arial" w:cs="Arial" w:eastAsia="Arial" w:hAnsi="Arial"/>
          <w:sz w:val="10"/>
          <w:szCs w:val="10"/>
          <w:color w:val="FFFFFF"/>
        </w:rPr>
        <w:t>— —</w:t>
      </w:r>
    </w:p>
    <w:p>
      <w:pPr>
        <w:spacing w:after="0"/>
        <w:rPr>
          <w:sz w:val="20"/>
          <w:szCs w:val="20"/>
          <w:color w:val="auto"/>
        </w:rPr>
      </w:pPr>
      <w:r>
        <w:rPr>
          <w:rFonts w:ascii="Arial" w:cs="Arial" w:eastAsia="Arial" w:hAnsi="Arial"/>
          <w:sz w:val="3"/>
          <w:szCs w:val="3"/>
          <w:color w:val="FFFFFF"/>
        </w:rPr>
        <w:t>expenseDeferred—income32,588tax</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Deferred tax position, net — —</w:t>
      </w:r>
    </w:p>
    <w:p>
      <w:pPr>
        <w:sectPr>
          <w:pgSz w:w="11900" w:h="16838" w:orient="portrait"/>
          <w:cols w:equalWidth="0" w:num="1">
            <w:col w:w="10219"/>
          </w:cols>
          <w:pgMar w:left="240" w:top="1440" w:right="1440"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color w:val="FFFFFF"/>
              </w:rPr>
              <w:t>112 Wynn Macau, Limited</w:t>
            </w: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Financial Statements</w:t>
            </w:r>
          </w:p>
        </w:tc>
        <w:tc>
          <w:tcPr>
            <w:tcW w:w="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For the year ended 31 December 2011</w:t>
            </w:r>
          </w:p>
        </w:tc>
        <w:tc>
          <w:tcPr>
            <w:tcW w:w="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80" w:type="dxa"/>
            <w:vAlign w:val="bottom"/>
            <w:gridSpan w:val="2"/>
          </w:tcPr>
          <w:p>
            <w:pPr>
              <w:spacing w:after="0"/>
              <w:rPr>
                <w:sz w:val="20"/>
                <w:szCs w:val="20"/>
                <w:color w:val="auto"/>
              </w:rPr>
            </w:pPr>
            <w:r>
              <w:rPr>
                <w:rFonts w:ascii="Arial" w:cs="Arial" w:eastAsia="Arial" w:hAnsi="Arial"/>
                <w:sz w:val="3"/>
                <w:szCs w:val="3"/>
                <w:color w:val="FFFFFF"/>
              </w:rPr>
              <w:t>5. INCOME TAX BENEFIT (EXPENSE) (continued)</w:t>
            </w:r>
          </w:p>
        </w:tc>
        <w:tc>
          <w:tcPr>
            <w:tcW w:w="8420" w:type="dxa"/>
            <w:vAlign w:val="bottom"/>
            <w:gridSpan w:val="2"/>
            <w:vMerge w:val="restart"/>
          </w:tcPr>
          <w:p>
            <w:pPr>
              <w:ind w:left="60"/>
              <w:spacing w:after="0" w:line="81" w:lineRule="exact"/>
              <w:rPr>
                <w:sz w:val="20"/>
                <w:szCs w:val="20"/>
                <w:color w:val="auto"/>
              </w:rPr>
            </w:pPr>
            <w:r>
              <w:rPr>
                <w:rFonts w:ascii="Arial" w:cs="Arial" w:eastAsia="Arial" w:hAnsi="Arial"/>
                <w:sz w:val="9"/>
                <w:szCs w:val="9"/>
                <w:color w:val="FFFFFF"/>
              </w:rPr>
              <w:t>HK$509.7 million, HK$695.1 million and HK$576.6 million during the tax years ended 31 December 2011, 2010, and 2009, respectively. These tax losses</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The Group incurred Macau tax losses of</w:t>
            </w:r>
          </w:p>
        </w:tc>
        <w:tc>
          <w:tcPr>
            <w:tcW w:w="560" w:type="dxa"/>
            <w:vAlign w:val="bottom"/>
          </w:tcPr>
          <w:p>
            <w:pPr>
              <w:spacing w:after="0"/>
              <w:rPr>
                <w:sz w:val="3"/>
                <w:szCs w:val="3"/>
                <w:color w:val="auto"/>
              </w:rPr>
            </w:pPr>
          </w:p>
        </w:tc>
        <w:tc>
          <w:tcPr>
            <w:tcW w:w="84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will expire in 2014, 2013, and 2012, respectively.approximatelyAs 31 December 2011, the Group’s deferred tax assets relating to the University of Macau Development Foundation contribution, interest rate swaps,</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executive compensation, fi xed  sets and tax loss carryforwards amounting to HK$277.7 million were not recognized as the Group determined it was not probable that future taxable profi ts will be available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against which the deferred tax asset could be utilized. As at 31 December 2010, the Group had not recognized deferred tax assets relating to pre-opening expenses, interest rate swaps, executive compensation, fi</w:t>
            </w:r>
          </w:p>
        </w:tc>
        <w:tc>
          <w:tcPr>
            <w:tcW w:w="0" w:type="dxa"/>
            <w:vAlign w:val="bottom"/>
          </w:tcPr>
          <w:p>
            <w:pPr>
              <w:spacing w:after="0"/>
              <w:rPr>
                <w:sz w:val="1"/>
                <w:szCs w:val="1"/>
                <w:color w:val="auto"/>
              </w:rPr>
            </w:pPr>
          </w:p>
        </w:tc>
      </w:tr>
      <w:tr>
        <w:trPr>
          <w:trHeight w:val="0"/>
        </w:trPr>
        <w:tc>
          <w:tcPr>
            <w:tcW w:w="2420" w:type="dxa"/>
            <w:vAlign w:val="bottom"/>
          </w:tcPr>
          <w:p>
            <w:pPr>
              <w:spacing w:after="0" w:line="80" w:lineRule="exact"/>
              <w:rPr>
                <w:sz w:val="20"/>
                <w:szCs w:val="20"/>
                <w:color w:val="auto"/>
              </w:rPr>
            </w:pPr>
            <w:r>
              <w:rPr>
                <w:rFonts w:ascii="Arial" w:cs="Arial" w:eastAsia="Arial" w:hAnsi="Arial"/>
                <w:sz w:val="9"/>
                <w:szCs w:val="9"/>
                <w:color w:val="FFFFFF"/>
              </w:rPr>
              <w:t>xed assets and tax loss carryforwards</w:t>
            </w:r>
          </w:p>
        </w:tc>
        <w:tc>
          <w:tcPr>
            <w:tcW w:w="1780" w:type="dxa"/>
            <w:vAlign w:val="bottom"/>
            <w:gridSpan w:val="2"/>
          </w:tcPr>
          <w:p>
            <w:pPr>
              <w:ind w:left="240"/>
              <w:spacing w:after="0" w:line="80" w:lineRule="exact"/>
              <w:rPr>
                <w:sz w:val="20"/>
                <w:szCs w:val="20"/>
                <w:color w:val="auto"/>
              </w:rPr>
            </w:pPr>
            <w:r>
              <w:rPr>
                <w:rFonts w:ascii="Arial" w:cs="Arial" w:eastAsia="Arial" w:hAnsi="Arial"/>
                <w:sz w:val="9"/>
                <w:szCs w:val="9"/>
                <w:color w:val="FFFFFF"/>
              </w:rPr>
              <w:t>to HK$276.2 million for</w:t>
            </w:r>
          </w:p>
        </w:tc>
        <w:tc>
          <w:tcPr>
            <w:tcW w:w="7200" w:type="dxa"/>
            <w:vAlign w:val="bottom"/>
          </w:tcPr>
          <w:p>
            <w:pPr>
              <w:ind w:left="220"/>
              <w:spacing w:after="0" w:line="80" w:lineRule="exact"/>
              <w:rPr>
                <w:sz w:val="20"/>
                <w:szCs w:val="20"/>
                <w:color w:val="auto"/>
              </w:rPr>
            </w:pPr>
            <w:r>
              <w:rPr>
                <w:rFonts w:ascii="Arial" w:cs="Arial" w:eastAsia="Arial" w:hAnsi="Arial"/>
                <w:sz w:val="9"/>
                <w:szCs w:val="9"/>
                <w:color w:val="FFFFFF"/>
              </w:rPr>
              <w:t>reasons.</w:t>
            </w:r>
          </w:p>
        </w:tc>
        <w:tc>
          <w:tcPr>
            <w:tcW w:w="0" w:type="dxa"/>
            <w:vAlign w:val="bottom"/>
          </w:tcPr>
          <w:p>
            <w:pPr>
              <w:spacing w:after="0" w:line="20" w:lineRule="exact"/>
              <w:rPr>
                <w:sz w:val="1"/>
                <w:szCs w:val="1"/>
                <w:color w:val="auto"/>
              </w:rPr>
            </w:pPr>
          </w:p>
        </w:tc>
      </w:tr>
    </w:tbl>
    <w:p>
      <w:pPr>
        <w:ind w:right="100"/>
        <w:spacing w:after="0" w:line="217" w:lineRule="auto"/>
        <w:rPr>
          <w:sz w:val="20"/>
          <w:szCs w:val="20"/>
          <w:color w:val="auto"/>
        </w:rPr>
      </w:pPr>
      <w:r>
        <w:rPr>
          <w:rFonts w:ascii="Arial" w:cs="Arial" w:eastAsia="Arial" w:hAnsi="Arial"/>
          <w:sz w:val="2"/>
          <w:szCs w:val="2"/>
          <w:color w:val="FFFFFF"/>
        </w:rPr>
        <w:t>Effective 6 September 2006, WRM receivedamounting5-year exemption from Macau’similar12% Complementary Tax on casino gaming profi ts (the “Tax Holiday”). On 30 November 2010, WRM received an additional 5-year</w:t>
      </w:r>
      <w:r>
        <w:rPr>
          <w:rFonts w:ascii="Arial" w:cs="Arial" w:eastAsia="Arial" w:hAnsi="Arial"/>
          <w:sz w:val="4"/>
          <w:szCs w:val="4"/>
          <w:color w:val="FFFFFF"/>
          <w:vertAlign w:val="subscript"/>
        </w:rPr>
        <w:t>December</w:t>
      </w:r>
      <w:r>
        <w:rPr>
          <w:rFonts w:ascii="Arial" w:cs="Arial" w:eastAsia="Arial" w:hAnsi="Arial"/>
          <w:sz w:val="2"/>
          <w:szCs w:val="2"/>
          <w:color w:val="FFFFFF"/>
        </w:rPr>
        <w:t>xemption effective from 1 January 2011 through 31 December 2015. Accordingly, the Group was exempted from the payment of approximately HK$641.4 million in such tax for the year ended</w:t>
      </w:r>
    </w:p>
    <w:p>
      <w:pPr>
        <w:ind w:right="140"/>
        <w:spacing w:after="0" w:line="187" w:lineRule="auto"/>
        <w:rPr>
          <w:sz w:val="20"/>
          <w:szCs w:val="20"/>
          <w:color w:val="auto"/>
        </w:rPr>
      </w:pPr>
      <w:r>
        <w:rPr>
          <w:rFonts w:ascii="Arial" w:cs="Arial" w:eastAsia="Arial" w:hAnsi="Arial"/>
          <w:sz w:val="7"/>
          <w:szCs w:val="7"/>
          <w:color w:val="FFFFFF"/>
        </w:rPr>
        <w:t>31 2011 (2010: HK$499.2 million). The Group’s non-gaming profi ts remain subject to the Macau Complementary Tax and its casino winnings remain subject to the Macau Special Gaming Tax and other levies in accordance with its Concession</w:t>
      </w:r>
      <w:r>
        <w:rPr>
          <w:rFonts w:ascii="Arial" w:cs="Arial" w:eastAsia="Arial" w:hAnsi="Arial"/>
          <w:sz w:val="9"/>
          <w:szCs w:val="9"/>
          <w:color w:val="FFFFFF"/>
          <w:vertAlign w:val="subscript"/>
        </w:rPr>
        <w:t>agreement,</w:t>
      </w:r>
      <w:r>
        <w:rPr>
          <w:rFonts w:ascii="Arial" w:cs="Arial" w:eastAsia="Arial" w:hAnsi="Arial"/>
          <w:sz w:val="7"/>
          <w:szCs w:val="7"/>
          <w:color w:val="FFFFFF"/>
        </w:rPr>
        <w:t>Agreement.</w:t>
      </w:r>
    </w:p>
    <w:p>
      <w:pPr>
        <w:ind w:right="200"/>
        <w:spacing w:after="0" w:line="196" w:lineRule="auto"/>
        <w:rPr>
          <w:sz w:val="20"/>
          <w:szCs w:val="20"/>
          <w:color w:val="auto"/>
        </w:rPr>
      </w:pPr>
      <w:r>
        <w:rPr>
          <w:rFonts w:ascii="Arial" w:cs="Arial" w:eastAsia="Arial" w:hAnsi="Arial"/>
          <w:sz w:val="10"/>
          <w:szCs w:val="10"/>
          <w:color w:val="FFFFFF"/>
        </w:rPr>
        <w:t>In June 2009, WRM entered into an effective retroactively to 2006, with the Macau Special Administrative Region that provided for annual payments of MOP7.2 million (approximately HK$7.0 million) to the Macau Special Administrative Region in lieu of Complementary Tax on dividend distributions to its shareholders from gaming profi ts. The term of this agreement was fi ve years, which coincided with the Tax Holiday which began in 2006. In November 2010, WRM applied for a 5-year extension of this agreement. In August 2011, the 5-year extension was granted with an annual payment of MOP15.5 million (approximately HK$15.0 million) due to the Macau Special Administration Region for each of the years 2011 through 2015.</w:t>
      </w:r>
    </w:p>
    <w:p>
      <w:pPr>
        <w:sectPr>
          <w:pgSz w:w="11900" w:h="16838" w:orient="portrait"/>
          <w:cols w:equalWidth="0" w:num="1">
            <w:col w:w="11400"/>
          </w:cols>
          <w:pgMar w:left="240" w:top="1440" w:right="25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AnnualFinancialReportStatements2011 113</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5.ForINCOMEtheyear endedTAXBENEFIT31December(EXPENSE)2011 (continued)</w:t>
      </w:r>
    </w:p>
    <w:p>
      <w:pPr>
        <w:spacing w:after="0" w:line="281" w:lineRule="auto"/>
        <w:rPr>
          <w:sz w:val="20"/>
          <w:szCs w:val="20"/>
          <w:color w:val="auto"/>
        </w:rPr>
      </w:pPr>
      <w:r>
        <w:rPr>
          <w:rFonts w:ascii="Arial" w:cs="Arial" w:eastAsia="Arial" w:hAnsi="Arial"/>
          <w:sz w:val="3"/>
          <w:szCs w:val="3"/>
          <w:color w:val="FFFFFF"/>
        </w:rPr>
        <w:t>incomeTheGrouptax isreturnsexemptaredsubjectfromincometoexaminationtaxthebyIsletaxofauthoritiesManandFinancethetheCaymanlocationsIslands.whereTheit operates.Group’s subsidiariesTheGroup’sfi2007leincometo2010taxMacaureturnsincomeMacautax andreturnsvariousremainforeignsubjectjurisdictionstoexaminationasrequiredbythe byMacaulaw. TheFinanceGroup’s Bureau. In 2011, the Group received the results of the Macau Bureau’ examination of its 2006 and 2007 Macau Complementary Tax returns. During July 2011, the Group fi led an appeal of the</w:t>
      </w:r>
    </w:p>
    <w:tbl>
      <w:tblPr>
        <w:tblLayout w:type="fixed"/>
        <w:tblInd w:w="0" w:type="dxa"/>
        <w:tblCellMar>
          <w:top w:w="0" w:type="dxa"/>
          <w:left w:w="0" w:type="dxa"/>
          <w:bottom w:w="0" w:type="dxa"/>
          <w:right w:w="0" w:type="dxa"/>
        </w:tblCellMar>
      </w:tblPr>
      <w:tr>
        <w:trPr>
          <w:trHeight w:val="161"/>
        </w:trPr>
        <w:tc>
          <w:tcPr>
            <w:tcW w:w="11320" w:type="dxa"/>
            <w:vAlign w:val="bottom"/>
            <w:gridSpan w:val="2"/>
          </w:tcPr>
          <w:p>
            <w:pPr>
              <w:spacing w:after="0"/>
              <w:rPr>
                <w:sz w:val="20"/>
                <w:szCs w:val="20"/>
                <w:color w:val="auto"/>
              </w:rPr>
            </w:pPr>
            <w:r>
              <w:rPr>
                <w:rFonts w:ascii="Arial" w:cs="Arial" w:eastAsia="Arial" w:hAnsi="Arial"/>
                <w:sz w:val="14"/>
                <w:szCs w:val="14"/>
                <w:color w:val="FFFFFF"/>
                <w:w w:val="89"/>
              </w:rPr>
              <w:t>examinations fi ndings. The Macau Finance Bureau accepted the Group’s objection and the Group paid an additional tax payment of HK$8.5 million substantially all of which was provided for in prior years.</w:t>
            </w: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Quarterly, the Group reviews any potentially unfavorable tax outcomes and when an unfavorable outcome  identifi ed as being probable and can be reasonably estimated, the Group then establishes  tax</w:t>
            </w: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reserve for such possible unfavorable outcome. Estimating potential tax outcomes for any uncertain tax issues is highly judgmental and may not be indicative of the ultimate settlement with the tax authorities.</w:t>
            </w: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With respect to these items, as   31 December 2010, the Group has provided a reserve of HK$41.9 million and included this amount in “other long-term liabilities” with the corresponding charge to current</w:t>
            </w: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income tax expense in the consolidated statement of comprehensive income. The period of assessment for the Group’ Macau Complimentary Tax returns for the years ended 31 December 2006 and before has</w:t>
            </w: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closed. Accordingly, as of 31 December 2011, the Group reversed a reserve of HK$41.9 million previously established for these years. As of 31 December 2011, the Group has unrecognized tax losses and the</w:t>
            </w:r>
          </w:p>
        </w:tc>
      </w:tr>
      <w:tr>
        <w:trPr>
          <w:trHeight w:val="0"/>
        </w:trPr>
        <w:tc>
          <w:tcPr>
            <w:tcW w:w="1300" w:type="dxa"/>
            <w:vAlign w:val="bottom"/>
          </w:tcPr>
          <w:p>
            <w:pPr>
              <w:spacing w:after="0" w:line="80" w:lineRule="exact"/>
              <w:rPr>
                <w:sz w:val="20"/>
                <w:szCs w:val="20"/>
                <w:color w:val="auto"/>
              </w:rPr>
            </w:pPr>
            <w:r>
              <w:rPr>
                <w:rFonts w:ascii="Arial" w:cs="Arial" w:eastAsia="Arial" w:hAnsi="Arial"/>
                <w:sz w:val="9"/>
                <w:szCs w:val="9"/>
                <w:color w:val="FFFFFF"/>
              </w:rPr>
              <w:t>Group believes that th</w:t>
            </w:r>
          </w:p>
        </w:tc>
        <w:tc>
          <w:tcPr>
            <w:tcW w:w="10020" w:type="dxa"/>
            <w:vAlign w:val="bottom"/>
          </w:tcPr>
          <w:p>
            <w:pPr>
              <w:ind w:left="120"/>
              <w:spacing w:after="0" w:line="80" w:lineRule="exact"/>
              <w:rPr>
                <w:sz w:val="20"/>
                <w:szCs w:val="20"/>
                <w:color w:val="auto"/>
              </w:rPr>
            </w:pPr>
            <w:r>
              <w:rPr>
                <w:rFonts w:ascii="Arial" w:cs="Arial" w:eastAsia="Arial" w:hAnsi="Arial"/>
                <w:sz w:val="9"/>
                <w:szCs w:val="9"/>
                <w:color w:val="FFFFFF"/>
              </w:rPr>
              <w:t>unrecognized tax losses are adequate to offset adjustments that might be proposed by the Macau tax authorities. The Group believes that it has adequately provided reasonable reserves</w:t>
            </w:r>
          </w:p>
        </w:tc>
      </w:tr>
    </w:tbl>
    <w:p>
      <w:pPr>
        <w:spacing w:after="0" w:line="180" w:lineRule="auto"/>
        <w:rPr>
          <w:sz w:val="20"/>
          <w:szCs w:val="20"/>
          <w:color w:val="auto"/>
        </w:rPr>
      </w:pPr>
      <w:r>
        <w:rPr>
          <w:rFonts w:ascii="Arial" w:cs="Arial" w:eastAsia="Arial" w:hAnsi="Arial"/>
          <w:sz w:val="14"/>
          <w:szCs w:val="14"/>
          <w:color w:val="FFFFFF"/>
        </w:rPr>
        <w:t>for prudent and foreseeable outcomes related to uncertain tax matters.</w:t>
      </w:r>
    </w:p>
    <w:p>
      <w:pPr>
        <w:sectPr>
          <w:pgSz w:w="11900" w:h="16838" w:orient="portrait"/>
          <w:cols w:equalWidth="0" w:num="1">
            <w:col w:w="11320"/>
          </w:cols>
          <w:pgMar w:left="240" w:top="1440" w:right="33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Financial114WynnStatementsMacau,Limited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line="181" w:lineRule="auto"/>
        <w:rPr>
          <w:sz w:val="20"/>
          <w:szCs w:val="20"/>
          <w:color w:val="auto"/>
        </w:rPr>
      </w:pPr>
      <w:r>
        <w:rPr>
          <w:rFonts w:ascii="Arial" w:cs="Arial" w:eastAsia="Arial" w:hAnsi="Arial"/>
          <w:sz w:val="14"/>
          <w:szCs w:val="14"/>
          <w:color w:val="FFFFFF"/>
        </w:rPr>
        <w:t>6.ForDIVIDENDtheyearendedPAID</w:t>
      </w:r>
    </w:p>
    <w:p>
      <w:pPr>
        <w:spacing w:after="0" w:line="188" w:lineRule="auto"/>
        <w:rPr>
          <w:sz w:val="20"/>
          <w:szCs w:val="20"/>
          <w:color w:val="auto"/>
        </w:rPr>
      </w:pPr>
      <w:r>
        <w:rPr>
          <w:rFonts w:ascii="Arial" w:cs="Arial" w:eastAsia="Arial" w:hAnsi="Arial"/>
          <w:sz w:val="9"/>
          <w:szCs w:val="9"/>
          <w:color w:val="FFFFFF"/>
        </w:rPr>
        <w:t>201131December2010</w:t>
      </w:r>
    </w:p>
    <w:p>
      <w:pPr>
        <w:spacing w:after="0"/>
        <w:rPr>
          <w:sz w:val="20"/>
          <w:szCs w:val="20"/>
          <w:color w:val="auto"/>
        </w:rPr>
      </w:pPr>
      <w:r>
        <w:rPr>
          <w:rFonts w:ascii="Arial" w:cs="Arial" w:eastAsia="Arial" w:hAnsi="Arial"/>
          <w:sz w:val="3"/>
          <w:szCs w:val="3"/>
          <w:color w:val="FFFFFF"/>
        </w:rPr>
        <w:t>(inHKthousands)$HK$</w:t>
      </w:r>
    </w:p>
    <w:p>
      <w:pPr>
        <w:spacing w:after="0" w:line="194" w:lineRule="auto"/>
        <w:rPr>
          <w:sz w:val="20"/>
          <w:szCs w:val="20"/>
          <w:color w:val="auto"/>
        </w:rPr>
      </w:pPr>
      <w:r>
        <w:rPr>
          <w:rFonts w:ascii="Arial" w:cs="Arial" w:eastAsia="Arial" w:hAnsi="Arial"/>
          <w:sz w:val="5"/>
          <w:szCs w:val="5"/>
          <w:color w:val="FFFFFF"/>
        </w:rPr>
        <w:t>Special dividend declared and paid of HK$1.20</w:t>
      </w:r>
    </w:p>
    <w:p>
      <w:pPr>
        <w:spacing w:after="0"/>
        <w:rPr>
          <w:sz w:val="20"/>
          <w:szCs w:val="20"/>
          <w:color w:val="auto"/>
        </w:rPr>
      </w:pPr>
      <w:r>
        <w:rPr>
          <w:rFonts w:ascii="Arial" w:cs="Arial" w:eastAsia="Arial" w:hAnsi="Arial"/>
          <w:sz w:val="3"/>
          <w:szCs w:val="3"/>
          <w:color w:val="FFFFFF"/>
        </w:rPr>
        <w:t>per Share (2010: HK$0.76 per Share) 6,225,060 3,942,500</w:t>
      </w:r>
    </w:p>
    <w:p>
      <w:pPr>
        <w:spacing w:after="0" w:line="194" w:lineRule="auto"/>
        <w:rPr>
          <w:sz w:val="20"/>
          <w:szCs w:val="20"/>
          <w:color w:val="auto"/>
        </w:rPr>
      </w:pPr>
      <w:r>
        <w:rPr>
          <w:rFonts w:ascii="Arial" w:cs="Arial" w:eastAsia="Arial" w:hAnsi="Arial"/>
          <w:sz w:val="5"/>
          <w:szCs w:val="5"/>
          <w:color w:val="FFFFFF"/>
        </w:rPr>
        <w:t>The Board of Directors has not recommended a fi nal dividend for the year ended 31 December 2011 (2010: nil).</w:t>
      </w:r>
    </w:p>
    <w:p>
      <w:pPr>
        <w:spacing w:after="0"/>
        <w:rPr>
          <w:sz w:val="20"/>
          <w:szCs w:val="20"/>
          <w:color w:val="auto"/>
        </w:rPr>
      </w:pPr>
      <w:r>
        <w:rPr>
          <w:rFonts w:ascii="Arial" w:cs="Arial" w:eastAsia="Arial" w:hAnsi="Arial"/>
          <w:sz w:val="3"/>
          <w:szCs w:val="3"/>
          <w:color w:val="FFFFFF"/>
        </w:rPr>
        <w:t>7. EARNINGS PER SHARE ATTRIBUTABLE TO OWNERS OF THE COMPANY</w:t>
      </w:r>
    </w:p>
    <w:p>
      <w:pPr>
        <w:spacing w:after="0" w:line="6" w:lineRule="exact"/>
        <w:rPr>
          <w:sz w:val="20"/>
          <w:szCs w:val="20"/>
          <w:color w:val="auto"/>
        </w:rPr>
      </w:pPr>
    </w:p>
    <w:p>
      <w:pPr>
        <w:ind w:right="160"/>
        <w:spacing w:after="0" w:line="187" w:lineRule="auto"/>
        <w:rPr>
          <w:sz w:val="20"/>
          <w:szCs w:val="20"/>
          <w:color w:val="auto"/>
        </w:rPr>
      </w:pPr>
      <w:r>
        <w:rPr>
          <w:rFonts w:ascii="Arial" w:cs="Arial" w:eastAsia="Arial" w:hAnsi="Arial"/>
          <w:sz w:val="7"/>
          <w:szCs w:val="7"/>
          <w:color w:val="FFFFFF"/>
        </w:rPr>
        <w:t xml:space="preserve">The calculation of basic </w:t>
      </w:r>
      <w:r>
        <w:rPr>
          <w:rFonts w:ascii="Arial" w:cs="Arial" w:eastAsia="Arial" w:hAnsi="Arial"/>
          <w:sz w:val="9"/>
          <w:szCs w:val="9"/>
          <w:color w:val="FFFFFF"/>
          <w:vertAlign w:val="subscript"/>
        </w:rPr>
        <w:t>earnings</w:t>
      </w:r>
      <w:r>
        <w:rPr>
          <w:rFonts w:ascii="Arial" w:cs="Arial" w:eastAsia="Arial" w:hAnsi="Arial"/>
          <w:sz w:val="7"/>
          <w:szCs w:val="7"/>
          <w:color w:val="FFFFFF"/>
        </w:rPr>
        <w:t xml:space="preserve"> per Share amount for the year ended 31 December 2011 is based on the consolidated net profi t attributable to owners of the Company and on the weighted average number of Shares of 5,187,529,315 issue during the year (2010: 5,187,500,000).</w:t>
      </w:r>
    </w:p>
    <w:p>
      <w:pPr>
        <w:spacing w:after="0" w:line="213" w:lineRule="auto"/>
        <w:rPr>
          <w:sz w:val="20"/>
          <w:szCs w:val="20"/>
          <w:color w:val="auto"/>
        </w:rPr>
      </w:pPr>
      <w:r>
        <w:rPr>
          <w:rFonts w:ascii="Arial" w:cs="Arial" w:eastAsia="Arial" w:hAnsi="Arial"/>
          <w:sz w:val="2"/>
          <w:szCs w:val="2"/>
          <w:color w:val="FFFFFF"/>
        </w:rPr>
        <w:t>The diluted earnings per Share amount for the year ended 31 December</w:t>
      </w:r>
      <w:r>
        <w:rPr>
          <w:rFonts w:ascii="Arial" w:cs="Arial" w:eastAsia="Arial" w:hAnsi="Arial"/>
          <w:sz w:val="4"/>
          <w:szCs w:val="4"/>
          <w:color w:val="FFFFFF"/>
          <w:vertAlign w:val="subscript"/>
        </w:rPr>
        <w:t>5,187,529,315</w:t>
      </w:r>
      <w:r>
        <w:rPr>
          <w:rFonts w:ascii="Arial" w:cs="Arial" w:eastAsia="Arial" w:hAnsi="Arial"/>
          <w:sz w:val="2"/>
          <w:szCs w:val="2"/>
          <w:color w:val="FFFFFF"/>
        </w:rPr>
        <w:t>201is calculated based on the consolidated net profi t attributable to owners of the Company and on the weighted average number of</w:t>
      </w:r>
    </w:p>
    <w:p>
      <w:pPr>
        <w:spacing w:after="0"/>
        <w:rPr>
          <w:sz w:val="20"/>
          <w:szCs w:val="20"/>
          <w:color w:val="auto"/>
        </w:rPr>
      </w:pPr>
      <w:r>
        <w:rPr>
          <w:rFonts w:ascii="Arial" w:cs="Arial" w:eastAsia="Arial" w:hAnsi="Arial"/>
          <w:sz w:val="12"/>
          <w:szCs w:val="12"/>
          <w:color w:val="FFFFFF"/>
        </w:rPr>
        <w:t>5,187,972,450 (2010: 5,187,500,000) Shares including Shares of in issue during the year (2010: 5,187,500,000) plus 443,135 potential Shares (2010: nil) arising from exercise of share options (see also note 23).</w:t>
      </w:r>
    </w:p>
    <w:p>
      <w:pPr>
        <w:sectPr>
          <w:pgSz w:w="11900" w:h="16838" w:orient="portrait"/>
          <w:cols w:equalWidth="0" w:num="1">
            <w:col w:w="11420"/>
          </w:cols>
          <w:pgMar w:left="240" w:top="1440" w:right="2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spacing w:after="0"/>
              <w:rPr>
                <w:sz w:val="20"/>
                <w:szCs w:val="20"/>
                <w:color w:val="auto"/>
              </w:rPr>
            </w:pPr>
            <w:r>
              <w:rPr>
                <w:rFonts w:ascii="Arial" w:cs="Arial" w:eastAsia="Arial" w:hAnsi="Arial"/>
                <w:sz w:val="14"/>
                <w:szCs w:val="14"/>
                <w:color w:val="FFFFFF"/>
              </w:rPr>
              <w:t>Annual Report 2011 115</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Financial Statements</w:t>
            </w: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8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gridSpan w:val="4"/>
          </w:tcPr>
          <w:p>
            <w:pPr>
              <w:spacing w:after="0"/>
              <w:rPr>
                <w:sz w:val="20"/>
                <w:szCs w:val="20"/>
                <w:color w:val="auto"/>
              </w:rPr>
            </w:pPr>
            <w:r>
              <w:rPr>
                <w:rFonts w:ascii="Arial" w:cs="Arial" w:eastAsia="Arial" w:hAnsi="Arial"/>
                <w:sz w:val="3"/>
                <w:szCs w:val="3"/>
                <w:color w:val="FFFFFF"/>
              </w:rPr>
              <w:t>For the year ended 31 December 2011</w:t>
            </w: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8. PROPERTY AND EQUIPMENT AND CONSTRUCTION IN PROGRESS</w:t>
            </w: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A summary of the property and equipment and construction in progress is set forth below.</w:t>
            </w: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Group:</w:t>
            </w: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Furniture</w:t>
            </w: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Buildings and Fixtures and Leasehold Construction Total Property</w:t>
            </w: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Improvements Equipment Improvements in Progress and Equipment</w:t>
            </w:r>
          </w:p>
        </w:tc>
        <w:tc>
          <w:tcPr>
            <w:tcW w:w="0" w:type="dxa"/>
            <w:vAlign w:val="bottom"/>
          </w:tcPr>
          <w:p>
            <w:pPr>
              <w:spacing w:after="0"/>
              <w:rPr>
                <w:sz w:val="1"/>
                <w:szCs w:val="1"/>
                <w:color w:val="auto"/>
              </w:rPr>
            </w:pPr>
          </w:p>
        </w:tc>
      </w:tr>
      <w:tr>
        <w:trPr>
          <w:trHeight w:val="41"/>
        </w:trPr>
        <w:tc>
          <w:tcPr>
            <w:tcW w:w="1600" w:type="dxa"/>
            <w:vAlign w:val="bottom"/>
            <w:gridSpan w:val="2"/>
          </w:tcPr>
          <w:p>
            <w:pPr>
              <w:spacing w:after="0"/>
              <w:rPr>
                <w:sz w:val="20"/>
                <w:szCs w:val="20"/>
                <w:color w:val="auto"/>
              </w:rPr>
            </w:pPr>
            <w:r>
              <w:rPr>
                <w:rFonts w:ascii="Arial" w:cs="Arial" w:eastAsia="Arial" w:hAnsi="Arial"/>
                <w:sz w:val="3"/>
                <w:szCs w:val="3"/>
                <w:color w:val="FFFFFF"/>
              </w:rPr>
              <w:t>HK$ HK$ HK$ HK$ HK$</w:t>
            </w: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(in thousands)</w:t>
            </w: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tcPr>
          <w:p>
            <w:pPr>
              <w:ind w:left="280"/>
              <w:spacing w:after="0"/>
              <w:rPr>
                <w:sz w:val="20"/>
                <w:szCs w:val="20"/>
                <w:color w:val="auto"/>
              </w:rPr>
            </w:pPr>
            <w:r>
              <w:rPr>
                <w:rFonts w:ascii="Arial" w:cs="Arial" w:eastAsia="Arial" w:hAnsi="Arial"/>
                <w:sz w:val="3"/>
                <w:szCs w:val="3"/>
                <w:color w:val="FFFFFF"/>
              </w:rPr>
              <w:t>or valuation:</w:t>
            </w: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Cost1 January 2010 5,148,656 1,918,602 48,784 3,363,513 10,479,555</w:t>
            </w:r>
          </w:p>
        </w:tc>
        <w:tc>
          <w:tcPr>
            <w:tcW w:w="0" w:type="dxa"/>
            <w:vAlign w:val="bottom"/>
          </w:tcPr>
          <w:p>
            <w:pPr>
              <w:spacing w:after="0"/>
              <w:rPr>
                <w:sz w:val="1"/>
                <w:szCs w:val="1"/>
                <w:color w:val="auto"/>
              </w:rPr>
            </w:pPr>
          </w:p>
        </w:tc>
      </w:tr>
      <w:tr>
        <w:trPr>
          <w:trHeight w:val="41"/>
        </w:trPr>
        <w:tc>
          <w:tcPr>
            <w:tcW w:w="1600" w:type="dxa"/>
            <w:vAlign w:val="bottom"/>
            <w:gridSpan w:val="2"/>
          </w:tcPr>
          <w:p>
            <w:pPr>
              <w:spacing w:after="0"/>
              <w:rPr>
                <w:sz w:val="20"/>
                <w:szCs w:val="20"/>
                <w:color w:val="auto"/>
              </w:rPr>
            </w:pPr>
            <w:r>
              <w:rPr>
                <w:rFonts w:ascii="Arial" w:cs="Arial" w:eastAsia="Arial" w:hAnsi="Arial"/>
                <w:sz w:val="3"/>
                <w:szCs w:val="3"/>
                <w:color w:val="FFFFFF"/>
              </w:rPr>
              <w:t>Additions 15,143 41,621 330</w:t>
            </w:r>
          </w:p>
        </w:tc>
        <w:tc>
          <w:tcPr>
            <w:tcW w:w="280" w:type="dxa"/>
            <w:vAlign w:val="bottom"/>
          </w:tcPr>
          <w:p>
            <w:pPr>
              <w:spacing w:after="0"/>
              <w:rPr>
                <w:sz w:val="3"/>
                <w:szCs w:val="3"/>
                <w:color w:val="auto"/>
              </w:rPr>
            </w:pPr>
          </w:p>
        </w:tc>
        <w:tc>
          <w:tcPr>
            <w:tcW w:w="720" w:type="dxa"/>
            <w:vAlign w:val="bottom"/>
          </w:tcPr>
          <w:p>
            <w:pPr>
              <w:jc w:val="right"/>
              <w:ind w:right="43"/>
              <w:spacing w:after="0"/>
              <w:rPr>
                <w:sz w:val="20"/>
                <w:szCs w:val="20"/>
                <w:color w:val="auto"/>
              </w:rPr>
            </w:pPr>
            <w:r>
              <w:rPr>
                <w:rFonts w:ascii="Arial" w:cs="Arial" w:eastAsia="Arial" w:hAnsi="Arial"/>
                <w:sz w:val="3"/>
                <w:szCs w:val="3"/>
                <w:color w:val="FFFFFF"/>
              </w:rPr>
              <w:t>843,155</w:t>
            </w: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0" w:type="dxa"/>
            <w:vAlign w:val="bottom"/>
            <w:gridSpan w:val="2"/>
          </w:tcPr>
          <w:p>
            <w:pPr>
              <w:spacing w:after="0"/>
              <w:rPr>
                <w:sz w:val="20"/>
                <w:szCs w:val="20"/>
                <w:color w:val="auto"/>
              </w:rPr>
            </w:pPr>
            <w:r>
              <w:rPr>
                <w:rFonts w:ascii="Arial" w:cs="Arial" w:eastAsia="Arial" w:hAnsi="Arial"/>
                <w:sz w:val="3"/>
                <w:szCs w:val="3"/>
                <w:color w:val="FFFFFF"/>
              </w:rPr>
              <w:t>Transfers 3,733,567 378,322</w:t>
            </w:r>
          </w:p>
        </w:tc>
        <w:tc>
          <w:tcPr>
            <w:tcW w:w="1000" w:type="dxa"/>
            <w:vAlign w:val="bottom"/>
            <w:gridSpan w:val="2"/>
          </w:tcPr>
          <w:p>
            <w:pPr>
              <w:jc w:val="right"/>
              <w:ind w:right="103"/>
              <w:spacing w:after="0"/>
              <w:rPr>
                <w:sz w:val="20"/>
                <w:szCs w:val="20"/>
                <w:color w:val="auto"/>
              </w:rPr>
            </w:pPr>
            <w:r>
              <w:rPr>
                <w:rFonts w:ascii="Arial" w:cs="Arial" w:eastAsia="Arial" w:hAnsi="Arial"/>
                <w:sz w:val="3"/>
                <w:szCs w:val="3"/>
                <w:color w:val="FFFFFF"/>
              </w:rPr>
              <w:t>786,061(4,11,892) —</w:t>
            </w:r>
          </w:p>
        </w:tc>
        <w:tc>
          <w:tcPr>
            <w:tcW w:w="400" w:type="dxa"/>
            <w:vAlign w:val="bottom"/>
          </w:tcPr>
          <w:p>
            <w:pPr>
              <w:spacing w:after="0"/>
              <w:rPr>
                <w:sz w:val="3"/>
                <w:szCs w:val="3"/>
                <w:color w:val="auto"/>
              </w:rPr>
            </w:pPr>
          </w:p>
        </w:tc>
        <w:tc>
          <w:tcPr>
            <w:tcW w:w="1860" w:type="dxa"/>
            <w:vAlign w:val="bottom"/>
            <w:vMerge w:val="restart"/>
          </w:tcPr>
          <w:p>
            <w:pPr>
              <w:jc w:val="right"/>
              <w:ind w:right="929"/>
              <w:spacing w:after="0" w:line="81" w:lineRule="exact"/>
              <w:rPr>
                <w:sz w:val="20"/>
                <w:szCs w:val="20"/>
                <w:color w:val="auto"/>
              </w:rPr>
            </w:pPr>
            <w:r>
              <w:rPr>
                <w:rFonts w:ascii="Arial" w:cs="Arial" w:eastAsia="Arial" w:hAnsi="Arial"/>
                <w:sz w:val="9"/>
                <w:szCs w:val="9"/>
                <w:color w:val="FFFFFF"/>
              </w:rPr>
              <w:t>(127,389)</w:t>
            </w:r>
          </w:p>
        </w:tc>
        <w:tc>
          <w:tcPr>
            <w:tcW w:w="0" w:type="dxa"/>
            <w:vAlign w:val="bottom"/>
          </w:tcPr>
          <w:p>
            <w:pPr>
              <w:spacing w:after="0"/>
              <w:rPr>
                <w:sz w:val="1"/>
                <w:szCs w:val="1"/>
                <w:color w:val="auto"/>
              </w:rPr>
            </w:pPr>
          </w:p>
        </w:tc>
      </w:tr>
      <w:tr>
        <w:trPr>
          <w:trHeight w:val="41"/>
        </w:trPr>
        <w:tc>
          <w:tcPr>
            <w:tcW w:w="1220" w:type="dxa"/>
            <w:vAlign w:val="bottom"/>
          </w:tcPr>
          <w:p>
            <w:pPr>
              <w:spacing w:after="0"/>
              <w:rPr>
                <w:sz w:val="3"/>
                <w:szCs w:val="3"/>
                <w:color w:val="auto"/>
              </w:rPr>
            </w:pPr>
          </w:p>
        </w:tc>
        <w:tc>
          <w:tcPr>
            <w:tcW w:w="660" w:type="dxa"/>
            <w:vAlign w:val="bottom"/>
            <w:gridSpan w:val="2"/>
          </w:tcPr>
          <w:p>
            <w:pPr>
              <w:jc w:val="right"/>
              <w:ind w:right="3"/>
              <w:spacing w:after="0"/>
              <w:rPr>
                <w:sz w:val="20"/>
                <w:szCs w:val="20"/>
                <w:color w:val="auto"/>
              </w:rPr>
            </w:pPr>
            <w:r>
              <w:rPr>
                <w:rFonts w:ascii="Arial" w:cs="Arial" w:eastAsia="Arial" w:hAnsi="Arial"/>
                <w:sz w:val="3"/>
                <w:szCs w:val="3"/>
                <w:color w:val="FFFFFF"/>
              </w:rPr>
              <w:t>(13,552)</w:t>
            </w:r>
          </w:p>
        </w:tc>
        <w:tc>
          <w:tcPr>
            <w:tcW w:w="1120" w:type="dxa"/>
            <w:vAlign w:val="bottom"/>
            <w:gridSpan w:val="2"/>
          </w:tcPr>
          <w:p>
            <w:pPr>
              <w:jc w:val="right"/>
              <w:ind w:right="143"/>
              <w:spacing w:after="0"/>
              <w:rPr>
                <w:sz w:val="20"/>
                <w:szCs w:val="20"/>
                <w:color w:val="auto"/>
              </w:rPr>
            </w:pPr>
            <w:r>
              <w:rPr>
                <w:rFonts w:ascii="Arial" w:cs="Arial" w:eastAsia="Arial" w:hAnsi="Arial"/>
                <w:sz w:val="3"/>
                <w:szCs w:val="3"/>
                <w:color w:val="FFFFFF"/>
              </w:rPr>
              <w:t>(88,073) (12,096)</w:t>
            </w:r>
          </w:p>
        </w:tc>
        <w:tc>
          <w:tcPr>
            <w:tcW w:w="1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ind w:left="100"/>
              <w:spacing w:after="0"/>
              <w:rPr>
                <w:sz w:val="20"/>
                <w:szCs w:val="20"/>
                <w:color w:val="auto"/>
              </w:rPr>
            </w:pPr>
            <w:r>
              <w:rPr>
                <w:rFonts w:ascii="Arial" w:cs="Arial" w:eastAsia="Arial" w:hAnsi="Arial"/>
                <w:sz w:val="3"/>
                <w:szCs w:val="3"/>
                <w:color w:val="FFFFFF"/>
              </w:rPr>
              <w:t>bandonments/disposals31December20108,883,814 2,250,472 37,021 24,014(13,668)1,195,321</w:t>
            </w:r>
          </w:p>
        </w:tc>
        <w:tc>
          <w:tcPr>
            <w:tcW w:w="0" w:type="dxa"/>
            <w:vAlign w:val="bottom"/>
          </w:tcPr>
          <w:p>
            <w:pPr>
              <w:spacing w:after="0"/>
              <w:rPr>
                <w:sz w:val="1"/>
                <w:szCs w:val="1"/>
                <w:color w:val="auto"/>
              </w:rPr>
            </w:pPr>
          </w:p>
        </w:tc>
      </w:tr>
      <w:tr>
        <w:trPr>
          <w:trHeight w:val="41"/>
        </w:trPr>
        <w:tc>
          <w:tcPr>
            <w:tcW w:w="2600" w:type="dxa"/>
            <w:vAlign w:val="bottom"/>
            <w:gridSpan w:val="4"/>
          </w:tcPr>
          <w:p>
            <w:pPr>
              <w:spacing w:after="0"/>
              <w:rPr>
                <w:sz w:val="20"/>
                <w:szCs w:val="20"/>
                <w:color w:val="auto"/>
              </w:rPr>
            </w:pPr>
            <w:r>
              <w:rPr>
                <w:rFonts w:ascii="Arial" w:cs="Arial" w:eastAsia="Arial" w:hAnsi="Arial"/>
                <w:sz w:val="3"/>
                <w:szCs w:val="3"/>
                <w:color w:val="FFFFFF"/>
              </w:rPr>
              <w:t>Additions 4,304 87,678 145 277,032 369,159</w:t>
            </w: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gridSpan w:val="4"/>
          </w:tcPr>
          <w:p>
            <w:pPr>
              <w:spacing w:after="0"/>
              <w:rPr>
                <w:sz w:val="20"/>
                <w:szCs w:val="20"/>
                <w:color w:val="auto"/>
              </w:rPr>
            </w:pPr>
            <w:r>
              <w:rPr>
                <w:rFonts w:ascii="Arial" w:cs="Arial" w:eastAsia="Arial" w:hAnsi="Arial"/>
                <w:sz w:val="3"/>
                <w:szCs w:val="3"/>
                <w:color w:val="FFFFFF"/>
              </w:rPr>
              <w:t>Transfers 125,883 — — (125,883) —</w:t>
            </w: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ind w:left="100"/>
              <w:spacing w:after="0"/>
              <w:rPr>
                <w:sz w:val="20"/>
                <w:szCs w:val="20"/>
                <w:color w:val="auto"/>
              </w:rPr>
            </w:pPr>
            <w:r>
              <w:rPr>
                <w:rFonts w:ascii="Arial" w:cs="Arial" w:eastAsia="Arial" w:hAnsi="Arial"/>
                <w:sz w:val="3"/>
                <w:szCs w:val="3"/>
                <w:color w:val="FFFFFF"/>
              </w:rPr>
              <w:t>bandonments/disposals (34,385) (53,040) (111) (3,706)</w:t>
            </w: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At 31 December 2011 8,979,616 2,285,110 37,055 171,457(91,242)1,473,238</w:t>
            </w: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Depreciation:</w:t>
            </w: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At 1 January 2010 854,883 1,064,679 32,079 — 1,951,641</w:t>
            </w: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Depreciation charged for the year 523,433 436,132 8,261 — 967,826</w:t>
            </w:r>
          </w:p>
        </w:tc>
        <w:tc>
          <w:tcPr>
            <w:tcW w:w="0" w:type="dxa"/>
            <w:vAlign w:val="bottom"/>
          </w:tcPr>
          <w:p>
            <w:pPr>
              <w:spacing w:after="0"/>
              <w:rPr>
                <w:sz w:val="1"/>
                <w:szCs w:val="1"/>
                <w:color w:val="auto"/>
              </w:rPr>
            </w:pPr>
          </w:p>
        </w:tc>
      </w:tr>
      <w:tr>
        <w:trPr>
          <w:trHeight w:val="41"/>
        </w:trPr>
        <w:tc>
          <w:tcPr>
            <w:tcW w:w="4860" w:type="dxa"/>
            <w:vAlign w:val="bottom"/>
            <w:gridSpan w:val="6"/>
          </w:tcPr>
          <w:p>
            <w:pPr>
              <w:ind w:left="100"/>
              <w:spacing w:after="0"/>
              <w:rPr>
                <w:sz w:val="20"/>
                <w:szCs w:val="20"/>
                <w:color w:val="auto"/>
              </w:rPr>
            </w:pPr>
            <w:r>
              <w:rPr>
                <w:rFonts w:ascii="Arial" w:cs="Arial" w:eastAsia="Arial" w:hAnsi="Arial"/>
                <w:sz w:val="3"/>
                <w:szCs w:val="3"/>
                <w:color w:val="FFFFFF"/>
              </w:rPr>
              <w:t>bandonments/disposals (3,089) (61,628) (11,616) — (76,333)</w:t>
            </w: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At 31 December 2010 1,375,227 1,439,183 28,724 — 2,843,134</w:t>
            </w: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Depreciation charged for the year 606,630 382,530 4,064 — 993,224</w:t>
            </w:r>
          </w:p>
        </w:tc>
        <w:tc>
          <w:tcPr>
            <w:tcW w:w="0" w:type="dxa"/>
            <w:vAlign w:val="bottom"/>
          </w:tcPr>
          <w:p>
            <w:pPr>
              <w:spacing w:after="0"/>
              <w:rPr>
                <w:sz w:val="1"/>
                <w:szCs w:val="1"/>
                <w:color w:val="auto"/>
              </w:rPr>
            </w:pPr>
          </w:p>
        </w:tc>
      </w:tr>
      <w:tr>
        <w:trPr>
          <w:trHeight w:val="41"/>
        </w:trPr>
        <w:tc>
          <w:tcPr>
            <w:tcW w:w="4860" w:type="dxa"/>
            <w:vAlign w:val="bottom"/>
            <w:gridSpan w:val="6"/>
          </w:tcPr>
          <w:p>
            <w:pPr>
              <w:ind w:left="100"/>
              <w:spacing w:after="0"/>
              <w:rPr>
                <w:sz w:val="20"/>
                <w:szCs w:val="20"/>
                <w:color w:val="auto"/>
              </w:rPr>
            </w:pPr>
            <w:r>
              <w:rPr>
                <w:rFonts w:ascii="Arial" w:cs="Arial" w:eastAsia="Arial" w:hAnsi="Arial"/>
                <w:sz w:val="3"/>
                <w:szCs w:val="3"/>
                <w:color w:val="FFFFFF"/>
              </w:rPr>
              <w:t>bandonments/disposals (10,950) (44,918) (111) — (55,979)</w:t>
            </w:r>
          </w:p>
        </w:tc>
        <w:tc>
          <w:tcPr>
            <w:tcW w:w="0" w:type="dxa"/>
            <w:vAlign w:val="bottom"/>
          </w:tcPr>
          <w:p>
            <w:pPr>
              <w:spacing w:after="0"/>
              <w:rPr>
                <w:sz w:val="1"/>
                <w:szCs w:val="1"/>
                <w:color w:val="auto"/>
              </w:rPr>
            </w:pPr>
          </w:p>
        </w:tc>
      </w:tr>
      <w:tr>
        <w:trPr>
          <w:trHeight w:val="41"/>
        </w:trPr>
        <w:tc>
          <w:tcPr>
            <w:tcW w:w="4860" w:type="dxa"/>
            <w:vAlign w:val="bottom"/>
            <w:gridSpan w:val="6"/>
          </w:tcPr>
          <w:p>
            <w:pPr>
              <w:spacing w:after="0"/>
              <w:rPr>
                <w:sz w:val="20"/>
                <w:szCs w:val="20"/>
                <w:color w:val="auto"/>
              </w:rPr>
            </w:pPr>
            <w:r>
              <w:rPr>
                <w:rFonts w:ascii="Arial" w:cs="Arial" w:eastAsia="Arial" w:hAnsi="Arial"/>
                <w:sz w:val="3"/>
                <w:szCs w:val="3"/>
                <w:color w:val="FFFFFF"/>
              </w:rPr>
              <w:t>At 31 December 2011 1,970,907 1,776,795 32,677 — 3,780,379</w:t>
            </w:r>
          </w:p>
        </w:tc>
        <w:tc>
          <w:tcPr>
            <w:tcW w:w="0" w:type="dxa"/>
            <w:vAlign w:val="bottom"/>
          </w:tcPr>
          <w:p>
            <w:pPr>
              <w:spacing w:after="0"/>
              <w:rPr>
                <w:sz w:val="1"/>
                <w:szCs w:val="1"/>
                <w:color w:val="auto"/>
              </w:rPr>
            </w:pPr>
          </w:p>
        </w:tc>
      </w:tr>
      <w:tr>
        <w:trPr>
          <w:trHeight w:val="81"/>
        </w:trPr>
        <w:tc>
          <w:tcPr>
            <w:tcW w:w="1220" w:type="dxa"/>
            <w:vAlign w:val="bottom"/>
          </w:tcPr>
          <w:p>
            <w:pPr>
              <w:spacing w:after="0" w:line="81" w:lineRule="exact"/>
              <w:rPr>
                <w:sz w:val="20"/>
                <w:szCs w:val="20"/>
                <w:color w:val="auto"/>
              </w:rPr>
            </w:pPr>
            <w:r>
              <w:rPr>
                <w:rFonts w:ascii="Arial" w:cs="Arial" w:eastAsia="Arial" w:hAnsi="Arial"/>
                <w:sz w:val="9"/>
                <w:szCs w:val="9"/>
                <w:color w:val="FFFFFF"/>
              </w:rPr>
              <w:t>Net carrying amount:</w:t>
            </w:r>
          </w:p>
        </w:tc>
        <w:tc>
          <w:tcPr>
            <w:tcW w:w="3640" w:type="dxa"/>
            <w:vAlign w:val="bottom"/>
            <w:gridSpan w:val="5"/>
          </w:tcPr>
          <w:p>
            <w:pPr>
              <w:ind w:left="20"/>
              <w:spacing w:after="0" w:line="81" w:lineRule="exact"/>
              <w:rPr>
                <w:sz w:val="20"/>
                <w:szCs w:val="20"/>
                <w:color w:val="auto"/>
              </w:rPr>
            </w:pPr>
            <w:r>
              <w:rPr>
                <w:rFonts w:ascii="Arial" w:cs="Arial" w:eastAsia="Arial" w:hAnsi="Arial"/>
                <w:sz w:val="9"/>
                <w:szCs w:val="9"/>
                <w:color w:val="FFFFFF"/>
              </w:rPr>
              <w:t>7,008,709 508 315 4 378 171,457 7,692, 59</w:t>
            </w:r>
          </w:p>
        </w:tc>
        <w:tc>
          <w:tcPr>
            <w:tcW w:w="0" w:type="dxa"/>
            <w:vAlign w:val="bottom"/>
          </w:tcPr>
          <w:p>
            <w:pPr>
              <w:spacing w:after="0"/>
              <w:rPr>
                <w:sz w:val="1"/>
                <w:szCs w:val="1"/>
                <w:color w:val="auto"/>
              </w:rPr>
            </w:pPr>
          </w:p>
        </w:tc>
      </w:tr>
      <w:tr>
        <w:trPr>
          <w:trHeight w:val="0"/>
        </w:trPr>
        <w:tc>
          <w:tcPr>
            <w:tcW w:w="1220" w:type="dxa"/>
            <w:vAlign w:val="bottom"/>
          </w:tcPr>
          <w:p>
            <w:pPr>
              <w:ind w:left="340"/>
              <w:spacing w:after="0"/>
              <w:rPr>
                <w:sz w:val="20"/>
                <w:szCs w:val="20"/>
                <w:color w:val="auto"/>
              </w:rPr>
            </w:pPr>
            <w:r>
              <w:rPr>
                <w:rFonts w:ascii="Arial" w:cs="Arial" w:eastAsia="Arial" w:hAnsi="Arial"/>
                <w:sz w:val="3"/>
                <w:szCs w:val="3"/>
                <w:color w:val="FFFFFF"/>
              </w:rPr>
              <w:t>December 2010</w:t>
            </w:r>
          </w:p>
        </w:tc>
        <w:tc>
          <w:tcPr>
            <w:tcW w:w="1380" w:type="dxa"/>
            <w:vAlign w:val="bottom"/>
            <w:gridSpan w:val="3"/>
          </w:tcPr>
          <w:p>
            <w:pPr>
              <w:ind w:left="20"/>
              <w:spacing w:after="0"/>
              <w:rPr>
                <w:sz w:val="20"/>
                <w:szCs w:val="20"/>
                <w:color w:val="auto"/>
              </w:rPr>
            </w:pPr>
            <w:r>
              <w:rPr>
                <w:rFonts w:ascii="Arial" w:cs="Arial" w:eastAsia="Arial" w:hAnsi="Arial"/>
                <w:sz w:val="3"/>
                <w:szCs w:val="3"/>
                <w:color w:val="FFFFFF"/>
              </w:rPr>
              <w:t>7,508,587 811,289 8,297</w:t>
            </w:r>
          </w:p>
        </w:tc>
        <w:tc>
          <w:tcPr>
            <w:tcW w:w="400" w:type="dxa"/>
            <w:vAlign w:val="bottom"/>
          </w:tcPr>
          <w:p>
            <w:pPr>
              <w:jc w:val="right"/>
              <w:ind w:right="3"/>
              <w:spacing w:after="0"/>
              <w:rPr>
                <w:sz w:val="20"/>
                <w:szCs w:val="20"/>
                <w:color w:val="auto"/>
              </w:rPr>
            </w:pPr>
            <w:r>
              <w:rPr>
                <w:rFonts w:ascii="Arial" w:cs="Arial" w:eastAsia="Arial" w:hAnsi="Arial"/>
                <w:sz w:val="3"/>
                <w:szCs w:val="3"/>
                <w:color w:val="FFFFFF"/>
              </w:rPr>
              <w:t>24,014</w:t>
            </w:r>
          </w:p>
        </w:tc>
        <w:tc>
          <w:tcPr>
            <w:tcW w:w="1860" w:type="dxa"/>
            <w:vAlign w:val="bottom"/>
          </w:tcPr>
          <w:p>
            <w:pPr>
              <w:jc w:val="right"/>
              <w:ind w:right="1269"/>
              <w:spacing w:after="0"/>
              <w:rPr>
                <w:sz w:val="20"/>
                <w:szCs w:val="20"/>
                <w:color w:val="auto"/>
              </w:rPr>
            </w:pPr>
            <w:r>
              <w:rPr>
                <w:rFonts w:ascii="Arial" w:cs="Arial" w:eastAsia="Arial" w:hAnsi="Arial"/>
                <w:sz w:val="3"/>
                <w:szCs w:val="3"/>
                <w:color w:val="FFFFFF"/>
              </w:rPr>
              <w:t>8,352,187</w:t>
            </w: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At 31January 2010 4,293,773 853,923 16,705 3,363,513 8,527,914</w:t>
      </w:r>
    </w:p>
    <w:p>
      <w:pPr>
        <w:sectPr>
          <w:pgSz w:w="11900" w:h="16838" w:orient="portrait"/>
          <w:cols w:equalWidth="0" w:num="1">
            <w:col w:w="10219"/>
          </w:cols>
          <w:pgMar w:left="240" w:top="1440" w:right="1440"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color w:val="FFFFFF"/>
              </w:rPr>
              <w:t>116 Wynn Macau, Limited</w:t>
            </w:r>
          </w:p>
        </w:tc>
        <w:tc>
          <w:tcPr>
            <w:tcW w:w="8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Financial Statements</w:t>
            </w:r>
          </w:p>
        </w:tc>
        <w:tc>
          <w:tcPr>
            <w:tcW w:w="8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8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For the year ended 31 December 2011</w:t>
            </w:r>
          </w:p>
        </w:tc>
        <w:tc>
          <w:tcPr>
            <w:tcW w:w="8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20"/>
                <w:szCs w:val="20"/>
                <w:color w:val="auto"/>
              </w:rPr>
            </w:pPr>
            <w:r>
              <w:rPr>
                <w:rFonts w:ascii="Arial" w:cs="Arial" w:eastAsia="Arial" w:hAnsi="Arial"/>
                <w:sz w:val="3"/>
                <w:szCs w:val="3"/>
                <w:color w:val="FFFFFF"/>
              </w:rPr>
              <w:t>9. LEASEHOLD INTERESTS IN LAND</w:t>
            </w:r>
          </w:p>
        </w:tc>
        <w:tc>
          <w:tcPr>
            <w:tcW w:w="8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The Group has the leasing rights for certain land in Macau under a 25-year con  ssion, which expires in August 2029, granted by the Macau government in return for the payment of premiums by installments</w:t>
            </w:r>
          </w:p>
        </w:tc>
        <w:tc>
          <w:tcPr>
            <w:tcW w:w="0" w:type="dxa"/>
            <w:vAlign w:val="bottom"/>
          </w:tcPr>
          <w:p>
            <w:pPr>
              <w:spacing w:after="0"/>
              <w:rPr>
                <w:sz w:val="1"/>
                <w:szCs w:val="1"/>
                <w:color w:val="auto"/>
              </w:rPr>
            </w:pPr>
          </w:p>
        </w:tc>
      </w:tr>
      <w:tr>
        <w:trPr>
          <w:trHeight w:val="41"/>
        </w:trPr>
        <w:tc>
          <w:tcPr>
            <w:tcW w:w="10420" w:type="dxa"/>
            <w:vAlign w:val="bottom"/>
            <w:gridSpan w:val="2"/>
          </w:tcPr>
          <w:p>
            <w:pPr>
              <w:spacing w:after="0"/>
              <w:rPr>
                <w:sz w:val="20"/>
                <w:szCs w:val="20"/>
                <w:color w:val="auto"/>
              </w:rPr>
            </w:pPr>
            <w:r>
              <w:rPr>
                <w:rFonts w:ascii="Arial" w:cs="Arial" w:eastAsia="Arial" w:hAnsi="Arial"/>
                <w:sz w:val="3"/>
                <w:szCs w:val="3"/>
                <w:color w:val="FFFFFF"/>
              </w:rPr>
              <w:t>bearing interest at 5% per annum. All installments were satisfi ed before 31 December 2009.</w:t>
            </w:r>
          </w:p>
        </w:tc>
        <w:tc>
          <w:tcPr>
            <w:tcW w:w="820" w:type="dxa"/>
            <w:vAlign w:val="bottom"/>
            <w:vMerge w:val="restart"/>
          </w:tcPr>
          <w:p>
            <w:pPr>
              <w:ind w:left="200"/>
              <w:spacing w:after="0"/>
              <w:rPr>
                <w:sz w:val="20"/>
                <w:szCs w:val="20"/>
                <w:color w:val="auto"/>
              </w:rPr>
            </w:pPr>
            <w:r>
              <w:rPr>
                <w:rFonts w:ascii="Arial" w:cs="Arial" w:eastAsia="Arial" w:hAnsi="Arial"/>
                <w:sz w:val="3"/>
                <w:szCs w:val="3"/>
                <w:color w:val="FFFFFF"/>
              </w:rPr>
              <w:t>.4 billion</w:t>
            </w:r>
          </w:p>
        </w:tc>
        <w:tc>
          <w:tcPr>
            <w:tcW w:w="0" w:type="dxa"/>
            <w:vAlign w:val="bottom"/>
          </w:tcPr>
          <w:p>
            <w:pPr>
              <w:spacing w:after="0"/>
              <w:rPr>
                <w:sz w:val="1"/>
                <w:szCs w:val="1"/>
                <w:color w:val="auto"/>
              </w:rPr>
            </w:pPr>
          </w:p>
        </w:tc>
      </w:tr>
      <w:tr>
        <w:trPr>
          <w:trHeight w:val="0"/>
        </w:trPr>
        <w:tc>
          <w:tcPr>
            <w:tcW w:w="2420" w:type="dxa"/>
            <w:vAlign w:val="bottom"/>
          </w:tcPr>
          <w:p>
            <w:pPr>
              <w:spacing w:after="0" w:line="80" w:lineRule="exact"/>
              <w:rPr>
                <w:sz w:val="20"/>
                <w:szCs w:val="20"/>
                <w:color w:val="auto"/>
              </w:rPr>
            </w:pPr>
            <w:r>
              <w:rPr>
                <w:rFonts w:ascii="Arial" w:cs="Arial" w:eastAsia="Arial" w:hAnsi="Arial"/>
                <w:sz w:val="9"/>
                <w:szCs w:val="9"/>
                <w:color w:val="FFFFFF"/>
              </w:rPr>
              <w:t>In 2011, the Group formally accepted the</w:t>
            </w:r>
          </w:p>
        </w:tc>
        <w:tc>
          <w:tcPr>
            <w:tcW w:w="8000" w:type="dxa"/>
            <w:vAlign w:val="bottom"/>
          </w:tcPr>
          <w:p>
            <w:pPr>
              <w:ind w:left="140"/>
              <w:spacing w:after="0" w:line="80" w:lineRule="exact"/>
              <w:rPr>
                <w:sz w:val="20"/>
                <w:szCs w:val="20"/>
                <w:color w:val="auto"/>
              </w:rPr>
            </w:pPr>
            <w:r>
              <w:rPr>
                <w:rFonts w:ascii="Arial" w:cs="Arial" w:eastAsia="Arial" w:hAnsi="Arial"/>
                <w:sz w:val="9"/>
                <w:szCs w:val="9"/>
                <w:color w:val="FFFFFF"/>
              </w:rPr>
              <w:t>terms and conditions of a 25-year land concession from the Macau government for certain land in Cotai (“Cotai Land”). The land premium of</w:t>
            </w: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bscript"/>
        </w:rPr>
        <w:t>(approx mately HK$127</w:t>
      </w:r>
      <w:r>
        <w:rPr>
          <w:rFonts w:ascii="Arial" w:cs="Arial" w:eastAsia="Arial" w:hAnsi="Arial"/>
          <w:sz w:val="1"/>
          <w:szCs w:val="1"/>
          <w:color w:val="FFFFFF"/>
        </w:rPr>
        <w:t>.4billion) comprisesdraftdown payment of MOP500 million (approximately HK$485.4 million), made in December 2011, and eight additional semi-annual payments of MOP130.9 million</w:t>
      </w:r>
    </w:p>
    <w:p>
      <w:pPr>
        <w:ind w:left="640" w:hanging="625"/>
        <w:spacing w:after="0" w:line="230" w:lineRule="auto"/>
        <w:tabs>
          <w:tab w:leader="none" w:pos="620" w:val="left"/>
        </w:tabs>
        <w:rPr>
          <w:sz w:val="20"/>
          <w:szCs w:val="20"/>
          <w:color w:val="auto"/>
        </w:rPr>
      </w:pPr>
      <w:r>
        <w:rPr>
          <w:rFonts w:ascii="Arial" w:cs="Arial" w:eastAsia="Arial" w:hAnsi="Arial"/>
          <w:sz w:val="27"/>
          <w:szCs w:val="27"/>
          <w:color w:val="FFFFFF"/>
          <w:vertAlign w:val="subscript"/>
        </w:rPr>
        <w:t>concession</w:t>
      </w:r>
      <w:r>
        <w:rPr>
          <w:sz w:val="20"/>
          <w:szCs w:val="20"/>
          <w:color w:val="auto"/>
        </w:rPr>
        <w:tab/>
      </w:r>
      <w:r>
        <w:rPr>
          <w:rFonts w:ascii="Arial" w:cs="Arial" w:eastAsia="Arial" w:hAnsi="Arial"/>
          <w:sz w:val="11"/>
          <w:szCs w:val="11"/>
          <w:color w:val="FFFFFF"/>
        </w:rPr>
        <w:t>.1 million) each, which includes 5% interest as required by the Macau government. The fi rst of the eight semi-annual payments is due six months from the publication of the Cotai Land in the offi cial gazette of Macau.</w:t>
      </w:r>
    </w:p>
    <w:p>
      <w:pPr>
        <w:spacing w:after="0" w:line="181" w:lineRule="auto"/>
        <w:rPr>
          <w:sz w:val="20"/>
          <w:szCs w:val="20"/>
          <w:color w:val="auto"/>
        </w:rPr>
      </w:pPr>
      <w:r>
        <w:rPr>
          <w:rFonts w:ascii="Arial" w:cs="Arial" w:eastAsia="Arial" w:hAnsi="Arial"/>
          <w:sz w:val="14"/>
          <w:szCs w:val="14"/>
          <w:color w:val="FFFFFF"/>
          <w:vertAlign w:val="subscript"/>
        </w:rPr>
        <w:t>Leasehold</w:t>
      </w:r>
      <w:r>
        <w:rPr>
          <w:rFonts w:ascii="Arial" w:cs="Arial" w:eastAsia="Arial" w:hAnsi="Arial"/>
          <w:sz w:val="9"/>
          <w:szCs w:val="9"/>
          <w:color w:val="FFFFFF"/>
        </w:rPr>
        <w:t>GroupandconcessionsinterestsinwhichMacaurecognizearegenerallythepremiumsrenewableandforotheradditionalcapitalizedperiods,costssubjectaresetto forthapplicablebelow.legislation.</w:t>
      </w:r>
    </w:p>
    <w:p>
      <w:pPr>
        <w:spacing w:after="0"/>
        <w:rPr>
          <w:sz w:val="20"/>
          <w:szCs w:val="20"/>
          <w:color w:val="auto"/>
        </w:rPr>
      </w:pPr>
      <w:r>
        <w:rPr>
          <w:rFonts w:ascii="Arial" w:cs="Arial" w:eastAsia="Arial" w:hAnsi="Arial"/>
          <w:sz w:val="3"/>
          <w:szCs w:val="3"/>
          <w:color w:val="FFFFFF"/>
        </w:rPr>
        <w:t>2011Asat 201031December</w:t>
      </w:r>
    </w:p>
    <w:p>
      <w:pPr>
        <w:spacing w:after="0" w:line="181" w:lineRule="auto"/>
        <w:rPr>
          <w:sz w:val="20"/>
          <w:szCs w:val="20"/>
          <w:color w:val="auto"/>
        </w:rPr>
      </w:pPr>
      <w:r>
        <w:rPr>
          <w:rFonts w:ascii="Arial" w:cs="Arial" w:eastAsia="Arial" w:hAnsi="Arial"/>
          <w:sz w:val="10"/>
          <w:szCs w:val="10"/>
          <w:color w:val="FFFFFF"/>
        </w:rPr>
        <w:t>HK$ HK$</w:t>
      </w:r>
    </w:p>
    <w:p>
      <w:pPr>
        <w:spacing w:after="0" w:line="188" w:lineRule="auto"/>
        <w:rPr>
          <w:sz w:val="20"/>
          <w:szCs w:val="20"/>
          <w:color w:val="auto"/>
        </w:rPr>
      </w:pPr>
      <w:r>
        <w:rPr>
          <w:rFonts w:ascii="Arial" w:cs="Arial" w:eastAsia="Arial" w:hAnsi="Arial"/>
          <w:sz w:val="9"/>
          <w:szCs w:val="9"/>
          <w:color w:val="FFFFFF"/>
        </w:rPr>
        <w:t>Cost:(inthousands)</w:t>
      </w:r>
    </w:p>
    <w:p>
      <w:pPr>
        <w:ind w:left="100"/>
        <w:spacing w:after="0" w:line="212" w:lineRule="auto"/>
        <w:rPr>
          <w:sz w:val="20"/>
          <w:szCs w:val="20"/>
          <w:color w:val="auto"/>
        </w:rPr>
      </w:pPr>
      <w:r>
        <w:rPr>
          <w:rFonts w:ascii="Arial" w:cs="Arial" w:eastAsia="Arial" w:hAnsi="Arial"/>
          <w:sz w:val="4"/>
          <w:szCs w:val="4"/>
          <w:color w:val="FFFFFF"/>
          <w:vertAlign w:val="subscript"/>
        </w:rPr>
        <w:t>ddition</w:t>
      </w:r>
      <w:r>
        <w:rPr>
          <w:rFonts w:ascii="Arial" w:cs="Arial" w:eastAsia="Arial" w:hAnsi="Arial"/>
          <w:sz w:val="2"/>
          <w:szCs w:val="2"/>
          <w:color w:val="FFFFFF"/>
        </w:rPr>
        <w:t>beginning1,793,563ofthe year33,288594,921 561,633</w:t>
      </w:r>
    </w:p>
    <w:p>
      <w:pPr>
        <w:ind w:left="180"/>
        <w:spacing w:after="0" w:line="188" w:lineRule="auto"/>
        <w:rPr>
          <w:sz w:val="20"/>
          <w:szCs w:val="20"/>
          <w:color w:val="auto"/>
        </w:rPr>
      </w:pPr>
      <w:r>
        <w:rPr>
          <w:rFonts w:ascii="Arial" w:cs="Arial" w:eastAsia="Arial" w:hAnsi="Arial"/>
          <w:sz w:val="9"/>
          <w:szCs w:val="9"/>
          <w:color w:val="FFFFFF"/>
        </w:rPr>
        <w:t>end of the year 2,388,484 594,921</w:t>
      </w:r>
    </w:p>
    <w:p>
      <w:pPr>
        <w:ind w:left="100"/>
        <w:spacing w:after="0" w:line="212" w:lineRule="auto"/>
        <w:rPr>
          <w:sz w:val="20"/>
          <w:szCs w:val="20"/>
          <w:color w:val="auto"/>
        </w:rPr>
      </w:pPr>
      <w:r>
        <w:rPr>
          <w:rFonts w:ascii="Arial" w:cs="Arial" w:eastAsia="Arial" w:hAnsi="Arial"/>
          <w:sz w:val="4"/>
          <w:szCs w:val="4"/>
          <w:color w:val="FFFFFF"/>
          <w:vertAlign w:val="subscript"/>
        </w:rPr>
        <w:t>mortization:</w:t>
      </w:r>
      <w:r>
        <w:rPr>
          <w:rFonts w:ascii="Arial" w:cs="Arial" w:eastAsia="Arial" w:hAnsi="Arial"/>
          <w:sz w:val="2"/>
          <w:szCs w:val="2"/>
          <w:color w:val="FFFFFF"/>
        </w:rPr>
        <w:t>beginningof the year 119,792 97,280</w:t>
      </w:r>
    </w:p>
    <w:p>
      <w:pPr>
        <w:spacing w:after="0" w:line="211" w:lineRule="auto"/>
        <w:rPr>
          <w:sz w:val="20"/>
          <w:szCs w:val="20"/>
          <w:color w:val="auto"/>
        </w:rPr>
      </w:pPr>
      <w:r>
        <w:rPr>
          <w:rFonts w:ascii="Arial" w:cs="Arial" w:eastAsia="Arial" w:hAnsi="Arial"/>
          <w:sz w:val="4"/>
          <w:szCs w:val="4"/>
          <w:color w:val="FFFFFF"/>
          <w:vertAlign w:val="superscript"/>
        </w:rPr>
        <w:t>At</w:t>
      </w:r>
    </w:p>
    <w:p>
      <w:pPr>
        <w:ind w:left="180"/>
        <w:spacing w:after="0"/>
        <w:rPr>
          <w:sz w:val="20"/>
          <w:szCs w:val="20"/>
          <w:color w:val="auto"/>
        </w:rPr>
      </w:pPr>
      <w:r>
        <w:rPr>
          <w:rFonts w:ascii="Arial" w:cs="Arial" w:eastAsia="Arial" w:hAnsi="Arial"/>
          <w:sz w:val="3"/>
          <w:szCs w:val="3"/>
          <w:color w:val="FFFFFF"/>
        </w:rPr>
        <w:t>end of the yearcharge144,399forthe119,792year24,607 22,512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Net carrying amount 2,244,085 475,129</w:t>
      </w:r>
    </w:p>
    <w:p>
      <w:pPr>
        <w:sectPr>
          <w:pgSz w:w="11900" w:h="16838" w:orient="portrait"/>
          <w:cols w:equalWidth="0" w:num="1">
            <w:col w:w="11340"/>
          </w:cols>
          <w:pgMar w:left="240" w:top="1440" w:right="31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Arial" w:cs="Arial" w:eastAsia="Arial" w:hAnsi="Arial"/>
                <w:sz w:val="14"/>
                <w:szCs w:val="14"/>
                <w:color w:val="FFFFFF"/>
                <w:w w:val="86"/>
              </w:rPr>
              <w:t>Annual Report 2011 117</w:t>
            </w:r>
          </w:p>
        </w:tc>
        <w:tc>
          <w:tcPr>
            <w:tcW w:w="30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30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4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4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40" w:type="dxa"/>
            <w:vAlign w:val="bottom"/>
            <w:gridSpan w:val="3"/>
          </w:tcPr>
          <w:p>
            <w:pPr>
              <w:spacing w:after="0"/>
              <w:rPr>
                <w:sz w:val="20"/>
                <w:szCs w:val="20"/>
                <w:color w:val="auto"/>
              </w:rPr>
            </w:pPr>
            <w:r>
              <w:rPr>
                <w:rFonts w:ascii="Arial" w:cs="Arial" w:eastAsia="Arial" w:hAnsi="Arial"/>
                <w:sz w:val="3"/>
                <w:szCs w:val="3"/>
                <w:color w:val="FFFFFF"/>
              </w:rPr>
              <w:t>For the year ended 31 December 2011</w:t>
            </w:r>
          </w:p>
        </w:tc>
        <w:tc>
          <w:tcPr>
            <w:tcW w:w="4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10.</w:t>
            </w:r>
          </w:p>
        </w:tc>
        <w:tc>
          <w:tcPr>
            <w:tcW w:w="1020" w:type="dxa"/>
            <w:vAlign w:val="bottom"/>
          </w:tcPr>
          <w:p>
            <w:pPr>
              <w:ind w:left="140"/>
              <w:spacing w:after="0"/>
              <w:rPr>
                <w:sz w:val="20"/>
                <w:szCs w:val="20"/>
                <w:color w:val="auto"/>
              </w:rPr>
            </w:pPr>
            <w:r>
              <w:rPr>
                <w:rFonts w:ascii="Arial" w:cs="Arial" w:eastAsia="Arial" w:hAnsi="Arial"/>
                <w:sz w:val="3"/>
                <w:szCs w:val="3"/>
                <w:color w:val="FFFFFF"/>
              </w:rPr>
              <w:t>GOODWILL</w:t>
            </w:r>
          </w:p>
        </w:tc>
        <w:tc>
          <w:tcPr>
            <w:tcW w:w="3000" w:type="dxa"/>
            <w:vAlign w:val="bottom"/>
          </w:tcPr>
          <w:p>
            <w:pPr>
              <w:spacing w:after="0"/>
              <w:rPr>
                <w:sz w:val="3"/>
                <w:szCs w:val="3"/>
                <w:color w:val="auto"/>
              </w:rPr>
            </w:pPr>
          </w:p>
        </w:tc>
        <w:tc>
          <w:tcPr>
            <w:tcW w:w="7060" w:type="dxa"/>
            <w:vAlign w:val="bottom"/>
            <w:gridSpan w:val="3"/>
            <w:vMerge w:val="restart"/>
          </w:tcPr>
          <w:p>
            <w:pPr>
              <w:ind w:left="260"/>
              <w:spacing w:after="0" w:line="95" w:lineRule="exact"/>
              <w:rPr>
                <w:sz w:val="20"/>
                <w:szCs w:val="20"/>
                <w:color w:val="auto"/>
              </w:rPr>
            </w:pPr>
            <w:r>
              <w:rPr>
                <w:rFonts w:ascii="Arial" w:cs="Arial" w:eastAsia="Arial" w:hAnsi="Arial"/>
                <w:sz w:val="10"/>
                <w:szCs w:val="10"/>
                <w:color w:val="FFFFFF"/>
              </w:rPr>
              <w:t>in WRM h ld by third parties, in exchange for 1,333,333 shares of Wynn Resorts, Limited’s common stock. Mr. Wong Chi</w:t>
            </w:r>
          </w:p>
        </w:tc>
        <w:tc>
          <w:tcPr>
            <w:tcW w:w="0" w:type="dxa"/>
            <w:vAlign w:val="bottom"/>
          </w:tcPr>
          <w:p>
            <w:pPr>
              <w:spacing w:after="0"/>
              <w:rPr>
                <w:sz w:val="1"/>
                <w:szCs w:val="1"/>
                <w:color w:val="auto"/>
              </w:rPr>
            </w:pPr>
          </w:p>
        </w:tc>
      </w:tr>
      <w:tr>
        <w:trPr>
          <w:trHeight w:val="54"/>
        </w:trPr>
        <w:tc>
          <w:tcPr>
            <w:tcW w:w="4340" w:type="dxa"/>
            <w:vAlign w:val="bottom"/>
            <w:gridSpan w:val="3"/>
          </w:tcPr>
          <w:p>
            <w:pPr>
              <w:spacing w:after="0" w:line="54" w:lineRule="exact"/>
              <w:rPr>
                <w:sz w:val="20"/>
                <w:szCs w:val="20"/>
                <w:color w:val="auto"/>
              </w:rPr>
            </w:pPr>
            <w:r>
              <w:rPr>
                <w:rFonts w:ascii="Arial" w:cs="Arial" w:eastAsia="Arial" w:hAnsi="Arial"/>
                <w:sz w:val="6"/>
                <w:szCs w:val="6"/>
                <w:color w:val="FFFFFF"/>
              </w:rPr>
              <w:t>In September 2004, the Group acquired all of the 17.5% indirect ownership</w:t>
            </w:r>
          </w:p>
        </w:tc>
        <w:tc>
          <w:tcPr>
            <w:tcW w:w="7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Seng, one of the third parties, retained a direct 10% voting and social interestinterestsWRM and agreed to continue to serve as Executive Director. The acquired shares provide, in aggregate, a nominal preferential</w:t>
            </w:r>
          </w:p>
        </w:tc>
        <w:tc>
          <w:tcPr>
            <w:tcW w:w="0" w:type="dxa"/>
            <w:vAlign w:val="bottom"/>
          </w:tcPr>
          <w:p>
            <w:pPr>
              <w:spacing w:after="0"/>
              <w:rPr>
                <w:sz w:val="1"/>
                <w:szCs w:val="1"/>
                <w:color w:val="auto"/>
              </w:rPr>
            </w:pPr>
          </w:p>
        </w:tc>
      </w:tr>
      <w:tr>
        <w:trPr>
          <w:trHeight w:val="41"/>
        </w:trPr>
        <w:tc>
          <w:tcPr>
            <w:tcW w:w="8800" w:type="dxa"/>
            <w:vAlign w:val="bottom"/>
            <w:gridSpan w:val="4"/>
          </w:tcPr>
          <w:p>
            <w:pPr>
              <w:spacing w:after="0"/>
              <w:rPr>
                <w:sz w:val="20"/>
                <w:szCs w:val="20"/>
                <w:color w:val="auto"/>
              </w:rPr>
            </w:pPr>
            <w:r>
              <w:rPr>
                <w:rFonts w:ascii="Arial" w:cs="Arial" w:eastAsia="Arial" w:hAnsi="Arial"/>
                <w:sz w:val="3"/>
                <w:szCs w:val="3"/>
                <w:color w:val="FFFFFF"/>
              </w:rPr>
              <w:t>annual dividend and capital distribution rights of up to one Macau pataca. As a result of the acquisition, WRM became an indirectly wholly owned subsidiary of</w:t>
            </w:r>
          </w:p>
        </w:tc>
        <w:tc>
          <w:tcPr>
            <w:tcW w:w="820" w:type="dxa"/>
            <w:vAlign w:val="bottom"/>
          </w:tcPr>
          <w:p>
            <w:pPr>
              <w:ind w:left="100"/>
              <w:spacing w:after="0"/>
              <w:rPr>
                <w:sz w:val="20"/>
                <w:szCs w:val="20"/>
                <w:color w:val="auto"/>
              </w:rPr>
            </w:pPr>
            <w:r>
              <w:rPr>
                <w:rFonts w:ascii="Arial" w:cs="Arial" w:eastAsia="Arial" w:hAnsi="Arial"/>
                <w:sz w:val="3"/>
                <w:szCs w:val="3"/>
                <w:color w:val="FFFFFF"/>
              </w:rPr>
              <w:t>Group.</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In accordance with the Group’ accounting policy for the acquisition of non-controlling interests, the assets and liabilities of WRM were not restated to refl ect their fair values at the date of the acquisition. The</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difference between the purchase price and the minorities’ share of the assets and liabilities refl ected within the consolidated statement of fi nancial position of HK$398.3 million at the date of the acquisition was</w:t>
            </w:r>
          </w:p>
        </w:tc>
        <w:tc>
          <w:tcPr>
            <w:tcW w:w="0" w:type="dxa"/>
            <w:vAlign w:val="bottom"/>
          </w:tcPr>
          <w:p>
            <w:pPr>
              <w:spacing w:after="0"/>
              <w:rPr>
                <w:sz w:val="1"/>
                <w:szCs w:val="1"/>
                <w:color w:val="auto"/>
              </w:rPr>
            </w:pPr>
          </w:p>
        </w:tc>
      </w:tr>
      <w:tr>
        <w:trPr>
          <w:trHeight w:val="41"/>
        </w:trPr>
        <w:tc>
          <w:tcPr>
            <w:tcW w:w="1340" w:type="dxa"/>
            <w:vAlign w:val="bottom"/>
            <w:gridSpan w:val="2"/>
          </w:tcPr>
          <w:p>
            <w:pPr>
              <w:spacing w:after="0"/>
              <w:rPr>
                <w:sz w:val="20"/>
                <w:szCs w:val="20"/>
                <w:color w:val="auto"/>
              </w:rPr>
            </w:pPr>
            <w:r>
              <w:rPr>
                <w:rFonts w:ascii="Arial" w:cs="Arial" w:eastAsia="Arial" w:hAnsi="Arial"/>
                <w:sz w:val="3"/>
                <w:szCs w:val="3"/>
                <w:color w:val="FFFFFF"/>
              </w:rPr>
              <w:t>recorded as goodwill.</w:t>
            </w:r>
          </w:p>
        </w:tc>
        <w:tc>
          <w:tcPr>
            <w:tcW w:w="8280" w:type="dxa"/>
            <w:vAlign w:val="bottom"/>
            <w:gridSpan w:val="3"/>
            <w:vMerge w:val="restart"/>
          </w:tcPr>
          <w:p>
            <w:pPr>
              <w:ind w:left="20"/>
              <w:spacing w:after="0"/>
              <w:rPr>
                <w:sz w:val="20"/>
                <w:szCs w:val="20"/>
                <w:color w:val="auto"/>
              </w:rPr>
            </w:pPr>
            <w:r>
              <w:rPr>
                <w:rFonts w:ascii="Arial" w:cs="Arial" w:eastAsia="Arial" w:hAnsi="Arial"/>
                <w:sz w:val="3"/>
                <w:szCs w:val="3"/>
                <w:color w:val="FFFFFF"/>
              </w:rPr>
              <w:t>of a cash-generating unit (“CGU”) has been determined based on value-in-use calculations. These calculations use pre-tax cash fl ow projections based</w:t>
            </w:r>
          </w:p>
        </w:tc>
        <w:tc>
          <w:tcPr>
            <w:tcW w:w="1780" w:type="dxa"/>
            <w:vAlign w:val="bottom"/>
            <w:vMerge w:val="restart"/>
          </w:tcPr>
          <w:p>
            <w:pPr>
              <w:ind w:left="100"/>
              <w:spacing w:after="0"/>
              <w:rPr>
                <w:sz w:val="20"/>
                <w:szCs w:val="20"/>
                <w:color w:val="auto"/>
              </w:rPr>
            </w:pPr>
            <w:r>
              <w:rPr>
                <w:rFonts w:ascii="Arial" w:cs="Arial" w:eastAsia="Arial" w:hAnsi="Arial"/>
                <w:sz w:val="3"/>
                <w:szCs w:val="3"/>
                <w:color w:val="FFFFFF"/>
              </w:rPr>
              <w:t>fi nancial budgets approved by</w:t>
            </w:r>
          </w:p>
        </w:tc>
        <w:tc>
          <w:tcPr>
            <w:tcW w:w="0" w:type="dxa"/>
            <w:vAlign w:val="bottom"/>
          </w:tcPr>
          <w:p>
            <w:pPr>
              <w:spacing w:after="0"/>
              <w:rPr>
                <w:sz w:val="1"/>
                <w:szCs w:val="1"/>
                <w:color w:val="auto"/>
              </w:rPr>
            </w:pPr>
          </w:p>
        </w:tc>
      </w:tr>
      <w:tr>
        <w:trPr>
          <w:trHeight w:val="0"/>
        </w:trPr>
        <w:tc>
          <w:tcPr>
            <w:tcW w:w="1340" w:type="dxa"/>
            <w:vAlign w:val="bottom"/>
            <w:gridSpan w:val="2"/>
          </w:tcPr>
          <w:p>
            <w:pPr>
              <w:spacing w:after="0" w:line="80" w:lineRule="exact"/>
              <w:rPr>
                <w:sz w:val="20"/>
                <w:szCs w:val="20"/>
                <w:color w:val="auto"/>
              </w:rPr>
            </w:pPr>
            <w:r>
              <w:rPr>
                <w:rFonts w:ascii="Arial" w:cs="Arial" w:eastAsia="Arial" w:hAnsi="Arial"/>
                <w:sz w:val="9"/>
                <w:szCs w:val="9"/>
                <w:color w:val="FFFFFF"/>
              </w:rPr>
              <w:t>The recoverable</w:t>
            </w:r>
          </w:p>
        </w:tc>
        <w:tc>
          <w:tcPr>
            <w:tcW w:w="8280" w:type="dxa"/>
            <w:vAlign w:val="bottom"/>
            <w:gridSpan w:val="3"/>
            <w:vMerge w:val="continue"/>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80"/>
        <w:spacing w:after="0"/>
        <w:rPr>
          <w:sz w:val="20"/>
          <w:szCs w:val="20"/>
          <w:color w:val="auto"/>
        </w:rPr>
      </w:pPr>
      <w:r>
        <w:rPr>
          <w:rFonts w:ascii="Arial" w:cs="Arial" w:eastAsia="Arial" w:hAnsi="Arial"/>
          <w:sz w:val="3"/>
          <w:szCs w:val="3"/>
          <w:color w:val="FFFFFF"/>
        </w:rPr>
        <w:t>management coveringamount fi ve-year period. Management determined the fi nancial budgets based on past performance and its expectations for market development. Cash fl ows beyond the fi ve-year period are extrapolated using the estimated growth rate stated below.</w:t>
      </w:r>
    </w:p>
    <w:p>
      <w:pPr>
        <w:spacing w:after="0" w:line="199" w:lineRule="auto"/>
        <w:rPr>
          <w:sz w:val="20"/>
          <w:szCs w:val="20"/>
          <w:color w:val="auto"/>
        </w:rPr>
      </w:pPr>
      <w:r>
        <w:rPr>
          <w:rFonts w:ascii="Arial" w:cs="Arial" w:eastAsia="Arial" w:hAnsi="Arial"/>
          <w:sz w:val="5"/>
          <w:szCs w:val="5"/>
          <w:color w:val="FFFFFF"/>
        </w:rPr>
        <w:t>The key assumptions used for value-in-use calculations are as follows:</w:t>
      </w:r>
    </w:p>
    <w:p>
      <w:pPr>
        <w:spacing w:after="0"/>
        <w:rPr>
          <w:sz w:val="20"/>
          <w:szCs w:val="20"/>
          <w:color w:val="auto"/>
        </w:rPr>
      </w:pPr>
      <w:r>
        <w:rPr>
          <w:rFonts w:ascii="Arial" w:cs="Arial" w:eastAsia="Arial" w:hAnsi="Arial"/>
          <w:sz w:val="3"/>
          <w:szCs w:val="3"/>
          <w:color w:val="FFFFFF"/>
        </w:rPr>
        <w:t>2011 2010</w:t>
      </w:r>
    </w:p>
    <w:p>
      <w:pPr>
        <w:spacing w:after="0" w:line="181" w:lineRule="auto"/>
        <w:rPr>
          <w:sz w:val="20"/>
          <w:szCs w:val="20"/>
          <w:color w:val="auto"/>
        </w:rPr>
      </w:pPr>
      <w:r>
        <w:rPr>
          <w:rFonts w:ascii="Arial" w:cs="Arial" w:eastAsia="Arial" w:hAnsi="Arial"/>
          <w:sz w:val="7"/>
          <w:szCs w:val="7"/>
          <w:color w:val="FFFFFF"/>
        </w:rPr>
        <w:t>Growth rate (i) 3% 3%</w:t>
      </w:r>
      <w:r>
        <w:rPr>
          <w:rFonts w:ascii="Arial" w:cs="Arial" w:eastAsia="Arial" w:hAnsi="Arial"/>
          <w:sz w:val="10"/>
          <w:szCs w:val="10"/>
          <w:color w:val="FFFFFF"/>
          <w:vertAlign w:val="superscript"/>
        </w:rPr>
        <w:t>6%</w:t>
      </w:r>
    </w:p>
    <w:p>
      <w:pPr>
        <w:spacing w:after="0"/>
        <w:tabs>
          <w:tab w:leader="none" w:pos="1260" w:val="left"/>
        </w:tabs>
        <w:rPr>
          <w:sz w:val="20"/>
          <w:szCs w:val="20"/>
          <w:color w:val="auto"/>
        </w:rPr>
      </w:pPr>
      <w:r>
        <w:rPr>
          <w:rFonts w:ascii="Arial" w:cs="Arial" w:eastAsia="Arial" w:hAnsi="Arial"/>
          <w:sz w:val="3"/>
          <w:szCs w:val="3"/>
          <w:color w:val="FFFFFF"/>
        </w:rPr>
        <w:t>Notes:Discount rate (ii) 1.</w:t>
      </w:r>
      <w:r>
        <w:rPr>
          <w:sz w:val="20"/>
          <w:szCs w:val="20"/>
          <w:color w:val="auto"/>
        </w:rPr>
        <w:tab/>
      </w:r>
      <w:r>
        <w:rPr>
          <w:rFonts w:ascii="Arial" w:cs="Arial" w:eastAsia="Arial" w:hAnsi="Arial"/>
          <w:sz w:val="3"/>
          <w:szCs w:val="3"/>
          <w:color w:val="FFFFFF"/>
        </w:rPr>
        <w:t>1.9%</w:t>
      </w:r>
    </w:p>
    <w:p>
      <w:pPr>
        <w:spacing w:after="0" w:line="6" w:lineRule="exact"/>
        <w:rPr>
          <w:sz w:val="20"/>
          <w:szCs w:val="20"/>
          <w:color w:val="auto"/>
        </w:rPr>
      </w:pPr>
    </w:p>
    <w:p>
      <w:pPr>
        <w:ind w:right="60"/>
        <w:spacing w:after="0" w:line="187" w:lineRule="auto"/>
        <w:rPr>
          <w:sz w:val="20"/>
          <w:szCs w:val="20"/>
          <w:color w:val="auto"/>
        </w:rPr>
      </w:pPr>
      <w:r>
        <w:rPr>
          <w:rFonts w:ascii="Arial" w:cs="Arial" w:eastAsia="Arial" w:hAnsi="Arial"/>
          <w:sz w:val="9"/>
          <w:szCs w:val="9"/>
          <w:color w:val="FFFFFF"/>
        </w:rPr>
        <w:t>(i) Weighted average growth rate is used to extrapolate cash fl ows beyond the budget period which does not exceed the historical trend of the CGUs. The weighted average growth rates used are consistent with the forecasts included in industry reports.</w:t>
      </w:r>
    </w:p>
    <w:p>
      <w:pPr>
        <w:spacing w:after="0"/>
        <w:rPr>
          <w:sz w:val="20"/>
          <w:szCs w:val="20"/>
          <w:color w:val="auto"/>
        </w:rPr>
      </w:pPr>
      <w:r>
        <w:rPr>
          <w:rFonts w:ascii="Arial" w:cs="Arial" w:eastAsia="Arial" w:hAnsi="Arial"/>
          <w:sz w:val="14"/>
          <w:szCs w:val="14"/>
          <w:color w:val="FFFFFF"/>
        </w:rPr>
        <w:t>(ii) Pre-tax discount rate has been applied to the cash fl ow projections. The discount rates used are pre-tax and refl ect specifi c risks relating to the Group.</w:t>
      </w:r>
    </w:p>
    <w:p>
      <w:pPr>
        <w:sectPr>
          <w:pgSz w:w="11900" w:h="16838" w:orient="portrait"/>
          <w:cols w:equalWidth="0" w:num="1">
            <w:col w:w="11400"/>
          </w:cols>
          <w:pgMar w:left="240" w:top="1440" w:right="25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Financial118WynnStatementsMacau,Limited</w:t>
      </w:r>
    </w:p>
    <w:p>
      <w:pPr>
        <w:spacing w:after="0" w:line="187" w:lineRule="auto"/>
        <w:rPr>
          <w:sz w:val="20"/>
          <w:szCs w:val="20"/>
          <w:color w:val="auto"/>
        </w:rPr>
      </w:pPr>
      <w:r>
        <w:rPr>
          <w:rFonts w:ascii="Arial" w:cs="Arial" w:eastAsia="Arial" w:hAnsi="Arial"/>
          <w:sz w:val="9"/>
          <w:szCs w:val="9"/>
          <w:color w:val="FFFFFF"/>
        </w:rPr>
        <w:t>Notes to Financial Statements</w:t>
      </w:r>
    </w:p>
    <w:p>
      <w:pPr>
        <w:spacing w:after="0" w:line="189" w:lineRule="auto"/>
        <w:rPr>
          <w:sz w:val="20"/>
          <w:szCs w:val="20"/>
          <w:color w:val="auto"/>
        </w:rPr>
      </w:pPr>
      <w:r>
        <w:rPr>
          <w:rFonts w:ascii="Arial" w:cs="Arial" w:eastAsia="Arial" w:hAnsi="Arial"/>
          <w:sz w:val="6"/>
          <w:szCs w:val="6"/>
          <w:color w:val="FFFFFF"/>
        </w:rPr>
        <w:t>10.For the yearGOODWILLended31 (continued)December2011</w:t>
      </w:r>
    </w:p>
    <w:p>
      <w:pPr>
        <w:spacing w:after="0"/>
        <w:rPr>
          <w:sz w:val="20"/>
          <w:szCs w:val="20"/>
          <w:color w:val="auto"/>
        </w:rPr>
      </w:pPr>
      <w:r>
        <w:rPr>
          <w:rFonts w:ascii="Arial" w:cs="Arial" w:eastAsia="Arial" w:hAnsi="Arial"/>
          <w:sz w:val="3"/>
          <w:szCs w:val="3"/>
          <w:color w:val="FFFFFF"/>
        </w:rPr>
        <w:t>During the year ended 31 December 2011, there was no impairment of any of its CGUs containing goodwill with indefi nite useful lives (2010: nil).</w:t>
      </w:r>
    </w:p>
    <w:p>
      <w:pPr>
        <w:spacing w:after="0" w:line="208" w:lineRule="auto"/>
        <w:tabs>
          <w:tab w:leader="none" w:pos="440" w:val="left"/>
        </w:tabs>
        <w:rPr>
          <w:sz w:val="20"/>
          <w:szCs w:val="20"/>
          <w:color w:val="auto"/>
        </w:rPr>
      </w:pPr>
      <w:r>
        <w:rPr>
          <w:rFonts w:ascii="Arial" w:cs="Arial" w:eastAsia="Arial" w:hAnsi="Arial"/>
          <w:sz w:val="6"/>
          <w:szCs w:val="6"/>
          <w:color w:val="FFFFFF"/>
        </w:rPr>
        <w:t>11.</w:t>
      </w:r>
      <w:r>
        <w:rPr>
          <w:sz w:val="20"/>
          <w:szCs w:val="20"/>
          <w:color w:val="auto"/>
        </w:rPr>
        <w:tab/>
      </w:r>
      <w:r>
        <w:rPr>
          <w:rFonts w:ascii="Arial" w:cs="Arial" w:eastAsia="Arial" w:hAnsi="Arial"/>
          <w:sz w:val="6"/>
          <w:szCs w:val="6"/>
          <w:color w:val="FFFFFF"/>
        </w:rPr>
        <w:t>AVAILABLE-FOR-SALE INVESTMENTS</w:t>
      </w:r>
    </w:p>
    <w:p>
      <w:pPr>
        <w:spacing w:after="0" w:line="188" w:lineRule="auto"/>
        <w:rPr>
          <w:sz w:val="20"/>
          <w:szCs w:val="20"/>
          <w:color w:val="auto"/>
        </w:rPr>
      </w:pPr>
      <w:r>
        <w:rPr>
          <w:rFonts w:ascii="Arial" w:cs="Arial" w:eastAsia="Arial" w:hAnsi="Arial"/>
          <w:sz w:val="9"/>
          <w:szCs w:val="9"/>
          <w:color w:val="FFFFFF"/>
        </w:rPr>
        <w:t>Group and Company</w:t>
      </w:r>
    </w:p>
    <w:p>
      <w:pPr>
        <w:spacing w:after="0" w:line="188" w:lineRule="auto"/>
        <w:rPr>
          <w:sz w:val="20"/>
          <w:szCs w:val="20"/>
          <w:color w:val="auto"/>
        </w:rPr>
      </w:pPr>
      <w:r>
        <w:rPr>
          <w:rFonts w:ascii="Arial" w:cs="Arial" w:eastAsia="Arial" w:hAnsi="Arial"/>
          <w:sz w:val="9"/>
          <w:szCs w:val="9"/>
          <w:color w:val="FFFFFF"/>
        </w:rPr>
        <w:t>2011Asat 201031December</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10"/>
          <w:szCs w:val="10"/>
          <w:color w:val="FFFFFF"/>
        </w:rPr>
        <w:t>Listed debt securities, at fair value:</w:t>
      </w:r>
    </w:p>
    <w:p>
      <w:pPr>
        <w:spacing w:after="0"/>
        <w:rPr>
          <w:sz w:val="20"/>
          <w:szCs w:val="20"/>
          <w:color w:val="auto"/>
        </w:rPr>
      </w:pPr>
      <w:r>
        <w:rPr>
          <w:rFonts w:ascii="Arial" w:cs="Arial" w:eastAsia="Arial" w:hAnsi="Arial"/>
          <w:sz w:val="3"/>
          <w:szCs w:val="3"/>
          <w:color w:val="FFFFFF"/>
        </w:rPr>
        <w:t>ElsewhereHongKong195,95059,685 ——</w:t>
      </w:r>
    </w:p>
    <w:p>
      <w:pPr>
        <w:spacing w:after="0" w:line="181" w:lineRule="auto"/>
        <w:rPr>
          <w:sz w:val="20"/>
          <w:szCs w:val="20"/>
          <w:color w:val="auto"/>
        </w:rPr>
      </w:pPr>
      <w:r>
        <w:rPr>
          <w:rFonts w:ascii="Arial" w:cs="Arial" w:eastAsia="Arial" w:hAnsi="Arial"/>
          <w:sz w:val="10"/>
          <w:szCs w:val="10"/>
          <w:color w:val="FFFFFF"/>
        </w:rPr>
        <w:t>255,635 —</w:t>
      </w:r>
    </w:p>
    <w:p>
      <w:pPr>
        <w:spacing w:after="0" w:line="188" w:lineRule="auto"/>
        <w:rPr>
          <w:sz w:val="20"/>
          <w:szCs w:val="20"/>
          <w:color w:val="auto"/>
        </w:rPr>
      </w:pPr>
      <w:r>
        <w:rPr>
          <w:rFonts w:ascii="Arial" w:cs="Arial" w:eastAsia="Arial" w:hAnsi="Arial"/>
          <w:sz w:val="9"/>
          <w:szCs w:val="9"/>
          <w:color w:val="FFFFFF"/>
        </w:rPr>
        <w:t>508,820Unlisted —debt securities, at fair value: 253,185 —</w:t>
      </w:r>
    </w:p>
    <w:p>
      <w:pPr>
        <w:spacing w:after="0"/>
        <w:rPr>
          <w:sz w:val="20"/>
          <w:szCs w:val="20"/>
          <w:color w:val="auto"/>
        </w:rPr>
      </w:pPr>
      <w:r>
        <w:rPr>
          <w:rFonts w:ascii="Arial" w:cs="Arial" w:eastAsia="Arial" w:hAnsi="Arial"/>
          <w:sz w:val="3"/>
          <w:szCs w:val="3"/>
          <w:color w:val="FFFFFF"/>
        </w:rPr>
        <w:t>CurrentPortion classifiedportion104,066asnon-—current (404,754) —</w:t>
      </w:r>
    </w:p>
    <w:p>
      <w:pPr>
        <w:spacing w:after="0" w:line="194" w:lineRule="auto"/>
        <w:rPr>
          <w:sz w:val="20"/>
          <w:szCs w:val="20"/>
          <w:color w:val="auto"/>
        </w:rPr>
      </w:pPr>
      <w:r>
        <w:rPr>
          <w:rFonts w:ascii="Arial" w:cs="Arial" w:eastAsia="Arial" w:hAnsi="Arial"/>
          <w:sz w:val="3"/>
          <w:szCs w:val="3"/>
          <w:color w:val="FFFFFF"/>
        </w:rPr>
        <w:t>During the year, the loss in respect of the Group’</w:t>
      </w:r>
      <w:r>
        <w:rPr>
          <w:rFonts w:ascii="Arial" w:cs="Arial" w:eastAsia="Arial" w:hAnsi="Arial"/>
          <w:sz w:val="5"/>
          <w:szCs w:val="5"/>
          <w:color w:val="FFFFFF"/>
          <w:vertAlign w:val="subscript"/>
        </w:rPr>
        <w:t>comprehensive</w:t>
      </w:r>
      <w:r>
        <w:rPr>
          <w:rFonts w:ascii="Arial" w:cs="Arial" w:eastAsia="Arial" w:hAnsi="Arial"/>
          <w:sz w:val="3"/>
          <w:szCs w:val="3"/>
          <w:color w:val="FFFFFF"/>
        </w:rPr>
        <w:t>available-for-sale investments recognized in other comprehensive income amounted to HK$14.3 million (2010: nil). No amount was reclassifi ed from other</w:t>
      </w:r>
    </w:p>
    <w:p>
      <w:pPr>
        <w:spacing w:after="0"/>
        <w:tabs>
          <w:tab w:leader="none" w:pos="3160" w:val="left"/>
        </w:tabs>
        <w:rPr>
          <w:sz w:val="20"/>
          <w:szCs w:val="20"/>
          <w:color w:val="auto"/>
        </w:rPr>
      </w:pPr>
      <w:r>
        <w:rPr>
          <w:rFonts w:ascii="Arial" w:cs="Arial" w:eastAsia="Arial" w:hAnsi="Arial"/>
          <w:sz w:val="3"/>
          <w:szCs w:val="3"/>
          <w:color w:val="FFFFFF"/>
        </w:rPr>
        <w:t>comprehensive income to the statement of</w:t>
      </w:r>
      <w:r>
        <w:rPr>
          <w:sz w:val="20"/>
          <w:szCs w:val="20"/>
          <w:color w:val="auto"/>
        </w:rPr>
        <w:tab/>
      </w:r>
      <w:r>
        <w:rPr>
          <w:rFonts w:ascii="Arial" w:cs="Arial" w:eastAsia="Arial" w:hAnsi="Arial"/>
          <w:sz w:val="3"/>
          <w:szCs w:val="3"/>
          <w:color w:val="FFFFFF"/>
        </w:rPr>
        <w:t>income for the year (2010: nil).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The investments are all denominated in Offshore RMB and have fi xed interest rates ranging from 1.35% to 4.63% and maturity dates between one and three years.</w:t>
      </w:r>
    </w:p>
    <w:p>
      <w:pPr>
        <w:sectPr>
          <w:pgSz w:w="11900" w:h="16838" w:orient="portrait"/>
          <w:cols w:equalWidth="0" w:num="1">
            <w:col w:w="11180"/>
          </w:cols>
          <w:pgMar w:left="240" w:top="1440" w:right="47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119</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line="188" w:lineRule="auto"/>
        <w:tabs>
          <w:tab w:leader="none" w:pos="440" w:val="left"/>
        </w:tabs>
        <w:rPr>
          <w:sz w:val="20"/>
          <w:szCs w:val="20"/>
          <w:color w:val="auto"/>
        </w:rPr>
      </w:pPr>
      <w:r>
        <w:rPr>
          <w:rFonts w:ascii="Arial" w:cs="Arial" w:eastAsia="Arial" w:hAnsi="Arial"/>
          <w:sz w:val="6"/>
          <w:szCs w:val="6"/>
          <w:color w:val="FFFFFF"/>
        </w:rPr>
        <w:t>11.</w:t>
      </w:r>
      <w:r>
        <w:rPr>
          <w:sz w:val="20"/>
          <w:szCs w:val="20"/>
          <w:color w:val="auto"/>
        </w:rPr>
        <w:tab/>
      </w:r>
      <w:r>
        <w:rPr>
          <w:rFonts w:ascii="Arial" w:cs="Arial" w:eastAsia="Arial" w:hAnsi="Arial"/>
          <w:sz w:val="6"/>
          <w:szCs w:val="6"/>
          <w:color w:val="FFFFFF"/>
        </w:rPr>
        <w:t>AVAILABLE-FOR-SALE INVESTMENTS (continued)</w:t>
      </w:r>
    </w:p>
    <w:p>
      <w:pPr>
        <w:ind w:right="120"/>
        <w:spacing w:after="0" w:line="181" w:lineRule="auto"/>
        <w:rPr>
          <w:sz w:val="20"/>
          <w:szCs w:val="20"/>
          <w:color w:val="auto"/>
        </w:rPr>
      </w:pPr>
      <w:r>
        <w:rPr>
          <w:rFonts w:ascii="Arial" w:cs="Arial" w:eastAsia="Arial" w:hAnsi="Arial"/>
          <w:sz w:val="7"/>
          <w:szCs w:val="7"/>
          <w:color w:val="FFFFFF"/>
        </w:rPr>
        <w:t>Originally, the Group’s investments were classifi ed as held-to-maturity because the Group had the positive intent and ability to hold them to maturity. However, during the third quarter of 2011, due to the economic uncertainty in the global fi nancial markets, the Group has reassessed the intention to hold the investments to maturity and changed the classifi cation of its entire investments with a carrying value amounting to Offshore RMB427.9 million (approximately HK$524.5 million) from held-to-maturity to available-for-sale.</w:t>
      </w:r>
    </w:p>
    <w:p>
      <w:pPr>
        <w:spacing w:after="0" w:line="212" w:lineRule="auto"/>
        <w:rPr>
          <w:sz w:val="20"/>
          <w:szCs w:val="20"/>
          <w:color w:val="auto"/>
        </w:rPr>
      </w:pPr>
      <w:r>
        <w:rPr>
          <w:rFonts w:ascii="Arial" w:cs="Arial" w:eastAsia="Arial" w:hAnsi="Arial"/>
          <w:sz w:val="2"/>
          <w:szCs w:val="2"/>
          <w:color w:val="FFFFFF"/>
        </w:rPr>
        <w:t>The Company obtains pricing information in determining the fair values of its listed and unlisted</w:t>
      </w:r>
      <w:r>
        <w:rPr>
          <w:rFonts w:ascii="Arial" w:cs="Arial" w:eastAsia="Arial" w:hAnsi="Arial"/>
          <w:sz w:val="4"/>
          <w:szCs w:val="4"/>
          <w:color w:val="FFFFFF"/>
          <w:vertAlign w:val="subscript"/>
        </w:rPr>
        <w:t>would</w:t>
      </w:r>
      <w:r>
        <w:rPr>
          <w:rFonts w:ascii="Arial" w:cs="Arial" w:eastAsia="Arial" w:hAnsi="Arial"/>
          <w:sz w:val="2"/>
          <w:szCs w:val="2"/>
          <w:color w:val="FFFFFF"/>
        </w:rPr>
        <w:t xml:space="preserve"> available-for-sale debt securities</w:t>
      </w:r>
      <w:r>
        <w:rPr>
          <w:rFonts w:ascii="Arial" w:cs="Arial" w:eastAsia="Arial" w:hAnsi="Arial"/>
          <w:sz w:val="4"/>
          <w:szCs w:val="4"/>
          <w:color w:val="FFFFFF"/>
          <w:vertAlign w:val="subscript"/>
        </w:rPr>
        <w:t>inputs</w:t>
      </w:r>
      <w:r>
        <w:rPr>
          <w:rFonts w:ascii="Arial" w:cs="Arial" w:eastAsia="Arial" w:hAnsi="Arial"/>
          <w:sz w:val="2"/>
          <w:szCs w:val="2"/>
          <w:color w:val="FFFFFF"/>
        </w:rPr>
        <w:t xml:space="preserve"> from independent pricing vendors. Based on management’</w:t>
      </w:r>
      <w:r>
        <w:rPr>
          <w:rFonts w:ascii="Arial" w:cs="Arial" w:eastAsia="Arial" w:hAnsi="Arial"/>
          <w:sz w:val="4"/>
          <w:szCs w:val="4"/>
          <w:color w:val="FFFFFF"/>
          <w:vertAlign w:val="subscript"/>
        </w:rPr>
        <w:t>observable</w:t>
      </w:r>
      <w:r>
        <w:rPr>
          <w:rFonts w:ascii="Arial" w:cs="Arial" w:eastAsia="Arial" w:hAnsi="Arial"/>
          <w:sz w:val="2"/>
          <w:szCs w:val="2"/>
          <w:color w:val="FFFFFF"/>
        </w:rPr>
        <w:t>inquiries, the</w:t>
      </w:r>
    </w:p>
    <w:p>
      <w:pPr>
        <w:spacing w:after="0"/>
        <w:rPr>
          <w:sz w:val="20"/>
          <w:szCs w:val="20"/>
          <w:color w:val="auto"/>
        </w:rPr>
      </w:pPr>
      <w:r>
        <w:rPr>
          <w:rFonts w:ascii="Arial" w:cs="Arial" w:eastAsia="Arial" w:hAnsi="Arial"/>
          <w:sz w:val="6"/>
          <w:szCs w:val="6"/>
          <w:color w:val="FFFFFF"/>
        </w:rPr>
        <w:t>pricing vendors use various pricing models consistent with what other market participants use. The assumptions and used by the pricing vendors are derived from market sources including reported trades, broker/dealer quotes, issuer spreads, benchmark curves, bids, offers and other market-related data. None of the debt securities are either past due or impaired as at 31 December 2011.</w:t>
      </w:r>
    </w:p>
    <w:p>
      <w:pPr>
        <w:spacing w:after="0" w:line="185" w:lineRule="auto"/>
        <w:tabs>
          <w:tab w:leader="none" w:pos="440" w:val="left"/>
        </w:tabs>
        <w:rPr>
          <w:sz w:val="20"/>
          <w:szCs w:val="20"/>
          <w:color w:val="auto"/>
        </w:rPr>
      </w:pPr>
      <w:r>
        <w:rPr>
          <w:rFonts w:ascii="Arial" w:cs="Arial" w:eastAsia="Arial" w:hAnsi="Arial"/>
          <w:sz w:val="12"/>
          <w:szCs w:val="12"/>
          <w:color w:val="FFFFFF"/>
        </w:rPr>
        <w:t>12.</w:t>
      </w:r>
      <w:r>
        <w:rPr>
          <w:sz w:val="20"/>
          <w:szCs w:val="20"/>
          <w:color w:val="auto"/>
        </w:rPr>
        <w:tab/>
      </w:r>
      <w:r>
        <w:rPr>
          <w:rFonts w:ascii="Arial" w:cs="Arial" w:eastAsia="Arial" w:hAnsi="Arial"/>
          <w:sz w:val="12"/>
          <w:szCs w:val="12"/>
          <w:color w:val="FFFFFF"/>
        </w:rPr>
        <w:t>OTHER NON-CURRENT ASSETS</w:t>
      </w:r>
    </w:p>
    <w:p>
      <w:pPr>
        <w:spacing w:after="0" w:line="188" w:lineRule="auto"/>
        <w:rPr>
          <w:sz w:val="20"/>
          <w:szCs w:val="20"/>
          <w:color w:val="auto"/>
        </w:rPr>
      </w:pPr>
      <w:r>
        <w:rPr>
          <w:rFonts w:ascii="Arial" w:cs="Arial" w:eastAsia="Arial" w:hAnsi="Arial"/>
          <w:sz w:val="9"/>
          <w:szCs w:val="9"/>
          <w:color w:val="FFFFFF"/>
        </w:rPr>
        <w:t>GroupOthernon-current assets consist of the following as at 31 December 2011 and 2010:</w:t>
      </w:r>
    </w:p>
    <w:p>
      <w:pPr>
        <w:spacing w:after="0" w:line="188" w:lineRule="auto"/>
        <w:rPr>
          <w:sz w:val="20"/>
          <w:szCs w:val="20"/>
          <w:color w:val="auto"/>
        </w:rPr>
      </w:pPr>
      <w:r>
        <w:rPr>
          <w:rFonts w:ascii="Arial" w:cs="Arial" w:eastAsia="Arial" w:hAnsi="Arial"/>
          <w:sz w:val="9"/>
          <w:szCs w:val="9"/>
          <w:color w:val="FFFFFF"/>
        </w:rPr>
        <w:t>2011Asat 201031December</w:t>
      </w:r>
    </w:p>
    <w:p>
      <w:pPr>
        <w:spacing w:after="0" w:line="188" w:lineRule="auto"/>
        <w:rPr>
          <w:sz w:val="20"/>
          <w:szCs w:val="20"/>
          <w:color w:val="auto"/>
        </w:rPr>
      </w:pPr>
      <w:r>
        <w:rPr>
          <w:rFonts w:ascii="Arial" w:cs="Arial" w:eastAsia="Arial" w:hAnsi="Arial"/>
          <w:sz w:val="9"/>
          <w:szCs w:val="9"/>
          <w:color w:val="FFFFFF"/>
        </w:rPr>
        <w:t>(inHKthousands)$HK$</w:t>
      </w:r>
    </w:p>
    <w:p>
      <w:pPr>
        <w:spacing w:after="0" w:line="188" w:lineRule="auto"/>
        <w:rPr>
          <w:sz w:val="20"/>
          <w:szCs w:val="20"/>
          <w:color w:val="auto"/>
        </w:rPr>
      </w:pPr>
      <w:r>
        <w:rPr>
          <w:rFonts w:ascii="Arial" w:cs="Arial" w:eastAsia="Arial" w:hAnsi="Arial"/>
          <w:sz w:val="9"/>
          <w:szCs w:val="9"/>
          <w:color w:val="FFFFFF"/>
        </w:rPr>
        <w:t>MembershipsAdiamondand1,020fine 1,020art234,370 130,567</w:t>
      </w:r>
    </w:p>
    <w:p>
      <w:pPr>
        <w:spacing w:after="0"/>
        <w:rPr>
          <w:sz w:val="20"/>
          <w:szCs w:val="20"/>
          <w:color w:val="auto"/>
        </w:rPr>
      </w:pPr>
      <w:r>
        <w:rPr>
          <w:rFonts w:ascii="Arial" w:cs="Arial" w:eastAsia="Arial" w:hAnsi="Arial"/>
          <w:sz w:val="3"/>
          <w:szCs w:val="3"/>
          <w:color w:val="FFFFFF"/>
        </w:rPr>
        <w:t>DepositsChina,glass,8,301silverware8,240 and other 42,059 48,306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285,750 188,133</w:t>
      </w:r>
    </w:p>
    <w:p>
      <w:pPr>
        <w:sectPr>
          <w:pgSz w:w="11900" w:h="16838" w:orient="portrait"/>
          <w:cols w:equalWidth="0" w:num="1">
            <w:col w:w="11260"/>
          </w:cols>
          <w:pgMar w:left="240" w:top="1440" w:right="39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Financial120WynnStatementsMacau,Limited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0" w:lineRule="auto"/>
        <w:rPr>
          <w:sz w:val="20"/>
          <w:szCs w:val="20"/>
          <w:color w:val="auto"/>
        </w:rPr>
      </w:pPr>
      <w:r>
        <w:rPr>
          <w:rFonts w:ascii="Arial" w:cs="Arial" w:eastAsia="Arial" w:hAnsi="Arial"/>
          <w:sz w:val="11"/>
          <w:szCs w:val="11"/>
          <w:color w:val="FFFFFF"/>
        </w:rPr>
        <w:t>For the year ended 31 December 2011</w:t>
      </w:r>
    </w:p>
    <w:p>
      <w:pPr>
        <w:spacing w:after="0" w:line="188" w:lineRule="auto"/>
        <w:rPr>
          <w:sz w:val="20"/>
          <w:szCs w:val="20"/>
          <w:color w:val="auto"/>
        </w:rPr>
      </w:pPr>
      <w:r>
        <w:rPr>
          <w:rFonts w:ascii="Arial" w:cs="Arial" w:eastAsia="Arial" w:hAnsi="Arial"/>
          <w:sz w:val="9"/>
          <w:szCs w:val="9"/>
          <w:color w:val="FFFFFF"/>
        </w:rPr>
        <w:t>Company13.INVESTMENT IN A SUBSIDIARY</w:t>
      </w:r>
    </w:p>
    <w:p>
      <w:pPr>
        <w:spacing w:after="0" w:line="188" w:lineRule="auto"/>
        <w:rPr>
          <w:sz w:val="20"/>
          <w:szCs w:val="20"/>
          <w:color w:val="auto"/>
        </w:rPr>
      </w:pPr>
      <w:r>
        <w:rPr>
          <w:rFonts w:ascii="Arial" w:cs="Arial" w:eastAsia="Arial" w:hAnsi="Arial"/>
          <w:sz w:val="9"/>
          <w:szCs w:val="9"/>
          <w:color w:val="FFFFFF"/>
        </w:rPr>
        <w:t>2011Asat 201031December</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7"/>
          <w:szCs w:val="7"/>
          <w:color w:val="FFFFFF"/>
        </w:rPr>
        <w:t xml:space="preserve">Unlisted shares, </w:t>
      </w:r>
      <w:r>
        <w:rPr>
          <w:rFonts w:ascii="Arial" w:cs="Arial" w:eastAsia="Arial" w:hAnsi="Arial"/>
          <w:sz w:val="10"/>
          <w:szCs w:val="10"/>
          <w:color w:val="FFFFFF"/>
          <w:vertAlign w:val="superscript"/>
        </w:rPr>
        <w:t>at</w:t>
      </w:r>
      <w:r>
        <w:rPr>
          <w:rFonts w:ascii="Arial" w:cs="Arial" w:eastAsia="Arial" w:hAnsi="Arial"/>
          <w:sz w:val="7"/>
          <w:szCs w:val="7"/>
          <w:color w:val="FFFFFF"/>
        </w:rPr>
        <w:t xml:space="preserve"> cost 12,561,195 12,561,195</w:t>
      </w:r>
    </w:p>
    <w:p>
      <w:pPr>
        <w:spacing w:after="0" w:line="188" w:lineRule="auto"/>
        <w:tabs>
          <w:tab w:leader="none" w:pos="1000" w:val="left"/>
        </w:tabs>
        <w:rPr>
          <w:sz w:val="20"/>
          <w:szCs w:val="20"/>
          <w:color w:val="auto"/>
        </w:rPr>
      </w:pPr>
      <w:r>
        <w:rPr>
          <w:rFonts w:ascii="Arial" w:cs="Arial" w:eastAsia="Arial" w:hAnsi="Arial"/>
          <w:sz w:val="9"/>
          <w:szCs w:val="9"/>
          <w:color w:val="FFFFFF"/>
        </w:rPr>
        <w:t>NominalThefollowingvalue is</w:t>
        <w:tab/>
        <w:t>list of subsidiaries as at 31 December 2011:</w:t>
      </w:r>
    </w:p>
    <w:p>
      <w:pPr>
        <w:spacing w:after="0" w:line="188" w:lineRule="auto"/>
        <w:rPr>
          <w:sz w:val="20"/>
          <w:szCs w:val="20"/>
          <w:color w:val="auto"/>
        </w:rPr>
      </w:pPr>
      <w:r>
        <w:rPr>
          <w:rFonts w:ascii="Arial" w:cs="Arial" w:eastAsia="Arial" w:hAnsi="Arial"/>
          <w:sz w:val="9"/>
          <w:szCs w:val="9"/>
          <w:color w:val="FFFFFF"/>
        </w:rPr>
        <w:t>Placeofissuedofshare/</w:t>
      </w:r>
    </w:p>
    <w:p>
      <w:pPr>
        <w:spacing w:after="0" w:line="188" w:lineRule="auto"/>
        <w:rPr>
          <w:sz w:val="20"/>
          <w:szCs w:val="20"/>
          <w:color w:val="auto"/>
        </w:rPr>
      </w:pPr>
      <w:r>
        <w:rPr>
          <w:rFonts w:ascii="Arial" w:cs="Arial" w:eastAsia="Arial" w:hAnsi="Arial"/>
          <w:sz w:val="9"/>
          <w:szCs w:val="9"/>
          <w:color w:val="FFFFFF"/>
        </w:rPr>
        <w:t>Nameincorporation/operationPrincipalactivitiesregisteredcapitalheldInterest</w:t>
      </w:r>
    </w:p>
    <w:p>
      <w:pPr>
        <w:spacing w:after="0" w:line="188" w:lineRule="auto"/>
        <w:rPr>
          <w:sz w:val="20"/>
          <w:szCs w:val="20"/>
          <w:color w:val="auto"/>
        </w:rPr>
      </w:pPr>
      <w:r>
        <w:rPr>
          <w:rFonts w:ascii="Arial" w:cs="Arial" w:eastAsia="Arial" w:hAnsi="Arial"/>
          <w:sz w:val="9"/>
          <w:szCs w:val="9"/>
          <w:color w:val="FFFFFF"/>
        </w:rPr>
        <w:t>LimitedWMCaymanIIholdingHoldings—USCayman$1 Islands Investment Ordinary shares 100%*</w:t>
      </w:r>
    </w:p>
    <w:p>
      <w:pPr>
        <w:spacing w:after="0" w:line="188" w:lineRule="auto"/>
        <w:rPr>
          <w:sz w:val="20"/>
          <w:szCs w:val="20"/>
          <w:color w:val="auto"/>
        </w:rPr>
      </w:pPr>
      <w:r>
        <w:rPr>
          <w:rFonts w:ascii="Arial" w:cs="Arial" w:eastAsia="Arial" w:hAnsi="Arial"/>
          <w:sz w:val="9"/>
          <w:szCs w:val="9"/>
          <w:color w:val="FFFFFF"/>
        </w:rPr>
        <w:t>International,WynnResortsLtd.Isle holdingofMan Investment—GBP2 Ordinary shares 100%</w:t>
      </w:r>
    </w:p>
    <w:p>
      <w:pPr>
        <w:spacing w:after="0"/>
        <w:rPr>
          <w:sz w:val="20"/>
          <w:szCs w:val="20"/>
          <w:color w:val="auto"/>
        </w:rPr>
      </w:pPr>
      <w:r>
        <w:rPr>
          <w:rFonts w:ascii="Arial" w:cs="Arial" w:eastAsia="Arial" w:hAnsi="Arial"/>
          <w:sz w:val="3"/>
          <w:szCs w:val="3"/>
          <w:color w:val="FFFFFF"/>
        </w:rPr>
        <w:t>Holdings,WynnResortsLtd. (Macau)holding —IsleClassofManAshares:Investment Ordinary shares 100%</w:t>
      </w:r>
    </w:p>
    <w:p>
      <w:pPr>
        <w:spacing w:after="0" w:line="181" w:lineRule="auto"/>
        <w:rPr>
          <w:sz w:val="20"/>
          <w:szCs w:val="20"/>
          <w:color w:val="auto"/>
        </w:rPr>
      </w:pPr>
      <w:r>
        <w:rPr>
          <w:rFonts w:ascii="Arial" w:cs="Arial" w:eastAsia="Arial" w:hAnsi="Arial"/>
          <w:sz w:val="10"/>
          <w:szCs w:val="10"/>
          <w:color w:val="FFFFFF"/>
        </w:rPr>
        <w:t>GBP343</w:t>
      </w:r>
    </w:p>
    <w:p>
      <w:pPr>
        <w:spacing w:after="0" w:line="188" w:lineRule="auto"/>
        <w:rPr>
          <w:sz w:val="20"/>
          <w:szCs w:val="20"/>
          <w:color w:val="auto"/>
        </w:rPr>
      </w:pPr>
      <w:r>
        <w:rPr>
          <w:rFonts w:ascii="Arial" w:cs="Arial" w:eastAsia="Arial" w:hAnsi="Arial"/>
          <w:sz w:val="9"/>
          <w:szCs w:val="9"/>
          <w:color w:val="FFFFFF"/>
        </w:rPr>
        <w:t>GBP657—Class B shares:</w:t>
      </w:r>
    </w:p>
    <w:p>
      <w:pPr>
        <w:spacing w:after="0" w:line="188" w:lineRule="auto"/>
        <w:rPr>
          <w:sz w:val="20"/>
          <w:szCs w:val="20"/>
          <w:color w:val="auto"/>
        </w:rPr>
      </w:pPr>
      <w:r>
        <w:rPr>
          <w:rFonts w:ascii="Arial" w:cs="Arial" w:eastAsia="Arial" w:hAnsi="Arial"/>
          <w:sz w:val="9"/>
          <w:szCs w:val="9"/>
          <w:color w:val="FFFFFF"/>
        </w:rPr>
        <w:t>LimitedWynnResortsholdingMacau,—HKHong$100 Kong Investment Ordinary shares 100%</w:t>
      </w:r>
    </w:p>
    <w:p>
      <w:pPr>
        <w:spacing w:after="0"/>
        <w:rPr>
          <w:sz w:val="20"/>
          <w:szCs w:val="20"/>
          <w:color w:val="auto"/>
        </w:rPr>
      </w:pPr>
      <w:r>
        <w:rPr>
          <w:rFonts w:ascii="Arial" w:cs="Arial" w:eastAsia="Arial" w:hAnsi="Arial"/>
          <w:sz w:val="3"/>
          <w:szCs w:val="3"/>
          <w:color w:val="FFFFFF"/>
        </w:rPr>
        <w:t>S.A.WynnhotelResortscasino(Macau),MOP200,100,000MacauOperator of Share capital — 100%**</w:t>
      </w:r>
    </w:p>
    <w:p>
      <w:pPr>
        <w:spacing w:after="0" w:line="181" w:lineRule="auto"/>
        <w:rPr>
          <w:sz w:val="20"/>
          <w:szCs w:val="20"/>
          <w:color w:val="auto"/>
        </w:rPr>
      </w:pPr>
      <w:r>
        <w:rPr>
          <w:rFonts w:ascii="Arial" w:cs="Arial" w:eastAsia="Arial" w:hAnsi="Arial"/>
          <w:sz w:val="10"/>
          <w:szCs w:val="10"/>
          <w:color w:val="FFFFFF"/>
        </w:rPr>
        <w:t>and related</w:t>
      </w:r>
    </w:p>
    <w:p>
      <w:pPr>
        <w:spacing w:after="0"/>
        <w:rPr>
          <w:sz w:val="20"/>
          <w:szCs w:val="20"/>
          <w:color w:val="auto"/>
        </w:rPr>
      </w:pPr>
      <w:r>
        <w:rPr>
          <w:rFonts w:ascii="Arial" w:cs="Arial" w:eastAsia="Arial" w:hAnsi="Arial"/>
          <w:sz w:val="3"/>
          <w:szCs w:val="3"/>
          <w:color w:val="FFFFFF"/>
        </w:rPr>
        <w:t>businessesgaming</w:t>
      </w:r>
    </w:p>
    <w:p>
      <w:pPr>
        <w:spacing w:after="0" w:line="181" w:lineRule="auto"/>
        <w:rPr>
          <w:sz w:val="20"/>
          <w:szCs w:val="20"/>
          <w:color w:val="auto"/>
        </w:rPr>
      </w:pPr>
      <w:r>
        <w:rPr>
          <w:rFonts w:ascii="Arial" w:cs="Arial" w:eastAsia="Arial" w:hAnsi="Arial"/>
          <w:sz w:val="10"/>
          <w:szCs w:val="10"/>
          <w:color w:val="FFFFFF"/>
        </w:rPr>
        <w:t>Palo Real Estate Macau Development, Share capital — 100%</w:t>
      </w:r>
    </w:p>
    <w:p>
      <w:pPr>
        <w:spacing w:after="0"/>
        <w:rPr>
          <w:sz w:val="20"/>
          <w:szCs w:val="20"/>
          <w:color w:val="auto"/>
        </w:rPr>
      </w:pPr>
      <w:r>
        <w:rPr>
          <w:rFonts w:ascii="Arial" w:cs="Arial" w:eastAsia="Arial" w:hAnsi="Arial"/>
          <w:sz w:val="3"/>
          <w:szCs w:val="3"/>
          <w:color w:val="FFFFFF"/>
        </w:rPr>
        <w:t>preconstructionCompanyLimited design and MOP1,000,000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activities</w:t>
      </w:r>
    </w:p>
    <w:p>
      <w:pPr>
        <w:sectPr>
          <w:pgSz w:w="11900" w:h="16838" w:orient="portrait"/>
          <w:cols w:equalWidth="0" w:num="1">
            <w:col w:w="10219"/>
          </w:cols>
          <w:pgMar w:left="240" w:top="1440" w:right="1440"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121</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For the year ended 31 December 2011</w:t>
      </w:r>
    </w:p>
    <w:p>
      <w:pPr>
        <w:spacing w:after="0" w:line="213" w:lineRule="auto"/>
        <w:rPr>
          <w:sz w:val="20"/>
          <w:szCs w:val="20"/>
          <w:color w:val="auto"/>
        </w:rPr>
      </w:pPr>
      <w:r>
        <w:rPr>
          <w:rFonts w:ascii="Arial" w:cs="Arial" w:eastAsia="Arial" w:hAnsi="Arial"/>
          <w:sz w:val="4"/>
          <w:szCs w:val="4"/>
          <w:color w:val="FFFFFF"/>
          <w:vertAlign w:val="subscript"/>
        </w:rPr>
        <w:t>**</w:t>
      </w:r>
      <w:r>
        <w:rPr>
          <w:rFonts w:ascii="Arial" w:cs="Arial" w:eastAsia="Arial" w:hAnsi="Arial"/>
          <w:sz w:val="2"/>
          <w:szCs w:val="2"/>
          <w:color w:val="FFFFFF"/>
        </w:rPr>
        <w:t>13.SharesINVESTMENTdirectlyheldINbyA theSUBSIDIARY</w:t>
      </w:r>
      <w:r>
        <w:rPr>
          <w:rFonts w:ascii="Arial" w:cs="Arial" w:eastAsia="Arial" w:hAnsi="Arial"/>
          <w:sz w:val="4"/>
          <w:szCs w:val="4"/>
          <w:color w:val="FFFFFF"/>
          <w:vertAlign w:val="subscript"/>
        </w:rPr>
        <w:t>Company</w:t>
      </w:r>
      <w:r>
        <w:rPr>
          <w:rFonts w:ascii="Arial" w:cs="Arial" w:eastAsia="Arial" w:hAnsi="Arial"/>
          <w:sz w:val="2"/>
          <w:szCs w:val="2"/>
          <w:color w:val="FFFFFF"/>
        </w:rPr>
        <w:t xml:space="preserve"> (continued)</w:t>
      </w:r>
    </w:p>
    <w:p>
      <w:pPr>
        <w:ind w:left="180"/>
        <w:spacing w:after="0" w:line="187" w:lineRule="auto"/>
        <w:tabs>
          <w:tab w:leader="none" w:pos="1980" w:val="left"/>
        </w:tabs>
        <w:rPr>
          <w:sz w:val="20"/>
          <w:szCs w:val="20"/>
          <w:color w:val="auto"/>
        </w:rPr>
      </w:pPr>
      <w:r>
        <w:rPr>
          <w:rFonts w:ascii="Arial" w:cs="Arial" w:eastAsia="Arial" w:hAnsi="Arial"/>
          <w:sz w:val="9"/>
          <w:szCs w:val="9"/>
          <w:color w:val="FFFFFF"/>
        </w:rPr>
        <w:t>10% of the shares were held by</w:t>
      </w:r>
      <w:r>
        <w:rPr>
          <w:sz w:val="20"/>
          <w:szCs w:val="20"/>
          <w:color w:val="auto"/>
        </w:rPr>
        <w:tab/>
      </w:r>
      <w:r>
        <w:rPr>
          <w:rFonts w:ascii="Arial" w:cs="Arial" w:eastAsia="Arial" w:hAnsi="Arial"/>
          <w:sz w:val="7"/>
          <w:szCs w:val="7"/>
          <w:color w:val="FFFFFF"/>
        </w:rPr>
        <w:t xml:space="preserve">Macau-resident investor which entitle the holder to 10% </w:t>
      </w:r>
      <w:r>
        <w:rPr>
          <w:rFonts w:ascii="Arial" w:cs="Arial" w:eastAsia="Arial" w:hAnsi="Arial"/>
          <w:sz w:val="9"/>
          <w:szCs w:val="9"/>
          <w:color w:val="FFFFFF"/>
          <w:vertAlign w:val="superscript"/>
        </w:rPr>
        <w:t>profi</w:t>
      </w:r>
      <w:r>
        <w:rPr>
          <w:rFonts w:ascii="Arial" w:cs="Arial" w:eastAsia="Arial" w:hAnsi="Arial"/>
          <w:sz w:val="7"/>
          <w:szCs w:val="7"/>
          <w:color w:val="FFFFFF"/>
        </w:rPr>
        <w:t>the voting rights and the rights to maximum dividend or payment upon dissolution of one MOP. The remaining</w:t>
      </w:r>
    </w:p>
    <w:p>
      <w:pPr>
        <w:spacing w:after="0"/>
        <w:rPr>
          <w:sz w:val="20"/>
          <w:szCs w:val="20"/>
          <w:color w:val="auto"/>
        </w:rPr>
      </w:pPr>
      <w:r>
        <w:rPr>
          <w:rFonts w:ascii="Arial" w:cs="Arial" w:eastAsia="Arial" w:hAnsi="Arial"/>
          <w:sz w:val="3"/>
          <w:szCs w:val="3"/>
          <w:color w:val="FFFFFF"/>
        </w:rPr>
        <w:t>None90%ofofthethesharessubsidiariesheldbyhadtheanyGroupdebtaresecuritiesentitledoutstandingto90%oftheat thevotingendrightsoftheandyear100%orat ofanythetime duringtparticipationtheyear. or economic interest.</w:t>
      </w:r>
    </w:p>
    <w:p>
      <w:pPr>
        <w:spacing w:after="0" w:line="181" w:lineRule="auto"/>
        <w:rPr>
          <w:sz w:val="20"/>
          <w:szCs w:val="20"/>
          <w:color w:val="auto"/>
        </w:rPr>
      </w:pPr>
      <w:r>
        <w:rPr>
          <w:rFonts w:ascii="Arial" w:cs="Arial" w:eastAsia="Arial" w:hAnsi="Arial"/>
          <w:sz w:val="10"/>
          <w:szCs w:val="10"/>
          <w:color w:val="FFFFFF"/>
        </w:rPr>
        <w:t>14. INVENTORIES</w:t>
      </w:r>
    </w:p>
    <w:p>
      <w:pPr>
        <w:spacing w:after="0" w:line="188" w:lineRule="auto"/>
        <w:rPr>
          <w:sz w:val="20"/>
          <w:szCs w:val="20"/>
          <w:color w:val="auto"/>
        </w:rPr>
      </w:pPr>
      <w:r>
        <w:rPr>
          <w:rFonts w:ascii="Arial" w:cs="Arial" w:eastAsia="Arial" w:hAnsi="Arial"/>
          <w:sz w:val="9"/>
          <w:szCs w:val="9"/>
          <w:color w:val="FFFFFF"/>
        </w:rPr>
        <w:t>GroupInventories consist of the following as at 31 December 2011 and 2010:</w:t>
      </w:r>
    </w:p>
    <w:p>
      <w:pPr>
        <w:spacing w:after="0" w:line="188" w:lineRule="auto"/>
        <w:rPr>
          <w:sz w:val="20"/>
          <w:szCs w:val="20"/>
          <w:color w:val="auto"/>
        </w:rPr>
      </w:pPr>
      <w:r>
        <w:rPr>
          <w:rFonts w:ascii="Arial" w:cs="Arial" w:eastAsia="Arial" w:hAnsi="Arial"/>
          <w:sz w:val="9"/>
          <w:szCs w:val="9"/>
          <w:color w:val="FFFFFF"/>
        </w:rPr>
        <w:t>2011Asat 201031December</w:t>
      </w:r>
    </w:p>
    <w:p>
      <w:pPr>
        <w:spacing w:after="0"/>
        <w:rPr>
          <w:sz w:val="20"/>
          <w:szCs w:val="20"/>
          <w:color w:val="auto"/>
        </w:rPr>
      </w:pPr>
      <w:r>
        <w:rPr>
          <w:rFonts w:ascii="Arial" w:cs="Arial" w:eastAsia="Arial" w:hAnsi="Arial"/>
          <w:sz w:val="3"/>
          <w:szCs w:val="3"/>
          <w:color w:val="FFFFFF"/>
        </w:rPr>
        <w:t>(inHKthousands)$HK$</w:t>
      </w:r>
    </w:p>
    <w:p>
      <w:pPr>
        <w:spacing w:after="0" w:line="190" w:lineRule="auto"/>
        <w:rPr>
          <w:sz w:val="20"/>
          <w:szCs w:val="20"/>
          <w:color w:val="auto"/>
        </w:rPr>
      </w:pPr>
      <w:r>
        <w:rPr>
          <w:rFonts w:ascii="Arial" w:cs="Arial" w:eastAsia="Arial" w:hAnsi="Arial"/>
          <w:sz w:val="14"/>
          <w:szCs w:val="14"/>
          <w:color w:val="FFFFFF"/>
        </w:rPr>
        <w:t>RetailFoodandmerchandisebeverage 45,62999,597 38,212106,286</w:t>
      </w:r>
    </w:p>
    <w:p>
      <w:pPr>
        <w:spacing w:after="0"/>
        <w:rPr>
          <w:sz w:val="20"/>
          <w:szCs w:val="20"/>
          <w:color w:val="auto"/>
        </w:rPr>
      </w:pPr>
      <w:r>
        <w:rPr>
          <w:rFonts w:ascii="Arial" w:cs="Arial" w:eastAsia="Arial" w:hAnsi="Arial"/>
          <w:sz w:val="14"/>
          <w:szCs w:val="14"/>
          <w:color w:val="FFFFFF"/>
        </w:rPr>
        <w:t>179,940Operating173,758supplies 34,714 29,260</w:t>
      </w:r>
    </w:p>
    <w:p>
      <w:pPr>
        <w:sectPr>
          <w:pgSz w:w="11900" w:h="16838" w:orient="portrait"/>
          <w:cols w:equalWidth="0" w:num="1">
            <w:col w:w="11220"/>
          </w:cols>
          <w:pgMar w:left="240" w:top="1440" w:right="4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Financial122WynnStatementsMacau,Limited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line="188" w:lineRule="auto"/>
        <w:rPr>
          <w:sz w:val="20"/>
          <w:szCs w:val="20"/>
          <w:color w:val="auto"/>
        </w:rPr>
      </w:pPr>
      <w:r>
        <w:rPr>
          <w:rFonts w:ascii="Arial" w:cs="Arial" w:eastAsia="Arial" w:hAnsi="Arial"/>
          <w:sz w:val="9"/>
          <w:szCs w:val="9"/>
          <w:color w:val="FFFFFF"/>
        </w:rPr>
        <w:t>15. TRADE AND OTHER RECEIVABLES</w:t>
      </w:r>
    </w:p>
    <w:p>
      <w:pPr>
        <w:spacing w:after="0" w:line="187" w:lineRule="auto"/>
        <w:rPr>
          <w:sz w:val="20"/>
          <w:szCs w:val="20"/>
          <w:color w:val="auto"/>
        </w:rPr>
      </w:pPr>
      <w:r>
        <w:rPr>
          <w:rFonts w:ascii="Arial" w:cs="Arial" w:eastAsia="Arial" w:hAnsi="Arial"/>
          <w:sz w:val="9"/>
          <w:szCs w:val="9"/>
          <w:color w:val="FFFFFF"/>
        </w:rPr>
        <w:t>GroupTradeand other receivables consist of the following as at 31 December 2011 and 2010:</w:t>
      </w:r>
    </w:p>
    <w:p>
      <w:pPr>
        <w:spacing w:after="0" w:line="188" w:lineRule="auto"/>
        <w:rPr>
          <w:sz w:val="20"/>
          <w:szCs w:val="20"/>
          <w:color w:val="auto"/>
        </w:rPr>
      </w:pPr>
      <w:r>
        <w:rPr>
          <w:rFonts w:ascii="Arial" w:cs="Arial" w:eastAsia="Arial" w:hAnsi="Arial"/>
          <w:sz w:val="9"/>
          <w:szCs w:val="9"/>
          <w:color w:val="FFFFFF"/>
        </w:rPr>
        <w:t>2011Asat 201031December</w:t>
      </w:r>
    </w:p>
    <w:p>
      <w:pPr>
        <w:spacing w:after="0" w:line="188" w:lineRule="auto"/>
        <w:rPr>
          <w:sz w:val="20"/>
          <w:szCs w:val="20"/>
          <w:color w:val="auto"/>
        </w:rPr>
      </w:pPr>
      <w:r>
        <w:rPr>
          <w:rFonts w:ascii="Arial" w:cs="Arial" w:eastAsia="Arial" w:hAnsi="Arial"/>
          <w:sz w:val="9"/>
          <w:szCs w:val="9"/>
          <w:color w:val="FFFFFF"/>
        </w:rPr>
        <w:t>(inHKthousands)$HK$</w:t>
      </w:r>
    </w:p>
    <w:p>
      <w:pPr>
        <w:spacing w:after="0" w:line="188" w:lineRule="auto"/>
        <w:rPr>
          <w:sz w:val="20"/>
          <w:szCs w:val="20"/>
          <w:color w:val="auto"/>
        </w:rPr>
      </w:pPr>
      <w:r>
        <w:rPr>
          <w:rFonts w:ascii="Arial" w:cs="Arial" w:eastAsia="Arial" w:hAnsi="Arial"/>
          <w:sz w:val="9"/>
          <w:szCs w:val="9"/>
          <w:color w:val="FFFFFF"/>
        </w:rPr>
        <w:t>HotelCasino8,176976,68610,426701,235</w:t>
      </w:r>
    </w:p>
    <w:p>
      <w:pPr>
        <w:spacing w:after="0" w:line="188" w:lineRule="auto"/>
        <w:rPr>
          <w:sz w:val="20"/>
          <w:szCs w:val="20"/>
          <w:color w:val="auto"/>
        </w:rPr>
      </w:pPr>
      <w:r>
        <w:rPr>
          <w:rFonts w:ascii="Arial" w:cs="Arial" w:eastAsia="Arial" w:hAnsi="Arial"/>
          <w:sz w:val="9"/>
          <w:szCs w:val="9"/>
          <w:color w:val="FFFFFF"/>
        </w:rPr>
        <w:t>1,162,983Retailleases820,173andother 178,121 108,512</w:t>
      </w:r>
    </w:p>
    <w:p>
      <w:pPr>
        <w:spacing w:after="0" w:line="188" w:lineRule="auto"/>
        <w:rPr>
          <w:sz w:val="20"/>
          <w:szCs w:val="20"/>
          <w:color w:val="auto"/>
        </w:rPr>
      </w:pPr>
      <w:r>
        <w:rPr>
          <w:rFonts w:ascii="Arial" w:cs="Arial" w:eastAsia="Arial" w:hAnsi="Arial"/>
          <w:sz w:val="9"/>
          <w:szCs w:val="9"/>
          <w:color w:val="FFFFFF"/>
        </w:rPr>
        <w:t>TotalLess: tradeallowanceandotherfordoubtfulreceivables,accountsnet749,639(413,344)485,413(334,760)</w:t>
      </w:r>
    </w:p>
    <w:p>
      <w:pPr>
        <w:spacing w:after="0" w:line="188" w:lineRule="auto"/>
        <w:rPr>
          <w:sz w:val="20"/>
          <w:szCs w:val="20"/>
          <w:color w:val="auto"/>
        </w:rPr>
      </w:pPr>
      <w:r>
        <w:rPr>
          <w:rFonts w:ascii="Arial" w:cs="Arial" w:eastAsia="Arial" w:hAnsi="Arial"/>
          <w:sz w:val="9"/>
          <w:szCs w:val="9"/>
          <w:color w:val="FFFFFF"/>
        </w:rPr>
        <w:t>GroupAnaged analysis of trade and other receivables is as follows:</w:t>
      </w:r>
    </w:p>
    <w:p>
      <w:pPr>
        <w:spacing w:after="0" w:line="188" w:lineRule="auto"/>
        <w:rPr>
          <w:sz w:val="20"/>
          <w:szCs w:val="20"/>
          <w:color w:val="auto"/>
        </w:rPr>
      </w:pPr>
      <w:r>
        <w:rPr>
          <w:rFonts w:ascii="Arial" w:cs="Arial" w:eastAsia="Arial" w:hAnsi="Arial"/>
          <w:sz w:val="9"/>
          <w:szCs w:val="9"/>
          <w:color w:val="FFFFFF"/>
        </w:rPr>
        <w:t>2011Asat 201031December</w:t>
      </w:r>
    </w:p>
    <w:p>
      <w:pPr>
        <w:spacing w:after="0"/>
        <w:rPr>
          <w:sz w:val="20"/>
          <w:szCs w:val="20"/>
          <w:color w:val="auto"/>
        </w:rPr>
      </w:pPr>
      <w:r>
        <w:rPr>
          <w:rFonts w:ascii="Arial" w:cs="Arial" w:eastAsia="Arial" w:hAnsi="Arial"/>
          <w:sz w:val="3"/>
          <w:szCs w:val="3"/>
          <w:color w:val="FFFFFF"/>
        </w:rPr>
        <w:t>(inHKthousands)$HK$</w:t>
      </w:r>
    </w:p>
    <w:p>
      <w:pPr>
        <w:spacing w:after="0" w:line="194" w:lineRule="auto"/>
        <w:rPr>
          <w:sz w:val="20"/>
          <w:szCs w:val="20"/>
          <w:color w:val="auto"/>
        </w:rPr>
      </w:pPr>
      <w:r>
        <w:rPr>
          <w:rFonts w:ascii="Arial" w:cs="Arial" w:eastAsia="Arial" w:hAnsi="Arial"/>
          <w:sz w:val="3"/>
          <w:szCs w:val="3"/>
          <w:color w:val="FFFFFF"/>
        </w:rPr>
        <w:t xml:space="preserve">Within 30 days </w:t>
      </w:r>
      <w:r>
        <w:rPr>
          <w:rFonts w:ascii="Arial" w:cs="Arial" w:eastAsia="Arial" w:hAnsi="Arial"/>
          <w:sz w:val="5"/>
          <w:szCs w:val="5"/>
          <w:color w:val="FFFFFF"/>
          <w:vertAlign w:val="subscript"/>
        </w:rPr>
        <w:t>351,162</w:t>
      </w:r>
      <w:r>
        <w:rPr>
          <w:rFonts w:ascii="Arial" w:cs="Arial" w:eastAsia="Arial" w:hAnsi="Arial"/>
          <w:sz w:val="3"/>
          <w:szCs w:val="3"/>
          <w:color w:val="FFFFFF"/>
        </w:rPr>
        <w:t xml:space="preserve"> 272,664</w:t>
      </w:r>
    </w:p>
    <w:p>
      <w:pPr>
        <w:spacing w:after="0" w:line="181" w:lineRule="auto"/>
        <w:rPr>
          <w:sz w:val="20"/>
          <w:szCs w:val="20"/>
          <w:color w:val="auto"/>
        </w:rPr>
      </w:pPr>
      <w:r>
        <w:rPr>
          <w:rFonts w:ascii="Arial" w:cs="Arial" w:eastAsia="Arial" w:hAnsi="Arial"/>
          <w:sz w:val="14"/>
          <w:szCs w:val="14"/>
          <w:color w:val="FFFFFF"/>
          <w:vertAlign w:val="superscript"/>
        </w:rPr>
        <w:t>31</w:t>
      </w:r>
      <w:r>
        <w:rPr>
          <w:rFonts w:ascii="Arial" w:cs="Arial" w:eastAsia="Arial" w:hAnsi="Arial"/>
          <w:sz w:val="9"/>
          <w:szCs w:val="9"/>
          <w:color w:val="FFFFFF"/>
        </w:rPr>
        <w:t xml:space="preserve">61 to </w:t>
      </w:r>
      <w:r>
        <w:rPr>
          <w:rFonts w:ascii="Arial" w:cs="Arial" w:eastAsia="Arial" w:hAnsi="Arial"/>
          <w:sz w:val="14"/>
          <w:szCs w:val="14"/>
          <w:color w:val="FFFFFF"/>
          <w:vertAlign w:val="superscript"/>
        </w:rPr>
        <w:t>60</w:t>
      </w:r>
      <w:r>
        <w:rPr>
          <w:rFonts w:ascii="Arial" w:cs="Arial" w:eastAsia="Arial" w:hAnsi="Arial"/>
          <w:sz w:val="9"/>
          <w:szCs w:val="9"/>
          <w:color w:val="FFFFFF"/>
        </w:rPr>
        <w:t>90 days 212,975</w:t>
      </w:r>
      <w:r>
        <w:rPr>
          <w:rFonts w:ascii="Arial" w:cs="Arial" w:eastAsia="Arial" w:hAnsi="Arial"/>
          <w:sz w:val="14"/>
          <w:szCs w:val="14"/>
          <w:color w:val="FFFFFF"/>
          <w:vertAlign w:val="superscript"/>
        </w:rPr>
        <w:t>270</w:t>
      </w:r>
      <w:r>
        <w:rPr>
          <w:rFonts w:ascii="Arial" w:cs="Arial" w:eastAsia="Arial" w:hAnsi="Arial"/>
          <w:sz w:val="9"/>
          <w:szCs w:val="9"/>
          <w:color w:val="FFFFFF"/>
        </w:rPr>
        <w:t xml:space="preserve"> 134,969</w:t>
      </w:r>
      <w:r>
        <w:rPr>
          <w:rFonts w:ascii="Arial" w:cs="Arial" w:eastAsia="Arial" w:hAnsi="Arial"/>
          <w:sz w:val="14"/>
          <w:szCs w:val="14"/>
          <w:color w:val="FFFFFF"/>
          <w:vertAlign w:val="superscript"/>
        </w:rPr>
        <w:t>06525</w:t>
      </w:r>
    </w:p>
    <w:p>
      <w:pPr>
        <w:spacing w:after="0" w:line="188" w:lineRule="auto"/>
        <w:rPr>
          <w:sz w:val="20"/>
          <w:szCs w:val="20"/>
          <w:color w:val="auto"/>
        </w:rPr>
      </w:pPr>
      <w:r>
        <w:rPr>
          <w:rFonts w:ascii="Arial" w:cs="Arial" w:eastAsia="Arial" w:hAnsi="Arial"/>
          <w:sz w:val="9"/>
          <w:szCs w:val="9"/>
          <w:color w:val="FFFFFF"/>
        </w:rPr>
        <w:t>1,162,983Over90days820,173371,176 306,015</w:t>
      </w:r>
    </w:p>
    <w:p>
      <w:pPr>
        <w:spacing w:after="0"/>
        <w:rPr>
          <w:sz w:val="20"/>
          <w:szCs w:val="20"/>
          <w:color w:val="auto"/>
        </w:rPr>
      </w:pPr>
      <w:r>
        <w:rPr>
          <w:rFonts w:ascii="Arial" w:cs="Arial" w:eastAsia="Arial" w:hAnsi="Arial"/>
          <w:sz w:val="10"/>
          <w:szCs w:val="10"/>
          <w:color w:val="FFFFFF"/>
        </w:rPr>
        <w:t>NetLess:ofallowanceallowanceforfordoubtfuldoubtfulaccountsaccounts(413,344)749,639485,413(334,760)</w:t>
      </w:r>
    </w:p>
    <w:p>
      <w:pPr>
        <w:sectPr>
          <w:pgSz w:w="11900" w:h="16838" w:orient="portrait"/>
          <w:cols w:equalWidth="0" w:num="1">
            <w:col w:w="10219"/>
          </w:cols>
          <w:pgMar w:left="240" w:top="1440" w:right="1440"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123</w:t>
      </w:r>
    </w:p>
    <w:p>
      <w:pPr>
        <w:spacing w:after="0"/>
        <w:rPr>
          <w:sz w:val="20"/>
          <w:szCs w:val="20"/>
          <w:color w:val="auto"/>
        </w:rPr>
      </w:pPr>
      <w:r>
        <w:rPr>
          <w:rFonts w:ascii="Arial" w:cs="Arial" w:eastAsia="Arial" w:hAnsi="Arial"/>
          <w:sz w:val="3"/>
          <w:szCs w:val="3"/>
          <w:color w:val="FFFFFF"/>
        </w:rPr>
        <w:t>Financial Statements</w:t>
      </w:r>
    </w:p>
    <w:p>
      <w:pPr>
        <w:spacing w:after="0" w:line="181" w:lineRule="auto"/>
        <w:rPr>
          <w:sz w:val="20"/>
          <w:szCs w:val="20"/>
          <w:color w:val="auto"/>
        </w:rPr>
      </w:pPr>
      <w:r>
        <w:rPr>
          <w:rFonts w:ascii="Arial" w:cs="Arial" w:eastAsia="Arial" w:hAnsi="Arial"/>
          <w:sz w:val="10"/>
          <w:szCs w:val="10"/>
          <w:color w:val="FFFFFF"/>
        </w:rPr>
        <w:t>ForNotesthetoyearFinancialended Statements31December 2011</w:t>
      </w:r>
    </w:p>
    <w:p>
      <w:pPr>
        <w:spacing w:after="0"/>
        <w:rPr>
          <w:sz w:val="20"/>
          <w:szCs w:val="20"/>
          <w:color w:val="auto"/>
        </w:rPr>
      </w:pPr>
      <w:r>
        <w:rPr>
          <w:rFonts w:ascii="Arial" w:cs="Arial" w:eastAsia="Arial" w:hAnsi="Arial"/>
          <w:sz w:val="3"/>
          <w:szCs w:val="3"/>
          <w:color w:val="FFFFFF"/>
        </w:rPr>
        <w:t>15. TRADE AND OTHER RECEIVABLES (continued)</w:t>
      </w:r>
    </w:p>
    <w:p>
      <w:pPr>
        <w:spacing w:after="0" w:line="227" w:lineRule="auto"/>
        <w:rPr>
          <w:sz w:val="20"/>
          <w:szCs w:val="20"/>
          <w:color w:val="auto"/>
        </w:rPr>
      </w:pPr>
      <w:r>
        <w:rPr>
          <w:rFonts w:ascii="Arial" w:cs="Arial" w:eastAsia="Arial" w:hAnsi="Arial"/>
          <w:sz w:val="8"/>
          <w:szCs w:val="8"/>
          <w:color w:val="FFFFFF"/>
        </w:rPr>
        <w:t>AsSubstantiallyat31Decemberallof the2011,tradetradeandandotherotherreceivablesreceivablesas atat 31anominalDecembervalue2011of HKand$2010413.3weremillionrepayable(2010: withinHK$334.814days.million) were impaired and fully provided for. Movements in the provision for impairment of</w:t>
      </w:r>
    </w:p>
    <w:p>
      <w:pPr>
        <w:spacing w:after="0"/>
        <w:rPr>
          <w:sz w:val="20"/>
          <w:szCs w:val="20"/>
          <w:color w:val="auto"/>
        </w:rPr>
      </w:pPr>
      <w:r>
        <w:rPr>
          <w:rFonts w:ascii="Arial" w:cs="Arial" w:eastAsia="Arial" w:hAnsi="Arial"/>
          <w:sz w:val="3"/>
          <w:szCs w:val="3"/>
          <w:color w:val="FFFFFF"/>
        </w:rPr>
        <w:t>receivables of the Group are as follows:</w:t>
      </w:r>
    </w:p>
    <w:p>
      <w:pPr>
        <w:spacing w:after="0" w:line="181" w:lineRule="auto"/>
        <w:rPr>
          <w:sz w:val="20"/>
          <w:szCs w:val="20"/>
          <w:color w:val="auto"/>
        </w:rPr>
      </w:pPr>
      <w:r>
        <w:rPr>
          <w:rFonts w:ascii="Arial" w:cs="Arial" w:eastAsia="Arial" w:hAnsi="Arial"/>
          <w:sz w:val="10"/>
          <w:szCs w:val="10"/>
          <w:color w:val="FFFFFF"/>
        </w:rPr>
        <w:t>ImpairedndividuallyImpairedCollectivelyTotal</w:t>
      </w:r>
    </w:p>
    <w:p>
      <w:pPr>
        <w:spacing w:after="0"/>
        <w:rPr>
          <w:sz w:val="20"/>
          <w:szCs w:val="20"/>
          <w:color w:val="auto"/>
        </w:rPr>
      </w:pPr>
      <w:r>
        <w:rPr>
          <w:rFonts w:ascii="Arial" w:cs="Arial" w:eastAsia="Arial" w:hAnsi="Arial"/>
          <w:sz w:val="3"/>
          <w:szCs w:val="3"/>
          <w:color w:val="FFFFFF"/>
        </w:rPr>
        <w:t>HK$ HK$ HK$</w:t>
      </w:r>
    </w:p>
    <w:p>
      <w:pPr>
        <w:spacing w:after="0" w:line="181" w:lineRule="auto"/>
        <w:rPr>
          <w:sz w:val="20"/>
          <w:szCs w:val="20"/>
          <w:color w:val="auto"/>
        </w:rPr>
      </w:pPr>
      <w:r>
        <w:rPr>
          <w:rFonts w:ascii="Arial" w:cs="Arial" w:eastAsia="Arial" w:hAnsi="Arial"/>
          <w:sz w:val="10"/>
          <w:szCs w:val="10"/>
          <w:color w:val="FFFFFF"/>
        </w:rPr>
        <w:t>At(in 1thousands)January2010 — 268,917 268,917</w:t>
      </w:r>
    </w:p>
    <w:p>
      <w:pPr>
        <w:spacing w:after="0"/>
        <w:rPr>
          <w:sz w:val="20"/>
          <w:szCs w:val="20"/>
          <w:color w:val="auto"/>
        </w:rPr>
      </w:pPr>
      <w:r>
        <w:rPr>
          <w:rFonts w:ascii="Arial" w:cs="Arial" w:eastAsia="Arial" w:hAnsi="Arial"/>
          <w:sz w:val="3"/>
          <w:szCs w:val="3"/>
          <w:color w:val="FFFFFF"/>
        </w:rPr>
        <w:t>Chargemountsforwrittentheyearoff——98, 24 98,224(32,381)</w:t>
      </w:r>
    </w:p>
    <w:p>
      <w:pPr>
        <w:spacing w:after="0" w:line="200" w:lineRule="auto"/>
        <w:tabs>
          <w:tab w:leader="none" w:pos="1300" w:val="left"/>
        </w:tabs>
        <w:rPr>
          <w:sz w:val="20"/>
          <w:szCs w:val="20"/>
          <w:color w:val="auto"/>
        </w:rPr>
      </w:pPr>
      <w:r>
        <w:rPr>
          <w:rFonts w:ascii="Arial" w:cs="Arial" w:eastAsia="Arial" w:hAnsi="Arial"/>
          <w:sz w:val="12"/>
          <w:szCs w:val="12"/>
          <w:color w:val="FFFFFF"/>
        </w:rPr>
        <w:t>At</w:t>
      </w:r>
      <w:r>
        <w:rPr>
          <w:sz w:val="20"/>
          <w:szCs w:val="20"/>
          <w:color w:val="auto"/>
        </w:rPr>
        <w:tab/>
      </w:r>
      <w:r>
        <w:rPr>
          <w:rFonts w:ascii="Arial" w:cs="Arial" w:eastAsia="Arial" w:hAnsi="Arial"/>
          <w:sz w:val="12"/>
          <w:szCs w:val="12"/>
          <w:color w:val="FFFFFF"/>
        </w:rPr>
        <w:t>(32,381)</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Charge31Decemberfortheyear2010— and104,621January104,6212011 — 334,760 334,760</w:t>
      </w:r>
    </w:p>
    <w:p>
      <w:pPr>
        <w:jc w:val="right"/>
        <w:ind w:right="10980"/>
        <w:spacing w:after="0" w:line="194" w:lineRule="auto"/>
        <w:rPr>
          <w:sz w:val="20"/>
          <w:szCs w:val="20"/>
          <w:color w:val="auto"/>
        </w:rPr>
      </w:pPr>
      <w:r>
        <w:rPr>
          <w:rFonts w:ascii="Arial" w:cs="Arial" w:eastAsia="Arial" w:hAnsi="Arial"/>
          <w:sz w:val="5"/>
          <w:szCs w:val="5"/>
          <w:color w:val="FFFFFF"/>
          <w:vertAlign w:val="superscript"/>
        </w:rPr>
        <w:t>At</w:t>
      </w:r>
    </w:p>
    <w:p>
      <w:pPr>
        <w:jc w:val="right"/>
        <w:ind w:right="8800"/>
        <w:spacing w:after="0"/>
        <w:rPr>
          <w:sz w:val="20"/>
          <w:szCs w:val="20"/>
          <w:color w:val="auto"/>
        </w:rPr>
      </w:pPr>
      <w:r>
        <w:rPr>
          <w:rFonts w:ascii="Arial" w:cs="Arial" w:eastAsia="Arial" w:hAnsi="Arial"/>
          <w:sz w:val="7"/>
          <w:szCs w:val="7"/>
          <w:color w:val="FFFFFF"/>
        </w:rPr>
        <w:t>mounts31Decemberwritten 2011off——(26,037)413,344(26,037)413,344</w:t>
      </w:r>
    </w:p>
    <w:p>
      <w:pPr>
        <w:sectPr>
          <w:pgSz w:w="11900" w:h="16838" w:orient="portrait"/>
          <w:cols w:equalWidth="0" w:num="1">
            <w:col w:w="11120"/>
          </w:cols>
          <w:pgMar w:left="240" w:top="1440" w:right="5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Financial124WynnStatementsMacau,Limited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line="188" w:lineRule="auto"/>
        <w:rPr>
          <w:sz w:val="20"/>
          <w:szCs w:val="20"/>
          <w:color w:val="auto"/>
        </w:rPr>
      </w:pPr>
      <w:r>
        <w:rPr>
          <w:rFonts w:ascii="Arial" w:cs="Arial" w:eastAsia="Arial" w:hAnsi="Arial"/>
          <w:sz w:val="9"/>
          <w:szCs w:val="9"/>
          <w:color w:val="FFFFFF"/>
        </w:rPr>
        <w:t>16. PREPAYMENTS AND OTHER CURRENT ASSETS</w:t>
      </w:r>
    </w:p>
    <w:p>
      <w:pPr>
        <w:spacing w:after="0" w:line="187" w:lineRule="auto"/>
        <w:rPr>
          <w:sz w:val="20"/>
          <w:szCs w:val="20"/>
          <w:color w:val="auto"/>
        </w:rPr>
      </w:pPr>
      <w:r>
        <w:rPr>
          <w:rFonts w:ascii="Arial" w:cs="Arial" w:eastAsia="Arial" w:hAnsi="Arial"/>
          <w:sz w:val="9"/>
          <w:szCs w:val="9"/>
          <w:color w:val="FFFFFF"/>
        </w:rPr>
        <w:t>GroupPrepaymentsCompanyand other current assets consist of the following as at 31 December 2011 and 2010:</w:t>
      </w:r>
    </w:p>
    <w:p>
      <w:pPr>
        <w:spacing w:after="0"/>
        <w:rPr>
          <w:sz w:val="20"/>
          <w:szCs w:val="20"/>
          <w:color w:val="auto"/>
        </w:rPr>
      </w:pPr>
      <w:r>
        <w:rPr>
          <w:rFonts w:ascii="Arial" w:cs="Arial" w:eastAsia="Arial" w:hAnsi="Arial"/>
          <w:sz w:val="3"/>
          <w:szCs w:val="3"/>
          <w:color w:val="FFFFFF"/>
        </w:rPr>
        <w:t>2011Asat 201031December20112010As at 31 December</w:t>
      </w:r>
    </w:p>
    <w:p>
      <w:pPr>
        <w:spacing w:after="0" w:line="181" w:lineRule="auto"/>
        <w:rPr>
          <w:sz w:val="20"/>
          <w:szCs w:val="20"/>
          <w:color w:val="auto"/>
        </w:rPr>
      </w:pPr>
      <w:r>
        <w:rPr>
          <w:rFonts w:ascii="Arial" w:cs="Arial" w:eastAsia="Arial" w:hAnsi="Arial"/>
          <w:sz w:val="10"/>
          <w:szCs w:val="10"/>
          <w:color w:val="FFFFFF"/>
        </w:rPr>
        <w:t>(in thousands) (in thousands)</w:t>
      </w:r>
    </w:p>
    <w:p>
      <w:pPr>
        <w:spacing w:after="0"/>
        <w:rPr>
          <w:sz w:val="20"/>
          <w:szCs w:val="20"/>
          <w:color w:val="auto"/>
        </w:rPr>
      </w:pPr>
      <w:r>
        <w:rPr>
          <w:rFonts w:ascii="Arial" w:cs="Arial" w:eastAsia="Arial" w:hAnsi="Arial"/>
          <w:sz w:val="3"/>
          <w:szCs w:val="3"/>
          <w:color w:val="FFFFFF"/>
        </w:rPr>
        <w:t>DepositsPrepayments14,79039,01910,50634,661——1,020 1,145</w:t>
      </w:r>
    </w:p>
    <w:p>
      <w:pPr>
        <w:spacing w:after="0" w:line="194" w:lineRule="auto"/>
        <w:rPr>
          <w:sz w:val="20"/>
          <w:szCs w:val="20"/>
          <w:color w:val="auto"/>
        </w:rPr>
      </w:pPr>
      <w:r>
        <w:rPr>
          <w:rFonts w:ascii="Arial" w:cs="Arial" w:eastAsia="Arial" w:hAnsi="Arial"/>
          <w:sz w:val="5"/>
          <w:szCs w:val="5"/>
          <w:color w:val="FFFFFF"/>
        </w:rPr>
        <w:t>53,809 45,167 1,020 1,145</w:t>
      </w:r>
    </w:p>
    <w:p>
      <w:pPr>
        <w:spacing w:after="0" w:line="188" w:lineRule="auto"/>
        <w:rPr>
          <w:sz w:val="20"/>
          <w:szCs w:val="20"/>
          <w:color w:val="auto"/>
        </w:rPr>
      </w:pPr>
      <w:r>
        <w:rPr>
          <w:rFonts w:ascii="Arial" w:cs="Arial" w:eastAsia="Arial" w:hAnsi="Arial"/>
          <w:sz w:val="9"/>
          <w:szCs w:val="9"/>
          <w:color w:val="FFFFFF"/>
        </w:rPr>
        <w:t>17. CASH AND CASH EQUIVALENTS</w:t>
      </w:r>
    </w:p>
    <w:p>
      <w:pPr>
        <w:spacing w:after="0" w:line="187" w:lineRule="auto"/>
        <w:rPr>
          <w:sz w:val="20"/>
          <w:szCs w:val="20"/>
          <w:color w:val="auto"/>
        </w:rPr>
      </w:pPr>
      <w:r>
        <w:rPr>
          <w:rFonts w:ascii="Arial" w:cs="Arial" w:eastAsia="Arial" w:hAnsi="Arial"/>
          <w:sz w:val="9"/>
          <w:szCs w:val="9"/>
          <w:color w:val="FFFFFF"/>
        </w:rPr>
        <w:t>GroupCashandCompanycashequivalents consist of the following as at 31 December 2011 and 2010:</w:t>
      </w:r>
    </w:p>
    <w:p>
      <w:pPr>
        <w:spacing w:after="0" w:line="188" w:lineRule="auto"/>
        <w:rPr>
          <w:sz w:val="20"/>
          <w:szCs w:val="20"/>
          <w:color w:val="auto"/>
        </w:rPr>
      </w:pPr>
      <w:r>
        <w:rPr>
          <w:rFonts w:ascii="Arial" w:cs="Arial" w:eastAsia="Arial" w:hAnsi="Arial"/>
          <w:sz w:val="9"/>
          <w:szCs w:val="9"/>
          <w:color w:val="FFFFFF"/>
        </w:rPr>
        <w:t>2011Asat 201031December20112010As at 31 December</w:t>
      </w:r>
    </w:p>
    <w:p>
      <w:pPr>
        <w:spacing w:after="0" w:line="188" w:lineRule="auto"/>
        <w:rPr>
          <w:sz w:val="20"/>
          <w:szCs w:val="20"/>
          <w:color w:val="auto"/>
        </w:rPr>
      </w:pPr>
      <w:r>
        <w:rPr>
          <w:rFonts w:ascii="Arial" w:cs="Arial" w:eastAsia="Arial" w:hAnsi="Arial"/>
          <w:sz w:val="7"/>
          <w:szCs w:val="7"/>
          <w:color w:val="FFFFFF"/>
        </w:rPr>
        <w:t>Cash(in</w:t>
      </w:r>
      <w:r>
        <w:rPr>
          <w:rFonts w:ascii="Arial" w:cs="Arial" w:eastAsia="Arial" w:hAnsi="Arial"/>
          <w:sz w:val="9"/>
          <w:szCs w:val="9"/>
          <w:color w:val="FFFFFF"/>
          <w:vertAlign w:val="subscript"/>
        </w:rPr>
        <w:t>thousands)</w:t>
      </w:r>
      <w:r>
        <w:rPr>
          <w:rFonts w:ascii="Arial" w:cs="Arial" w:eastAsia="Arial" w:hAnsi="Arial"/>
          <w:sz w:val="7"/>
          <w:szCs w:val="7"/>
          <w:color w:val="FFFFFF"/>
        </w:rPr>
        <w:t>cash (in thousands)</w:t>
      </w:r>
    </w:p>
    <w:p>
      <w:pPr>
        <w:spacing w:after="0" w:line="188" w:lineRule="auto"/>
        <w:rPr>
          <w:sz w:val="20"/>
          <w:szCs w:val="20"/>
          <w:color w:val="auto"/>
        </w:rPr>
      </w:pPr>
      <w:r>
        <w:rPr>
          <w:rFonts w:ascii="Arial" w:cs="Arial" w:eastAsia="Arial" w:hAnsi="Arial"/>
          <w:sz w:val="9"/>
          <w:szCs w:val="9"/>
          <w:color w:val="FFFFFF"/>
        </w:rPr>
        <w:t>Cashequivalentsatbanksonandhand 2,174,348 1,907,883 — —</w:t>
      </w:r>
    </w:p>
    <w:p>
      <w:pPr>
        <w:spacing w:after="0"/>
        <w:rPr>
          <w:sz w:val="20"/>
          <w:szCs w:val="20"/>
          <w:color w:val="auto"/>
        </w:rPr>
      </w:pPr>
      <w:r>
        <w:rPr>
          <w:rFonts w:ascii="Arial" w:cs="Arial" w:eastAsia="Arial" w:hAnsi="Arial"/>
          <w:sz w:val="12"/>
          <w:szCs w:val="12"/>
          <w:color w:val="FFFFFF"/>
        </w:rPr>
        <w:t>5,156,725short-term 3,819,163deposits2,982,3771,176,1131,911,28089,258 1,176,113 89,258</w:t>
      </w:r>
    </w:p>
    <w:p>
      <w:pPr>
        <w:sectPr>
          <w:pgSz w:w="11900" w:h="16838" w:orient="portrait"/>
          <w:cols w:equalWidth="0" w:num="1">
            <w:col w:w="10219"/>
          </w:cols>
          <w:pgMar w:left="240" w:top="1440" w:right="1440"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60" w:type="dxa"/>
            <w:vAlign w:val="bottom"/>
            <w:gridSpan w:val="5"/>
          </w:tcPr>
          <w:p>
            <w:pPr>
              <w:spacing w:after="0"/>
              <w:rPr>
                <w:sz w:val="20"/>
                <w:szCs w:val="20"/>
                <w:color w:val="auto"/>
              </w:rPr>
            </w:pPr>
            <w:r>
              <w:rPr>
                <w:rFonts w:ascii="Arial" w:cs="Arial" w:eastAsia="Arial" w:hAnsi="Arial"/>
                <w:sz w:val="14"/>
                <w:szCs w:val="14"/>
                <w:color w:val="FFFFFF"/>
              </w:rPr>
              <w:t>Annual Report 2011 125</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Financial Statements</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Notes to Financial Statements</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For the year ended 31 December 2011</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17. CASH AND CASH EQUIVALENTS</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The cash and cash equivalents are denominated(continued)the following currencies:</w:t>
            </w:r>
          </w:p>
        </w:tc>
        <w:tc>
          <w:tcPr>
            <w:tcW w:w="0" w:type="dxa"/>
            <w:vAlign w:val="bottom"/>
          </w:tcPr>
          <w:p>
            <w:pPr>
              <w:spacing w:after="0"/>
              <w:rPr>
                <w:sz w:val="1"/>
                <w:szCs w:val="1"/>
                <w:color w:val="auto"/>
              </w:rPr>
            </w:pPr>
          </w:p>
        </w:tc>
      </w:tr>
      <w:tr>
        <w:trPr>
          <w:trHeight w:val="41"/>
        </w:trPr>
        <w:tc>
          <w:tcPr>
            <w:tcW w:w="1080" w:type="dxa"/>
            <w:vAlign w:val="bottom"/>
            <w:gridSpan w:val="4"/>
          </w:tcPr>
          <w:p>
            <w:pPr>
              <w:spacing w:after="0"/>
              <w:rPr>
                <w:sz w:val="20"/>
                <w:szCs w:val="20"/>
                <w:color w:val="auto"/>
              </w:rPr>
            </w:pPr>
            <w:r>
              <w:rPr>
                <w:rFonts w:ascii="Arial" w:cs="Arial" w:eastAsia="Arial" w:hAnsi="Arial"/>
                <w:sz w:val="3"/>
                <w:szCs w:val="3"/>
                <w:color w:val="FFFFFF"/>
              </w:rPr>
              <w:t>Group Company</w:t>
            </w:r>
          </w:p>
        </w:tc>
        <w:tc>
          <w:tcPr>
            <w:tcW w:w="10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As at 31 December As at 31 December</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2011 2010 2011 2010</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(in thousands) (in thousands)</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HK$ 3,950,508 3,588,279 91,907 89,257</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CNH (Offshore Renminbi) 1,084,205 — 1,084,205 —</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US$ 105,606 209,407 1 1</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MOP 3,580 18,860 — —</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Renminbi 2,425 1,386 — —</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Japanese Yen 1,614 840 — —</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Other 8,787 391 — —</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5,156,725 3,819,163 1,176,113 89,258</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Cash deposited at banks ea ns interest at fl oating rates based on daily bank deposit rates. Short-term deposits are made for varying periods of between one day and three months, depending on the immediate</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cash requirements of the Group, and earn interest at the respective short-term deposit rates. The fair values of cash and cash equivalents of the Group and the Company as at 31 December 2011 were HK$5.2</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billion (2010: HK$3.8 billion) and HK$1.2 billion (2010: HK$89.3 million), respectively. The bank balances are deposited with creditworthy banks.</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18. ACCOUNTS PAYABLE</w:t>
            </w:r>
          </w:p>
        </w:tc>
        <w:tc>
          <w:tcPr>
            <w:tcW w:w="0" w:type="dxa"/>
            <w:vAlign w:val="bottom"/>
          </w:tcPr>
          <w:p>
            <w:pPr>
              <w:spacing w:after="0"/>
              <w:rPr>
                <w:sz w:val="1"/>
                <w:szCs w:val="1"/>
                <w:color w:val="auto"/>
              </w:rPr>
            </w:pPr>
          </w:p>
        </w:tc>
      </w:tr>
      <w:tr>
        <w:trPr>
          <w:trHeight w:val="41"/>
        </w:trPr>
        <w:tc>
          <w:tcPr>
            <w:tcW w:w="11160" w:type="dxa"/>
            <w:vAlign w:val="bottom"/>
            <w:gridSpan w:val="5"/>
          </w:tcPr>
          <w:p>
            <w:pPr>
              <w:spacing w:after="0"/>
              <w:rPr>
                <w:sz w:val="20"/>
                <w:szCs w:val="20"/>
                <w:color w:val="auto"/>
              </w:rPr>
            </w:pPr>
            <w:r>
              <w:rPr>
                <w:rFonts w:ascii="Arial" w:cs="Arial" w:eastAsia="Arial" w:hAnsi="Arial"/>
                <w:sz w:val="3"/>
                <w:szCs w:val="3"/>
                <w:color w:val="FFFFFF"/>
              </w:rPr>
              <w:t>During 2011 and 2010, the Group normally received credit terms of 30 days. An aged analysis of accounts payable as at 31 December 2011 and 2010, based on invoice dates, is as follows:</w:t>
            </w:r>
          </w:p>
        </w:tc>
        <w:tc>
          <w:tcPr>
            <w:tcW w:w="0" w:type="dxa"/>
            <w:vAlign w:val="bottom"/>
          </w:tcPr>
          <w:p>
            <w:pPr>
              <w:spacing w:after="0"/>
              <w:rPr>
                <w:sz w:val="1"/>
                <w:szCs w:val="1"/>
                <w:color w:val="auto"/>
              </w:rPr>
            </w:pPr>
          </w:p>
        </w:tc>
      </w:tr>
      <w:tr>
        <w:trPr>
          <w:trHeight w:val="41"/>
        </w:trPr>
        <w:tc>
          <w:tcPr>
            <w:tcW w:w="680" w:type="dxa"/>
            <w:vAlign w:val="bottom"/>
            <w:gridSpan w:val="2"/>
          </w:tcPr>
          <w:p>
            <w:pPr>
              <w:spacing w:after="0"/>
              <w:rPr>
                <w:sz w:val="20"/>
                <w:szCs w:val="20"/>
                <w:color w:val="auto"/>
              </w:rPr>
            </w:pPr>
            <w:r>
              <w:rPr>
                <w:rFonts w:ascii="Arial" w:cs="Arial" w:eastAsia="Arial" w:hAnsi="Arial"/>
                <w:sz w:val="3"/>
                <w:szCs w:val="3"/>
                <w:color w:val="FFFFFF"/>
              </w:rPr>
              <w:t>Group</w:t>
            </w: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4"/>
          </w:tcPr>
          <w:p>
            <w:pPr>
              <w:spacing w:after="0"/>
              <w:rPr>
                <w:sz w:val="20"/>
                <w:szCs w:val="20"/>
                <w:color w:val="auto"/>
              </w:rPr>
            </w:pPr>
            <w:r>
              <w:rPr>
                <w:rFonts w:ascii="Arial" w:cs="Arial" w:eastAsia="Arial" w:hAnsi="Arial"/>
                <w:sz w:val="3"/>
                <w:szCs w:val="3"/>
                <w:color w:val="FFFFFF"/>
              </w:rPr>
              <w:t>As at 31 December</w:t>
            </w:r>
          </w:p>
        </w:tc>
        <w:tc>
          <w:tcPr>
            <w:tcW w:w="10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 w:type="dxa"/>
            <w:vAlign w:val="bottom"/>
            <w:gridSpan w:val="2"/>
          </w:tcPr>
          <w:p>
            <w:pPr>
              <w:spacing w:after="0"/>
              <w:rPr>
                <w:sz w:val="20"/>
                <w:szCs w:val="20"/>
                <w:color w:val="auto"/>
              </w:rPr>
            </w:pPr>
            <w:r>
              <w:rPr>
                <w:rFonts w:ascii="Arial" w:cs="Arial" w:eastAsia="Arial" w:hAnsi="Arial"/>
                <w:sz w:val="3"/>
                <w:szCs w:val="3"/>
                <w:color w:val="FFFFFF"/>
              </w:rPr>
              <w:t>2011 2010</w:t>
            </w: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 w:type="dxa"/>
            <w:vAlign w:val="bottom"/>
            <w:gridSpan w:val="2"/>
          </w:tcPr>
          <w:p>
            <w:pPr>
              <w:spacing w:after="0"/>
              <w:rPr>
                <w:sz w:val="20"/>
                <w:szCs w:val="20"/>
                <w:color w:val="auto"/>
              </w:rPr>
            </w:pPr>
            <w:r>
              <w:rPr>
                <w:rFonts w:ascii="Arial" w:cs="Arial" w:eastAsia="Arial" w:hAnsi="Arial"/>
                <w:sz w:val="3"/>
                <w:szCs w:val="3"/>
                <w:color w:val="FFFFFF"/>
              </w:rPr>
              <w:t>HK$ HK$</w:t>
            </w: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gridSpan w:val="3"/>
          </w:tcPr>
          <w:p>
            <w:pPr>
              <w:spacing w:after="0"/>
              <w:rPr>
                <w:sz w:val="20"/>
                <w:szCs w:val="20"/>
                <w:color w:val="auto"/>
              </w:rPr>
            </w:pPr>
            <w:r>
              <w:rPr>
                <w:rFonts w:ascii="Arial" w:cs="Arial" w:eastAsia="Arial" w:hAnsi="Arial"/>
                <w:sz w:val="3"/>
                <w:szCs w:val="3"/>
                <w:color w:val="FFFFFF"/>
              </w:rPr>
              <w:t>(in thousands)</w:t>
            </w:r>
          </w:p>
        </w:tc>
        <w:tc>
          <w:tcPr>
            <w:tcW w:w="240" w:type="dxa"/>
            <w:vAlign w:val="bottom"/>
          </w:tcPr>
          <w:p>
            <w:pPr>
              <w:spacing w:after="0"/>
              <w:rPr>
                <w:sz w:val="3"/>
                <w:szCs w:val="3"/>
                <w:color w:val="auto"/>
              </w:rPr>
            </w:pPr>
          </w:p>
        </w:tc>
        <w:tc>
          <w:tcPr>
            <w:tcW w:w="10080" w:type="dxa"/>
            <w:vAlign w:val="bottom"/>
            <w:vMerge w:val="restart"/>
          </w:tcPr>
          <w:p>
            <w:pPr>
              <w:jc w:val="right"/>
              <w:ind w:right="9355"/>
              <w:spacing w:after="0" w:line="81" w:lineRule="exact"/>
              <w:rPr>
                <w:sz w:val="20"/>
                <w:szCs w:val="20"/>
                <w:color w:val="auto"/>
              </w:rPr>
            </w:pPr>
            <w:r>
              <w:rPr>
                <w:rFonts w:ascii="Arial" w:cs="Arial" w:eastAsia="Arial" w:hAnsi="Arial"/>
                <w:sz w:val="9"/>
                <w:szCs w:val="9"/>
                <w:color w:val="FFFFFF"/>
              </w:rPr>
              <w:t>886,886</w:t>
            </w:r>
          </w:p>
        </w:tc>
        <w:tc>
          <w:tcPr>
            <w:tcW w:w="0" w:type="dxa"/>
            <w:vAlign w:val="bottom"/>
          </w:tcPr>
          <w:p>
            <w:pPr>
              <w:spacing w:after="0"/>
              <w:rPr>
                <w:sz w:val="1"/>
                <w:szCs w:val="1"/>
                <w:color w:val="auto"/>
              </w:rPr>
            </w:pPr>
          </w:p>
        </w:tc>
      </w:tr>
      <w:tr>
        <w:trPr>
          <w:trHeight w:val="41"/>
        </w:trPr>
        <w:tc>
          <w:tcPr>
            <w:tcW w:w="840" w:type="dxa"/>
            <w:vAlign w:val="bottom"/>
            <w:gridSpan w:val="3"/>
          </w:tcPr>
          <w:p>
            <w:pPr>
              <w:spacing w:after="0"/>
              <w:rPr>
                <w:sz w:val="20"/>
                <w:szCs w:val="20"/>
                <w:color w:val="auto"/>
              </w:rPr>
            </w:pPr>
            <w:r>
              <w:rPr>
                <w:rFonts w:ascii="Arial" w:cs="Arial" w:eastAsia="Arial" w:hAnsi="Arial"/>
                <w:sz w:val="3"/>
                <w:szCs w:val="3"/>
                <w:color w:val="FFFFFF"/>
              </w:rPr>
              <w:t>Within 30 days</w:t>
            </w:r>
          </w:p>
        </w:tc>
        <w:tc>
          <w:tcPr>
            <w:tcW w:w="240" w:type="dxa"/>
            <w:vAlign w:val="bottom"/>
          </w:tcPr>
          <w:p>
            <w:pPr>
              <w:spacing w:after="0"/>
              <w:rPr>
                <w:sz w:val="3"/>
                <w:szCs w:val="3"/>
                <w:color w:val="auto"/>
              </w:rPr>
            </w:pPr>
          </w:p>
        </w:tc>
        <w:tc>
          <w:tcPr>
            <w:tcW w:w="10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31</w:t>
            </w:r>
          </w:p>
        </w:tc>
        <w:tc>
          <w:tcPr>
            <w:tcW w:w="460" w:type="dxa"/>
            <w:vAlign w:val="bottom"/>
          </w:tcPr>
          <w:p>
            <w:pPr>
              <w:jc w:val="right"/>
              <w:ind w:right="203"/>
              <w:spacing w:after="0"/>
              <w:rPr>
                <w:sz w:val="20"/>
                <w:szCs w:val="20"/>
                <w:color w:val="auto"/>
              </w:rPr>
            </w:pPr>
            <w:r>
              <w:rPr>
                <w:rFonts w:ascii="Arial" w:cs="Arial" w:eastAsia="Arial" w:hAnsi="Arial"/>
                <w:sz w:val="3"/>
                <w:szCs w:val="3"/>
                <w:color w:val="FFFFFF"/>
              </w:rPr>
              <w:t>60</w:t>
            </w:r>
          </w:p>
        </w:tc>
        <w:tc>
          <w:tcPr>
            <w:tcW w:w="160" w:type="dxa"/>
            <w:vAlign w:val="bottom"/>
          </w:tcPr>
          <w:p>
            <w:pPr>
              <w:jc w:val="right"/>
              <w:spacing w:after="0"/>
              <w:rPr>
                <w:sz w:val="20"/>
                <w:szCs w:val="20"/>
                <w:color w:val="auto"/>
              </w:rPr>
            </w:pPr>
            <w:r>
              <w:rPr>
                <w:rFonts w:ascii="Arial" w:cs="Arial" w:eastAsia="Arial" w:hAnsi="Arial"/>
                <w:sz w:val="3"/>
                <w:szCs w:val="3"/>
                <w:color w:val="FFFFFF"/>
              </w:rPr>
              <w:t>9</w:t>
            </w:r>
          </w:p>
        </w:tc>
        <w:tc>
          <w:tcPr>
            <w:tcW w:w="10320" w:type="dxa"/>
            <w:vAlign w:val="bottom"/>
            <w:gridSpan w:val="2"/>
          </w:tcPr>
          <w:p>
            <w:pPr>
              <w:jc w:val="right"/>
              <w:ind w:right="9675"/>
              <w:spacing w:after="0"/>
              <w:rPr>
                <w:sz w:val="20"/>
                <w:szCs w:val="20"/>
                <w:color w:val="auto"/>
              </w:rPr>
            </w:pPr>
            <w:r>
              <w:rPr>
                <w:rFonts w:ascii="Arial" w:cs="Arial" w:eastAsia="Arial" w:hAnsi="Arial"/>
                <w:sz w:val="3"/>
                <w:szCs w:val="3"/>
                <w:color w:val="FFFFFF"/>
              </w:rPr>
              <w:t>999,7910781,313</w:t>
            </w:r>
          </w:p>
        </w:tc>
        <w:tc>
          <w:tcPr>
            <w:tcW w:w="0" w:type="dxa"/>
            <w:vAlign w:val="bottom"/>
          </w:tcPr>
          <w:p>
            <w:pPr>
              <w:spacing w:after="0"/>
              <w:rPr>
                <w:sz w:val="1"/>
                <w:szCs w:val="1"/>
                <w:color w:val="auto"/>
              </w:rPr>
            </w:pPr>
          </w:p>
        </w:tc>
      </w:tr>
      <w:tr>
        <w:trPr>
          <w:trHeight w:val="1"/>
        </w:trPr>
        <w:tc>
          <w:tcPr>
            <w:tcW w:w="1080" w:type="dxa"/>
            <w:vAlign w:val="bottom"/>
            <w:gridSpan w:val="4"/>
          </w:tcPr>
          <w:p>
            <w:pPr>
              <w:spacing w:after="0" w:line="2" w:lineRule="exact"/>
              <w:rPr>
                <w:sz w:val="20"/>
                <w:szCs w:val="20"/>
                <w:color w:val="auto"/>
              </w:rPr>
            </w:pPr>
            <w:r>
              <w:rPr>
                <w:rFonts w:ascii="Arial" w:cs="Arial" w:eastAsia="Arial" w:hAnsi="Arial"/>
                <w:sz w:val="1"/>
                <w:szCs w:val="1"/>
                <w:color w:val="FFFFFF"/>
              </w:rPr>
              <w:t>61 to 90 days 4,328</w:t>
            </w:r>
          </w:p>
        </w:tc>
        <w:tc>
          <w:tcPr>
            <w:tcW w:w="10080" w:type="dxa"/>
            <w:vAlign w:val="bottom"/>
          </w:tcPr>
          <w:p>
            <w:pPr>
              <w:jc w:val="right"/>
              <w:ind w:right="9735"/>
              <w:spacing w:after="0" w:line="2" w:lineRule="exact"/>
              <w:rPr>
                <w:sz w:val="20"/>
                <w:szCs w:val="20"/>
                <w:color w:val="auto"/>
              </w:rPr>
            </w:pPr>
            <w:r>
              <w:rPr>
                <w:rFonts w:ascii="Arial" w:cs="Arial" w:eastAsia="Arial" w:hAnsi="Arial"/>
                <w:sz w:val="1"/>
                <w:szCs w:val="1"/>
                <w:color w:val="FFFFFF"/>
              </w:rPr>
              <w:t>3,067</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1,050,345Over90days1,018,08637,148 116,820</w:t>
      </w:r>
    </w:p>
    <w:p>
      <w:pPr>
        <w:sectPr>
          <w:pgSz w:w="11900" w:h="16838" w:orient="portrait"/>
          <w:cols w:equalWidth="0" w:num="1">
            <w:col w:w="11160"/>
          </w:cols>
          <w:pgMar w:left="240" w:top="1440" w:right="49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Financial126WynnStatementsMacau,Limited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line="188" w:lineRule="auto"/>
        <w:rPr>
          <w:sz w:val="20"/>
          <w:szCs w:val="20"/>
          <w:color w:val="auto"/>
        </w:rPr>
      </w:pPr>
      <w:r>
        <w:rPr>
          <w:rFonts w:ascii="Arial" w:cs="Arial" w:eastAsia="Arial" w:hAnsi="Arial"/>
          <w:sz w:val="9"/>
          <w:szCs w:val="9"/>
          <w:color w:val="FFFFFF"/>
        </w:rPr>
        <w:t>19. OTHER PAYABLES AND ACCRUALS</w:t>
      </w:r>
    </w:p>
    <w:p>
      <w:pPr>
        <w:spacing w:after="0" w:line="187" w:lineRule="auto"/>
        <w:rPr>
          <w:sz w:val="20"/>
          <w:szCs w:val="20"/>
          <w:color w:val="auto"/>
        </w:rPr>
      </w:pPr>
      <w:r>
        <w:rPr>
          <w:rFonts w:ascii="Arial" w:cs="Arial" w:eastAsia="Arial" w:hAnsi="Arial"/>
          <w:sz w:val="9"/>
          <w:szCs w:val="9"/>
          <w:color w:val="FFFFFF"/>
        </w:rPr>
        <w:t>GroupOtherpayablesCompanyand accruals consist of the following as at 31 December 2011 and 2010:</w:t>
      </w:r>
    </w:p>
    <w:p>
      <w:pPr>
        <w:spacing w:after="0" w:line="188" w:lineRule="auto"/>
        <w:rPr>
          <w:sz w:val="20"/>
          <w:szCs w:val="20"/>
          <w:color w:val="auto"/>
        </w:rPr>
      </w:pPr>
      <w:r>
        <w:rPr>
          <w:rFonts w:ascii="Arial" w:cs="Arial" w:eastAsia="Arial" w:hAnsi="Arial"/>
          <w:sz w:val="9"/>
          <w:szCs w:val="9"/>
          <w:color w:val="FFFFFF"/>
        </w:rPr>
        <w:t>2011Asat 201031December20112010As at 31 December</w:t>
      </w:r>
    </w:p>
    <w:p>
      <w:pPr>
        <w:spacing w:after="0" w:line="188" w:lineRule="auto"/>
        <w:rPr>
          <w:sz w:val="20"/>
          <w:szCs w:val="20"/>
          <w:color w:val="auto"/>
        </w:rPr>
      </w:pPr>
      <w:r>
        <w:rPr>
          <w:rFonts w:ascii="Arial" w:cs="Arial" w:eastAsia="Arial" w:hAnsi="Arial"/>
          <w:sz w:val="9"/>
          <w:szCs w:val="9"/>
          <w:color w:val="FFFFFF"/>
        </w:rPr>
        <w:t>Current:(inthousands) (in thousands)</w:t>
      </w:r>
    </w:p>
    <w:p>
      <w:pPr>
        <w:spacing w:after="0"/>
        <w:rPr>
          <w:sz w:val="20"/>
          <w:szCs w:val="20"/>
          <w:color w:val="auto"/>
        </w:rPr>
      </w:pPr>
      <w:r>
        <w:rPr>
          <w:rFonts w:ascii="Arial" w:cs="Arial" w:eastAsia="Arial" w:hAnsi="Arial"/>
          <w:sz w:val="3"/>
          <w:szCs w:val="3"/>
          <w:color w:val="FFFFFF"/>
        </w:rPr>
        <w:t>OutstandingGamingtaxeschippayable 1,291,075 1,275,716 — —</w:t>
      </w:r>
    </w:p>
    <w:p>
      <w:pPr>
        <w:spacing w:after="0" w:line="181" w:lineRule="auto"/>
        <w:rPr>
          <w:sz w:val="20"/>
          <w:szCs w:val="20"/>
          <w:color w:val="auto"/>
        </w:rPr>
      </w:pPr>
      <w:r>
        <w:rPr>
          <w:rFonts w:ascii="Arial" w:cs="Arial" w:eastAsia="Arial" w:hAnsi="Arial"/>
          <w:sz w:val="10"/>
          <w:szCs w:val="10"/>
          <w:color w:val="FFFFFF"/>
        </w:rPr>
        <w:t>liabilities 2,829,369 1,706,248 — —</w:t>
      </w:r>
    </w:p>
    <w:p>
      <w:pPr>
        <w:spacing w:after="0"/>
        <w:rPr>
          <w:sz w:val="20"/>
          <w:szCs w:val="20"/>
          <w:color w:val="auto"/>
        </w:rPr>
      </w:pPr>
      <w:r>
        <w:rPr>
          <w:rFonts w:ascii="Arial" w:cs="Arial" w:eastAsia="Arial" w:hAnsi="Arial"/>
          <w:sz w:val="3"/>
          <w:szCs w:val="3"/>
          <w:color w:val="FFFFFF"/>
        </w:rPr>
        <w:t>DonationCustomer payabledeposits77,670820,247—435,812—— — —</w:t>
      </w:r>
    </w:p>
    <w:p>
      <w:pPr>
        <w:ind w:left="1500"/>
        <w:spacing w:after="0" w:line="194" w:lineRule="auto"/>
        <w:rPr>
          <w:sz w:val="20"/>
          <w:szCs w:val="20"/>
          <w:color w:val="auto"/>
        </w:rPr>
      </w:pPr>
      <w:r>
        <w:rPr>
          <w:rFonts w:ascii="Arial" w:cs="Arial" w:eastAsia="Arial" w:hAnsi="Arial"/>
          <w:sz w:val="5"/>
          <w:szCs w:val="5"/>
          <w:color w:val="FFFFFF"/>
          <w:vertAlign w:val="superscript"/>
        </w:rPr>
        <w:t>5,227</w:t>
      </w:r>
    </w:p>
    <w:p>
      <w:pPr>
        <w:spacing w:after="0"/>
        <w:rPr>
          <w:sz w:val="20"/>
          <w:szCs w:val="20"/>
          <w:color w:val="auto"/>
        </w:rPr>
      </w:pPr>
      <w:r>
        <w:rPr>
          <w:rFonts w:ascii="Arial" w:cs="Arial" w:eastAsia="Arial" w:hAnsi="Arial"/>
          <w:sz w:val="3"/>
          <w:szCs w:val="3"/>
          <w:color w:val="FFFFFF"/>
        </w:rPr>
        <w:t>5,657,107Otherliabilities3,665,441638,7464,014247 665 4,014 5,227</w:t>
      </w:r>
    </w:p>
    <w:p>
      <w:pPr>
        <w:spacing w:after="0" w:line="194" w:lineRule="auto"/>
        <w:rPr>
          <w:sz w:val="20"/>
          <w:szCs w:val="20"/>
          <w:color w:val="auto"/>
        </w:rPr>
      </w:pPr>
      <w:r>
        <w:rPr>
          <w:rFonts w:ascii="Arial" w:cs="Arial" w:eastAsia="Arial" w:hAnsi="Arial"/>
          <w:sz w:val="5"/>
          <w:szCs w:val="5"/>
          <w:color w:val="FFFFFF"/>
          <w:vertAlign w:val="subscript"/>
        </w:rPr>
        <w:t>Donation</w:t>
      </w:r>
      <w:r>
        <w:rPr>
          <w:rFonts w:ascii="Arial" w:cs="Arial" w:eastAsia="Arial" w:hAnsi="Arial"/>
          <w:sz w:val="3"/>
          <w:szCs w:val="3"/>
          <w:color w:val="FFFFFF"/>
        </w:rPr>
        <w:t>N-current:</w:t>
      </w:r>
    </w:p>
    <w:p>
      <w:pPr>
        <w:ind w:left="540"/>
        <w:spacing w:after="0"/>
        <w:rPr>
          <w:sz w:val="20"/>
          <w:szCs w:val="20"/>
          <w:color w:val="auto"/>
        </w:rPr>
      </w:pPr>
      <w:r>
        <w:rPr>
          <w:rFonts w:ascii="Arial" w:cs="Arial" w:eastAsia="Arial" w:hAnsi="Arial"/>
          <w:sz w:val="3"/>
          <w:szCs w:val="3"/>
          <w:color w:val="FFFFFF"/>
        </w:rPr>
        <w:t>payable 579,770 — — —</w:t>
      </w:r>
    </w:p>
    <w:p>
      <w:pPr>
        <w:spacing w:after="0" w:line="194" w:lineRule="auto"/>
        <w:rPr>
          <w:sz w:val="20"/>
          <w:szCs w:val="20"/>
          <w:color w:val="auto"/>
        </w:rPr>
      </w:pPr>
      <w:r>
        <w:rPr>
          <w:rFonts w:ascii="Arial" w:cs="Arial" w:eastAsia="Arial" w:hAnsi="Arial"/>
          <w:sz w:val="5"/>
          <w:szCs w:val="5"/>
          <w:color w:val="FFFFFF"/>
        </w:rPr>
        <w:t>6,236,877 3,665,441 4,014 5,227</w:t>
      </w:r>
    </w:p>
    <w:p>
      <w:pPr>
        <w:spacing w:after="0" w:line="190" w:lineRule="auto"/>
        <w:rPr>
          <w:sz w:val="20"/>
          <w:szCs w:val="20"/>
          <w:color w:val="auto"/>
        </w:rPr>
      </w:pPr>
      <w:r>
        <w:rPr>
          <w:rFonts w:ascii="Arial" w:cs="Arial" w:eastAsia="Arial" w:hAnsi="Arial"/>
          <w:sz w:val="11"/>
          <w:szCs w:val="11"/>
          <w:color w:val="FFFFFF"/>
        </w:rPr>
        <w:t>“Other liabilities” includes an accrual made by Palo Real Estate Company Limited to an unrelated third party company incorporated in Macau that is not a connected person of the Group amounting to US$50 million (approximately HK$389 million) (2010: nil) in consideration of its relinquishment of certain rights in and to any future development of the Cotai Land.</w:t>
      </w:r>
    </w:p>
    <w:p>
      <w:pPr>
        <w:sectPr>
          <w:pgSz w:w="11900" w:h="16838" w:orient="portrait"/>
          <w:cols w:equalWidth="0" w:num="1">
            <w:col w:w="11220"/>
          </w:cols>
          <w:pgMar w:left="240" w:top="1440" w:right="4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127</w:t>
      </w:r>
    </w:p>
    <w:p>
      <w:pPr>
        <w:spacing w:after="0" w:line="187" w:lineRule="auto"/>
        <w:rPr>
          <w:sz w:val="20"/>
          <w:szCs w:val="20"/>
          <w:color w:val="auto"/>
        </w:rPr>
      </w:pPr>
      <w:r>
        <w:rPr>
          <w:rFonts w:ascii="Arial" w:cs="Arial" w:eastAsia="Arial" w:hAnsi="Arial"/>
          <w:sz w:val="9"/>
          <w:szCs w:val="9"/>
          <w:color w:val="FFFFFF"/>
        </w:rPr>
        <w:t>NotesFinancialtoFinancialStatementsStatements</w:t>
      </w:r>
    </w:p>
    <w:p>
      <w:pPr>
        <w:spacing w:after="0"/>
        <w:rPr>
          <w:sz w:val="20"/>
          <w:szCs w:val="20"/>
          <w:color w:val="auto"/>
        </w:rPr>
      </w:pPr>
      <w:r>
        <w:rPr>
          <w:rFonts w:ascii="Arial" w:cs="Arial" w:eastAsia="Arial" w:hAnsi="Arial"/>
          <w:sz w:val="3"/>
          <w:szCs w:val="3"/>
          <w:color w:val="FFFFFF"/>
        </w:rPr>
        <w:t>For the year ended 31 December 2011</w:t>
      </w:r>
    </w:p>
    <w:p>
      <w:pPr>
        <w:spacing w:after="0" w:line="181" w:lineRule="auto"/>
        <w:rPr>
          <w:sz w:val="20"/>
          <w:szCs w:val="20"/>
          <w:color w:val="auto"/>
        </w:rPr>
      </w:pPr>
      <w:r>
        <w:rPr>
          <w:rFonts w:ascii="Arial" w:cs="Arial" w:eastAsia="Arial" w:hAnsi="Arial"/>
          <w:sz w:val="10"/>
          <w:szCs w:val="10"/>
          <w:color w:val="FFFFFF"/>
        </w:rPr>
        <w:t>The20.INTERESTWynnMacau-BEARINGCreditFacilitiesBANK mayLOANSbeused for construction and development commitments or for other uses and are repayable as follows:</w:t>
      </w:r>
    </w:p>
    <w:p>
      <w:pPr>
        <w:spacing w:after="0"/>
        <w:rPr>
          <w:sz w:val="20"/>
          <w:szCs w:val="20"/>
          <w:color w:val="auto"/>
        </w:rPr>
      </w:pPr>
      <w:r>
        <w:rPr>
          <w:rFonts w:ascii="Arial" w:cs="Arial" w:eastAsia="Arial" w:hAnsi="Arial"/>
          <w:sz w:val="3"/>
          <w:szCs w:val="3"/>
          <w:color w:val="FFFFFF"/>
        </w:rPr>
        <w:t>Group</w:t>
      </w:r>
    </w:p>
    <w:p>
      <w:pPr>
        <w:spacing w:after="0" w:line="181" w:lineRule="auto"/>
        <w:rPr>
          <w:sz w:val="20"/>
          <w:szCs w:val="20"/>
          <w:color w:val="auto"/>
        </w:rPr>
      </w:pPr>
      <w:r>
        <w:rPr>
          <w:rFonts w:ascii="Arial" w:cs="Arial" w:eastAsia="Arial" w:hAnsi="Arial"/>
          <w:sz w:val="10"/>
          <w:szCs w:val="10"/>
          <w:color w:val="FFFFFF"/>
        </w:rPr>
        <w:t>2011Asat 201031December</w:t>
      </w:r>
    </w:p>
    <w:p>
      <w:pPr>
        <w:spacing w:after="0" w:line="188" w:lineRule="auto"/>
        <w:rPr>
          <w:sz w:val="20"/>
          <w:szCs w:val="20"/>
          <w:color w:val="auto"/>
        </w:rPr>
      </w:pPr>
      <w:r>
        <w:rPr>
          <w:rFonts w:ascii="Arial" w:cs="Arial" w:eastAsia="Arial" w:hAnsi="Arial"/>
          <w:sz w:val="9"/>
          <w:szCs w:val="9"/>
          <w:color w:val="FFFFFF"/>
        </w:rPr>
        <w:t>(inHKthousands)$HK$</w:t>
      </w:r>
    </w:p>
    <w:p>
      <w:pPr>
        <w:spacing w:after="0"/>
        <w:rPr>
          <w:sz w:val="20"/>
          <w:szCs w:val="20"/>
          <w:color w:val="auto"/>
        </w:rPr>
      </w:pPr>
      <w:r>
        <w:rPr>
          <w:rFonts w:ascii="Arial" w:cs="Arial" w:eastAsia="Arial" w:hAnsi="Arial"/>
          <w:sz w:val="3"/>
          <w:szCs w:val="3"/>
          <w:color w:val="FFFFFF"/>
        </w:rPr>
        <w:t>On demand or within one year 2,302,714 —</w:t>
      </w:r>
    </w:p>
    <w:p>
      <w:pPr>
        <w:spacing w:after="0" w:line="181" w:lineRule="auto"/>
        <w:rPr>
          <w:sz w:val="20"/>
          <w:szCs w:val="20"/>
          <w:color w:val="auto"/>
        </w:rPr>
      </w:pPr>
      <w:r>
        <w:rPr>
          <w:rFonts w:ascii="Arial" w:cs="Arial" w:eastAsia="Arial" w:hAnsi="Arial"/>
          <w:sz w:val="10"/>
          <w:szCs w:val="10"/>
          <w:color w:val="FFFFFF"/>
        </w:rPr>
        <w:t>In the thirdsecondyearyear1,460,6641,114,4411,114,5582,490,271</w:t>
      </w:r>
    </w:p>
    <w:p>
      <w:pPr>
        <w:ind w:left="360"/>
        <w:spacing w:after="0"/>
        <w:rPr>
          <w:sz w:val="20"/>
          <w:szCs w:val="20"/>
          <w:color w:val="auto"/>
        </w:rPr>
      </w:pPr>
      <w:r>
        <w:rPr>
          <w:rFonts w:ascii="Arial" w:cs="Arial" w:eastAsia="Arial" w:hAnsi="Arial"/>
          <w:sz w:val="3"/>
          <w:szCs w:val="3"/>
          <w:color w:val="FFFFFF"/>
        </w:rPr>
        <w:t>fourth year — 1,461,975</w:t>
      </w:r>
    </w:p>
    <w:p>
      <w:pPr>
        <w:spacing w:after="0" w:line="181" w:lineRule="auto"/>
        <w:rPr>
          <w:sz w:val="20"/>
          <w:szCs w:val="20"/>
          <w:color w:val="auto"/>
        </w:rPr>
      </w:pPr>
      <w:r>
        <w:rPr>
          <w:rFonts w:ascii="Arial" w:cs="Arial" w:eastAsia="Arial" w:hAnsi="Arial"/>
          <w:sz w:val="10"/>
          <w:szCs w:val="10"/>
          <w:color w:val="FFFFFF"/>
        </w:rPr>
        <w:t>Less:4,877,819debt 5,066,804financing costs, net (74,353) (117,101)</w:t>
      </w:r>
    </w:p>
    <w:p>
      <w:pPr>
        <w:spacing w:after="0"/>
        <w:rPr>
          <w:sz w:val="20"/>
          <w:szCs w:val="20"/>
          <w:color w:val="auto"/>
        </w:rPr>
      </w:pPr>
      <w:r>
        <w:rPr>
          <w:rFonts w:ascii="Arial" w:cs="Arial" w:eastAsia="Arial" w:hAnsi="Arial"/>
          <w:sz w:val="3"/>
          <w:szCs w:val="3"/>
          <w:color w:val="FFFFFF"/>
        </w:rPr>
        <w:t>4,803,466 4,949,703</w:t>
      </w:r>
    </w:p>
    <w:p>
      <w:pPr>
        <w:spacing w:after="0" w:line="181" w:lineRule="auto"/>
        <w:rPr>
          <w:sz w:val="20"/>
          <w:szCs w:val="20"/>
          <w:color w:val="auto"/>
        </w:rPr>
      </w:pPr>
      <w:r>
        <w:rPr>
          <w:rFonts w:ascii="Arial" w:cs="Arial" w:eastAsia="Arial" w:hAnsi="Arial"/>
          <w:sz w:val="10"/>
          <w:szCs w:val="10"/>
          <w:color w:val="FFFFFF"/>
        </w:rPr>
        <w:t>CurrentPortion classifiedportion2,302,714asnon-current— (2,500,752) (4,949,703)</w:t>
      </w:r>
    </w:p>
    <w:p>
      <w:pPr>
        <w:ind w:right="40"/>
        <w:spacing w:after="0" w:line="181" w:lineRule="auto"/>
        <w:rPr>
          <w:sz w:val="20"/>
          <w:szCs w:val="20"/>
          <w:color w:val="auto"/>
        </w:rPr>
      </w:pPr>
      <w:r>
        <w:rPr>
          <w:rFonts w:ascii="Arial" w:cs="Arial" w:eastAsia="Arial" w:hAnsi="Arial"/>
          <w:sz w:val="7"/>
          <w:szCs w:val="7"/>
          <w:color w:val="FFFFFF"/>
        </w:rPr>
        <w:t>(approximatelyAsamendedon HK27June$4.3 billion),2007,thefullyWynn-fundedMacauseniorCredittermFacilitiesloan(knowntotalUSas$the1.55“WRMbillionTerm(approximatelyLoan”),andeachHKUS$12.1$1 billionbillion),(approximatelyincombinationHKof$7.8Hongbillion)KongrevolvingandU.S.creditdollars,facilityincluding(knownaUSas$the550“WRMmillionRevolver”). The WRM Term Loan is comprised of two individual facilities, a Hotel Facilityseparatedand Project Facility, containing U.S. dollar and(HK$2,451,150,000)dollartranches. The Hotel Facility is separated into Tranche A</w:t>
      </w:r>
    </w:p>
    <w:p>
      <w:pPr>
        <w:ind w:left="11320"/>
        <w:spacing w:after="0"/>
        <w:rPr>
          <w:sz w:val="20"/>
          <w:szCs w:val="20"/>
          <w:color w:val="auto"/>
        </w:rPr>
      </w:pPr>
      <w:r>
        <w:rPr>
          <w:rFonts w:ascii="Arial" w:cs="Arial" w:eastAsia="Arial" w:hAnsi="Arial"/>
          <w:sz w:val="1"/>
          <w:szCs w:val="1"/>
          <w:color w:val="FFFFFF"/>
        </w:rPr>
        <w:t>also(US$comprised10,250,000)of andtwo TrancheindividualB (HKfacilities,$639,600,000)aHotelFacility.TheProjectanda ProjectFacilityFacilityis eachintocontainingTrancheU.S.A(USdollar$18,500,000),anddollarTranchetranches.B The Project Facilityandis separatedrancheCinto(USTranche$125,000,000)A(US$.258,000,000)TheWRMRevolverand is</w:t>
      </w:r>
    </w:p>
    <w:p>
      <w:pPr>
        <w:ind w:right="60"/>
        <w:spacing w:after="0"/>
        <w:rPr>
          <w:sz w:val="20"/>
          <w:szCs w:val="20"/>
          <w:color w:val="auto"/>
        </w:rPr>
      </w:pPr>
      <w:r>
        <w:rPr>
          <w:rFonts w:ascii="Arial" w:cs="Arial" w:eastAsia="Arial" w:hAnsi="Arial"/>
          <w:sz w:val="11"/>
          <w:szCs w:val="11"/>
          <w:color w:val="FFFFFF"/>
        </w:rPr>
        <w:t>Tranche B (HK$4,516,200,000). The Hotel Facility is separated into Tranche C (US$13,000,000) and Tranche D (HK$1,170,000,000). The Group also has the ability to upsize the total secured facilities by an additional US$50 million (approximately HK$389 million) pursuant to the terms and provisions of the agreements. The senior credit facilities described in this paragraph are collectively referred to herein as the Wynn Macau Credit Facilities.</w:t>
      </w:r>
    </w:p>
    <w:p>
      <w:pPr>
        <w:sectPr>
          <w:pgSz w:w="11900" w:h="16838" w:orient="portrait"/>
          <w:cols w:equalWidth="0" w:num="1">
            <w:col w:w="11420"/>
          </w:cols>
          <w:pgMar w:left="240" w:top="1440" w:right="23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tcPr>
          <w:p>
            <w:pPr>
              <w:spacing w:after="0"/>
              <w:rPr>
                <w:sz w:val="20"/>
                <w:szCs w:val="20"/>
                <w:color w:val="auto"/>
              </w:rPr>
            </w:pPr>
            <w:r>
              <w:rPr>
                <w:rFonts w:ascii="Arial" w:cs="Arial" w:eastAsia="Arial" w:hAnsi="Arial"/>
                <w:sz w:val="14"/>
                <w:szCs w:val="14"/>
                <w:color w:val="FFFFFF"/>
                <w:w w:val="93"/>
              </w:rPr>
              <w:t>128 Wynn Macau, Limited</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500" w:type="dxa"/>
            <w:vAlign w:val="bottom"/>
          </w:tcPr>
          <w:p>
            <w:pPr>
              <w:spacing w:after="0"/>
              <w:rPr>
                <w:sz w:val="14"/>
                <w:szCs w:val="14"/>
                <w:color w:val="auto"/>
              </w:rPr>
            </w:pPr>
          </w:p>
        </w:tc>
      </w:tr>
      <w:tr>
        <w:trPr>
          <w:trHeight w:val="41"/>
        </w:trPr>
        <w:tc>
          <w:tcPr>
            <w:tcW w:w="154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500" w:type="dxa"/>
            <w:vAlign w:val="bottom"/>
          </w:tcPr>
          <w:p>
            <w:pPr>
              <w:spacing w:after="0"/>
              <w:rPr>
                <w:sz w:val="3"/>
                <w:szCs w:val="3"/>
                <w:color w:val="auto"/>
              </w:rPr>
            </w:pPr>
          </w:p>
        </w:tc>
      </w:tr>
      <w:tr>
        <w:trPr>
          <w:trHeight w:val="41"/>
        </w:trPr>
        <w:tc>
          <w:tcPr>
            <w:tcW w:w="2800" w:type="dxa"/>
            <w:vAlign w:val="bottom"/>
            <w:gridSpan w:val="4"/>
          </w:tcPr>
          <w:p>
            <w:pPr>
              <w:spacing w:after="0"/>
              <w:rPr>
                <w:sz w:val="20"/>
                <w:szCs w:val="20"/>
                <w:color w:val="auto"/>
              </w:rPr>
            </w:pPr>
            <w:r>
              <w:rPr>
                <w:rFonts w:ascii="Arial" w:cs="Arial" w:eastAsia="Arial" w:hAnsi="Arial"/>
                <w:sz w:val="3"/>
                <w:szCs w:val="3"/>
                <w:color w:val="FFFFFF"/>
              </w:rPr>
              <w:t>Notes to Financial Statements</w:t>
            </w:r>
          </w:p>
        </w:tc>
        <w:tc>
          <w:tcPr>
            <w:tcW w:w="1120" w:type="dxa"/>
            <w:vAlign w:val="bottom"/>
          </w:tcPr>
          <w:p>
            <w:pPr>
              <w:spacing w:after="0"/>
              <w:rPr>
                <w:sz w:val="3"/>
                <w:szCs w:val="3"/>
                <w:color w:val="auto"/>
              </w:rPr>
            </w:pPr>
          </w:p>
        </w:tc>
        <w:tc>
          <w:tcPr>
            <w:tcW w:w="7500" w:type="dxa"/>
            <w:vAlign w:val="bottom"/>
          </w:tcPr>
          <w:p>
            <w:pPr>
              <w:spacing w:after="0"/>
              <w:rPr>
                <w:sz w:val="3"/>
                <w:szCs w:val="3"/>
                <w:color w:val="auto"/>
              </w:rPr>
            </w:pPr>
          </w:p>
        </w:tc>
      </w:tr>
      <w:tr>
        <w:trPr>
          <w:trHeight w:val="41"/>
        </w:trPr>
        <w:tc>
          <w:tcPr>
            <w:tcW w:w="2800" w:type="dxa"/>
            <w:vAlign w:val="bottom"/>
            <w:gridSpan w:val="4"/>
          </w:tcPr>
          <w:p>
            <w:pPr>
              <w:spacing w:after="0"/>
              <w:rPr>
                <w:sz w:val="20"/>
                <w:szCs w:val="20"/>
                <w:color w:val="auto"/>
              </w:rPr>
            </w:pPr>
            <w:r>
              <w:rPr>
                <w:rFonts w:ascii="Arial" w:cs="Arial" w:eastAsia="Arial" w:hAnsi="Arial"/>
                <w:sz w:val="3"/>
                <w:szCs w:val="3"/>
                <w:color w:val="FFFFFF"/>
              </w:rPr>
              <w:t>For the year ended 31 December 2011</w:t>
            </w:r>
          </w:p>
        </w:tc>
        <w:tc>
          <w:tcPr>
            <w:tcW w:w="1120" w:type="dxa"/>
            <w:vAlign w:val="bottom"/>
          </w:tcPr>
          <w:p>
            <w:pPr>
              <w:spacing w:after="0"/>
              <w:rPr>
                <w:sz w:val="3"/>
                <w:szCs w:val="3"/>
                <w:color w:val="auto"/>
              </w:rPr>
            </w:pPr>
          </w:p>
        </w:tc>
        <w:tc>
          <w:tcPr>
            <w:tcW w:w="7500" w:type="dxa"/>
            <w:vAlign w:val="bottom"/>
          </w:tcPr>
          <w:p>
            <w:pPr>
              <w:spacing w:after="0"/>
              <w:rPr>
                <w:sz w:val="3"/>
                <w:szCs w:val="3"/>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20.</w:t>
            </w:r>
          </w:p>
        </w:tc>
        <w:tc>
          <w:tcPr>
            <w:tcW w:w="560" w:type="dxa"/>
            <w:vAlign w:val="bottom"/>
          </w:tcPr>
          <w:p>
            <w:pPr>
              <w:spacing w:after="0"/>
              <w:rPr>
                <w:sz w:val="3"/>
                <w:szCs w:val="3"/>
                <w:color w:val="auto"/>
              </w:rPr>
            </w:pPr>
          </w:p>
        </w:tc>
        <w:tc>
          <w:tcPr>
            <w:tcW w:w="3160" w:type="dxa"/>
            <w:vAlign w:val="bottom"/>
            <w:gridSpan w:val="3"/>
          </w:tcPr>
          <w:p>
            <w:pPr>
              <w:ind w:left="80"/>
              <w:spacing w:after="0"/>
              <w:rPr>
                <w:sz w:val="20"/>
                <w:szCs w:val="20"/>
                <w:color w:val="auto"/>
              </w:rPr>
            </w:pPr>
            <w:r>
              <w:rPr>
                <w:rFonts w:ascii="Arial" w:cs="Arial" w:eastAsia="Arial" w:hAnsi="Arial"/>
                <w:sz w:val="3"/>
                <w:szCs w:val="3"/>
                <w:color w:val="FFFFFF"/>
              </w:rPr>
              <w:t>-BEARING BANK LOANS (continued)</w:t>
            </w:r>
          </w:p>
        </w:tc>
        <w:tc>
          <w:tcPr>
            <w:tcW w:w="7500" w:type="dxa"/>
            <w:vAlign w:val="bottom"/>
          </w:tcPr>
          <w:p>
            <w:pPr>
              <w:spacing w:after="0"/>
              <w:rPr>
                <w:sz w:val="3"/>
                <w:szCs w:val="3"/>
                <w:color w:val="auto"/>
              </w:rPr>
            </w:pPr>
          </w:p>
        </w:tc>
      </w:tr>
      <w:tr>
        <w:trPr>
          <w:trHeight w:val="41"/>
        </w:trPr>
        <w:tc>
          <w:tcPr>
            <w:tcW w:w="200" w:type="dxa"/>
            <w:vAlign w:val="bottom"/>
          </w:tcPr>
          <w:p>
            <w:pPr>
              <w:spacing w:after="0"/>
              <w:rPr>
                <w:sz w:val="3"/>
                <w:szCs w:val="3"/>
                <w:color w:val="auto"/>
              </w:rPr>
            </w:pPr>
          </w:p>
        </w:tc>
        <w:tc>
          <w:tcPr>
            <w:tcW w:w="11220" w:type="dxa"/>
            <w:vAlign w:val="bottom"/>
            <w:gridSpan w:val="5"/>
          </w:tcPr>
          <w:p>
            <w:pPr>
              <w:jc w:val="right"/>
              <w:ind w:right="123"/>
              <w:spacing w:after="0"/>
              <w:rPr>
                <w:sz w:val="20"/>
                <w:szCs w:val="20"/>
                <w:color w:val="auto"/>
              </w:rPr>
            </w:pPr>
            <w:r>
              <w:rPr>
                <w:rFonts w:ascii="Arial" w:cs="Arial" w:eastAsia="Arial" w:hAnsi="Arial"/>
                <w:sz w:val="3"/>
                <w:szCs w:val="3"/>
                <w:color w:val="FFFFFF"/>
              </w:rPr>
              <w:t>INTERESTWRMerm Loan of approximately HK$3.7 billion as at 31 December 2011 matures   June 2014, and the WRM Revolver of approximately HK$1.2 billion as at 31 December 2011 matures in June 2012.</w:t>
            </w:r>
          </w:p>
        </w:tc>
      </w:tr>
      <w:tr>
        <w:trPr>
          <w:trHeight w:val="41"/>
        </w:trPr>
        <w:tc>
          <w:tcPr>
            <w:tcW w:w="3920" w:type="dxa"/>
            <w:vAlign w:val="bottom"/>
            <w:gridSpan w:val="5"/>
          </w:tcPr>
          <w:p>
            <w:pPr>
              <w:spacing w:after="0"/>
              <w:rPr>
                <w:sz w:val="20"/>
                <w:szCs w:val="20"/>
                <w:color w:val="auto"/>
              </w:rPr>
            </w:pPr>
            <w:r>
              <w:rPr>
                <w:rFonts w:ascii="Arial" w:cs="Arial" w:eastAsia="Arial" w:hAnsi="Arial"/>
                <w:sz w:val="3"/>
                <w:szCs w:val="3"/>
                <w:color w:val="FFFFFF"/>
              </w:rPr>
              <w:t>The principal amount of the WRM Term Loan is required to be repaid</w:t>
            </w:r>
          </w:p>
        </w:tc>
        <w:tc>
          <w:tcPr>
            <w:tcW w:w="7500" w:type="dxa"/>
            <w:vAlign w:val="bottom"/>
          </w:tcPr>
          <w:p>
            <w:pPr>
              <w:jc w:val="right"/>
              <w:ind w:right="123"/>
              <w:spacing w:after="0"/>
              <w:rPr>
                <w:sz w:val="20"/>
                <w:szCs w:val="20"/>
                <w:color w:val="auto"/>
              </w:rPr>
            </w:pPr>
            <w:r>
              <w:rPr>
                <w:rFonts w:ascii="Arial" w:cs="Arial" w:eastAsia="Arial" w:hAnsi="Arial"/>
                <w:sz w:val="3"/>
                <w:szCs w:val="3"/>
                <w:color w:val="FFFFFF"/>
              </w:rPr>
              <w:t>quarterly installments, commencing in September 2011. Borrowings under the Wynn Macau Credit Facilities bear interest at LIBOR or</w:t>
            </w:r>
          </w:p>
        </w:tc>
      </w:tr>
      <w:tr>
        <w:trPr>
          <w:trHeight w:val="41"/>
        </w:trPr>
        <w:tc>
          <w:tcPr>
            <w:tcW w:w="760" w:type="dxa"/>
            <w:vAlign w:val="bottom"/>
            <w:gridSpan w:val="2"/>
          </w:tcPr>
          <w:p>
            <w:pPr>
              <w:spacing w:after="0"/>
              <w:rPr>
                <w:sz w:val="20"/>
                <w:szCs w:val="20"/>
                <w:color w:val="auto"/>
              </w:rPr>
            </w:pPr>
            <w:r>
              <w:rPr>
                <w:rFonts w:ascii="Arial" w:cs="Arial" w:eastAsia="Arial" w:hAnsi="Arial"/>
                <w:sz w:val="3"/>
                <w:szCs w:val="3"/>
                <w:color w:val="FFFFFF"/>
              </w:rPr>
              <w:t>HIBOR plus</w:t>
            </w:r>
          </w:p>
        </w:tc>
        <w:tc>
          <w:tcPr>
            <w:tcW w:w="10660" w:type="dxa"/>
            <w:vAlign w:val="bottom"/>
            <w:gridSpan w:val="4"/>
          </w:tcPr>
          <w:p>
            <w:pPr>
              <w:jc w:val="right"/>
              <w:ind w:right="803"/>
              <w:spacing w:after="0"/>
              <w:rPr>
                <w:sz w:val="20"/>
                <w:szCs w:val="20"/>
                <w:color w:val="auto"/>
              </w:rPr>
            </w:pPr>
            <w:r>
              <w:rPr>
                <w:rFonts w:ascii="Arial" w:cs="Arial" w:eastAsia="Arial" w:hAnsi="Arial"/>
                <w:sz w:val="3"/>
                <w:szCs w:val="3"/>
                <w:color w:val="FFFFFF"/>
              </w:rPr>
              <w:t>margin of 1.75% through 30 September 2010. Commencing in the fourth quarter of 2010, the WRM Revolver, the WRM Term Loan Hotel Facility and the WRM Term Loan Project</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Tranches A and B are subject to a margin of 1.25% to 2.00% depending on the Group’s leverage ratio at the end of each quarter. The WRM Term Loan Project Facility Tranche C remains subject toFacilitymargin of</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1.75%. As at 31 December 2011, the weighted average margin was 1.29%.</w:t>
            </w:r>
          </w:p>
        </w:tc>
      </w:tr>
      <w:tr>
        <w:trPr>
          <w:trHeight w:val="41"/>
        </w:trPr>
        <w:tc>
          <w:tcPr>
            <w:tcW w:w="2800" w:type="dxa"/>
            <w:vAlign w:val="bottom"/>
            <w:gridSpan w:val="4"/>
          </w:tcPr>
          <w:p>
            <w:pPr>
              <w:spacing w:after="0"/>
              <w:rPr>
                <w:sz w:val="20"/>
                <w:szCs w:val="20"/>
                <w:color w:val="auto"/>
              </w:rPr>
            </w:pPr>
            <w:r>
              <w:rPr>
                <w:rFonts w:ascii="Arial" w:cs="Arial" w:eastAsia="Arial" w:hAnsi="Arial"/>
                <w:sz w:val="3"/>
                <w:szCs w:val="3"/>
                <w:color w:val="FFFFFF"/>
              </w:rPr>
              <w:t>Collateral for the Wynn Macau Credit Facilities</w:t>
            </w:r>
          </w:p>
        </w:tc>
        <w:tc>
          <w:tcPr>
            <w:tcW w:w="8620" w:type="dxa"/>
            <w:vAlign w:val="bottom"/>
            <w:gridSpan w:val="2"/>
          </w:tcPr>
          <w:p>
            <w:pPr>
              <w:jc w:val="right"/>
              <w:ind w:right="323"/>
              <w:spacing w:after="0"/>
              <w:rPr>
                <w:sz w:val="20"/>
                <w:szCs w:val="20"/>
                <w:color w:val="auto"/>
              </w:rPr>
            </w:pPr>
            <w:r>
              <w:rPr>
                <w:rFonts w:ascii="Arial" w:cs="Arial" w:eastAsia="Arial" w:hAnsi="Arial"/>
                <w:sz w:val="3"/>
                <w:szCs w:val="3"/>
                <w:color w:val="FFFFFF"/>
              </w:rPr>
              <w:t>of substantially all of the assets of the Group. In addition, the Wynn Macau Credit Facilities agreement contains affi rmative and negative covenants</w:t>
            </w:r>
          </w:p>
        </w:tc>
      </w:tr>
      <w:tr>
        <w:trPr>
          <w:trHeight w:val="41"/>
        </w:trPr>
        <w:tc>
          <w:tcPr>
            <w:tcW w:w="3920" w:type="dxa"/>
            <w:vAlign w:val="bottom"/>
            <w:gridSpan w:val="5"/>
          </w:tcPr>
          <w:p>
            <w:pPr>
              <w:spacing w:after="0"/>
              <w:rPr>
                <w:sz w:val="20"/>
                <w:szCs w:val="20"/>
                <w:color w:val="auto"/>
              </w:rPr>
            </w:pPr>
            <w:r>
              <w:rPr>
                <w:rFonts w:ascii="Arial" w:cs="Arial" w:eastAsia="Arial" w:hAnsi="Arial"/>
                <w:sz w:val="3"/>
                <w:szCs w:val="3"/>
                <w:color w:val="FFFFFF"/>
              </w:rPr>
              <w:t>which impose various obligations and restrictionsconsistsWynn Macau, and</w:t>
            </w:r>
          </w:p>
        </w:tc>
        <w:tc>
          <w:tcPr>
            <w:tcW w:w="7500" w:type="dxa"/>
            <w:vAlign w:val="bottom"/>
          </w:tcPr>
          <w:p>
            <w:pPr>
              <w:jc w:val="right"/>
              <w:ind w:right="6103"/>
              <w:spacing w:after="0"/>
              <w:rPr>
                <w:sz w:val="20"/>
                <w:szCs w:val="20"/>
                <w:color w:val="auto"/>
              </w:rPr>
            </w:pPr>
            <w:r>
              <w:rPr>
                <w:rFonts w:ascii="Arial" w:cs="Arial" w:eastAsia="Arial" w:hAnsi="Arial"/>
                <w:sz w:val="3"/>
                <w:szCs w:val="3"/>
                <w:color w:val="FFFFFF"/>
              </w:rPr>
              <w:t>some cases, the Group.</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The Wynn Macau Credit Facilities contain customary covenants restricting certain activities including, but not limited to: the incurrence of additional indebtedness, the incurrence or creation of liens on any of its</w:t>
            </w:r>
          </w:p>
        </w:tc>
      </w:tr>
      <w:tr>
        <w:trPr>
          <w:trHeight w:val="41"/>
        </w:trPr>
        <w:tc>
          <w:tcPr>
            <w:tcW w:w="1540" w:type="dxa"/>
            <w:vAlign w:val="bottom"/>
            <w:gridSpan w:val="3"/>
          </w:tcPr>
          <w:p>
            <w:pPr>
              <w:spacing w:after="0"/>
              <w:rPr>
                <w:sz w:val="20"/>
                <w:szCs w:val="20"/>
                <w:color w:val="auto"/>
              </w:rPr>
            </w:pPr>
            <w:r>
              <w:rPr>
                <w:rFonts w:ascii="Arial" w:cs="Arial" w:eastAsia="Arial" w:hAnsi="Arial"/>
                <w:sz w:val="3"/>
                <w:szCs w:val="3"/>
                <w:color w:val="FFFFFF"/>
              </w:rPr>
              <w:t>property, sales and</w:t>
            </w:r>
          </w:p>
        </w:tc>
        <w:tc>
          <w:tcPr>
            <w:tcW w:w="9880" w:type="dxa"/>
            <w:vAlign w:val="bottom"/>
            <w:gridSpan w:val="3"/>
          </w:tcPr>
          <w:p>
            <w:pPr>
              <w:jc w:val="right"/>
              <w:ind w:right="143"/>
              <w:spacing w:after="0"/>
              <w:rPr>
                <w:sz w:val="20"/>
                <w:szCs w:val="20"/>
                <w:color w:val="auto"/>
              </w:rPr>
            </w:pPr>
            <w:r>
              <w:rPr>
                <w:rFonts w:ascii="Arial" w:cs="Arial" w:eastAsia="Arial" w:hAnsi="Arial"/>
                <w:sz w:val="3"/>
                <w:szCs w:val="3"/>
                <w:color w:val="FFFFFF"/>
              </w:rPr>
              <w:t>transactions, the ability to dispose of assets, and make loans or other investments. In addition, the Group is required by the agreement to maintain a Leverage Ratio, as defi ned, of</w:t>
            </w:r>
          </w:p>
        </w:tc>
      </w:tr>
      <w:tr>
        <w:trPr>
          <w:trHeight w:val="41"/>
        </w:trPr>
        <w:tc>
          <w:tcPr>
            <w:tcW w:w="3920" w:type="dxa"/>
            <w:vAlign w:val="bottom"/>
            <w:gridSpan w:val="5"/>
          </w:tcPr>
          <w:p>
            <w:pPr>
              <w:spacing w:after="0"/>
              <w:rPr>
                <w:sz w:val="20"/>
                <w:szCs w:val="20"/>
                <w:color w:val="auto"/>
              </w:rPr>
            </w:pPr>
            <w:r>
              <w:rPr>
                <w:rFonts w:ascii="Arial" w:cs="Arial" w:eastAsia="Arial" w:hAnsi="Arial"/>
                <w:sz w:val="3"/>
                <w:szCs w:val="3"/>
                <w:color w:val="FFFFFF"/>
              </w:rPr>
              <w:t>not greater than 3.50leasebackto1at 31 December 2011, and an Interest</w:t>
            </w:r>
          </w:p>
        </w:tc>
        <w:tc>
          <w:tcPr>
            <w:tcW w:w="7500" w:type="dxa"/>
            <w:vAlign w:val="bottom"/>
          </w:tcPr>
          <w:p>
            <w:pPr>
              <w:jc w:val="right"/>
              <w:ind w:right="683"/>
              <w:spacing w:after="0"/>
              <w:rPr>
                <w:sz w:val="20"/>
                <w:szCs w:val="20"/>
                <w:color w:val="auto"/>
              </w:rPr>
            </w:pPr>
            <w:r>
              <w:rPr>
                <w:rFonts w:ascii="Arial" w:cs="Arial" w:eastAsia="Arial" w:hAnsi="Arial"/>
                <w:sz w:val="3"/>
                <w:szCs w:val="3"/>
                <w:color w:val="FFFFFF"/>
              </w:rPr>
              <w:t>Ratio, as defi ned, of not less than 2 to 1. Management b lieves that the Group was in compliance with all covenants as at</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31 December 2011. Going forward, the Group is required to maintainCoverageLeverage Ratio not greater than 3.50 to 1 and an Interest Coverage Ratio not less than 2 to 1 for all 2012 reporting periods.</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Additionally the Wynn Macau Credit Facilities contain a requirement that the Group must make mandatory prepayments of indebtedness from specifi ed percentages of excess cash fl ow. If WRM meets a</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Leverage Ratio, as defi ned, of greater than 4 to 1   any reporting period, such required prepayment is 50% of Excess Cash Flow, as defi ned. If the Leverage Ratio is less than 4 to 1 at any reporting period, then</w:t>
            </w:r>
          </w:p>
        </w:tc>
      </w:tr>
      <w:tr>
        <w:trPr>
          <w:trHeight w:val="20"/>
        </w:trPr>
        <w:tc>
          <w:tcPr>
            <w:tcW w:w="11420" w:type="dxa"/>
            <w:vAlign w:val="bottom"/>
            <w:gridSpan w:val="6"/>
          </w:tcPr>
          <w:p>
            <w:pPr>
              <w:spacing w:after="0" w:line="21" w:lineRule="exact"/>
              <w:rPr>
                <w:sz w:val="20"/>
                <w:szCs w:val="20"/>
                <w:color w:val="auto"/>
              </w:rPr>
            </w:pPr>
            <w:r>
              <w:rPr>
                <w:rFonts w:ascii="Arial" w:cs="Arial" w:eastAsia="Arial" w:hAnsi="Arial"/>
                <w:sz w:val="2"/>
                <w:szCs w:val="2"/>
                <w:color w:val="FFFFFF"/>
              </w:rPr>
              <w:t>31 December 2012 will exceed 4 to 1. Accordinglyestimates,the Group does not expect to make any mandatory prepayments pursuant to this requirement during 2012.</w:t>
            </w:r>
          </w:p>
        </w:tc>
      </w:tr>
      <w:tr>
        <w:trPr>
          <w:trHeight w:val="172"/>
        </w:trPr>
        <w:tc>
          <w:tcPr>
            <w:tcW w:w="2800" w:type="dxa"/>
            <w:vAlign w:val="bottom"/>
            <w:gridSpan w:val="4"/>
          </w:tcPr>
          <w:p>
            <w:pPr>
              <w:spacing w:after="0"/>
              <w:rPr>
                <w:sz w:val="20"/>
                <w:szCs w:val="20"/>
                <w:color w:val="auto"/>
              </w:rPr>
            </w:pPr>
            <w:r>
              <w:rPr>
                <w:rFonts w:ascii="Arial" w:cs="Arial" w:eastAsia="Arial" w:hAnsi="Arial"/>
                <w:sz w:val="14"/>
                <w:szCs w:val="14"/>
                <w:color w:val="FFFFFF"/>
              </w:rPr>
              <w:t>no prepayment is required. Based on current</w:t>
            </w:r>
          </w:p>
        </w:tc>
        <w:tc>
          <w:tcPr>
            <w:tcW w:w="8620" w:type="dxa"/>
            <w:vAlign w:val="bottom"/>
            <w:gridSpan w:val="2"/>
          </w:tcPr>
          <w:p>
            <w:pPr>
              <w:jc w:val="right"/>
              <w:ind w:right="3263"/>
              <w:spacing w:after="0"/>
              <w:rPr>
                <w:sz w:val="20"/>
                <w:szCs w:val="20"/>
                <w:color w:val="auto"/>
              </w:rPr>
            </w:pPr>
            <w:r>
              <w:rPr>
                <w:rFonts w:ascii="Arial" w:cs="Arial" w:eastAsia="Arial" w:hAnsi="Arial"/>
                <w:sz w:val="14"/>
                <w:szCs w:val="14"/>
                <w:color w:val="FFFFFF"/>
                <w:w w:val="90"/>
              </w:rPr>
              <w:t>the Group does not believe that the Wynn Macau Leverage Ratio during the fi scal year ending</w:t>
            </w:r>
          </w:p>
        </w:tc>
      </w:tr>
    </w:tbl>
    <w:p>
      <w:pPr>
        <w:sectPr>
          <w:pgSz w:w="11900" w:h="16838" w:orient="portrait"/>
          <w:cols w:equalWidth="0" w:num="1">
            <w:col w:w="11420"/>
          </w:cols>
          <w:pgMar w:left="240" w:top="1440" w:right="2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129</w:t>
      </w:r>
    </w:p>
    <w:p>
      <w:pPr>
        <w:spacing w:after="0"/>
        <w:rPr>
          <w:sz w:val="20"/>
          <w:szCs w:val="20"/>
          <w:color w:val="auto"/>
        </w:rPr>
      </w:pPr>
      <w:r>
        <w:rPr>
          <w:rFonts w:ascii="Arial" w:cs="Arial" w:eastAsia="Arial" w:hAnsi="Arial"/>
          <w:sz w:val="3"/>
          <w:szCs w:val="3"/>
          <w:color w:val="FFFFFF"/>
        </w:rPr>
        <w:t>Financial Statements</w:t>
      </w:r>
    </w:p>
    <w:p>
      <w:pPr>
        <w:spacing w:after="0" w:line="181" w:lineRule="auto"/>
        <w:rPr>
          <w:sz w:val="20"/>
          <w:szCs w:val="20"/>
          <w:color w:val="auto"/>
        </w:rPr>
      </w:pPr>
      <w:r>
        <w:rPr>
          <w:rFonts w:ascii="Arial" w:cs="Arial" w:eastAsia="Arial" w:hAnsi="Arial"/>
          <w:sz w:val="10"/>
          <w:szCs w:val="10"/>
          <w:color w:val="FFFFFF"/>
        </w:rPr>
        <w:t>ForNotesthetoyearFinancialended Statements31December 2011</w:t>
      </w:r>
    </w:p>
    <w:p>
      <w:pPr>
        <w:ind w:right="80"/>
        <w:spacing w:after="0" w:line="181" w:lineRule="auto"/>
        <w:rPr>
          <w:sz w:val="20"/>
          <w:szCs w:val="20"/>
          <w:color w:val="auto"/>
        </w:rPr>
      </w:pPr>
      <w:r>
        <w:rPr>
          <w:rFonts w:ascii="Arial" w:cs="Arial" w:eastAsia="Arial" w:hAnsi="Arial"/>
          <w:sz w:val="7"/>
          <w:szCs w:val="7"/>
          <w:color w:val="FFFFFF"/>
        </w:rPr>
        <w:t>In20.connectionINTERESTwith-BEARINGtheinitialBANKfinancingLOANSofWynn(continued)Macau, the Group entered intodays bank guarantee reimbursement agreement with Banco Nacional Ultramarino, S.A. (“BNU”) to secure a guarantee currently in the amount of MOP300 million (approximately HK$291.3 million) until 180 after the end of the term of the Concession Agreement. This guarantee, which is for the benefi t of the Macau government,</w:t>
      </w:r>
    </w:p>
    <w:p>
      <w:pPr>
        <w:spacing w:after="0"/>
        <w:rPr>
          <w:sz w:val="20"/>
          <w:szCs w:val="20"/>
          <w:color w:val="auto"/>
        </w:rPr>
      </w:pPr>
      <w:r>
        <w:rPr>
          <w:rFonts w:ascii="Arial" w:cs="Arial" w:eastAsia="Arial" w:hAnsi="Arial"/>
          <w:sz w:val="3"/>
          <w:szCs w:val="3"/>
          <w:color w:val="FFFFFF"/>
        </w:rPr>
        <w:t>ConcessionassurescertainAgreement.aspectsofBNU,theGroup’as performanceoftheguarantee,under isthecurrentlyConcessionsecuredAgreement,byasecondincludingprioritythesecuritypaymentinterestofpremiums,intheseniorfineslenderandindemnitiescollateralpackage.foranymaterialAfterrepaymentfailurestoofperformallindebtednessundertheundertermstheof theWynn</w:t>
      </w:r>
    </w:p>
    <w:p>
      <w:pPr>
        <w:ind w:left="560" w:right="320" w:hanging="558"/>
        <w:spacing w:after="0"/>
        <w:rPr>
          <w:sz w:val="20"/>
          <w:szCs w:val="20"/>
          <w:color w:val="auto"/>
        </w:rPr>
      </w:pPr>
      <w:r>
        <w:rPr>
          <w:rFonts w:ascii="Arial" w:cs="Arial" w:eastAsia="Arial" w:hAnsi="Arial"/>
          <w:sz w:val="12"/>
          <w:szCs w:val="12"/>
          <w:color w:val="FFFFFF"/>
          <w:vertAlign w:val="subscript"/>
        </w:rPr>
        <w:t>guarantee</w:t>
      </w:r>
      <w:r>
        <w:rPr>
          <w:rFonts w:ascii="Arial" w:cs="Arial" w:eastAsia="Arial" w:hAnsi="Arial"/>
          <w:sz w:val="8"/>
          <w:szCs w:val="8"/>
          <w:color w:val="FFFFFF"/>
        </w:rPr>
        <w:t>MacCredit Facilities, the Groupissuerobligated to promptly, upon demand by BNU, repay any claim made on the guarantee by the Macau government. The Group currently paid BNU an annual fee for the not exceeding approximately MOP5.2 million (approximately HK$5 million).</w:t>
      </w:r>
    </w:p>
    <w:p>
      <w:pPr>
        <w:spacing w:after="0" w:line="24" w:lineRule="exact"/>
        <w:rPr>
          <w:sz w:val="20"/>
          <w:szCs w:val="20"/>
          <w:color w:val="auto"/>
        </w:rPr>
      </w:pPr>
    </w:p>
    <w:p>
      <w:pPr>
        <w:ind w:right="60"/>
        <w:spacing w:after="0" w:line="187" w:lineRule="auto"/>
        <w:rPr>
          <w:sz w:val="20"/>
          <w:szCs w:val="20"/>
          <w:color w:val="auto"/>
        </w:rPr>
      </w:pPr>
      <w:r>
        <w:rPr>
          <w:rFonts w:ascii="Arial" w:cs="Arial" w:eastAsia="Arial" w:hAnsi="Arial"/>
          <w:sz w:val="9"/>
          <w:szCs w:val="9"/>
          <w:color w:val="FFFFFF"/>
        </w:rPr>
        <w:t>As at 31 December 2011, the Group had HK$6.6 billion available under the WRM Revolver facilities. Subsequent to year end, the remaining balance of the Wynn Macau Revolver amounting to approximately HK$1.2 billion was fully repaid by March 2012.</w:t>
      </w:r>
    </w:p>
    <w:p>
      <w:pPr>
        <w:spacing w:after="0"/>
        <w:rPr>
          <w:sz w:val="20"/>
          <w:szCs w:val="20"/>
          <w:color w:val="auto"/>
        </w:rPr>
      </w:pPr>
      <w:r>
        <w:rPr>
          <w:rFonts w:ascii="Arial" w:cs="Arial" w:eastAsia="Arial" w:hAnsi="Arial"/>
          <w:sz w:val="3"/>
          <w:szCs w:val="3"/>
          <w:color w:val="FFFFFF"/>
        </w:rPr>
        <w:t>Fair value of debt</w:t>
      </w:r>
    </w:p>
    <w:p>
      <w:pPr>
        <w:spacing w:after="0" w:line="194" w:lineRule="auto"/>
        <w:rPr>
          <w:sz w:val="20"/>
          <w:szCs w:val="20"/>
          <w:color w:val="auto"/>
        </w:rPr>
      </w:pPr>
      <w:r>
        <w:rPr>
          <w:rFonts w:ascii="Arial" w:cs="Arial" w:eastAsia="Arial" w:hAnsi="Arial"/>
          <w:sz w:val="5"/>
          <w:szCs w:val="5"/>
          <w:color w:val="FFFFFF"/>
        </w:rPr>
        <w:t>The estimated fair value of the Group’s outstanding debt instruments was approximately HK$4.7 billion (2010: HK$4.7 billion) with a book value of HK$4.9 billion (2010: HK$5.0 billion) at the reporting date.</w:t>
      </w:r>
    </w:p>
    <w:p>
      <w:pPr>
        <w:spacing w:after="0" w:line="188" w:lineRule="auto"/>
        <w:rPr>
          <w:sz w:val="20"/>
          <w:szCs w:val="20"/>
          <w:color w:val="auto"/>
        </w:rPr>
      </w:pPr>
      <w:r>
        <w:rPr>
          <w:rFonts w:ascii="Arial" w:cs="Arial" w:eastAsia="Arial" w:hAnsi="Arial"/>
          <w:sz w:val="9"/>
          <w:szCs w:val="9"/>
          <w:color w:val="FFFFFF"/>
        </w:rPr>
        <w:t>21. ISSUED CAPITAL</w:t>
      </w:r>
    </w:p>
    <w:p>
      <w:pPr>
        <w:spacing w:after="0"/>
        <w:rPr>
          <w:sz w:val="20"/>
          <w:szCs w:val="20"/>
          <w:color w:val="auto"/>
        </w:rPr>
      </w:pPr>
      <w:r>
        <w:rPr>
          <w:rFonts w:ascii="Arial" w:cs="Arial" w:eastAsia="Arial" w:hAnsi="Arial"/>
          <w:sz w:val="3"/>
          <w:szCs w:val="3"/>
          <w:color w:val="FFFFFF"/>
        </w:rPr>
        <w:t>2011Asat 201031December</w:t>
      </w:r>
    </w:p>
    <w:p>
      <w:pPr>
        <w:spacing w:after="0" w:line="181" w:lineRule="auto"/>
        <w:rPr>
          <w:sz w:val="20"/>
          <w:szCs w:val="20"/>
          <w:color w:val="auto"/>
        </w:rPr>
      </w:pPr>
      <w:r>
        <w:rPr>
          <w:rFonts w:ascii="Arial" w:cs="Arial" w:eastAsia="Arial" w:hAnsi="Arial"/>
          <w:sz w:val="10"/>
          <w:szCs w:val="10"/>
          <w:color w:val="FFFFFF"/>
        </w:rPr>
        <w:t>HK$ HK$</w:t>
      </w:r>
    </w:p>
    <w:p>
      <w:pPr>
        <w:spacing w:after="0" w:line="188" w:lineRule="auto"/>
        <w:rPr>
          <w:sz w:val="20"/>
          <w:szCs w:val="20"/>
          <w:color w:val="auto"/>
        </w:rPr>
      </w:pPr>
      <w:r>
        <w:rPr>
          <w:rFonts w:ascii="Arial" w:cs="Arial" w:eastAsia="Arial" w:hAnsi="Arial"/>
          <w:sz w:val="9"/>
          <w:szCs w:val="9"/>
          <w:color w:val="FFFFFF"/>
        </w:rPr>
        <w:t>Authorized:(inthousands)</w:t>
      </w:r>
    </w:p>
    <w:p>
      <w:pPr>
        <w:spacing w:after="0" w:line="188" w:lineRule="auto"/>
        <w:rPr>
          <w:sz w:val="20"/>
          <w:szCs w:val="20"/>
          <w:color w:val="auto"/>
        </w:rPr>
      </w:pPr>
      <w:r>
        <w:rPr>
          <w:rFonts w:ascii="Arial" w:cs="Arial" w:eastAsia="Arial" w:hAnsi="Arial"/>
          <w:sz w:val="9"/>
          <w:szCs w:val="9"/>
          <w:color w:val="FFFFFF"/>
        </w:rPr>
        <w:t>Issued20,000,000,000andfully Sharespaid: of HK$0.001 each 20,000 20,000</w:t>
      </w:r>
    </w:p>
    <w:p>
      <w:pPr>
        <w:spacing w:after="0"/>
        <w:rPr>
          <w:sz w:val="20"/>
          <w:szCs w:val="20"/>
          <w:color w:val="auto"/>
        </w:rPr>
      </w:pPr>
      <w:r>
        <w:rPr>
          <w:rFonts w:ascii="Arial" w:cs="Arial" w:eastAsia="Arial" w:hAnsi="Arial"/>
          <w:sz w:val="14"/>
          <w:szCs w:val="14"/>
          <w:color w:val="FFFFFF"/>
        </w:rPr>
        <w:t>HK5,187,550,000$0.001each(2010:5,188 5,187,500,000)5,188 Shares of</w:t>
      </w:r>
    </w:p>
    <w:p>
      <w:pPr>
        <w:sectPr>
          <w:pgSz w:w="11900" w:h="16838" w:orient="portrait"/>
          <w:cols w:equalWidth="0" w:num="1">
            <w:col w:w="11340"/>
          </w:cols>
          <w:pgMar w:left="240" w:top="1440" w:right="31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3"/>
          </w:tcPr>
          <w:p>
            <w:pPr>
              <w:spacing w:after="0"/>
              <w:rPr>
                <w:sz w:val="20"/>
                <w:szCs w:val="20"/>
                <w:color w:val="auto"/>
              </w:rPr>
            </w:pPr>
            <w:r>
              <w:rPr>
                <w:rFonts w:ascii="Arial" w:cs="Arial" w:eastAsia="Arial" w:hAnsi="Arial"/>
                <w:sz w:val="14"/>
                <w:szCs w:val="14"/>
                <w:color w:val="FFFFFF"/>
              </w:rPr>
              <w:t>130 Wynn Macau, Limited</w:t>
            </w:r>
          </w:p>
        </w:tc>
        <w:tc>
          <w:tcPr>
            <w:tcW w:w="9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80" w:type="dxa"/>
            <w:vAlign w:val="bottom"/>
          </w:tcPr>
          <w:p>
            <w:pPr>
              <w:spacing w:after="0"/>
              <w:rPr>
                <w:sz w:val="3"/>
                <w:szCs w:val="3"/>
                <w:color w:val="auto"/>
              </w:rPr>
            </w:pPr>
          </w:p>
        </w:tc>
        <w:tc>
          <w:tcPr>
            <w:tcW w:w="9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9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For the year ended 31 December 2011</w:t>
            </w: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21. ISSUED CAPITAL</w:t>
            </w:r>
          </w:p>
        </w:tc>
        <w:tc>
          <w:tcPr>
            <w:tcW w:w="280" w:type="dxa"/>
            <w:vAlign w:val="bottom"/>
          </w:tcPr>
          <w:p>
            <w:pPr>
              <w:spacing w:after="0"/>
              <w:rPr>
                <w:sz w:val="3"/>
                <w:szCs w:val="3"/>
                <w:color w:val="auto"/>
              </w:rPr>
            </w:pPr>
          </w:p>
        </w:tc>
        <w:tc>
          <w:tcPr>
            <w:tcW w:w="9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D ring the year, the movements(continued)share capital were as follows:</w:t>
            </w:r>
          </w:p>
        </w:tc>
        <w:tc>
          <w:tcPr>
            <w:tcW w:w="0" w:type="dxa"/>
            <w:vAlign w:val="bottom"/>
          </w:tcPr>
          <w:p>
            <w:pPr>
              <w:spacing w:after="0"/>
              <w:rPr>
                <w:sz w:val="1"/>
                <w:szCs w:val="1"/>
                <w:color w:val="auto"/>
              </w:rPr>
            </w:pPr>
          </w:p>
        </w:tc>
      </w:tr>
      <w:tr>
        <w:trPr>
          <w:trHeight w:val="41"/>
        </w:trPr>
        <w:tc>
          <w:tcPr>
            <w:tcW w:w="1660" w:type="dxa"/>
            <w:vAlign w:val="bottom"/>
            <w:gridSpan w:val="3"/>
          </w:tcPr>
          <w:p>
            <w:pPr>
              <w:spacing w:after="0"/>
              <w:rPr>
                <w:sz w:val="20"/>
                <w:szCs w:val="20"/>
                <w:color w:val="auto"/>
              </w:rPr>
            </w:pPr>
            <w:r>
              <w:rPr>
                <w:rFonts w:ascii="Arial" w:cs="Arial" w:eastAsia="Arial" w:hAnsi="Arial"/>
                <w:sz w:val="3"/>
                <w:szCs w:val="3"/>
                <w:color w:val="FFFFFF"/>
              </w:rPr>
              <w:t>Number of Nominal value</w:t>
            </w:r>
          </w:p>
        </w:tc>
        <w:tc>
          <w:tcPr>
            <w:tcW w:w="9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Shares in issued of Shares HK$</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20"/>
                <w:szCs w:val="20"/>
                <w:color w:val="auto"/>
              </w:rPr>
            </w:pPr>
            <w:r>
              <w:rPr>
                <w:rFonts w:ascii="Arial" w:cs="Arial" w:eastAsia="Arial" w:hAnsi="Arial"/>
                <w:sz w:val="3"/>
                <w:szCs w:val="3"/>
                <w:color w:val="FFFFFF"/>
              </w:rPr>
              <w:t>At 1 January</w:t>
            </w:r>
          </w:p>
        </w:tc>
        <w:tc>
          <w:tcPr>
            <w:tcW w:w="10400" w:type="dxa"/>
            <w:vAlign w:val="bottom"/>
            <w:gridSpan w:val="3"/>
          </w:tcPr>
          <w:p>
            <w:pPr>
              <w:jc w:val="right"/>
              <w:ind w:right="8915"/>
              <w:spacing w:after="0"/>
              <w:rPr>
                <w:sz w:val="20"/>
                <w:szCs w:val="20"/>
                <w:color w:val="auto"/>
              </w:rPr>
            </w:pPr>
            <w:r>
              <w:rPr>
                <w:rFonts w:ascii="Arial" w:cs="Arial" w:eastAsia="Arial" w:hAnsi="Arial"/>
                <w:sz w:val="3"/>
                <w:szCs w:val="3"/>
                <w:color w:val="FFFFFF"/>
              </w:rPr>
              <w:t>31 December 2010 and</w:t>
            </w:r>
          </w:p>
        </w:tc>
        <w:tc>
          <w:tcPr>
            <w:tcW w:w="0" w:type="dxa"/>
            <w:vAlign w:val="bottom"/>
          </w:tcPr>
          <w:p>
            <w:pPr>
              <w:spacing w:after="0"/>
              <w:rPr>
                <w:sz w:val="1"/>
                <w:szCs w:val="1"/>
                <w:color w:val="auto"/>
              </w:rPr>
            </w:pPr>
          </w:p>
        </w:tc>
      </w:tr>
      <w:tr>
        <w:trPr>
          <w:trHeight w:val="41"/>
        </w:trPr>
        <w:tc>
          <w:tcPr>
            <w:tcW w:w="1660" w:type="dxa"/>
            <w:vAlign w:val="bottom"/>
            <w:gridSpan w:val="3"/>
          </w:tcPr>
          <w:p>
            <w:pPr>
              <w:spacing w:after="0"/>
              <w:rPr>
                <w:sz w:val="20"/>
                <w:szCs w:val="20"/>
                <w:color w:val="auto"/>
              </w:rPr>
            </w:pPr>
            <w:r>
              <w:rPr>
                <w:rFonts w:ascii="Arial" w:cs="Arial" w:eastAsia="Arial" w:hAnsi="Arial"/>
                <w:sz w:val="3"/>
                <w:szCs w:val="3"/>
                <w:color w:val="FFFFFF"/>
              </w:rPr>
              <w:t>1 January 2012010,5,187,500,000</w:t>
            </w:r>
          </w:p>
        </w:tc>
        <w:tc>
          <w:tcPr>
            <w:tcW w:w="9620" w:type="dxa"/>
            <w:vAlign w:val="bottom"/>
            <w:vMerge w:val="restart"/>
          </w:tcPr>
          <w:p>
            <w:pPr>
              <w:jc w:val="right"/>
              <w:ind w:right="9015"/>
              <w:spacing w:after="0" w:line="81" w:lineRule="exact"/>
              <w:rPr>
                <w:sz w:val="20"/>
                <w:szCs w:val="20"/>
                <w:color w:val="auto"/>
              </w:rPr>
            </w:pPr>
            <w:r>
              <w:rPr>
                <w:rFonts w:ascii="Arial" w:cs="Arial" w:eastAsia="Arial" w:hAnsi="Arial"/>
                <w:sz w:val="9"/>
                <w:szCs w:val="9"/>
                <w:color w:val="FFFFFF"/>
              </w:rPr>
              <w:t>5,187,500</w:t>
            </w:r>
          </w:p>
        </w:tc>
        <w:tc>
          <w:tcPr>
            <w:tcW w:w="0" w:type="dxa"/>
            <w:vAlign w:val="bottom"/>
          </w:tcPr>
          <w:p>
            <w:pPr>
              <w:spacing w:after="0"/>
              <w:rPr>
                <w:sz w:val="1"/>
                <w:szCs w:val="1"/>
                <w:color w:val="auto"/>
              </w:rPr>
            </w:pP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Share options exercised</w:t>
            </w:r>
          </w:p>
        </w:tc>
        <w:tc>
          <w:tcPr>
            <w:tcW w:w="280" w:type="dxa"/>
            <w:vAlign w:val="bottom"/>
          </w:tcPr>
          <w:p>
            <w:pPr>
              <w:spacing w:after="0"/>
              <w:rPr>
                <w:sz w:val="3"/>
                <w:szCs w:val="3"/>
                <w:color w:val="auto"/>
              </w:rPr>
            </w:pPr>
          </w:p>
        </w:tc>
        <w:tc>
          <w:tcPr>
            <w:tcW w:w="9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At 31 December 2011 5,187,550,000 5,187,550</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During the year 50,000 Shares of HK$0.001 each were issued for cash at an exercise price of HK$10.92 per Share pursuant to the exercise of the Company’s share options for a total cash consideration, before</w:t>
            </w:r>
          </w:p>
        </w:tc>
        <w:tc>
          <w:tcPr>
            <w:tcW w:w="0" w:type="dxa"/>
            <w:vAlign w:val="bottom"/>
          </w:tcPr>
          <w:p>
            <w:pPr>
              <w:spacing w:after="0"/>
              <w:rPr>
                <w:sz w:val="1"/>
                <w:szCs w:val="1"/>
                <w:color w:val="auto"/>
              </w:rPr>
            </w:pPr>
          </w:p>
        </w:tc>
      </w:tr>
      <w:tr>
        <w:trPr>
          <w:trHeight w:val="0"/>
        </w:trPr>
        <w:tc>
          <w:tcPr>
            <w:tcW w:w="1380" w:type="dxa"/>
            <w:vAlign w:val="bottom"/>
            <w:gridSpan w:val="2"/>
          </w:tcPr>
          <w:p>
            <w:pPr>
              <w:spacing w:after="0"/>
              <w:rPr>
                <w:sz w:val="20"/>
                <w:szCs w:val="20"/>
                <w:color w:val="auto"/>
              </w:rPr>
            </w:pPr>
            <w:r>
              <w:rPr>
                <w:rFonts w:ascii="Arial" w:cs="Arial" w:eastAsia="Arial" w:hAnsi="Arial"/>
                <w:sz w:val="3"/>
                <w:szCs w:val="3"/>
                <w:color w:val="FFFFFF"/>
              </w:rPr>
              <w:t>expense, of HK$546,000</w:t>
            </w:r>
          </w:p>
        </w:tc>
        <w:tc>
          <w:tcPr>
            <w:tcW w:w="9900" w:type="dxa"/>
            <w:vAlign w:val="bottom"/>
            <w:gridSpan w:val="2"/>
          </w:tcPr>
          <w:p>
            <w:pPr>
              <w:jc w:val="right"/>
              <w:ind w:right="8855"/>
              <w:spacing w:after="0"/>
              <w:rPr>
                <w:sz w:val="20"/>
                <w:szCs w:val="20"/>
                <w:color w:val="auto"/>
              </w:rPr>
            </w:pPr>
            <w:r>
              <w:rPr>
                <w:rFonts w:ascii="Arial" w:cs="Arial" w:eastAsia="Arial" w:hAnsi="Arial"/>
                <w:sz w:val="3"/>
                <w:szCs w:val="3"/>
                <w:color w:val="FFFFFF"/>
              </w:rPr>
              <w:t>(see also note 23).</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22. SHARE PREMIUM ACCOUNT AND RESERVES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FFFFFF"/>
        </w:rPr>
        <w:t>(a) Group</w:t>
      </w:r>
    </w:p>
    <w:p>
      <w:pPr>
        <w:ind w:right="340"/>
        <w:spacing w:after="0"/>
        <w:rPr>
          <w:sz w:val="20"/>
          <w:szCs w:val="20"/>
          <w:color w:val="auto"/>
        </w:rPr>
      </w:pPr>
      <w:r>
        <w:rPr>
          <w:rFonts w:ascii="Arial" w:cs="Arial" w:eastAsia="Arial" w:hAnsi="Arial"/>
          <w:sz w:val="6"/>
          <w:szCs w:val="6"/>
          <w:color w:val="FFFFFF"/>
        </w:rPr>
        <w:t>The Group’s share premium account mainly represents the difference between the nominal value of the shares of the subsidiaries acquired pursuant to the Group Reorganization prior to the Listing of the Company’s Shares, over the nominal value of the Company’s Shares issued in exchange therefore with adjustments arising from the Group Reorganization.</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FFFFFF"/>
        </w:rPr>
        <w:t>The amount of the Group’s reserves and the movements therein for the current and prior years are presented in the consolidated statement of changes in equity on page 76 of the fi nancial statements.</w:t>
      </w:r>
    </w:p>
    <w:p>
      <w:pPr>
        <w:sectPr>
          <w:pgSz w:w="11900" w:h="16838" w:orient="portrait"/>
          <w:cols w:equalWidth="0" w:num="1">
            <w:col w:w="11280"/>
          </w:cols>
          <w:pgMar w:left="240" w:top="1440" w:right="37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color w:val="FFFFFF"/>
              </w:rPr>
              <w:t>Annual Report 2011 131</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Financial Statements</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22. SHARE PREMIUM ACCOUNT AND RESERVES (continued)</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(b) Company</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Available-</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for-sale Retained</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Share Investments Share Earnings/</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Issued Premium Revaluation Option (Accumulated Total</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Capital Account Reserve Reserve Losses) Equity</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HK$ HK$ HK$ HK$ HK$ HK$</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(in thousands)</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At 1 January 2010 5,188 14,484,812 — — (33,680) 14,456,320</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Net income for the year — — — — 2,128,848 2,128,848</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Total comprehensive</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income for the year — — — — 2,128,848 2,128,848</w:t>
            </w:r>
          </w:p>
        </w:tc>
      </w:tr>
      <w:tr>
        <w:trPr>
          <w:trHeight w:val="41"/>
        </w:trPr>
        <w:tc>
          <w:tcPr>
            <w:tcW w:w="3680" w:type="dxa"/>
            <w:vAlign w:val="bottom"/>
            <w:gridSpan w:val="2"/>
          </w:tcPr>
          <w:p>
            <w:pPr>
              <w:jc w:val="center"/>
              <w:ind w:left="60"/>
              <w:spacing w:after="0"/>
              <w:rPr>
                <w:sz w:val="20"/>
                <w:szCs w:val="20"/>
                <w:color w:val="auto"/>
              </w:rPr>
            </w:pPr>
            <w:r>
              <w:rPr>
                <w:rFonts w:ascii="Arial" w:cs="Arial" w:eastAsia="Arial" w:hAnsi="Arial"/>
                <w:sz w:val="3"/>
                <w:szCs w:val="3"/>
                <w:color w:val="FFFFFF"/>
              </w:rPr>
              <w:t>pecial dividend paid — (1,770,960) — — (2,171,540) (3,942,500)</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Share-based payments — — — 1,596 — 1,596</w:t>
            </w:r>
          </w:p>
        </w:tc>
      </w:tr>
      <w:tr>
        <w:trPr>
          <w:trHeight w:val="41"/>
        </w:trPr>
        <w:tc>
          <w:tcPr>
            <w:tcW w:w="280" w:type="dxa"/>
            <w:vAlign w:val="bottom"/>
          </w:tcPr>
          <w:p>
            <w:pPr>
              <w:spacing w:after="0"/>
              <w:rPr>
                <w:sz w:val="20"/>
                <w:szCs w:val="20"/>
                <w:color w:val="auto"/>
              </w:rPr>
            </w:pPr>
            <w:r>
              <w:rPr>
                <w:rFonts w:ascii="Arial" w:cs="Arial" w:eastAsia="Arial" w:hAnsi="Arial"/>
                <w:sz w:val="3"/>
                <w:szCs w:val="3"/>
                <w:color w:val="FFFFFF"/>
              </w:rPr>
              <w:t>At</w:t>
            </w:r>
          </w:p>
        </w:tc>
        <w:tc>
          <w:tcPr>
            <w:tcW w:w="3400" w:type="dxa"/>
            <w:vAlign w:val="bottom"/>
          </w:tcPr>
          <w:p>
            <w:pPr>
              <w:ind w:left="60"/>
              <w:spacing w:after="0"/>
              <w:rPr>
                <w:sz w:val="20"/>
                <w:szCs w:val="20"/>
                <w:color w:val="auto"/>
              </w:rPr>
            </w:pPr>
            <w:r>
              <w:rPr>
                <w:rFonts w:ascii="Arial" w:cs="Arial" w:eastAsia="Arial" w:hAnsi="Arial"/>
                <w:sz w:val="3"/>
                <w:szCs w:val="3"/>
                <w:color w:val="FFFFFF"/>
              </w:rPr>
              <w:t>December</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and31 January 20120105,188 12,713,852 — 1,596 (76,372) 12,644,264</w:t>
            </w:r>
          </w:p>
        </w:tc>
      </w:tr>
      <w:tr>
        <w:trPr>
          <w:trHeight w:val="0"/>
        </w:trPr>
        <w:tc>
          <w:tcPr>
            <w:tcW w:w="280" w:type="dxa"/>
            <w:vAlign w:val="bottom"/>
          </w:tcPr>
          <w:p>
            <w:pPr>
              <w:spacing w:after="0" w:line="80" w:lineRule="exact"/>
              <w:rPr>
                <w:sz w:val="20"/>
                <w:szCs w:val="20"/>
                <w:color w:val="auto"/>
              </w:rPr>
            </w:pPr>
            <w:r>
              <w:rPr>
                <w:rFonts w:ascii="Arial" w:cs="Arial" w:eastAsia="Arial" w:hAnsi="Arial"/>
                <w:sz w:val="9"/>
                <w:szCs w:val="9"/>
                <w:color w:val="FFFFFF"/>
              </w:rPr>
              <w:t>Net</w:t>
            </w:r>
          </w:p>
        </w:tc>
        <w:tc>
          <w:tcPr>
            <w:tcW w:w="3400" w:type="dxa"/>
            <w:vAlign w:val="bottom"/>
          </w:tcPr>
          <w:p>
            <w:pPr>
              <w:jc w:val="center"/>
              <w:ind w:right="149"/>
              <w:spacing w:after="0" w:line="80" w:lineRule="exact"/>
              <w:rPr>
                <w:sz w:val="20"/>
                <w:szCs w:val="20"/>
                <w:color w:val="auto"/>
              </w:rPr>
            </w:pPr>
            <w:r>
              <w:rPr>
                <w:rFonts w:ascii="Arial" w:cs="Arial" w:eastAsia="Arial" w:hAnsi="Arial"/>
                <w:sz w:val="9"/>
                <w:szCs w:val="9"/>
                <w:color w:val="FFFFFF"/>
              </w:rPr>
              <w:t>for the year — — — — 7,818,924 7,818,924</w:t>
            </w:r>
          </w:p>
        </w:tc>
      </w:tr>
    </w:tbl>
    <w:p>
      <w:pPr>
        <w:spacing w:after="0"/>
        <w:rPr>
          <w:sz w:val="20"/>
          <w:szCs w:val="20"/>
          <w:color w:val="auto"/>
        </w:rPr>
      </w:pPr>
      <w:r>
        <w:rPr>
          <w:rFonts w:ascii="Arial" w:cs="Arial" w:eastAsia="Arial" w:hAnsi="Arial"/>
          <w:sz w:val="3"/>
          <w:szCs w:val="3"/>
          <w:color w:val="FFFFFF"/>
        </w:rPr>
        <w:t>Changesincome fair value</w:t>
      </w:r>
    </w:p>
    <w:p>
      <w:pPr>
        <w:spacing w:after="0" w:line="184" w:lineRule="auto"/>
        <w:rPr>
          <w:sz w:val="20"/>
          <w:szCs w:val="20"/>
          <w:color w:val="auto"/>
        </w:rPr>
      </w:pPr>
      <w:r>
        <w:rPr>
          <w:rFonts w:ascii="Arial" w:cs="Arial" w:eastAsia="Arial" w:hAnsi="Arial"/>
          <w:sz w:val="10"/>
          <w:szCs w:val="10"/>
          <w:color w:val="FFFFFF"/>
        </w:rPr>
        <w:t>forofavailable-saleinvestments,—</w:t>
      </w:r>
    </w:p>
    <w:p>
      <w:pPr>
        <w:spacing w:after="0"/>
        <w:rPr>
          <w:sz w:val="20"/>
          <w:szCs w:val="20"/>
          <w:color w:val="auto"/>
        </w:rPr>
      </w:pPr>
      <w:r>
        <w:rPr>
          <w:rFonts w:ascii="Arial" w:cs="Arial" w:eastAsia="Arial" w:hAnsi="Arial"/>
          <w:sz w:val="3"/>
          <w:szCs w:val="3"/>
          <w:color w:val="FFFFFF"/>
        </w:rPr>
        <w:t>Totalnetofcomprehensivetax——(14,341) — — (14,341)</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color w:val="FFFFFF"/>
        </w:rPr>
        <w:t>incomeSpecial fordividendtheyearpaid————(14,341)——(6,225,060)—7,818,924(6,225,060)7,804,583</w:t>
      </w:r>
    </w:p>
    <w:p>
      <w:pPr>
        <w:spacing w:after="0" w:line="203" w:lineRule="auto"/>
        <w:rPr>
          <w:sz w:val="20"/>
          <w:szCs w:val="20"/>
          <w:color w:val="auto"/>
        </w:rPr>
      </w:pPr>
      <w:r>
        <w:rPr>
          <w:rFonts w:ascii="Arial" w:cs="Arial" w:eastAsia="Arial" w:hAnsi="Arial"/>
          <w:sz w:val="6"/>
          <w:szCs w:val="6"/>
          <w:color w:val="FFFFFF"/>
        </w:rPr>
        <w:t>SharedExercise-basedofsharepaymentsoptions———779— —2,098(233)— —2,098546</w:t>
      </w:r>
    </w:p>
    <w:p>
      <w:pPr>
        <w:spacing w:after="0"/>
        <w:rPr>
          <w:sz w:val="20"/>
          <w:szCs w:val="20"/>
          <w:color w:val="auto"/>
        </w:rPr>
      </w:pPr>
      <w:r>
        <w:rPr>
          <w:rFonts w:ascii="Arial" w:cs="Arial" w:eastAsia="Arial" w:hAnsi="Arial"/>
          <w:sz w:val="12"/>
          <w:szCs w:val="12"/>
          <w:color w:val="FFFFFF"/>
        </w:rPr>
        <w:t>At 31 December 2011 5,188 12,714,631 (14,341) 3,461 1,517,492 14,226,431</w:t>
      </w:r>
    </w:p>
    <w:p>
      <w:pPr>
        <w:sectPr>
          <w:pgSz w:w="11900" w:h="16838" w:orient="portrait"/>
          <w:cols w:equalWidth="0" w:num="1">
            <w:col w:w="10219"/>
          </w:cols>
          <w:pgMar w:left="240" w:top="1440" w:right="1440"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20"/>
                <w:szCs w:val="20"/>
                <w:color w:val="auto"/>
              </w:rPr>
            </w:pPr>
            <w:r>
              <w:rPr>
                <w:rFonts w:ascii="Arial" w:cs="Arial" w:eastAsia="Arial" w:hAnsi="Arial"/>
                <w:sz w:val="14"/>
                <w:szCs w:val="14"/>
                <w:color w:val="FFFFFF"/>
              </w:rPr>
              <w:t>132 Wynn Macau, Limited</w:t>
            </w:r>
          </w:p>
        </w:tc>
        <w:tc>
          <w:tcPr>
            <w:tcW w:w="1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20"/>
                <w:szCs w:val="20"/>
                <w:color w:val="auto"/>
              </w:rPr>
            </w:pPr>
            <w:r>
              <w:rPr>
                <w:rFonts w:ascii="Arial" w:cs="Arial" w:eastAsia="Arial" w:hAnsi="Arial"/>
                <w:sz w:val="3"/>
                <w:szCs w:val="3"/>
                <w:color w:val="FFFFFF"/>
              </w:rPr>
              <w:t>Financial Statements</w:t>
            </w:r>
          </w:p>
        </w:tc>
        <w:tc>
          <w:tcPr>
            <w:tcW w:w="1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20"/>
                <w:szCs w:val="20"/>
                <w:color w:val="auto"/>
              </w:rPr>
            </w:pPr>
            <w:r>
              <w:rPr>
                <w:rFonts w:ascii="Arial" w:cs="Arial" w:eastAsia="Arial" w:hAnsi="Arial"/>
                <w:sz w:val="3"/>
                <w:szCs w:val="3"/>
                <w:color w:val="FFFFFF"/>
              </w:rPr>
              <w:t>For the year ended 31 December 2011</w:t>
            </w:r>
          </w:p>
        </w:tc>
        <w:tc>
          <w:tcPr>
            <w:tcW w:w="1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20"/>
                <w:szCs w:val="20"/>
                <w:color w:val="auto"/>
              </w:rPr>
            </w:pPr>
            <w:r>
              <w:rPr>
                <w:rFonts w:ascii="Arial" w:cs="Arial" w:eastAsia="Arial" w:hAnsi="Arial"/>
                <w:sz w:val="3"/>
                <w:szCs w:val="3"/>
                <w:color w:val="FFFFFF"/>
              </w:rPr>
              <w:t>22. SHARE PREMIUM ACCOUNT AND RESERVES (continued)</w:t>
            </w:r>
          </w:p>
        </w:tc>
        <w:tc>
          <w:tcPr>
            <w:tcW w:w="1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500" w:type="dxa"/>
            <w:vAlign w:val="bottom"/>
            <w:gridSpan w:val="3"/>
            <w:vMerge w:val="restart"/>
          </w:tcPr>
          <w:p>
            <w:pPr>
              <w:ind w:left="20"/>
              <w:spacing w:after="0" w:line="81" w:lineRule="exact"/>
              <w:rPr>
                <w:sz w:val="20"/>
                <w:szCs w:val="20"/>
                <w:color w:val="auto"/>
              </w:rPr>
            </w:pPr>
            <w:r>
              <w:rPr>
                <w:rFonts w:ascii="Arial" w:cs="Arial" w:eastAsia="Arial" w:hAnsi="Arial"/>
                <w:sz w:val="9"/>
                <w:szCs w:val="9"/>
                <w:color w:val="FFFFFF"/>
              </w:rPr>
              <w:t>option reserve and retained earnings. Under the Companies Law</w:t>
            </w:r>
          </w:p>
        </w:tc>
        <w:tc>
          <w:tcPr>
            <w:tcW w:w="0" w:type="dxa"/>
            <w:vAlign w:val="bottom"/>
          </w:tcPr>
          <w:p>
            <w:pPr>
              <w:spacing w:after="0"/>
              <w:rPr>
                <w:sz w:val="1"/>
                <w:szCs w:val="1"/>
                <w:color w:val="auto"/>
              </w:rPr>
            </w:pPr>
          </w:p>
        </w:tc>
      </w:tr>
      <w:tr>
        <w:trPr>
          <w:trHeight w:val="41"/>
        </w:trPr>
        <w:tc>
          <w:tcPr>
            <w:tcW w:w="7860" w:type="dxa"/>
            <w:vAlign w:val="bottom"/>
            <w:gridSpan w:val="3"/>
          </w:tcPr>
          <w:p>
            <w:pPr>
              <w:spacing w:after="0"/>
              <w:rPr>
                <w:sz w:val="20"/>
                <w:szCs w:val="20"/>
                <w:color w:val="auto"/>
              </w:rPr>
            </w:pPr>
            <w:r>
              <w:rPr>
                <w:rFonts w:ascii="Arial" w:cs="Arial" w:eastAsia="Arial" w:hAnsi="Arial"/>
                <w:sz w:val="3"/>
                <w:szCs w:val="3"/>
                <w:color w:val="FFFFFF"/>
              </w:rPr>
              <w:t>The Company’s reserves available for distribution represent the share premium account, available-for-sale investments revaluation reserve,</w:t>
            </w:r>
          </w:p>
        </w:tc>
        <w:tc>
          <w:tcPr>
            <w:tcW w:w="35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20"/>
                <w:szCs w:val="20"/>
                <w:color w:val="auto"/>
              </w:rPr>
            </w:pPr>
            <w:r>
              <w:rPr>
                <w:rFonts w:ascii="Arial" w:cs="Arial" w:eastAsia="Arial" w:hAnsi="Arial"/>
                <w:sz w:val="3"/>
                <w:szCs w:val="3"/>
                <w:color w:val="FFFFFF"/>
              </w:rPr>
              <w:t>(Revised) Chapter 22 of the Cayman Islands, the share premium of the</w:t>
            </w:r>
          </w:p>
        </w:tc>
        <w:tc>
          <w:tcPr>
            <w:tcW w:w="6620" w:type="dxa"/>
            <w:vAlign w:val="bottom"/>
            <w:gridSpan w:val="4"/>
          </w:tcPr>
          <w:p>
            <w:pPr>
              <w:ind w:left="300"/>
              <w:spacing w:after="0"/>
              <w:rPr>
                <w:sz w:val="20"/>
                <w:szCs w:val="20"/>
                <w:color w:val="auto"/>
              </w:rPr>
            </w:pPr>
            <w:r>
              <w:rPr>
                <w:rFonts w:ascii="Arial" w:cs="Arial" w:eastAsia="Arial" w:hAnsi="Arial"/>
                <w:sz w:val="3"/>
                <w:szCs w:val="3"/>
                <w:color w:val="FFFFFF"/>
              </w:rPr>
              <w:t>is available for paying distributions or dividends to shareholders subject to the provisions of its Memorandum or</w:t>
            </w:r>
          </w:p>
        </w:tc>
        <w:tc>
          <w:tcPr>
            <w:tcW w:w="620" w:type="dxa"/>
            <w:vAlign w:val="bottom"/>
          </w:tcPr>
          <w:p>
            <w:pPr>
              <w:ind w:left="260"/>
              <w:spacing w:after="0"/>
              <w:rPr>
                <w:sz w:val="20"/>
                <w:szCs w:val="20"/>
                <w:color w:val="auto"/>
              </w:rPr>
            </w:pPr>
            <w:r>
              <w:rPr>
                <w:rFonts w:ascii="Arial" w:cs="Arial" w:eastAsia="Arial" w:hAnsi="Arial"/>
                <w:sz w:val="3"/>
                <w:szCs w:val="3"/>
                <w:color w:val="FFFFFF"/>
              </w:rPr>
              <w:t>of</w:t>
            </w: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Association and provided that immediately following the distribution ofCompanydividend, the Company is able to pay its debts as they fall due in the ordinary course of business. Accordingly, the Company’Articlesreserves</w:t>
            </w:r>
          </w:p>
        </w:tc>
        <w:tc>
          <w:tcPr>
            <w:tcW w:w="0" w:type="dxa"/>
            <w:vAlign w:val="bottom"/>
          </w:tcPr>
          <w:p>
            <w:pPr>
              <w:spacing w:after="0"/>
              <w:rPr>
                <w:sz w:val="1"/>
                <w:szCs w:val="1"/>
                <w:color w:val="auto"/>
              </w:rPr>
            </w:pPr>
          </w:p>
        </w:tc>
      </w:tr>
      <w:tr>
        <w:trPr>
          <w:trHeight w:val="41"/>
        </w:trPr>
        <w:tc>
          <w:tcPr>
            <w:tcW w:w="7860" w:type="dxa"/>
            <w:vAlign w:val="bottom"/>
            <w:gridSpan w:val="3"/>
          </w:tcPr>
          <w:p>
            <w:pPr>
              <w:spacing w:after="0"/>
              <w:rPr>
                <w:sz w:val="20"/>
                <w:szCs w:val="20"/>
                <w:color w:val="auto"/>
              </w:rPr>
            </w:pPr>
            <w:r>
              <w:rPr>
                <w:rFonts w:ascii="Arial" w:cs="Arial" w:eastAsia="Arial" w:hAnsi="Arial"/>
                <w:sz w:val="3"/>
                <w:szCs w:val="3"/>
                <w:color w:val="FFFFFF"/>
              </w:rPr>
              <w:t>available for distribution to shareholders as at 31 December 2011 amounted to approximately HK$14.2 billion (2010: HK$12.7 billion).</w:t>
            </w:r>
          </w:p>
        </w:tc>
        <w:tc>
          <w:tcPr>
            <w:tcW w:w="4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20"/>
                <w:szCs w:val="20"/>
                <w:color w:val="auto"/>
              </w:rPr>
            </w:pPr>
            <w:r>
              <w:rPr>
                <w:rFonts w:ascii="Arial" w:cs="Arial" w:eastAsia="Arial" w:hAnsi="Arial"/>
                <w:sz w:val="3"/>
                <w:szCs w:val="3"/>
                <w:color w:val="FFFFFF"/>
              </w:rPr>
              <w:t>23. SHARE-BASED PAYMENT PLAN</w:t>
            </w:r>
          </w:p>
        </w:tc>
        <w:tc>
          <w:tcPr>
            <w:tcW w:w="1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20" w:type="dxa"/>
            <w:vAlign w:val="bottom"/>
          </w:tcPr>
          <w:p>
            <w:pPr>
              <w:ind w:left="780"/>
              <w:spacing w:after="0"/>
              <w:rPr>
                <w:sz w:val="20"/>
                <w:szCs w:val="20"/>
                <w:color w:val="auto"/>
              </w:rPr>
            </w:pPr>
            <w:r>
              <w:rPr>
                <w:rFonts w:ascii="Arial" w:cs="Arial" w:eastAsia="Arial" w:hAnsi="Arial"/>
                <w:sz w:val="3"/>
                <w:szCs w:val="3"/>
                <w:color w:val="FFFFFF"/>
              </w:rPr>
              <w:t>’ share option scheme</w:t>
            </w:r>
          </w:p>
        </w:tc>
        <w:tc>
          <w:tcPr>
            <w:tcW w:w="1720" w:type="dxa"/>
            <w:vAlign w:val="bottom"/>
          </w:tcPr>
          <w:p>
            <w:pPr>
              <w:spacing w:after="0"/>
              <w:rPr>
                <w:sz w:val="3"/>
                <w:szCs w:val="3"/>
                <w:color w:val="auto"/>
              </w:rPr>
            </w:pPr>
          </w:p>
        </w:tc>
        <w:tc>
          <w:tcPr>
            <w:tcW w:w="2020" w:type="dxa"/>
            <w:vAlign w:val="bottom"/>
            <w:vMerge w:val="restart"/>
          </w:tcPr>
          <w:p>
            <w:pPr>
              <w:ind w:left="440"/>
              <w:spacing w:after="0" w:line="81" w:lineRule="exact"/>
              <w:rPr>
                <w:sz w:val="20"/>
                <w:szCs w:val="20"/>
                <w:color w:val="auto"/>
              </w:rPr>
            </w:pPr>
            <w:r>
              <w:rPr>
                <w:rFonts w:ascii="Arial" w:cs="Arial" w:eastAsia="Arial" w:hAnsi="Arial"/>
                <w:sz w:val="9"/>
                <w:szCs w:val="9"/>
                <w:color w:val="FFFFFF"/>
              </w:rPr>
              <w:t>which may include Directors</w:t>
            </w:r>
          </w:p>
        </w:tc>
        <w:tc>
          <w:tcPr>
            <w:tcW w:w="3500" w:type="dxa"/>
            <w:vAlign w:val="bottom"/>
            <w:gridSpan w:val="3"/>
            <w:vMerge w:val="restart"/>
          </w:tcPr>
          <w:p>
            <w:pPr>
              <w:ind w:left="260"/>
              <w:spacing w:after="0" w:line="81" w:lineRule="exact"/>
              <w:rPr>
                <w:sz w:val="20"/>
                <w:szCs w:val="20"/>
                <w:color w:val="auto"/>
              </w:rPr>
            </w:pPr>
            <w:r>
              <w:rPr>
                <w:rFonts w:ascii="Arial" w:cs="Arial" w:eastAsia="Arial" w:hAnsi="Arial"/>
                <w:sz w:val="9"/>
                <w:szCs w:val="9"/>
                <w:color w:val="FFFFFF"/>
              </w:rPr>
              <w:t>employees of the Group, who   ve contributed to the Group</w:t>
            </w:r>
          </w:p>
        </w:tc>
        <w:tc>
          <w:tcPr>
            <w:tcW w:w="0" w:type="dxa"/>
            <w:vAlign w:val="bottom"/>
          </w:tcPr>
          <w:p>
            <w:pPr>
              <w:spacing w:after="0"/>
              <w:rPr>
                <w:sz w:val="1"/>
                <w:szCs w:val="1"/>
                <w:color w:val="auto"/>
              </w:rPr>
            </w:pPr>
          </w:p>
        </w:tc>
      </w:tr>
      <w:tr>
        <w:trPr>
          <w:trHeight w:val="41"/>
        </w:trPr>
        <w:tc>
          <w:tcPr>
            <w:tcW w:w="5840" w:type="dxa"/>
            <w:vAlign w:val="bottom"/>
            <w:gridSpan w:val="2"/>
          </w:tcPr>
          <w:p>
            <w:pPr>
              <w:spacing w:after="0"/>
              <w:rPr>
                <w:sz w:val="20"/>
                <w:szCs w:val="20"/>
                <w:color w:val="auto"/>
              </w:rPr>
            </w:pPr>
            <w:r>
              <w:rPr>
                <w:rFonts w:ascii="Arial" w:cs="Arial" w:eastAsia="Arial" w:hAnsi="Arial"/>
                <w:sz w:val="3"/>
                <w:szCs w:val="3"/>
                <w:color w:val="FFFFFF"/>
              </w:rPr>
              <w:t>The Company established a share option scheme on 16 September 2009 with the purpose of rewarding</w:t>
            </w:r>
          </w:p>
        </w:tc>
        <w:tc>
          <w:tcPr>
            <w:tcW w:w="2020" w:type="dxa"/>
            <w:vAlign w:val="bottom"/>
            <w:vMerge w:val="continue"/>
          </w:tcPr>
          <w:p>
            <w:pPr>
              <w:spacing w:after="0"/>
              <w:rPr>
                <w:sz w:val="3"/>
                <w:szCs w:val="3"/>
                <w:color w:val="auto"/>
              </w:rPr>
            </w:pPr>
          </w:p>
        </w:tc>
        <w:tc>
          <w:tcPr>
            <w:tcW w:w="35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and to encourage them to work towards enhancing the value of the Company and its Shares for the benefiparticipants,oftheCompany and its Shareholders asand whole. Under the rules of the share option scheme, the</w:t>
            </w:r>
          </w:p>
        </w:tc>
        <w:tc>
          <w:tcPr>
            <w:tcW w:w="0" w:type="dxa"/>
            <w:vAlign w:val="bottom"/>
          </w:tcPr>
          <w:p>
            <w:pPr>
              <w:spacing w:after="0"/>
              <w:rPr>
                <w:sz w:val="1"/>
                <w:szCs w:val="1"/>
                <w:color w:val="auto"/>
              </w:rPr>
            </w:pPr>
          </w:p>
        </w:tc>
      </w:tr>
      <w:tr>
        <w:trPr>
          <w:trHeight w:val="41"/>
        </w:trPr>
        <w:tc>
          <w:tcPr>
            <w:tcW w:w="8340" w:type="dxa"/>
            <w:vAlign w:val="bottom"/>
            <w:gridSpan w:val="4"/>
          </w:tcPr>
          <w:p>
            <w:pPr>
              <w:spacing w:after="0"/>
              <w:rPr>
                <w:sz w:val="20"/>
                <w:szCs w:val="20"/>
                <w:color w:val="auto"/>
              </w:rPr>
            </w:pPr>
            <w:r>
              <w:rPr>
                <w:rFonts w:ascii="Arial" w:cs="Arial" w:eastAsia="Arial" w:hAnsi="Arial"/>
                <w:sz w:val="3"/>
                <w:szCs w:val="3"/>
                <w:color w:val="FFFFFF"/>
              </w:rPr>
              <w:t>maximum number of Shares which can be issued upon exercise of all options granted under the share option scheme and of the Company shall not, in the</w:t>
            </w:r>
          </w:p>
        </w:tc>
        <w:tc>
          <w:tcPr>
            <w:tcW w:w="3020" w:type="dxa"/>
            <w:vAlign w:val="bottom"/>
            <w:gridSpan w:val="2"/>
          </w:tcPr>
          <w:p>
            <w:pPr>
              <w:ind w:left="60"/>
              <w:spacing w:after="0"/>
              <w:rPr>
                <w:sz w:val="20"/>
                <w:szCs w:val="20"/>
                <w:color w:val="auto"/>
              </w:rPr>
            </w:pPr>
            <w:r>
              <w:rPr>
                <w:rFonts w:ascii="Arial" w:cs="Arial" w:eastAsia="Arial" w:hAnsi="Arial"/>
                <w:sz w:val="3"/>
                <w:szCs w:val="3"/>
                <w:color w:val="FFFFFF"/>
              </w:rPr>
              <w:t>bsence of shareholders’ approval, in aggregate exceed</w:t>
            </w: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10% in nominal amount of the aggregate of Shares in issue on the date of the listing of the Shares   the Hong Kong Stock Exchange (the “Scheme Mandate Limit”); and the Scheme Mandate Limit may be</w:t>
            </w:r>
          </w:p>
        </w:tc>
        <w:tc>
          <w:tcPr>
            <w:tcW w:w="0" w:type="dxa"/>
            <w:vAlign w:val="bottom"/>
          </w:tcPr>
          <w:p>
            <w:pPr>
              <w:spacing w:after="0"/>
              <w:rPr>
                <w:sz w:val="1"/>
                <w:szCs w:val="1"/>
                <w:color w:val="auto"/>
              </w:rPr>
            </w:pPr>
          </w:p>
        </w:tc>
      </w:tr>
      <w:tr>
        <w:trPr>
          <w:trHeight w:val="41"/>
        </w:trPr>
        <w:tc>
          <w:tcPr>
            <w:tcW w:w="5840" w:type="dxa"/>
            <w:vAlign w:val="bottom"/>
            <w:gridSpan w:val="2"/>
          </w:tcPr>
          <w:p>
            <w:pPr>
              <w:spacing w:after="0"/>
              <w:rPr>
                <w:sz w:val="20"/>
                <w:szCs w:val="20"/>
                <w:color w:val="auto"/>
              </w:rPr>
            </w:pPr>
            <w:r>
              <w:rPr>
                <w:rFonts w:ascii="Arial" w:cs="Arial" w:eastAsia="Arial" w:hAnsi="Arial"/>
                <w:sz w:val="3"/>
                <w:szCs w:val="3"/>
                <w:color w:val="FFFFFF"/>
              </w:rPr>
              <w:t>renewed subject to Shareholders’ approval. A maximum of 518.75 million shares (2010: 518.75 million</w:t>
            </w:r>
          </w:p>
        </w:tc>
        <w:tc>
          <w:tcPr>
            <w:tcW w:w="2500" w:type="dxa"/>
            <w:vAlign w:val="bottom"/>
            <w:gridSpan w:val="2"/>
          </w:tcPr>
          <w:p>
            <w:pPr>
              <w:ind w:left="220"/>
              <w:spacing w:after="0"/>
              <w:rPr>
                <w:sz w:val="20"/>
                <w:szCs w:val="20"/>
                <w:color w:val="auto"/>
              </w:rPr>
            </w:pPr>
            <w:r>
              <w:rPr>
                <w:rFonts w:ascii="Arial" w:cs="Arial" w:eastAsia="Arial" w:hAnsi="Arial"/>
                <w:sz w:val="3"/>
                <w:szCs w:val="3"/>
                <w:color w:val="FFFFFF"/>
              </w:rPr>
              <w:t>have been reserved for issuance under</w:t>
            </w:r>
          </w:p>
        </w:tc>
        <w:tc>
          <w:tcPr>
            <w:tcW w:w="3020" w:type="dxa"/>
            <w:vAlign w:val="bottom"/>
            <w:gridSpan w:val="2"/>
          </w:tcPr>
          <w:p>
            <w:pPr>
              <w:ind w:left="20"/>
              <w:spacing w:after="0"/>
              <w:rPr>
                <w:sz w:val="20"/>
                <w:szCs w:val="20"/>
                <w:color w:val="auto"/>
              </w:rPr>
            </w:pPr>
            <w:r>
              <w:rPr>
                <w:rFonts w:ascii="Arial" w:cs="Arial" w:eastAsia="Arial" w:hAnsi="Arial"/>
                <w:sz w:val="3"/>
                <w:szCs w:val="3"/>
                <w:color w:val="FFFFFF"/>
              </w:rPr>
              <w:t>share option scheme. The options granted under the</w:t>
            </w:r>
          </w:p>
        </w:tc>
        <w:tc>
          <w:tcPr>
            <w:tcW w:w="0" w:type="dxa"/>
            <w:vAlign w:val="bottom"/>
          </w:tcPr>
          <w:p>
            <w:pPr>
              <w:spacing w:after="0"/>
              <w:rPr>
                <w:sz w:val="1"/>
                <w:szCs w:val="1"/>
                <w:color w:val="auto"/>
              </w:rPr>
            </w:pPr>
          </w:p>
        </w:tc>
      </w:tr>
      <w:tr>
        <w:trPr>
          <w:trHeight w:val="213"/>
        </w:trPr>
        <w:tc>
          <w:tcPr>
            <w:tcW w:w="10740" w:type="dxa"/>
            <w:vAlign w:val="bottom"/>
            <w:gridSpan w:val="5"/>
          </w:tcPr>
          <w:p>
            <w:pPr>
              <w:spacing w:after="0"/>
              <w:rPr>
                <w:sz w:val="20"/>
                <w:szCs w:val="20"/>
                <w:color w:val="auto"/>
              </w:rPr>
            </w:pPr>
            <w:r>
              <w:rPr>
                <w:rFonts w:ascii="Arial" w:cs="Arial" w:eastAsia="Arial" w:hAnsi="Arial"/>
                <w:sz w:val="14"/>
                <w:szCs w:val="14"/>
                <w:color w:val="FFFFFF"/>
                <w:w w:val="87"/>
              </w:rPr>
              <w:t>share option scheme do not give immediate ownership of the underlying Shares as they require payment shares)ofsubscription price which is based on the then prevailing market price of the Shares.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AnnualFinancialReportStatements2011 133</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23.For SHAREtheyear-endedBASED31PAYMENTDecember 2011PLAN (continued)</w:t>
      </w:r>
    </w:p>
    <w:p>
      <w:pPr>
        <w:ind w:left="260"/>
        <w:spacing w:after="0"/>
        <w:rPr>
          <w:sz w:val="20"/>
          <w:szCs w:val="20"/>
          <w:color w:val="auto"/>
        </w:rPr>
      </w:pPr>
      <w:r>
        <w:rPr>
          <w:rFonts w:ascii="Arial" w:cs="Arial" w:eastAsia="Arial" w:hAnsi="Arial"/>
          <w:sz w:val="3"/>
          <w:szCs w:val="3"/>
          <w:color w:val="FFFFFF"/>
        </w:rPr>
        <w:t>Compa y’ share option scheme (cont</w:t>
      </w:r>
    </w:p>
    <w:p>
      <w:pPr>
        <w:spacing w:after="0" w:line="181" w:lineRule="auto"/>
        <w:rPr>
          <w:sz w:val="20"/>
          <w:szCs w:val="20"/>
          <w:color w:val="auto"/>
        </w:rPr>
      </w:pPr>
      <w:r>
        <w:rPr>
          <w:rFonts w:ascii="Arial" w:cs="Arial" w:eastAsia="Arial" w:hAnsi="Arial"/>
          <w:sz w:val="10"/>
          <w:szCs w:val="10"/>
          <w:color w:val="FFFFFF"/>
        </w:rPr>
        <w:t>WeightedThefollowingWeightedshare options were outstanding under the share option scheme during the year:</w:t>
      </w:r>
    </w:p>
    <w:p>
      <w:pPr>
        <w:spacing w:after="0"/>
        <w:rPr>
          <w:sz w:val="20"/>
          <w:szCs w:val="20"/>
          <w:color w:val="auto"/>
        </w:rPr>
      </w:pPr>
      <w:r>
        <w:rPr>
          <w:rFonts w:ascii="Arial" w:cs="Arial" w:eastAsia="Arial" w:hAnsi="Arial"/>
          <w:sz w:val="3"/>
          <w:szCs w:val="3"/>
          <w:color w:val="FFFFFF"/>
        </w:rPr>
        <w:t>Number of Average Average</w:t>
      </w:r>
    </w:p>
    <w:p>
      <w:pPr>
        <w:spacing w:after="0" w:line="181" w:lineRule="auto"/>
        <w:rPr>
          <w:sz w:val="20"/>
          <w:szCs w:val="20"/>
          <w:color w:val="auto"/>
        </w:rPr>
      </w:pPr>
      <w:r>
        <w:rPr>
          <w:rFonts w:ascii="Arial" w:cs="Arial" w:eastAsia="Arial" w:hAnsi="Arial"/>
          <w:sz w:val="10"/>
          <w:szCs w:val="10"/>
          <w:color w:val="FFFFFF"/>
        </w:rPr>
        <w:t>(HKOptions$)(Years)Exercise Price Exercise Term</w:t>
      </w:r>
    </w:p>
    <w:p>
      <w:pPr>
        <w:spacing w:after="0"/>
        <w:rPr>
          <w:sz w:val="20"/>
          <w:szCs w:val="20"/>
          <w:color w:val="auto"/>
        </w:rPr>
      </w:pPr>
      <w:r>
        <w:rPr>
          <w:rFonts w:ascii="Arial" w:cs="Arial" w:eastAsia="Arial" w:hAnsi="Arial"/>
          <w:sz w:val="3"/>
          <w:szCs w:val="3"/>
          <w:color w:val="FFFFFF"/>
        </w:rPr>
        <w:t>Outstanding as at 1 January 2010 —</w:t>
      </w:r>
    </w:p>
    <w:p>
      <w:pPr>
        <w:spacing w:after="0" w:line="181" w:lineRule="auto"/>
        <w:rPr>
          <w:sz w:val="20"/>
          <w:szCs w:val="20"/>
          <w:color w:val="auto"/>
        </w:rPr>
      </w:pPr>
      <w:r>
        <w:rPr>
          <w:rFonts w:ascii="Arial" w:cs="Arial" w:eastAsia="Arial" w:hAnsi="Arial"/>
          <w:sz w:val="10"/>
          <w:szCs w:val="10"/>
          <w:color w:val="FFFFFF"/>
        </w:rPr>
        <w:t>OutstandingGrantedduringas atthe31yearDecember1,000,000201010.92or</w:t>
      </w:r>
    </w:p>
    <w:p>
      <w:pPr>
        <w:spacing w:after="0"/>
        <w:rPr>
          <w:sz w:val="20"/>
          <w:szCs w:val="20"/>
          <w:color w:val="auto"/>
        </w:rPr>
      </w:pPr>
      <w:r>
        <w:rPr>
          <w:rFonts w:ascii="Arial" w:cs="Arial" w:eastAsia="Arial" w:hAnsi="Arial"/>
          <w:sz w:val="3"/>
          <w:szCs w:val="3"/>
          <w:color w:val="FFFFFF"/>
        </w:rPr>
        <w:t>1 January 2011 1,000,000 10.92 9.3</w:t>
      </w:r>
    </w:p>
    <w:p>
      <w:pPr>
        <w:spacing w:after="0" w:line="181" w:lineRule="auto"/>
        <w:rPr>
          <w:sz w:val="20"/>
          <w:szCs w:val="20"/>
          <w:color w:val="auto"/>
        </w:rPr>
      </w:pPr>
      <w:r>
        <w:rPr>
          <w:rFonts w:ascii="Arial" w:cs="Arial" w:eastAsia="Arial" w:hAnsi="Arial"/>
          <w:sz w:val="10"/>
          <w:szCs w:val="10"/>
          <w:color w:val="FFFFFF"/>
        </w:rPr>
        <w:t>ExercisedGrantedduringduringthetheyearyear400,000(note20125.961)(50,000) 10.92</w:t>
      </w:r>
    </w:p>
    <w:p>
      <w:pPr>
        <w:spacing w:after="0"/>
        <w:tabs>
          <w:tab w:leader="none" w:pos="1920" w:val="left"/>
        </w:tabs>
        <w:rPr>
          <w:sz w:val="20"/>
          <w:szCs w:val="20"/>
          <w:color w:val="auto"/>
        </w:rPr>
      </w:pPr>
      <w:r>
        <w:rPr>
          <w:rFonts w:ascii="Arial" w:cs="Arial" w:eastAsia="Arial" w:hAnsi="Arial"/>
          <w:sz w:val="3"/>
          <w:szCs w:val="3"/>
          <w:color w:val="FFFFFF"/>
        </w:rPr>
        <w:t>SharesOutstandingexercisableasat31asDecemberat</w:t>
      </w:r>
      <w:r>
        <w:rPr>
          <w:sz w:val="20"/>
          <w:szCs w:val="20"/>
          <w:color w:val="auto"/>
        </w:rPr>
        <w:tab/>
      </w:r>
      <w:r>
        <w:rPr>
          <w:rFonts w:ascii="Arial" w:cs="Arial" w:eastAsia="Arial" w:hAnsi="Arial"/>
          <w:sz w:val="3"/>
          <w:szCs w:val="3"/>
          <w:color w:val="FFFFFF"/>
        </w:rPr>
        <w:t>1 1,350,000 15.38 8.6</w:t>
      </w:r>
    </w:p>
    <w:p>
      <w:pPr>
        <w:spacing w:after="0" w:line="194" w:lineRule="auto"/>
        <w:rPr>
          <w:sz w:val="20"/>
          <w:szCs w:val="20"/>
          <w:color w:val="auto"/>
        </w:rPr>
      </w:pPr>
      <w:r>
        <w:rPr>
          <w:rFonts w:ascii="Arial" w:cs="Arial" w:eastAsia="Arial" w:hAnsi="Arial"/>
          <w:sz w:val="5"/>
          <w:szCs w:val="5"/>
          <w:color w:val="FFFFFF"/>
        </w:rPr>
        <w:t>31 December 2011 150,000 10.92 8.3</w:t>
      </w:r>
    </w:p>
    <w:p>
      <w:pPr>
        <w:spacing w:after="0" w:line="188" w:lineRule="auto"/>
        <w:rPr>
          <w:sz w:val="20"/>
          <w:szCs w:val="20"/>
          <w:color w:val="auto"/>
        </w:rPr>
      </w:pPr>
      <w:r>
        <w:rPr>
          <w:rFonts w:ascii="Arial" w:cs="Arial" w:eastAsia="Arial" w:hAnsi="Arial"/>
          <w:sz w:val="9"/>
          <w:szCs w:val="9"/>
          <w:color w:val="FFFFFF"/>
        </w:rPr>
        <w:t>Shares exercisable as at 31 December 2010 — — —</w:t>
      </w:r>
    </w:p>
    <w:p>
      <w:pPr>
        <w:spacing w:after="0"/>
        <w:rPr>
          <w:sz w:val="20"/>
          <w:szCs w:val="20"/>
          <w:color w:val="auto"/>
        </w:rPr>
      </w:pPr>
      <w:r>
        <w:rPr>
          <w:rFonts w:ascii="Arial" w:cs="Arial" w:eastAsia="Arial" w:hAnsi="Arial"/>
          <w:sz w:val="7"/>
          <w:szCs w:val="7"/>
          <w:color w:val="FFFFFF"/>
        </w:rPr>
        <w:t>wasThe HKweighted$26.35averageperShareshare(2010:priceNoat sharethedateoptionsofexercisewereexercised)foroptions. exercised during the year</w:t>
      </w:r>
    </w:p>
    <w:p>
      <w:pPr>
        <w:sectPr>
          <w:pgSz w:w="11900" w:h="16838" w:orient="portrait"/>
          <w:cols w:equalWidth="0" w:num="1">
            <w:col w:w="10219"/>
          </w:cols>
          <w:pgMar w:left="240" w:top="1440" w:right="1440"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20"/>
                <w:szCs w:val="20"/>
                <w:color w:val="auto"/>
              </w:rPr>
            </w:pPr>
            <w:r>
              <w:rPr>
                <w:rFonts w:ascii="Arial" w:cs="Arial" w:eastAsia="Arial" w:hAnsi="Arial"/>
                <w:sz w:val="14"/>
                <w:szCs w:val="14"/>
                <w:color w:val="FFFFFF"/>
              </w:rPr>
              <w:t>134 Wynn Macau, Limited</w:t>
            </w: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Financial Statements</w:t>
            </w: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For the year ended 31 December 2011</w:t>
            </w: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23. SHARE-BASED PAYMENT PLAN (continued)</w:t>
            </w: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tcPr>
          <w:p>
            <w:pPr>
              <w:ind w:left="260"/>
              <w:spacing w:after="0"/>
              <w:rPr>
                <w:sz w:val="20"/>
                <w:szCs w:val="20"/>
                <w:color w:val="auto"/>
              </w:rPr>
            </w:pPr>
            <w:r>
              <w:rPr>
                <w:rFonts w:ascii="Arial" w:cs="Arial" w:eastAsia="Arial" w:hAnsi="Arial"/>
                <w:sz w:val="3"/>
                <w:szCs w:val="3"/>
                <w:color w:val="FFFFFF"/>
              </w:rPr>
              <w:t>Company’s share option scheme (continued)</w:t>
            </w: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The fair value of the share options granted during the year was estimated at HK$5.87 per</w:t>
            </w:r>
          </w:p>
        </w:tc>
        <w:tc>
          <w:tcPr>
            <w:tcW w:w="0" w:type="dxa"/>
            <w:vAlign w:val="bottom"/>
          </w:tcPr>
          <w:p>
            <w:pPr>
              <w:spacing w:after="0"/>
              <w:rPr>
                <w:sz w:val="1"/>
                <w:szCs w:val="1"/>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option (2010: HK$4.66 per option) based on the Black-Scholes valuation model. The following</w:t>
            </w:r>
          </w:p>
        </w:tc>
        <w:tc>
          <w:tcPr>
            <w:tcW w:w="0" w:type="dxa"/>
            <w:vAlign w:val="bottom"/>
          </w:tcPr>
          <w:p>
            <w:pPr>
              <w:spacing w:after="0"/>
              <w:rPr>
                <w:sz w:val="1"/>
                <w:szCs w:val="1"/>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table lists the significant inputs used in estimating the fair value per option on the date of grant.</w:t>
            </w:r>
          </w:p>
        </w:tc>
        <w:tc>
          <w:tcPr>
            <w:tcW w:w="0" w:type="dxa"/>
            <w:vAlign w:val="bottom"/>
          </w:tcPr>
          <w:p>
            <w:pPr>
              <w:spacing w:after="0"/>
              <w:rPr>
                <w:sz w:val="1"/>
                <w:szCs w:val="1"/>
                <w:color w:val="auto"/>
              </w:rPr>
            </w:pPr>
          </w:p>
        </w:tc>
      </w:tr>
      <w:tr>
        <w:trPr>
          <w:trHeight w:val="81"/>
        </w:trPr>
        <w:tc>
          <w:tcPr>
            <w:tcW w:w="3060" w:type="dxa"/>
            <w:vAlign w:val="bottom"/>
          </w:tcPr>
          <w:p>
            <w:pPr>
              <w:spacing w:after="0" w:line="81" w:lineRule="exact"/>
              <w:rPr>
                <w:sz w:val="20"/>
                <w:szCs w:val="20"/>
                <w:color w:val="auto"/>
              </w:rPr>
            </w:pPr>
            <w:r>
              <w:rPr>
                <w:rFonts w:ascii="Arial" w:cs="Arial" w:eastAsia="Arial" w:hAnsi="Arial"/>
                <w:sz w:val="9"/>
                <w:szCs w:val="9"/>
                <w:color w:val="FFFFFF"/>
                <w:vertAlign w:val="superscript"/>
              </w:rPr>
              <w:t>2011 2010</w:t>
            </w:r>
            <w:r>
              <w:rPr>
                <w:rFonts w:ascii="Arial" w:cs="Arial" w:eastAsia="Arial" w:hAnsi="Arial"/>
                <w:sz w:val="7"/>
                <w:szCs w:val="7"/>
                <w:color w:val="FFFFFF"/>
              </w:rPr>
              <w:t>dividend yield 4.1% Nil</w:t>
            </w:r>
          </w:p>
        </w:tc>
        <w:tc>
          <w:tcPr>
            <w:tcW w:w="1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Expected stock price volatility 37.8% 40.76%</w:t>
            </w: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Risk-free interest rate 2.11% 2.4%</w:t>
            </w: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Expected average life of options (years) 6.5 6.5</w:t>
            </w:r>
          </w:p>
        </w:tc>
        <w:tc>
          <w:tcPr>
            <w:tcW w:w="1380" w:type="dxa"/>
            <w:vAlign w:val="bottom"/>
            <w:vMerge w:val="restart"/>
          </w:tcPr>
          <w:p>
            <w:pPr>
              <w:jc w:val="right"/>
              <w:ind w:right="969"/>
              <w:spacing w:after="0" w:line="81" w:lineRule="exact"/>
              <w:rPr>
                <w:sz w:val="20"/>
                <w:szCs w:val="20"/>
                <w:color w:val="auto"/>
              </w:rPr>
            </w:pPr>
            <w:r>
              <w:rPr>
                <w:rFonts w:ascii="Arial" w:cs="Arial" w:eastAsia="Arial" w:hAnsi="Arial"/>
                <w:sz w:val="9"/>
                <w:szCs w:val="9"/>
                <w:color w:val="FFFFFF"/>
              </w:rPr>
              <w:t>$10.68</w:t>
            </w: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Share price on the date of grant (HK$ per Share) $24.35</w:t>
            </w:r>
          </w:p>
        </w:tc>
        <w:tc>
          <w:tcPr>
            <w:tcW w:w="138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Exercise price (HK$ per Share) $25.96 $10.92</w:t>
            </w: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Changes in subjective input assumptions could materially affect the fair value estimate.</w:t>
            </w:r>
          </w:p>
        </w:tc>
        <w:tc>
          <w:tcPr>
            <w:tcW w:w="0" w:type="dxa"/>
            <w:vAlign w:val="bottom"/>
          </w:tcPr>
          <w:p>
            <w:pPr>
              <w:spacing w:after="0"/>
              <w:rPr>
                <w:sz w:val="1"/>
                <w:szCs w:val="1"/>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The Group recognized a share option expense of HK$2.1 million (2010: HK$1.6 million) under</w:t>
            </w: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the Company’s share option scheme during the year.</w:t>
            </w: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tcPr>
          <w:p>
            <w:pPr>
              <w:ind w:left="140"/>
              <w:spacing w:after="0"/>
              <w:rPr>
                <w:sz w:val="20"/>
                <w:szCs w:val="20"/>
                <w:color w:val="auto"/>
              </w:rPr>
            </w:pPr>
            <w:r>
              <w:rPr>
                <w:rFonts w:ascii="Arial" w:cs="Arial" w:eastAsia="Arial" w:hAnsi="Arial"/>
                <w:sz w:val="3"/>
                <w:szCs w:val="3"/>
                <w:color w:val="FFFFFF"/>
              </w:rPr>
              <w:t>RL Stock Plan</w:t>
            </w: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Wynn Resorts, Limited established its 2002 Stock Incentive Plan (the “WRL Stock Plan”) which</w:t>
            </w: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provides for the grant of (i) incentive stock options, (ii)</w:t>
            </w:r>
          </w:p>
        </w:tc>
        <w:tc>
          <w:tcPr>
            <w:tcW w:w="2180" w:type="dxa"/>
            <w:vAlign w:val="bottom"/>
            <w:gridSpan w:val="2"/>
          </w:tcPr>
          <w:p>
            <w:pPr>
              <w:ind w:left="760"/>
              <w:spacing w:after="0"/>
              <w:rPr>
                <w:sz w:val="20"/>
                <w:szCs w:val="20"/>
                <w:color w:val="auto"/>
              </w:rPr>
            </w:pPr>
            <w:r>
              <w:rPr>
                <w:rFonts w:ascii="Arial" w:cs="Arial" w:eastAsia="Arial" w:hAnsi="Arial"/>
                <w:sz w:val="3"/>
                <w:szCs w:val="3"/>
                <w:color w:val="FFFFFF"/>
              </w:rPr>
              <w:t>(i.e. non qualified) stock</w:t>
            </w:r>
          </w:p>
        </w:tc>
        <w:tc>
          <w:tcPr>
            <w:tcW w:w="0" w:type="dxa"/>
            <w:vAlign w:val="bottom"/>
          </w:tcPr>
          <w:p>
            <w:pPr>
              <w:spacing w:after="0"/>
              <w:rPr>
                <w:sz w:val="1"/>
                <w:szCs w:val="1"/>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options, and (iii) non-vested shares of Wynn Resorts, Limited’compensatorycommon stock for employees,</w:t>
            </w:r>
          </w:p>
        </w:tc>
        <w:tc>
          <w:tcPr>
            <w:tcW w:w="0" w:type="dxa"/>
            <w:vAlign w:val="bottom"/>
          </w:tcPr>
          <w:p>
            <w:pPr>
              <w:spacing w:after="0"/>
              <w:rPr>
                <w:sz w:val="1"/>
                <w:szCs w:val="1"/>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directors and independent contractors or consultants of Wynn Resorts, Limited and its</w:t>
            </w:r>
          </w:p>
        </w:tc>
        <w:tc>
          <w:tcPr>
            <w:tcW w:w="0" w:type="dxa"/>
            <w:vAlign w:val="bottom"/>
          </w:tcPr>
          <w:p>
            <w:pPr>
              <w:spacing w:after="0"/>
              <w:rPr>
                <w:sz w:val="1"/>
                <w:szCs w:val="1"/>
                <w:color w:val="auto"/>
              </w:rPr>
            </w:pPr>
          </w:p>
        </w:tc>
      </w:tr>
      <w:tr>
        <w:trPr>
          <w:trHeight w:val="41"/>
        </w:trPr>
        <w:tc>
          <w:tcPr>
            <w:tcW w:w="5240" w:type="dxa"/>
            <w:vAlign w:val="bottom"/>
            <w:gridSpan w:val="3"/>
          </w:tcPr>
          <w:p>
            <w:pPr>
              <w:ind w:left="60"/>
              <w:spacing w:after="0"/>
              <w:rPr>
                <w:sz w:val="20"/>
                <w:szCs w:val="20"/>
                <w:color w:val="auto"/>
              </w:rPr>
            </w:pPr>
            <w:r>
              <w:rPr>
                <w:rFonts w:ascii="Arial" w:cs="Arial" w:eastAsia="Arial" w:hAnsi="Arial"/>
                <w:sz w:val="3"/>
                <w:szCs w:val="3"/>
                <w:color w:val="FFFFFF"/>
              </w:rPr>
              <w:t>ubsidiaries, including the Group. However, only employees are eligible to receive incentive</w:t>
            </w:r>
          </w:p>
        </w:tc>
        <w:tc>
          <w:tcPr>
            <w:tcW w:w="0" w:type="dxa"/>
            <w:vAlign w:val="bottom"/>
          </w:tcPr>
          <w:p>
            <w:pPr>
              <w:spacing w:after="0"/>
              <w:rPr>
                <w:sz w:val="1"/>
                <w:szCs w:val="1"/>
                <w:color w:val="auto"/>
              </w:rPr>
            </w:pPr>
          </w:p>
        </w:tc>
      </w:tr>
      <w:tr>
        <w:trPr>
          <w:trHeight w:val="41"/>
        </w:trPr>
        <w:tc>
          <w:tcPr>
            <w:tcW w:w="3060" w:type="dxa"/>
            <w:vAlign w:val="bottom"/>
          </w:tcPr>
          <w:p>
            <w:pPr>
              <w:spacing w:after="0"/>
              <w:rPr>
                <w:sz w:val="20"/>
                <w:szCs w:val="20"/>
                <w:color w:val="auto"/>
              </w:rPr>
            </w:pPr>
            <w:r>
              <w:rPr>
                <w:rFonts w:ascii="Arial" w:cs="Arial" w:eastAsia="Arial" w:hAnsi="Arial"/>
                <w:sz w:val="3"/>
                <w:szCs w:val="3"/>
                <w:color w:val="FFFFFF"/>
              </w:rPr>
              <w:t>stock options.</w:t>
            </w: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A maximum of 12,750,000 shares (31 December 2010: 12,750,000 shares) of Wynn Resorts,</w:t>
            </w:r>
          </w:p>
        </w:tc>
        <w:tc>
          <w:tcPr>
            <w:tcW w:w="0" w:type="dxa"/>
            <w:vAlign w:val="bottom"/>
          </w:tcPr>
          <w:p>
            <w:pPr>
              <w:spacing w:after="0"/>
              <w:rPr>
                <w:sz w:val="1"/>
                <w:szCs w:val="1"/>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Limited’s common stock have been reserved for issuance under the WRL Stock Plan. As at 31</w:t>
            </w:r>
          </w:p>
        </w:tc>
        <w:tc>
          <w:tcPr>
            <w:tcW w:w="0" w:type="dxa"/>
            <w:vAlign w:val="bottom"/>
          </w:tcPr>
          <w:p>
            <w:pPr>
              <w:spacing w:after="0"/>
              <w:rPr>
                <w:sz w:val="1"/>
                <w:szCs w:val="1"/>
                <w:color w:val="auto"/>
              </w:rPr>
            </w:pPr>
          </w:p>
        </w:tc>
      </w:tr>
      <w:tr>
        <w:trPr>
          <w:trHeight w:val="41"/>
        </w:trPr>
        <w:tc>
          <w:tcPr>
            <w:tcW w:w="5240" w:type="dxa"/>
            <w:vAlign w:val="bottom"/>
            <w:gridSpan w:val="3"/>
          </w:tcPr>
          <w:p>
            <w:pPr>
              <w:spacing w:after="0"/>
              <w:rPr>
                <w:sz w:val="20"/>
                <w:szCs w:val="20"/>
                <w:color w:val="auto"/>
              </w:rPr>
            </w:pPr>
            <w:r>
              <w:rPr>
                <w:rFonts w:ascii="Arial" w:cs="Arial" w:eastAsia="Arial" w:hAnsi="Arial"/>
                <w:sz w:val="3"/>
                <w:szCs w:val="3"/>
                <w:color w:val="FFFFFF"/>
              </w:rPr>
              <w:t>De ember 2011, 4,098,336 shares (2010: 4,107,378 shares) remain available for the grant of</w:t>
            </w:r>
          </w:p>
        </w:tc>
        <w:tc>
          <w:tcPr>
            <w:tcW w:w="0" w:type="dxa"/>
            <w:vAlign w:val="bottom"/>
          </w:tcPr>
          <w:p>
            <w:pPr>
              <w:spacing w:after="0"/>
              <w:rPr>
                <w:sz w:val="1"/>
                <w:szCs w:val="1"/>
                <w:color w:val="auto"/>
              </w:rPr>
            </w:pPr>
          </w:p>
        </w:tc>
      </w:tr>
      <w:tr>
        <w:trPr>
          <w:trHeight w:val="41"/>
        </w:trPr>
        <w:tc>
          <w:tcPr>
            <w:tcW w:w="4440" w:type="dxa"/>
            <w:vAlign w:val="bottom"/>
            <w:gridSpan w:val="2"/>
          </w:tcPr>
          <w:p>
            <w:pPr>
              <w:spacing w:after="0"/>
              <w:rPr>
                <w:sz w:val="20"/>
                <w:szCs w:val="20"/>
                <w:color w:val="auto"/>
              </w:rPr>
            </w:pPr>
            <w:r>
              <w:rPr>
                <w:rFonts w:ascii="Arial" w:cs="Arial" w:eastAsia="Arial" w:hAnsi="Arial"/>
                <w:sz w:val="3"/>
                <w:szCs w:val="3"/>
                <w:color w:val="FFFFFF"/>
              </w:rPr>
              <w:t>stock options or non-vested shares of Wynn Resorts, Limited’s common stock.</w:t>
            </w:r>
          </w:p>
        </w:tc>
        <w:tc>
          <w:tcPr>
            <w:tcW w:w="800" w:type="dxa"/>
            <w:vAlign w:val="bottom"/>
            <w:vMerge w:val="restart"/>
          </w:tcPr>
          <w:p>
            <w:pPr>
              <w:ind w:left="160"/>
              <w:spacing w:after="0"/>
              <w:rPr>
                <w:sz w:val="20"/>
                <w:szCs w:val="20"/>
                <w:color w:val="auto"/>
              </w:rPr>
            </w:pPr>
            <w:r>
              <w:rPr>
                <w:rFonts w:ascii="Arial" w:cs="Arial" w:eastAsia="Arial" w:hAnsi="Arial"/>
                <w:sz w:val="3"/>
                <w:szCs w:val="3"/>
                <w:color w:val="FFFFFF"/>
              </w:rPr>
              <w:t>of grant.</w:t>
            </w:r>
          </w:p>
        </w:tc>
        <w:tc>
          <w:tcPr>
            <w:tcW w:w="0" w:type="dxa"/>
            <w:vAlign w:val="bottom"/>
          </w:tcPr>
          <w:p>
            <w:pPr>
              <w:spacing w:after="0"/>
              <w:rPr>
                <w:sz w:val="1"/>
                <w:szCs w:val="1"/>
                <w:color w:val="auto"/>
              </w:rPr>
            </w:pPr>
          </w:p>
        </w:tc>
      </w:tr>
      <w:tr>
        <w:trPr>
          <w:trHeight w:val="0"/>
        </w:trPr>
        <w:tc>
          <w:tcPr>
            <w:tcW w:w="4440" w:type="dxa"/>
            <w:vAlign w:val="bottom"/>
            <w:gridSpan w:val="2"/>
          </w:tcPr>
          <w:p>
            <w:pPr>
              <w:spacing w:after="0" w:line="80" w:lineRule="exact"/>
              <w:rPr>
                <w:sz w:val="20"/>
                <w:szCs w:val="20"/>
                <w:color w:val="auto"/>
              </w:rPr>
            </w:pPr>
            <w:r>
              <w:rPr>
                <w:rFonts w:ascii="Arial" w:cs="Arial" w:eastAsia="Arial" w:hAnsi="Arial"/>
                <w:sz w:val="9"/>
                <w:szCs w:val="9"/>
                <w:color w:val="FFFFFF"/>
              </w:rPr>
              <w:t>Options are granted with exercise prices equal to the current market price at the</w:t>
            </w: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340"/>
        <w:spacing w:after="0" w:line="25" w:lineRule="auto"/>
        <w:rPr>
          <w:sz w:val="20"/>
          <w:szCs w:val="20"/>
          <w:color w:val="auto"/>
        </w:rPr>
      </w:pPr>
      <w:r>
        <w:rPr>
          <w:rFonts w:ascii="Arial" w:cs="Arial" w:eastAsia="Arial" w:hAnsi="Arial"/>
          <w:sz w:val="1"/>
          <w:szCs w:val="1"/>
          <w:color w:val="FFFFFF"/>
        </w:rPr>
        <w:t>date</w:t>
      </w:r>
    </w:p>
    <w:p>
      <w:pPr>
        <w:spacing w:after="0" w:line="208" w:lineRule="auto"/>
        <w:tabs>
          <w:tab w:leader="none" w:pos="4480" w:val="left"/>
        </w:tabs>
        <w:rPr>
          <w:sz w:val="20"/>
          <w:szCs w:val="20"/>
          <w:color w:val="auto"/>
        </w:rPr>
      </w:pPr>
      <w:r>
        <w:rPr>
          <w:rFonts w:ascii="Arial" w:cs="Arial" w:eastAsia="Arial" w:hAnsi="Arial"/>
          <w:sz w:val="9"/>
          <w:szCs w:val="9"/>
          <w:color w:val="FFFFFF"/>
        </w:rPr>
        <w:t>grant.TheWRLAll optionsStockPlanexpireprovidestenyearsfor fromavarietythe dateofvestingofgrant.schedules, all determined</w:t>
      </w:r>
      <w:r>
        <w:rPr>
          <w:sz w:val="20"/>
          <w:szCs w:val="20"/>
          <w:color w:val="auto"/>
        </w:rPr>
        <w:tab/>
      </w:r>
      <w:r>
        <w:rPr>
          <w:rFonts w:ascii="Arial" w:cs="Arial" w:eastAsia="Arial" w:hAnsi="Arial"/>
          <w:sz w:val="12"/>
          <w:szCs w:val="12"/>
          <w:color w:val="FFFFFF"/>
        </w:rPr>
        <w:t>the time of</w:t>
      </w:r>
    </w:p>
    <w:p>
      <w:pPr>
        <w:sectPr>
          <w:pgSz w:w="11900" w:h="16838" w:orient="portrait"/>
          <w:cols w:equalWidth="0" w:num="1">
            <w:col w:w="10219"/>
          </w:cols>
          <w:pgMar w:left="240" w:top="1440" w:right="1440"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color w:val="FFFFFF"/>
                <w:w w:val="96"/>
              </w:rPr>
              <w:t>Annual Report 2011 135</w:t>
            </w:r>
          </w:p>
        </w:tc>
        <w:tc>
          <w:tcPr>
            <w:tcW w:w="1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Financial Statements</w:t>
            </w:r>
          </w:p>
        </w:tc>
        <w:tc>
          <w:tcPr>
            <w:tcW w:w="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For the year ended 31 December 2011</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23. SHARE-BASED PAYMENT PLAN (continued)</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WRL Stock Plan (continued)</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80" w:type="dxa"/>
            <w:vAlign w:val="bottom"/>
            <w:gridSpan w:val="4"/>
          </w:tcPr>
          <w:p>
            <w:pPr>
              <w:spacing w:after="0"/>
              <w:rPr>
                <w:sz w:val="20"/>
                <w:szCs w:val="20"/>
                <w:color w:val="auto"/>
              </w:rPr>
            </w:pPr>
            <w:r>
              <w:rPr>
                <w:rFonts w:ascii="Arial" w:cs="Arial" w:eastAsia="Arial" w:hAnsi="Arial"/>
                <w:sz w:val="3"/>
                <w:szCs w:val="3"/>
                <w:color w:val="FFFFFF"/>
              </w:rPr>
              <w:t>A summary of option activities under the WRL Stock Plan as at 31 December 2011 and 2010 and</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the changes during the years then ended are presented below:</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Weighted Weighted</w:t>
            </w:r>
          </w:p>
        </w:tc>
        <w:tc>
          <w:tcPr>
            <w:tcW w:w="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Number of Average Average</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Options Exercise Price Exercise Term</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(HK$) (Years)</w:t>
            </w:r>
          </w:p>
        </w:tc>
        <w:tc>
          <w:tcPr>
            <w:tcW w:w="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Outstanding as at  January 2010 680,501 548 7.8</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Granted during 2010</w:t>
            </w:r>
          </w:p>
        </w:tc>
        <w:tc>
          <w:tcPr>
            <w:tcW w:w="340" w:type="dxa"/>
            <w:vAlign w:val="bottom"/>
          </w:tcPr>
          <w:p>
            <w:pPr>
              <w:ind w:left="20"/>
              <w:spacing w:after="0"/>
              <w:rPr>
                <w:sz w:val="20"/>
                <w:szCs w:val="20"/>
                <w:color w:val="auto"/>
              </w:rPr>
            </w:pPr>
            <w:r>
              <w:rPr>
                <w:rFonts w:ascii="Arial" w:cs="Arial" w:eastAsia="Arial" w:hAnsi="Arial"/>
                <w:sz w:val="3"/>
                <w:szCs w:val="3"/>
                <w:color w:val="FFFFFF"/>
              </w:rPr>
              <w:t>— —</w:t>
            </w:r>
          </w:p>
        </w:tc>
        <w:tc>
          <w:tcPr>
            <w:tcW w:w="1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Exercised during 2010 (137,343) 411</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Outstanding as at 31 December 2010</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or 1 January 201</w:t>
            </w:r>
          </w:p>
        </w:tc>
        <w:tc>
          <w:tcPr>
            <w:tcW w:w="34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 —</w:t>
            </w:r>
          </w:p>
        </w:tc>
        <w:tc>
          <w:tcPr>
            <w:tcW w:w="1960" w:type="dxa"/>
            <w:vAlign w:val="bottom"/>
          </w:tcPr>
          <w:p>
            <w:pPr>
              <w:jc w:val="right"/>
              <w:ind w:right="1543"/>
              <w:spacing w:after="0"/>
              <w:rPr>
                <w:sz w:val="20"/>
                <w:szCs w:val="20"/>
                <w:color w:val="auto"/>
              </w:rPr>
            </w:pPr>
            <w:r>
              <w:rPr>
                <w:rFonts w:ascii="Arial" w:cs="Arial" w:eastAsia="Arial" w:hAnsi="Arial"/>
                <w:sz w:val="3"/>
                <w:szCs w:val="3"/>
                <w:color w:val="FFFFFF"/>
              </w:rPr>
              <w:t>585 7.3</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Granted during 201</w:t>
            </w:r>
          </w:p>
        </w:tc>
        <w:tc>
          <w:tcPr>
            <w:tcW w:w="340" w:type="dxa"/>
            <w:vAlign w:val="bottom"/>
            <w:vMerge w:val="continue"/>
          </w:tcPr>
          <w:p>
            <w:pPr>
              <w:spacing w:after="0"/>
              <w:rPr>
                <w:sz w:val="3"/>
                <w:szCs w:val="3"/>
                <w:color w:val="auto"/>
              </w:rPr>
            </w:pPr>
          </w:p>
        </w:tc>
        <w:tc>
          <w:tcPr>
            <w:tcW w:w="1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Transferred during543,158151,894 577</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Exercised during 201201 (91,484) 446</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Outstanding as at 31 December 2011 603,568 603 6.5</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Shares exercisable as at</w:t>
            </w:r>
          </w:p>
        </w:tc>
        <w:tc>
          <w:tcPr>
            <w:tcW w:w="1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31 December 2011 55,130 403 3.8</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ind w:left="80"/>
              <w:spacing w:after="0"/>
              <w:rPr>
                <w:sz w:val="20"/>
                <w:szCs w:val="20"/>
                <w:color w:val="auto"/>
              </w:rPr>
            </w:pPr>
            <w:r>
              <w:rPr>
                <w:rFonts w:ascii="Arial" w:cs="Arial" w:eastAsia="Arial" w:hAnsi="Arial"/>
                <w:sz w:val="3"/>
                <w:szCs w:val="3"/>
                <w:color w:val="FFFFFF"/>
              </w:rPr>
              <w:t>hares exercisable as at 31 December 2010 85,158 440 4.4</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80" w:type="dxa"/>
            <w:vAlign w:val="bottom"/>
            <w:gridSpan w:val="4"/>
          </w:tcPr>
          <w:p>
            <w:pPr>
              <w:spacing w:after="0"/>
              <w:rPr>
                <w:sz w:val="20"/>
                <w:szCs w:val="20"/>
                <w:color w:val="auto"/>
              </w:rPr>
            </w:pPr>
            <w:r>
              <w:rPr>
                <w:rFonts w:ascii="Arial" w:cs="Arial" w:eastAsia="Arial" w:hAnsi="Arial"/>
                <w:sz w:val="3"/>
                <w:szCs w:val="3"/>
                <w:color w:val="FFFFFF"/>
              </w:rPr>
              <w:t>Since no option was granted under the WRL Stock Plan for the years ended 31 December</w:t>
            </w:r>
          </w:p>
        </w:tc>
        <w:tc>
          <w:tcPr>
            <w:tcW w:w="0" w:type="dxa"/>
            <w:vAlign w:val="bottom"/>
          </w:tcPr>
          <w:p>
            <w:pPr>
              <w:spacing w:after="0"/>
              <w:rPr>
                <w:sz w:val="1"/>
                <w:szCs w:val="1"/>
                <w:color w:val="auto"/>
              </w:rPr>
            </w:pPr>
          </w:p>
        </w:tc>
      </w:tr>
      <w:tr>
        <w:trPr>
          <w:trHeight w:val="41"/>
        </w:trPr>
        <w:tc>
          <w:tcPr>
            <w:tcW w:w="5280" w:type="dxa"/>
            <w:vAlign w:val="bottom"/>
            <w:gridSpan w:val="4"/>
          </w:tcPr>
          <w:p>
            <w:pPr>
              <w:spacing w:after="0"/>
              <w:rPr>
                <w:sz w:val="20"/>
                <w:szCs w:val="20"/>
                <w:color w:val="auto"/>
              </w:rPr>
            </w:pPr>
            <w:r>
              <w:rPr>
                <w:rFonts w:ascii="Arial" w:cs="Arial" w:eastAsia="Arial" w:hAnsi="Arial"/>
                <w:sz w:val="3"/>
                <w:szCs w:val="3"/>
                <w:color w:val="FFFFFF"/>
              </w:rPr>
              <w:t>2011 and 2010, the disclosures of the weighted average fair value of options granted at the</w:t>
            </w:r>
          </w:p>
        </w:tc>
        <w:tc>
          <w:tcPr>
            <w:tcW w:w="0" w:type="dxa"/>
            <w:vAlign w:val="bottom"/>
          </w:tcPr>
          <w:p>
            <w:pPr>
              <w:spacing w:after="0"/>
              <w:rPr>
                <w:sz w:val="1"/>
                <w:szCs w:val="1"/>
                <w:color w:val="auto"/>
              </w:rPr>
            </w:pPr>
          </w:p>
        </w:tc>
      </w:tr>
      <w:tr>
        <w:trPr>
          <w:trHeight w:val="41"/>
        </w:trPr>
        <w:tc>
          <w:tcPr>
            <w:tcW w:w="5280" w:type="dxa"/>
            <w:vAlign w:val="bottom"/>
            <w:gridSpan w:val="4"/>
          </w:tcPr>
          <w:p>
            <w:pPr>
              <w:spacing w:after="0"/>
              <w:rPr>
                <w:sz w:val="20"/>
                <w:szCs w:val="20"/>
                <w:color w:val="auto"/>
              </w:rPr>
            </w:pPr>
            <w:r>
              <w:rPr>
                <w:rFonts w:ascii="Arial" w:cs="Arial" w:eastAsia="Arial" w:hAnsi="Arial"/>
                <w:sz w:val="3"/>
                <w:szCs w:val="3"/>
                <w:color w:val="FFFFFF"/>
              </w:rPr>
              <w:t>measurement date and, in turn, the significant inputs used in estimating the fair value per</w:t>
            </w: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option are not applicable.</w:t>
            </w:r>
          </w:p>
        </w:tc>
        <w:tc>
          <w:tcPr>
            <w:tcW w:w="1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80" w:type="dxa"/>
            <w:vAlign w:val="bottom"/>
            <w:gridSpan w:val="4"/>
          </w:tcPr>
          <w:p>
            <w:pPr>
              <w:spacing w:after="0"/>
              <w:rPr>
                <w:sz w:val="20"/>
                <w:szCs w:val="20"/>
                <w:color w:val="auto"/>
              </w:rPr>
            </w:pPr>
            <w:r>
              <w:rPr>
                <w:rFonts w:ascii="Arial" w:cs="Arial" w:eastAsia="Arial" w:hAnsi="Arial"/>
                <w:sz w:val="3"/>
                <w:szCs w:val="3"/>
                <w:color w:val="FFFFFF"/>
              </w:rPr>
              <w:t>The total intrinsic value of the options exercised for the year ended 31 December 2011 was</w:t>
            </w:r>
          </w:p>
        </w:tc>
        <w:tc>
          <w:tcPr>
            <w:tcW w:w="0" w:type="dxa"/>
            <w:vAlign w:val="bottom"/>
          </w:tcPr>
          <w:p>
            <w:pPr>
              <w:spacing w:after="0"/>
              <w:rPr>
                <w:sz w:val="1"/>
                <w:szCs w:val="1"/>
                <w:color w:val="auto"/>
              </w:rPr>
            </w:pPr>
          </w:p>
        </w:tc>
      </w:tr>
      <w:tr>
        <w:trPr>
          <w:trHeight w:val="0"/>
        </w:trPr>
        <w:tc>
          <w:tcPr>
            <w:tcW w:w="3440" w:type="dxa"/>
            <w:vAlign w:val="bottom"/>
            <w:gridSpan w:val="3"/>
          </w:tcPr>
          <w:p>
            <w:pPr>
              <w:spacing w:after="0" w:line="80" w:lineRule="exact"/>
              <w:rPr>
                <w:sz w:val="20"/>
                <w:szCs w:val="20"/>
                <w:color w:val="auto"/>
              </w:rPr>
            </w:pPr>
            <w:r>
              <w:rPr>
                <w:rFonts w:ascii="Arial" w:cs="Arial" w:eastAsia="Arial" w:hAnsi="Arial"/>
                <w:sz w:val="9"/>
                <w:szCs w:val="9"/>
                <w:color w:val="FFFFFF"/>
              </w:rPr>
              <w:t>HK$48.9 million (2010: HK$57.7 million). Approximately</w:t>
            </w:r>
          </w:p>
        </w:tc>
        <w:tc>
          <w:tcPr>
            <w:tcW w:w="1840" w:type="dxa"/>
            <w:vAlign w:val="bottom"/>
          </w:tcPr>
          <w:p>
            <w:pPr>
              <w:ind w:left="120"/>
              <w:spacing w:after="0" w:line="80" w:lineRule="exact"/>
              <w:rPr>
                <w:sz w:val="20"/>
                <w:szCs w:val="20"/>
                <w:color w:val="auto"/>
              </w:rPr>
            </w:pPr>
            <w:r>
              <w:rPr>
                <w:rFonts w:ascii="Arial" w:cs="Arial" w:eastAsia="Arial" w:hAnsi="Arial"/>
                <w:sz w:val="9"/>
                <w:szCs w:val="9"/>
                <w:color w:val="FFFFFF"/>
              </w:rPr>
              <w:t>12.3 million of unamortized</w:t>
            </w:r>
          </w:p>
        </w:tc>
        <w:tc>
          <w:tcPr>
            <w:tcW w:w="0" w:type="dxa"/>
            <w:vAlign w:val="bottom"/>
          </w:tcPr>
          <w:p>
            <w:pPr>
              <w:spacing w:after="0" w:line="20" w:lineRule="exact"/>
              <w:rPr>
                <w:sz w:val="1"/>
                <w:szCs w:val="1"/>
                <w:color w:val="auto"/>
              </w:rPr>
            </w:pPr>
          </w:p>
        </w:tc>
      </w:tr>
    </w:tbl>
    <w:p>
      <w:pPr>
        <w:spacing w:after="0" w:line="217" w:lineRule="auto"/>
        <w:rPr>
          <w:sz w:val="20"/>
          <w:szCs w:val="20"/>
          <w:color w:val="auto"/>
        </w:rPr>
      </w:pPr>
      <w:r>
        <w:rPr>
          <w:rFonts w:ascii="Arial" w:cs="Arial" w:eastAsia="Arial" w:hAnsi="Arial"/>
          <w:sz w:val="2"/>
          <w:szCs w:val="2"/>
          <w:color w:val="FFFFFF"/>
        </w:rPr>
        <w:t>compensation cost relating to stock options</w:t>
      </w:r>
      <w:r>
        <w:rPr>
          <w:rFonts w:ascii="Arial" w:cs="Arial" w:eastAsia="Arial" w:hAnsi="Arial"/>
          <w:sz w:val="4"/>
          <w:szCs w:val="4"/>
          <w:color w:val="FFFFFF"/>
          <w:vertAlign w:val="subscript"/>
        </w:rPr>
        <w:t>compensation</w:t>
      </w:r>
      <w:r>
        <w:rPr>
          <w:rFonts w:ascii="Arial" w:cs="Arial" w:eastAsia="Arial" w:hAnsi="Arial"/>
          <w:sz w:val="2"/>
          <w:szCs w:val="2"/>
          <w:color w:val="FFFFFF"/>
        </w:rPr>
        <w:t>31December HK201$1(2010: approximately</w:t>
      </w:r>
    </w:p>
    <w:p>
      <w:pPr>
        <w:spacing w:after="0" w:line="208" w:lineRule="auto"/>
        <w:tabs>
          <w:tab w:leader="none" w:pos="3020" w:val="left"/>
        </w:tabs>
        <w:rPr>
          <w:sz w:val="20"/>
          <w:szCs w:val="20"/>
          <w:color w:val="auto"/>
        </w:rPr>
      </w:pPr>
      <w:r>
        <w:rPr>
          <w:rFonts w:ascii="Arial" w:cs="Arial" w:eastAsia="Arial" w:hAnsi="Arial"/>
          <w:sz w:val="14"/>
          <w:szCs w:val="14"/>
          <w:color w:val="FFFFFF"/>
        </w:rPr>
        <w:t>throughHK$105.831 million)Decemberwill2016.berecognized as</w:t>
      </w:r>
      <w:r>
        <w:rPr>
          <w:sz w:val="20"/>
          <w:szCs w:val="20"/>
          <w:color w:val="auto"/>
        </w:rPr>
        <w:tab/>
      </w:r>
      <w:r>
        <w:rPr>
          <w:rFonts w:ascii="Arial" w:cs="Arial" w:eastAsia="Arial" w:hAnsi="Arial"/>
          <w:sz w:val="12"/>
          <w:szCs w:val="12"/>
          <w:color w:val="FFFFFF"/>
        </w:rPr>
        <w:t>over the vesting of the related grants</w:t>
      </w:r>
    </w:p>
    <w:p>
      <w:pPr>
        <w:sectPr>
          <w:pgSz w:w="11900" w:h="16838" w:orient="portrait"/>
          <w:cols w:equalWidth="0" w:num="1">
            <w:col w:w="10219"/>
          </w:cols>
          <w:pgMar w:left="240" w:top="1440" w:right="1440"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Financial136WynnStatementsMacau,Limited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For the year ended 31 December 2011</w:t>
      </w:r>
    </w:p>
    <w:p>
      <w:pPr>
        <w:spacing w:after="0" w:line="188" w:lineRule="auto"/>
        <w:rPr>
          <w:sz w:val="20"/>
          <w:szCs w:val="20"/>
          <w:color w:val="auto"/>
        </w:rPr>
      </w:pPr>
      <w:r>
        <w:rPr>
          <w:rFonts w:ascii="Arial" w:cs="Arial" w:eastAsia="Arial" w:hAnsi="Arial"/>
          <w:sz w:val="9"/>
          <w:szCs w:val="9"/>
          <w:color w:val="FFFFFF"/>
        </w:rPr>
        <w:t>Non23.SHARE-vested-sharesBASEDunderPAYMENTtheWRLPLANStock (continued)Plan</w:t>
      </w:r>
    </w:p>
    <w:p>
      <w:pPr>
        <w:spacing w:after="0"/>
        <w:rPr>
          <w:sz w:val="20"/>
          <w:szCs w:val="20"/>
          <w:color w:val="auto"/>
        </w:rPr>
      </w:pPr>
      <w:r>
        <w:rPr>
          <w:rFonts w:ascii="Arial" w:cs="Arial" w:eastAsia="Arial" w:hAnsi="Arial"/>
          <w:sz w:val="3"/>
          <w:szCs w:val="3"/>
          <w:color w:val="FFFFFF"/>
        </w:rPr>
        <w:t>andAsummarychanges ofduringthestatustheyearofthethenWRLendedStockissetPlan’soutbelow:non-vested shares as at 31 December 2011</w:t>
      </w:r>
    </w:p>
    <w:p>
      <w:pPr>
        <w:spacing w:after="0" w:line="194" w:lineRule="auto"/>
        <w:rPr>
          <w:sz w:val="20"/>
          <w:szCs w:val="20"/>
          <w:color w:val="auto"/>
        </w:rPr>
      </w:pPr>
      <w:r>
        <w:rPr>
          <w:rFonts w:ascii="Arial" w:cs="Arial" w:eastAsia="Arial" w:hAnsi="Arial"/>
          <w:sz w:val="5"/>
          <w:szCs w:val="5"/>
          <w:color w:val="FFFFFF"/>
        </w:rPr>
        <w:t>Weighted</w:t>
      </w:r>
    </w:p>
    <w:p>
      <w:pPr>
        <w:spacing w:after="0"/>
        <w:rPr>
          <w:sz w:val="20"/>
          <w:szCs w:val="20"/>
          <w:color w:val="auto"/>
        </w:rPr>
      </w:pPr>
      <w:r>
        <w:rPr>
          <w:rFonts w:ascii="Arial" w:cs="Arial" w:eastAsia="Arial" w:hAnsi="Arial"/>
          <w:sz w:val="3"/>
          <w:szCs w:val="3"/>
          <w:color w:val="FFFFFF"/>
        </w:rPr>
        <w:t>Average Grant</w:t>
      </w:r>
    </w:p>
    <w:p>
      <w:pPr>
        <w:spacing w:after="0" w:line="194" w:lineRule="auto"/>
        <w:rPr>
          <w:sz w:val="20"/>
          <w:szCs w:val="20"/>
          <w:color w:val="auto"/>
        </w:rPr>
      </w:pPr>
      <w:r>
        <w:rPr>
          <w:rFonts w:ascii="Arial" w:cs="Arial" w:eastAsia="Arial" w:hAnsi="Arial"/>
          <w:sz w:val="5"/>
          <w:szCs w:val="5"/>
          <w:color w:val="FFFFFF"/>
        </w:rPr>
        <w:t>Date Fair</w:t>
      </w:r>
    </w:p>
    <w:p>
      <w:pPr>
        <w:spacing w:after="0"/>
        <w:rPr>
          <w:sz w:val="20"/>
          <w:szCs w:val="20"/>
          <w:color w:val="auto"/>
        </w:rPr>
      </w:pPr>
      <w:r>
        <w:rPr>
          <w:rFonts w:ascii="Arial" w:cs="Arial" w:eastAsia="Arial" w:hAnsi="Arial"/>
          <w:sz w:val="3"/>
          <w:szCs w:val="3"/>
          <w:color w:val="FFFFFF"/>
        </w:rPr>
        <w:t>Number of Value</w:t>
      </w:r>
    </w:p>
    <w:p>
      <w:pPr>
        <w:spacing w:after="0" w:line="194" w:lineRule="auto"/>
        <w:rPr>
          <w:sz w:val="20"/>
          <w:szCs w:val="20"/>
          <w:color w:val="auto"/>
        </w:rPr>
      </w:pPr>
      <w:r>
        <w:rPr>
          <w:rFonts w:ascii="Arial" w:cs="Arial" w:eastAsia="Arial" w:hAnsi="Arial"/>
          <w:sz w:val="5"/>
          <w:szCs w:val="5"/>
          <w:color w:val="FFFFFF"/>
        </w:rPr>
        <w:t>Shares (HK$)</w:t>
      </w:r>
    </w:p>
    <w:p>
      <w:pPr>
        <w:spacing w:after="0" w:line="211" w:lineRule="auto"/>
        <w:rPr>
          <w:sz w:val="20"/>
          <w:szCs w:val="20"/>
          <w:color w:val="auto"/>
        </w:rPr>
      </w:pPr>
      <w:r>
        <w:rPr>
          <w:rFonts w:ascii="Arial" w:cs="Arial" w:eastAsia="Arial" w:hAnsi="Arial"/>
          <w:sz w:val="12"/>
          <w:szCs w:val="12"/>
          <w:color w:val="FFFFFF"/>
        </w:rPr>
        <w:t>NonVested-vestedand/oras cancelledat1Januaryduring2010the188,750year—712—</w:t>
      </w:r>
    </w:p>
    <w:p>
      <w:pPr>
        <w:spacing w:after="0" w:line="188" w:lineRule="auto"/>
        <w:rPr>
          <w:sz w:val="20"/>
          <w:szCs w:val="20"/>
          <w:color w:val="auto"/>
        </w:rPr>
      </w:pPr>
      <w:r>
        <w:rPr>
          <w:rFonts w:ascii="Arial" w:cs="Arial" w:eastAsia="Arial" w:hAnsi="Arial"/>
          <w:sz w:val="9"/>
          <w:szCs w:val="9"/>
          <w:color w:val="FFFFFF"/>
        </w:rPr>
        <w:t>TransferredGrantedduringduringthe theyearyear5,0003,000850591</w:t>
      </w:r>
    </w:p>
    <w:p>
      <w:pPr>
        <w:spacing w:after="0" w:line="188" w:lineRule="auto"/>
        <w:rPr>
          <w:sz w:val="20"/>
          <w:szCs w:val="20"/>
          <w:color w:val="auto"/>
        </w:rPr>
      </w:pPr>
      <w:r>
        <w:rPr>
          <w:rFonts w:ascii="Arial" w:cs="Arial" w:eastAsia="Arial" w:hAnsi="Arial"/>
          <w:sz w:val="9"/>
          <w:szCs w:val="9"/>
          <w:color w:val="FFFFFF"/>
        </w:rPr>
        <w:t>VestedNon-vestedand/oras cancelledat31Decemberduring 2010theyearor 1(3,000)January5902011 196,750 716</w:t>
      </w:r>
    </w:p>
    <w:p>
      <w:pPr>
        <w:spacing w:after="0"/>
        <w:rPr>
          <w:sz w:val="20"/>
          <w:szCs w:val="20"/>
          <w:color w:val="auto"/>
        </w:rPr>
      </w:pPr>
      <w:r>
        <w:rPr>
          <w:rFonts w:ascii="Arial" w:cs="Arial" w:eastAsia="Arial" w:hAnsi="Arial"/>
          <w:sz w:val="3"/>
          <w:szCs w:val="3"/>
          <w:color w:val="FFFFFF"/>
        </w:rPr>
        <w:t>GrantedTransferredduringduringthe theyearyear— —52,188 692</w:t>
      </w:r>
    </w:p>
    <w:p>
      <w:pPr>
        <w:spacing w:after="0" w:line="194" w:lineRule="auto"/>
        <w:rPr>
          <w:sz w:val="20"/>
          <w:szCs w:val="20"/>
          <w:color w:val="auto"/>
        </w:rPr>
      </w:pPr>
      <w:r>
        <w:rPr>
          <w:rFonts w:ascii="Arial" w:cs="Arial" w:eastAsia="Arial" w:hAnsi="Arial"/>
          <w:sz w:val="5"/>
          <w:szCs w:val="5"/>
          <w:color w:val="FFFFFF"/>
        </w:rPr>
        <w:t>Non-vested as at 31 December 2011 245,938 711</w:t>
      </w:r>
    </w:p>
    <w:p>
      <w:pPr>
        <w:ind w:right="5039"/>
        <w:spacing w:after="0" w:line="183" w:lineRule="auto"/>
        <w:rPr>
          <w:sz w:val="20"/>
          <w:szCs w:val="20"/>
          <w:color w:val="auto"/>
        </w:rPr>
      </w:pPr>
      <w:r>
        <w:rPr>
          <w:rFonts w:ascii="Arial" w:cs="Arial" w:eastAsia="Arial" w:hAnsi="Arial"/>
          <w:sz w:val="9"/>
          <w:szCs w:val="9"/>
          <w:color w:val="FFFFFF"/>
        </w:rPr>
        <w:t xml:space="preserve">Approximately HK$60.5 million of unamortized </w:t>
      </w:r>
      <w:r>
        <w:rPr>
          <w:rFonts w:ascii="Arial" w:cs="Arial" w:eastAsia="Arial" w:hAnsi="Arial"/>
          <w:sz w:val="14"/>
          <w:szCs w:val="14"/>
          <w:color w:val="FFFFFF"/>
          <w:vertAlign w:val="subscript"/>
        </w:rPr>
        <w:t>compensation</w:t>
      </w:r>
      <w:r>
        <w:rPr>
          <w:rFonts w:ascii="Arial" w:cs="Arial" w:eastAsia="Arial" w:hAnsi="Arial"/>
          <w:sz w:val="9"/>
          <w:szCs w:val="9"/>
          <w:color w:val="FFFFFF"/>
        </w:rPr>
        <w:t xml:space="preserve"> cost relating to non-vested shares of common stock granted under the WRL Stock Plan 31 December 2011 (2010: approximately HK$65.6 million) will be recognized as compensation over the vesting period of the related grants through 31 December 2016.</w:t>
      </w:r>
    </w:p>
    <w:p>
      <w:pPr>
        <w:sectPr>
          <w:pgSz w:w="11900" w:h="16838" w:orient="portrait"/>
          <w:cols w:equalWidth="0" w:num="1">
            <w:col w:w="10219"/>
          </w:cols>
          <w:pgMar w:left="240" w:top="1440" w:right="1440"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137</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rPr>
          <w:sz w:val="20"/>
          <w:szCs w:val="20"/>
          <w:color w:val="auto"/>
        </w:rPr>
      </w:pPr>
      <w:r>
        <w:rPr>
          <w:rFonts w:ascii="Arial" w:cs="Arial" w:eastAsia="Arial" w:hAnsi="Arial"/>
          <w:sz w:val="3"/>
          <w:szCs w:val="3"/>
          <w:color w:val="FFFFFF"/>
        </w:rPr>
        <w:t>24. PENSIONS AND OTHER POST-EMPLOYMENT BENEFIT PLANS</w:t>
      </w:r>
    </w:p>
    <w:p>
      <w:pPr>
        <w:spacing w:after="0" w:line="181" w:lineRule="auto"/>
        <w:rPr>
          <w:sz w:val="20"/>
          <w:szCs w:val="20"/>
          <w:color w:val="auto"/>
        </w:rPr>
      </w:pPr>
      <w:r>
        <w:rPr>
          <w:rFonts w:ascii="Arial" w:cs="Arial" w:eastAsia="Arial" w:hAnsi="Arial"/>
          <w:sz w:val="10"/>
          <w:szCs w:val="10"/>
          <w:color w:val="FFFFFF"/>
        </w:rPr>
        <w:t>In April 2005, the Group established a defined contribution retirement benefit scheme (the</w:t>
      </w:r>
    </w:p>
    <w:p>
      <w:pPr>
        <w:spacing w:after="0" w:line="213" w:lineRule="auto"/>
        <w:rPr>
          <w:sz w:val="20"/>
          <w:szCs w:val="20"/>
          <w:color w:val="auto"/>
        </w:rPr>
      </w:pPr>
      <w:r>
        <w:rPr>
          <w:rFonts w:ascii="Arial" w:cs="Arial" w:eastAsia="Arial" w:hAnsi="Arial"/>
          <w:sz w:val="4"/>
          <w:szCs w:val="4"/>
          <w:color w:val="FFFFFF"/>
          <w:vertAlign w:val="subscript"/>
        </w:rPr>
        <w:t>Scheme</w:t>
      </w:r>
      <w:r>
        <w:rPr>
          <w:rFonts w:ascii="Arial" w:cs="Arial" w:eastAsia="Arial" w:hAnsi="Arial"/>
          <w:sz w:val="2"/>
          <w:szCs w:val="2"/>
          <w:color w:val="FFFFFF"/>
        </w:rPr>
        <w:t>“Scheme”)</w:t>
      </w:r>
      <w:r>
        <w:rPr>
          <w:rFonts w:ascii="Arial" w:cs="Arial" w:eastAsia="Arial" w:hAnsi="Arial"/>
          <w:sz w:val="4"/>
          <w:szCs w:val="4"/>
          <w:color w:val="FFFFFF"/>
          <w:vertAlign w:val="subscript"/>
        </w:rPr>
        <w:t>are</w:t>
      </w:r>
      <w:r>
        <w:rPr>
          <w:rFonts w:ascii="Arial" w:cs="Arial" w:eastAsia="Arial" w:hAnsi="Arial"/>
          <w:sz w:val="2"/>
          <w:szCs w:val="2"/>
          <w:color w:val="FFFFFF"/>
        </w:rPr>
        <w:t>nd. Thethe GroupSchemematchesallows theeligiblecontributionsemployeeswithto contributeanequalamount.5%oftheirThe salaryassets ofto thethe</w:t>
      </w:r>
    </w:p>
    <w:p>
      <w:pPr>
        <w:ind w:left="660"/>
        <w:spacing w:after="0" w:line="187" w:lineRule="auto"/>
        <w:rPr>
          <w:sz w:val="20"/>
          <w:szCs w:val="20"/>
          <w:color w:val="auto"/>
        </w:rPr>
      </w:pPr>
      <w:r>
        <w:rPr>
          <w:rFonts w:ascii="Arial" w:cs="Arial" w:eastAsia="Arial" w:hAnsi="Arial"/>
          <w:sz w:val="9"/>
          <w:szCs w:val="9"/>
          <w:color w:val="FFFFFF"/>
        </w:rPr>
        <w:t>held separately from those of the Group in an independently administered fund.</w:t>
      </w:r>
    </w:p>
    <w:p>
      <w:pPr>
        <w:spacing w:after="0"/>
        <w:rPr>
          <w:sz w:val="20"/>
          <w:szCs w:val="20"/>
          <w:color w:val="auto"/>
        </w:rPr>
      </w:pPr>
      <w:r>
        <w:rPr>
          <w:rFonts w:ascii="Arial" w:cs="Arial" w:eastAsia="Arial" w:hAnsi="Arial"/>
          <w:sz w:val="7"/>
          <w:szCs w:val="7"/>
          <w:color w:val="FFFFFF"/>
          <w:vertAlign w:val="superscript"/>
        </w:rPr>
        <w:t>its</w:t>
      </w:r>
      <w:r>
        <w:rPr>
          <w:rFonts w:ascii="Arial" w:cs="Arial" w:eastAsia="Arial" w:hAnsi="Arial"/>
          <w:sz w:val="6"/>
          <w:szCs w:val="6"/>
          <w:color w:val="FFFFFF"/>
        </w:rPr>
        <w:t>ThentenGroup’syears. Forfeituresmatchingcontributionsofunvested</w:t>
      </w:r>
      <w:r>
        <w:rPr>
          <w:rFonts w:ascii="Arial" w:cs="Arial" w:eastAsia="Arial" w:hAnsi="Arial"/>
          <w:sz w:val="7"/>
          <w:szCs w:val="7"/>
          <w:color w:val="FFFFFF"/>
          <w:vertAlign w:val="superscript"/>
        </w:rPr>
        <w:t>Scheme</w:t>
      </w:r>
      <w:r>
        <w:rPr>
          <w:rFonts w:ascii="Arial" w:cs="Arial" w:eastAsia="Arial" w:hAnsi="Arial"/>
          <w:sz w:val="6"/>
          <w:szCs w:val="6"/>
          <w:color w:val="FFFFFF"/>
        </w:rPr>
        <w:t>vestontributionstotheemployeesareused atto 10%reducepertheyearGroup’swithfullliabilityvestingfor</w:t>
      </w:r>
    </w:p>
    <w:p>
      <w:pPr>
        <w:spacing w:after="0" w:line="214" w:lineRule="auto"/>
        <w:rPr>
          <w:sz w:val="20"/>
          <w:szCs w:val="20"/>
          <w:color w:val="auto"/>
        </w:rPr>
      </w:pPr>
      <w:r>
        <w:rPr>
          <w:rFonts w:ascii="Arial" w:cs="Arial" w:eastAsia="Arial" w:hAnsi="Arial"/>
          <w:sz w:val="4"/>
          <w:szCs w:val="4"/>
          <w:color w:val="FFFFFF"/>
          <w:vertAlign w:val="subscript"/>
        </w:rPr>
        <w:t>contributions</w:t>
      </w:r>
      <w:r>
        <w:rPr>
          <w:rFonts w:ascii="Arial" w:cs="Arial" w:eastAsia="Arial" w:hAnsi="Arial"/>
          <w:sz w:val="2"/>
          <w:szCs w:val="2"/>
          <w:color w:val="FFFFFF"/>
        </w:rPr>
        <w:t>contributionswithpayableanamountunderequalthe to the employee.InMay 2010,contributionstheGroupafterreinstatedstoppingmatchingthematchingthe</w:t>
      </w:r>
    </w:p>
    <w:p>
      <w:pPr>
        <w:ind w:right="4979" w:firstLine="747"/>
        <w:spacing w:after="0"/>
        <w:rPr>
          <w:sz w:val="20"/>
          <w:szCs w:val="20"/>
          <w:color w:val="auto"/>
        </w:rPr>
      </w:pPr>
      <w:r>
        <w:rPr>
          <w:rFonts w:ascii="Arial" w:cs="Arial" w:eastAsia="Arial" w:hAnsi="Arial"/>
          <w:sz w:val="5"/>
          <w:szCs w:val="5"/>
          <w:color w:val="FFFFFF"/>
        </w:rPr>
        <w:t>in March 2009. The Group recorded an expense for matching contributions of approximately HK$51.7 million for the year ended 31 December 2011 (2010: HK$25.4 million).</w:t>
      </w:r>
    </w:p>
    <w:p>
      <w:pPr>
        <w:spacing w:after="0" w:line="24" w:lineRule="exact"/>
        <w:rPr>
          <w:sz w:val="20"/>
          <w:szCs w:val="20"/>
          <w:color w:val="auto"/>
        </w:rPr>
      </w:pPr>
    </w:p>
    <w:p>
      <w:pPr>
        <w:ind w:right="5039"/>
        <w:spacing w:after="0" w:line="187" w:lineRule="auto"/>
        <w:rPr>
          <w:sz w:val="20"/>
          <w:szCs w:val="20"/>
          <w:color w:val="auto"/>
        </w:rPr>
      </w:pPr>
      <w:r>
        <w:rPr>
          <w:rFonts w:ascii="Arial" w:cs="Arial" w:eastAsia="Arial" w:hAnsi="Arial"/>
          <w:sz w:val="9"/>
          <w:szCs w:val="9"/>
          <w:color w:val="FFFFFF"/>
        </w:rPr>
        <w:t>25. DIRECTORS’ REMUNERATION AND FIVE HIGHEST PAID INDIVIDUALS Directors’ emoluments for the years, disclosed pursuant to the Listing Rules and Section 161 of the Hong Kong Companies Ordinance, are as follows: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Group</w:t>
      </w:r>
    </w:p>
    <w:p>
      <w:pPr>
        <w:spacing w:after="0" w:line="181" w:lineRule="auto"/>
        <w:rPr>
          <w:sz w:val="20"/>
          <w:szCs w:val="20"/>
          <w:color w:val="auto"/>
        </w:rPr>
      </w:pPr>
      <w:r>
        <w:rPr>
          <w:rFonts w:ascii="Arial" w:cs="Arial" w:eastAsia="Arial" w:hAnsi="Arial"/>
          <w:sz w:val="10"/>
          <w:szCs w:val="10"/>
          <w:color w:val="FFFFFF"/>
        </w:rPr>
        <w:t>For the year ended</w:t>
      </w:r>
    </w:p>
    <w:p>
      <w:pPr>
        <w:spacing w:after="0"/>
        <w:rPr>
          <w:sz w:val="20"/>
          <w:szCs w:val="20"/>
          <w:color w:val="auto"/>
        </w:rPr>
      </w:pPr>
      <w:r>
        <w:rPr>
          <w:rFonts w:ascii="Arial" w:cs="Arial" w:eastAsia="Arial" w:hAnsi="Arial"/>
          <w:sz w:val="3"/>
          <w:szCs w:val="3"/>
          <w:color w:val="FFFFFF"/>
        </w:rPr>
        <w:t>201131December2010</w:t>
      </w:r>
    </w:p>
    <w:p>
      <w:pPr>
        <w:spacing w:after="0" w:line="181" w:lineRule="auto"/>
        <w:rPr>
          <w:sz w:val="20"/>
          <w:szCs w:val="20"/>
          <w:color w:val="auto"/>
        </w:rPr>
      </w:pPr>
      <w:r>
        <w:rPr>
          <w:rFonts w:ascii="Arial" w:cs="Arial" w:eastAsia="Arial" w:hAnsi="Arial"/>
          <w:sz w:val="10"/>
          <w:szCs w:val="10"/>
          <w:color w:val="FFFFFF"/>
        </w:rPr>
        <w:t>HK$ HK$</w:t>
      </w:r>
    </w:p>
    <w:p>
      <w:pPr>
        <w:spacing w:after="0"/>
        <w:rPr>
          <w:sz w:val="20"/>
          <w:szCs w:val="20"/>
          <w:color w:val="auto"/>
        </w:rPr>
      </w:pPr>
      <w:r>
        <w:rPr>
          <w:rFonts w:ascii="Arial" w:cs="Arial" w:eastAsia="Arial" w:hAnsi="Arial"/>
          <w:sz w:val="3"/>
          <w:szCs w:val="3"/>
          <w:color w:val="FFFFFF"/>
        </w:rPr>
        <w:t>Fees(inthousands)3,1003,100</w:t>
      </w:r>
    </w:p>
    <w:p>
      <w:pPr>
        <w:spacing w:after="0" w:line="181" w:lineRule="auto"/>
        <w:rPr>
          <w:sz w:val="20"/>
          <w:szCs w:val="20"/>
          <w:color w:val="auto"/>
        </w:rPr>
      </w:pPr>
      <w:r>
        <w:rPr>
          <w:rFonts w:ascii="Arial" w:cs="Arial" w:eastAsia="Arial" w:hAnsi="Arial"/>
          <w:sz w:val="10"/>
          <w:szCs w:val="10"/>
          <w:color w:val="FFFFFF"/>
        </w:rPr>
        <w:t>Salaries, allowances and benefits in kind 7,663 7,341</w:t>
      </w:r>
    </w:p>
    <w:p>
      <w:pPr>
        <w:spacing w:after="0" w:line="188" w:lineRule="auto"/>
        <w:rPr>
          <w:sz w:val="20"/>
          <w:szCs w:val="20"/>
          <w:color w:val="auto"/>
        </w:rPr>
      </w:pPr>
      <w:r>
        <w:rPr>
          <w:rFonts w:ascii="Arial" w:cs="Arial" w:eastAsia="Arial" w:hAnsi="Arial"/>
          <w:sz w:val="9"/>
          <w:szCs w:val="9"/>
          <w:color w:val="FFFFFF"/>
        </w:rPr>
        <w:t>ShareBonus-basedandnonpayments-equity incentive6,4785,514plan compensation 27,237 27,198</w:t>
      </w:r>
    </w:p>
    <w:p>
      <w:pPr>
        <w:spacing w:after="0"/>
        <w:rPr>
          <w:sz w:val="20"/>
          <w:szCs w:val="20"/>
          <w:color w:val="auto"/>
        </w:rPr>
      </w:pPr>
      <w:r>
        <w:rPr>
          <w:rFonts w:ascii="Arial" w:cs="Arial" w:eastAsia="Arial" w:hAnsi="Arial"/>
          <w:sz w:val="14"/>
          <w:szCs w:val="14"/>
          <w:color w:val="FFFFFF"/>
        </w:rPr>
        <w:t>TotalContributionsemolumentstoretirement44,77043,348plan292 195</w:t>
      </w:r>
    </w:p>
    <w:p>
      <w:pPr>
        <w:sectPr>
          <w:pgSz w:w="11900" w:h="16838" w:orient="portrait"/>
          <w:cols w:equalWidth="0" w:num="1">
            <w:col w:w="10219"/>
          </w:cols>
          <w:pgMar w:left="240" w:top="1440" w:right="1440"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20"/>
                <w:szCs w:val="20"/>
                <w:color w:val="auto"/>
              </w:rPr>
            </w:pPr>
            <w:r>
              <w:rPr>
                <w:rFonts w:ascii="Arial" w:cs="Arial" w:eastAsia="Arial" w:hAnsi="Arial"/>
                <w:sz w:val="14"/>
                <w:szCs w:val="14"/>
                <w:color w:val="FFFFFF"/>
                <w:w w:val="93"/>
              </w:rPr>
              <w:t>138 Wynn Macau, Limited</w:t>
            </w:r>
          </w:p>
        </w:tc>
        <w:tc>
          <w:tcPr>
            <w:tcW w:w="3740" w:type="dxa"/>
            <w:vAlign w:val="bottom"/>
          </w:tcPr>
          <w:p>
            <w:pPr>
              <w:spacing w:after="0"/>
              <w:rPr>
                <w:sz w:val="14"/>
                <w:szCs w:val="14"/>
                <w:color w:val="auto"/>
              </w:rPr>
            </w:pP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Financial Statements</w:t>
            </w:r>
          </w:p>
        </w:tc>
        <w:tc>
          <w:tcPr>
            <w:tcW w:w="3740" w:type="dxa"/>
            <w:vAlign w:val="bottom"/>
          </w:tcPr>
          <w:p>
            <w:pPr>
              <w:spacing w:after="0"/>
              <w:rPr>
                <w:sz w:val="3"/>
                <w:szCs w:val="3"/>
                <w:color w:val="auto"/>
              </w:rPr>
            </w:pP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25. DIRECTORS’ REMUNERATION AND FIVE HIGHEST PAID INDIVIDUALS (continued)</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Directors’ emoluments (continued)</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Contributions</w:t>
            </w:r>
          </w:p>
        </w:tc>
        <w:tc>
          <w:tcPr>
            <w:tcW w:w="3740" w:type="dxa"/>
            <w:vAlign w:val="bottom"/>
          </w:tcPr>
          <w:p>
            <w:pPr>
              <w:spacing w:after="0"/>
              <w:rPr>
                <w:sz w:val="3"/>
                <w:szCs w:val="3"/>
                <w:color w:val="auto"/>
              </w:rPr>
            </w:pP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Discretionary Share-based to Retirement</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Fees Salary Bonus Payments Plan Other Total</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HK$ HK$ HK$ HK$ HK$ HK$ HK$</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(in thousands)</w:t>
            </w:r>
          </w:p>
        </w:tc>
        <w:tc>
          <w:tcPr>
            <w:tcW w:w="3740" w:type="dxa"/>
            <w:vAlign w:val="bottom"/>
          </w:tcPr>
          <w:p>
            <w:pPr>
              <w:spacing w:after="0"/>
              <w:rPr>
                <w:sz w:val="3"/>
                <w:szCs w:val="3"/>
                <w:color w:val="auto"/>
              </w:rPr>
            </w:pP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2011</w:t>
            </w:r>
          </w:p>
        </w:tc>
        <w:tc>
          <w:tcPr>
            <w:tcW w:w="3740" w:type="dxa"/>
            <w:vAlign w:val="bottom"/>
          </w:tcPr>
          <w:p>
            <w:pPr>
              <w:spacing w:after="0"/>
              <w:rPr>
                <w:sz w:val="3"/>
                <w:szCs w:val="3"/>
                <w:color w:val="auto"/>
              </w:rPr>
            </w:pP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Executive Directors:</w:t>
            </w:r>
          </w:p>
        </w:tc>
        <w:tc>
          <w:tcPr>
            <w:tcW w:w="3740" w:type="dxa"/>
            <w:vAlign w:val="bottom"/>
          </w:tcPr>
          <w:p>
            <w:pPr>
              <w:spacing w:after="0"/>
              <w:rPr>
                <w:sz w:val="3"/>
                <w:szCs w:val="3"/>
                <w:color w:val="auto"/>
              </w:rPr>
            </w:pP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Stephen A. Wynn — — 15,570 — — — 15,570</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Linda Chen — — — — — — —</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Ian Michael Coughlan — 5,839 11,667 4,378 292 1,824 24,000</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Non-executive</w:t>
            </w:r>
          </w:p>
        </w:tc>
        <w:tc>
          <w:tcPr>
            <w:tcW w:w="3740" w:type="dxa"/>
            <w:vAlign w:val="bottom"/>
          </w:tcPr>
          <w:p>
            <w:pPr>
              <w:spacing w:after="0"/>
              <w:rPr>
                <w:sz w:val="3"/>
                <w:szCs w:val="3"/>
                <w:color w:val="auto"/>
              </w:rPr>
            </w:pP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Directors:</w:t>
            </w:r>
          </w:p>
        </w:tc>
        <w:tc>
          <w:tcPr>
            <w:tcW w:w="3740" w:type="dxa"/>
            <w:vAlign w:val="bottom"/>
          </w:tcPr>
          <w:p>
            <w:pPr>
              <w:spacing w:after="0"/>
              <w:rPr>
                <w:sz w:val="3"/>
                <w:szCs w:val="3"/>
                <w:color w:val="auto"/>
              </w:rPr>
            </w:pP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Kazuo Okada* 500 — — — — — 500</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Marc D. Schorr — — — —</w:t>
            </w:r>
          </w:p>
        </w:tc>
        <w:tc>
          <w:tcPr>
            <w:tcW w:w="3740" w:type="dxa"/>
            <w:vAlign w:val="bottom"/>
          </w:tcPr>
          <w:p>
            <w:pPr>
              <w:ind w:left="360"/>
              <w:spacing w:after="0"/>
              <w:rPr>
                <w:sz w:val="20"/>
                <w:szCs w:val="20"/>
                <w:color w:val="auto"/>
              </w:rPr>
            </w:pPr>
            <w:r>
              <w:rPr>
                <w:rFonts w:ascii="Arial" w:cs="Arial" w:eastAsia="Arial" w:hAnsi="Arial"/>
                <w:sz w:val="3"/>
                <w:szCs w:val="3"/>
                <w:color w:val="FFFFFF"/>
              </w:rPr>
              <w:t>—</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Allan Zeman 625 — — 525</w:t>
            </w:r>
          </w:p>
        </w:tc>
        <w:tc>
          <w:tcPr>
            <w:tcW w:w="3740" w:type="dxa"/>
            <w:vAlign w:val="bottom"/>
          </w:tcPr>
          <w:p>
            <w:pPr>
              <w:ind w:left="20"/>
              <w:spacing w:after="0"/>
              <w:rPr>
                <w:sz w:val="20"/>
                <w:szCs w:val="20"/>
                <w:color w:val="auto"/>
              </w:rPr>
            </w:pPr>
            <w:r>
              <w:rPr>
                <w:rFonts w:ascii="Arial" w:cs="Arial" w:eastAsia="Arial" w:hAnsi="Arial"/>
                <w:sz w:val="3"/>
                <w:szCs w:val="3"/>
                <w:color w:val="FFFFFF"/>
              </w:rPr>
              <w:t>— — 1,150</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Independent</w:t>
            </w:r>
          </w:p>
        </w:tc>
        <w:tc>
          <w:tcPr>
            <w:tcW w:w="3740" w:type="dxa"/>
            <w:vAlign w:val="bottom"/>
          </w:tcPr>
          <w:p>
            <w:pPr>
              <w:spacing w:after="0"/>
              <w:rPr>
                <w:sz w:val="3"/>
                <w:szCs w:val="3"/>
                <w:color w:val="auto"/>
              </w:rPr>
            </w:pP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non-executives</w:t>
            </w:r>
          </w:p>
        </w:tc>
        <w:tc>
          <w:tcPr>
            <w:tcW w:w="3740" w:type="dxa"/>
            <w:vAlign w:val="bottom"/>
          </w:tcPr>
          <w:p>
            <w:pPr>
              <w:spacing w:after="0"/>
              <w:rPr>
                <w:sz w:val="3"/>
                <w:szCs w:val="3"/>
                <w:color w:val="auto"/>
              </w:rPr>
            </w:pP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Directors:</w:t>
            </w:r>
          </w:p>
        </w:tc>
        <w:tc>
          <w:tcPr>
            <w:tcW w:w="3740" w:type="dxa"/>
            <w:vAlign w:val="bottom"/>
          </w:tcPr>
          <w:p>
            <w:pPr>
              <w:spacing w:after="0"/>
              <w:rPr>
                <w:sz w:val="3"/>
                <w:szCs w:val="3"/>
                <w:color w:val="auto"/>
              </w:rPr>
            </w:pP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Jeffrey Kin-fung Lam 625 — — 525 — — 1,150</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Bruce Rockowitz 625 — — 525 — — 1,150</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Nicholas Sallnow-Smith 725 — — 525 — — 1,250</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3,100 5,839 27,237 6,478 292 1,824 44,770</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2010</w:t>
            </w:r>
          </w:p>
        </w:tc>
        <w:tc>
          <w:tcPr>
            <w:tcW w:w="3740" w:type="dxa"/>
            <w:vAlign w:val="bottom"/>
          </w:tcPr>
          <w:p>
            <w:pPr>
              <w:spacing w:after="0"/>
              <w:rPr>
                <w:sz w:val="3"/>
                <w:szCs w:val="3"/>
                <w:color w:val="auto"/>
              </w:rPr>
            </w:pP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Executive Directors:</w:t>
            </w:r>
          </w:p>
        </w:tc>
        <w:tc>
          <w:tcPr>
            <w:tcW w:w="3740" w:type="dxa"/>
            <w:vAlign w:val="bottom"/>
          </w:tcPr>
          <w:p>
            <w:pPr>
              <w:spacing w:after="0"/>
              <w:rPr>
                <w:sz w:val="3"/>
                <w:szCs w:val="3"/>
                <w:color w:val="auto"/>
              </w:rPr>
            </w:pP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Stephen A. Wynn — — 15,535 — — — 15,535</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Linda Chen — — — — — — —</w:t>
            </w: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Ian Michael Coughlan — 5,826 11,663 3,918 195 1,515 23,117</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Non-executive</w:t>
            </w:r>
          </w:p>
        </w:tc>
        <w:tc>
          <w:tcPr>
            <w:tcW w:w="3740" w:type="dxa"/>
            <w:vAlign w:val="bottom"/>
          </w:tcPr>
          <w:p>
            <w:pPr>
              <w:spacing w:after="0"/>
              <w:rPr>
                <w:sz w:val="3"/>
                <w:szCs w:val="3"/>
                <w:color w:val="auto"/>
              </w:rPr>
            </w:pP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Directors:</w:t>
            </w:r>
          </w:p>
        </w:tc>
        <w:tc>
          <w:tcPr>
            <w:tcW w:w="3740" w:type="dxa"/>
            <w:vAlign w:val="bottom"/>
          </w:tcPr>
          <w:p>
            <w:pPr>
              <w:spacing w:after="0"/>
              <w:rPr>
                <w:sz w:val="3"/>
                <w:szCs w:val="3"/>
                <w:color w:val="auto"/>
              </w:rPr>
            </w:pPr>
          </w:p>
        </w:tc>
      </w:tr>
      <w:tr>
        <w:trPr>
          <w:trHeight w:val="41"/>
        </w:trPr>
        <w:tc>
          <w:tcPr>
            <w:tcW w:w="5280" w:type="dxa"/>
            <w:vAlign w:val="bottom"/>
            <w:gridSpan w:val="2"/>
          </w:tcPr>
          <w:p>
            <w:pPr>
              <w:spacing w:after="0"/>
              <w:rPr>
                <w:sz w:val="20"/>
                <w:szCs w:val="20"/>
                <w:color w:val="auto"/>
              </w:rPr>
            </w:pPr>
            <w:r>
              <w:rPr>
                <w:rFonts w:ascii="Arial" w:cs="Arial" w:eastAsia="Arial" w:hAnsi="Arial"/>
                <w:sz w:val="3"/>
                <w:szCs w:val="3"/>
                <w:color w:val="FFFFFF"/>
              </w:rPr>
              <w:t>Kazuo Okada* 500 — — — — — 500</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Marc D. Schorr — — — —</w:t>
            </w:r>
          </w:p>
        </w:tc>
        <w:tc>
          <w:tcPr>
            <w:tcW w:w="3740" w:type="dxa"/>
            <w:vAlign w:val="bottom"/>
          </w:tcPr>
          <w:p>
            <w:pPr>
              <w:ind w:left="360"/>
              <w:spacing w:after="0"/>
              <w:rPr>
                <w:sz w:val="20"/>
                <w:szCs w:val="20"/>
                <w:color w:val="auto"/>
              </w:rPr>
            </w:pPr>
            <w:r>
              <w:rPr>
                <w:rFonts w:ascii="Arial" w:cs="Arial" w:eastAsia="Arial" w:hAnsi="Arial"/>
                <w:sz w:val="3"/>
                <w:szCs w:val="3"/>
                <w:color w:val="FFFFFF"/>
              </w:rPr>
              <w:t>—</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Allan Zeman 625 — — 399</w:t>
            </w:r>
          </w:p>
        </w:tc>
        <w:tc>
          <w:tcPr>
            <w:tcW w:w="3740" w:type="dxa"/>
            <w:vAlign w:val="bottom"/>
          </w:tcPr>
          <w:p>
            <w:pPr>
              <w:ind w:left="20"/>
              <w:spacing w:after="0"/>
              <w:rPr>
                <w:sz w:val="20"/>
                <w:szCs w:val="20"/>
                <w:color w:val="auto"/>
              </w:rPr>
            </w:pPr>
            <w:r>
              <w:rPr>
                <w:rFonts w:ascii="Arial" w:cs="Arial" w:eastAsia="Arial" w:hAnsi="Arial"/>
                <w:sz w:val="3"/>
                <w:szCs w:val="3"/>
                <w:color w:val="FFFFFF"/>
              </w:rPr>
              <w:t>— — 1,024</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Independent</w:t>
            </w:r>
          </w:p>
        </w:tc>
        <w:tc>
          <w:tcPr>
            <w:tcW w:w="3740" w:type="dxa"/>
            <w:vAlign w:val="bottom"/>
          </w:tcPr>
          <w:p>
            <w:pPr>
              <w:spacing w:after="0"/>
              <w:rPr>
                <w:sz w:val="3"/>
                <w:szCs w:val="3"/>
                <w:color w:val="auto"/>
              </w:rPr>
            </w:pPr>
          </w:p>
        </w:tc>
      </w:tr>
      <w:tr>
        <w:trPr>
          <w:trHeight w:val="0"/>
        </w:trPr>
        <w:tc>
          <w:tcPr>
            <w:tcW w:w="1540" w:type="dxa"/>
            <w:vAlign w:val="bottom"/>
          </w:tcPr>
          <w:p>
            <w:pPr>
              <w:spacing w:after="0"/>
              <w:rPr>
                <w:sz w:val="20"/>
                <w:szCs w:val="20"/>
                <w:color w:val="auto"/>
              </w:rPr>
            </w:pPr>
            <w:r>
              <w:rPr>
                <w:rFonts w:ascii="Arial" w:cs="Arial" w:eastAsia="Arial" w:hAnsi="Arial"/>
                <w:sz w:val="14"/>
                <w:szCs w:val="14"/>
                <w:color w:val="FFFFFF"/>
              </w:rPr>
              <w:t>non-executives</w:t>
            </w:r>
          </w:p>
        </w:tc>
        <w:tc>
          <w:tcPr>
            <w:tcW w:w="374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Directors:</w:t>
      </w:r>
    </w:p>
    <w:p>
      <w:pPr>
        <w:spacing w:after="0" w:line="181" w:lineRule="auto"/>
        <w:rPr>
          <w:sz w:val="20"/>
          <w:szCs w:val="20"/>
          <w:color w:val="auto"/>
        </w:rPr>
      </w:pPr>
      <w:r>
        <w:rPr>
          <w:rFonts w:ascii="Arial" w:cs="Arial" w:eastAsia="Arial" w:hAnsi="Arial"/>
          <w:sz w:val="14"/>
          <w:szCs w:val="14"/>
          <w:color w:val="FFFFFF"/>
        </w:rPr>
        <w:t>JeffreyBruceRockowitzKin-fungLam625 —625——399— —399——1,024—1,024</w:t>
      </w:r>
    </w:p>
    <w:p>
      <w:pPr>
        <w:spacing w:after="0"/>
        <w:rPr>
          <w:sz w:val="20"/>
          <w:szCs w:val="20"/>
          <w:color w:val="auto"/>
        </w:rPr>
      </w:pPr>
      <w:r>
        <w:rPr>
          <w:rFonts w:ascii="Arial" w:cs="Arial" w:eastAsia="Arial" w:hAnsi="Arial"/>
          <w:sz w:val="3"/>
          <w:szCs w:val="3"/>
          <w:color w:val="FFFFFF"/>
        </w:rPr>
        <w:t>3,100Nicholas5,826Sallnow27,198-Smith5,514725195—1,515—39943,348—— 1,124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 Mr. Kazuo Okada ceased to be a member of our Board on 24 February 2012.</w:t>
      </w:r>
    </w:p>
    <w:p>
      <w:pPr>
        <w:sectPr>
          <w:pgSz w:w="11900" w:h="16838" w:orient="portrait"/>
          <w:cols w:equalWidth="0" w:num="1">
            <w:col w:w="10219"/>
          </w:cols>
          <w:pgMar w:left="240" w:top="1440" w:right="1440"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139</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For the year ended 31 December 2011</w:t>
      </w:r>
    </w:p>
    <w:p>
      <w:pPr>
        <w:spacing w:after="0"/>
        <w:rPr>
          <w:sz w:val="20"/>
          <w:szCs w:val="20"/>
          <w:color w:val="auto"/>
        </w:rPr>
      </w:pPr>
      <w:r>
        <w:rPr>
          <w:rFonts w:ascii="Arial" w:cs="Arial" w:eastAsia="Arial" w:hAnsi="Arial"/>
          <w:sz w:val="3"/>
          <w:szCs w:val="3"/>
          <w:color w:val="FFFFFF"/>
        </w:rPr>
        <w:t>Directors’25.DIRECTORS’emolumentsREMUNERATION(continued) AND FIVE HIGHEST PAID INDIVIDUALS (continued)</w:t>
      </w:r>
    </w:p>
    <w:p>
      <w:pPr>
        <w:spacing w:after="0" w:line="6" w:lineRule="exact"/>
        <w:rPr>
          <w:sz w:val="20"/>
          <w:szCs w:val="20"/>
          <w:color w:val="auto"/>
        </w:rPr>
      </w:pPr>
    </w:p>
    <w:p>
      <w:pPr>
        <w:jc w:val="both"/>
        <w:ind w:right="220"/>
        <w:spacing w:after="0" w:line="181" w:lineRule="auto"/>
        <w:rPr>
          <w:sz w:val="20"/>
          <w:szCs w:val="20"/>
          <w:color w:val="auto"/>
        </w:rPr>
      </w:pPr>
      <w:r>
        <w:rPr>
          <w:rFonts w:ascii="Arial" w:cs="Arial" w:eastAsia="Arial" w:hAnsi="Arial"/>
          <w:sz w:val="7"/>
          <w:szCs w:val="7"/>
          <w:color w:val="FFFFFF"/>
        </w:rPr>
        <w:t>In addition to the directors’ emoluments disclosed in the above tables, Stephen A. Wynn and Marc D. Schorr received emoluments from Wynn Resorts, Limited amounting to HK$108.1 million and HK$76.7 million for the year ended 31 December 2011, respectively (2010: HK$93.1 million and HK$73.8 million, respectively). The Group was charged through the corporate allocation agreement a portion of their emoluments.</w:t>
      </w:r>
    </w:p>
    <w:p>
      <w:pPr>
        <w:jc w:val="both"/>
        <w:spacing w:after="0" w:line="181" w:lineRule="auto"/>
        <w:rPr>
          <w:sz w:val="20"/>
          <w:szCs w:val="20"/>
          <w:color w:val="auto"/>
        </w:rPr>
      </w:pPr>
      <w:r>
        <w:rPr>
          <w:rFonts w:ascii="Arial" w:cs="Arial" w:eastAsia="Arial" w:hAnsi="Arial"/>
          <w:sz w:val="7"/>
          <w:szCs w:val="7"/>
          <w:color w:val="FFFFFF"/>
        </w:rPr>
        <w:t>Linda Chen received emoluments (inclusive of share-based payments) of HK$62.1 million for the year ended 31 December 2011 (2010: HK$50.9 million), representing the portion charged to the Group through the marketing and secondment service agreement with WIML. In May 2010, Wynn Macau was caused to purchase a house and provide an automobile in Macau for use by Ms. Chen as described in note 27 to the fi nancial statements.</w:t>
      </w:r>
    </w:p>
    <w:p>
      <w:pPr>
        <w:ind w:right="40"/>
        <w:spacing w:after="0" w:line="187" w:lineRule="auto"/>
        <w:rPr>
          <w:sz w:val="20"/>
          <w:szCs w:val="20"/>
          <w:color w:val="auto"/>
        </w:rPr>
      </w:pPr>
      <w:r>
        <w:rPr>
          <w:rFonts w:ascii="Arial" w:cs="Arial" w:eastAsia="Arial" w:hAnsi="Arial"/>
          <w:sz w:val="9"/>
          <w:szCs w:val="9"/>
          <w:color w:val="FFFFFF"/>
        </w:rPr>
        <w:t>Both Kazuo Okada* and Allan Zeman also received emoluments (inclusive of share-based payments) as directors of Wynn Resorts, Limited for the year ended 31 December 2011 of HK$0.6 million and HK$2.9 million, respectively (2010: HK$0.5 million and HK$2.5 million, respectively).</w:t>
      </w:r>
    </w:p>
    <w:p>
      <w:pPr>
        <w:spacing w:after="0"/>
        <w:rPr>
          <w:sz w:val="20"/>
          <w:szCs w:val="20"/>
          <w:color w:val="auto"/>
        </w:rPr>
      </w:pPr>
      <w:r>
        <w:rPr>
          <w:rFonts w:ascii="Arial" w:cs="Arial" w:eastAsia="Arial" w:hAnsi="Arial"/>
          <w:sz w:val="14"/>
          <w:szCs w:val="14"/>
          <w:color w:val="FFFFFF"/>
        </w:rPr>
        <w:t>* Mr. Kazuo Okada ceased to be a member of our Board on 24 February 2012.</w:t>
      </w:r>
    </w:p>
    <w:p>
      <w:pPr>
        <w:sectPr>
          <w:pgSz w:w="11900" w:h="16838" w:orient="portrait"/>
          <w:cols w:equalWidth="0" w:num="1">
            <w:col w:w="11420"/>
          </w:cols>
          <w:pgMar w:left="240" w:top="1440" w:right="23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4"/>
          </w:tcPr>
          <w:p>
            <w:pPr>
              <w:spacing w:after="0"/>
              <w:rPr>
                <w:sz w:val="20"/>
                <w:szCs w:val="20"/>
                <w:color w:val="auto"/>
              </w:rPr>
            </w:pPr>
            <w:r>
              <w:rPr>
                <w:rFonts w:ascii="Arial" w:cs="Arial" w:eastAsia="Arial" w:hAnsi="Arial"/>
                <w:sz w:val="14"/>
                <w:szCs w:val="14"/>
                <w:color w:val="FFFFFF"/>
                <w:w w:val="90"/>
              </w:rPr>
              <w:t>140 Wynn Macau, Limited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26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5"/>
          </w:tcPr>
          <w:p>
            <w:pPr>
              <w:spacing w:after="0"/>
              <w:rPr>
                <w:sz w:val="20"/>
                <w:szCs w:val="20"/>
                <w:color w:val="auto"/>
              </w:rPr>
            </w:pPr>
            <w:r>
              <w:rPr>
                <w:rFonts w:ascii="Arial" w:cs="Arial" w:eastAsia="Arial" w:hAnsi="Arial"/>
                <w:sz w:val="3"/>
                <w:szCs w:val="3"/>
                <w:color w:val="FFFFFF"/>
              </w:rPr>
              <w:t>Notes to Financial Statements</w:t>
            </w: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0" w:type="dxa"/>
            <w:vAlign w:val="bottom"/>
            <w:gridSpan w:val="6"/>
          </w:tcPr>
          <w:p>
            <w:pPr>
              <w:spacing w:after="0"/>
              <w:rPr>
                <w:sz w:val="20"/>
                <w:szCs w:val="20"/>
                <w:color w:val="auto"/>
              </w:rPr>
            </w:pPr>
            <w:r>
              <w:rPr>
                <w:rFonts w:ascii="Arial" w:cs="Arial" w:eastAsia="Arial" w:hAnsi="Arial"/>
                <w:sz w:val="3"/>
                <w:szCs w:val="3"/>
                <w:color w:val="FFFFFF"/>
              </w:rPr>
              <w:t>For the year ended 31 December 2011</w:t>
            </w: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80" w:type="dxa"/>
            <w:vAlign w:val="bottom"/>
            <w:gridSpan w:val="7"/>
          </w:tcPr>
          <w:p>
            <w:pPr>
              <w:spacing w:after="0"/>
              <w:rPr>
                <w:sz w:val="20"/>
                <w:szCs w:val="20"/>
                <w:color w:val="auto"/>
              </w:rPr>
            </w:pPr>
            <w:r>
              <w:rPr>
                <w:rFonts w:ascii="Arial" w:cs="Arial" w:eastAsia="Arial" w:hAnsi="Arial"/>
                <w:sz w:val="3"/>
                <w:szCs w:val="3"/>
                <w:color w:val="FFFFFF"/>
              </w:rPr>
              <w:t>25. DIRECTORS’ REMUNERATION AND FIVE HIGHEST PAID INDIVIDUALS (continued)</w:t>
            </w:r>
          </w:p>
        </w:tc>
        <w:tc>
          <w:tcPr>
            <w:tcW w:w="0" w:type="dxa"/>
            <w:vAlign w:val="bottom"/>
          </w:tcPr>
          <w:p>
            <w:pPr>
              <w:spacing w:after="0"/>
              <w:rPr>
                <w:sz w:val="1"/>
                <w:szCs w:val="1"/>
                <w:color w:val="auto"/>
              </w:rPr>
            </w:pPr>
          </w:p>
        </w:tc>
      </w:tr>
      <w:tr>
        <w:trPr>
          <w:trHeight w:val="41"/>
        </w:trPr>
        <w:tc>
          <w:tcPr>
            <w:tcW w:w="5280" w:type="dxa"/>
            <w:vAlign w:val="bottom"/>
            <w:gridSpan w:val="7"/>
          </w:tcPr>
          <w:p>
            <w:pPr>
              <w:spacing w:after="0"/>
              <w:rPr>
                <w:sz w:val="20"/>
                <w:szCs w:val="20"/>
                <w:color w:val="auto"/>
              </w:rPr>
            </w:pPr>
            <w:r>
              <w:rPr>
                <w:rFonts w:ascii="Arial" w:cs="Arial" w:eastAsia="Arial" w:hAnsi="Arial"/>
                <w:sz w:val="3"/>
                <w:szCs w:val="3"/>
                <w:color w:val="FFFFFF"/>
              </w:rPr>
              <w:t>Five highest paid individuals’ emoluments</w:t>
            </w:r>
          </w:p>
        </w:tc>
        <w:tc>
          <w:tcPr>
            <w:tcW w:w="0" w:type="dxa"/>
            <w:vAlign w:val="bottom"/>
          </w:tcPr>
          <w:p>
            <w:pPr>
              <w:spacing w:after="0"/>
              <w:rPr>
                <w:sz w:val="1"/>
                <w:szCs w:val="1"/>
                <w:color w:val="auto"/>
              </w:rPr>
            </w:pPr>
          </w:p>
        </w:tc>
      </w:tr>
      <w:tr>
        <w:trPr>
          <w:trHeight w:val="41"/>
        </w:trPr>
        <w:tc>
          <w:tcPr>
            <w:tcW w:w="2200" w:type="dxa"/>
            <w:vAlign w:val="bottom"/>
            <w:gridSpan w:val="6"/>
          </w:tcPr>
          <w:p>
            <w:pPr>
              <w:spacing w:after="0"/>
              <w:rPr>
                <w:sz w:val="20"/>
                <w:szCs w:val="20"/>
                <w:color w:val="auto"/>
              </w:rPr>
            </w:pPr>
            <w:r>
              <w:rPr>
                <w:rFonts w:ascii="Arial" w:cs="Arial" w:eastAsia="Arial" w:hAnsi="Arial"/>
                <w:sz w:val="3"/>
                <w:szCs w:val="3"/>
                <w:color w:val="FFFFFF"/>
              </w:rPr>
              <w:t>During the year ended 31 December</w:t>
            </w:r>
          </w:p>
        </w:tc>
        <w:tc>
          <w:tcPr>
            <w:tcW w:w="3080" w:type="dxa"/>
            <w:vAlign w:val="bottom"/>
          </w:tcPr>
          <w:p>
            <w:pPr>
              <w:spacing w:after="0"/>
              <w:rPr>
                <w:sz w:val="20"/>
                <w:szCs w:val="20"/>
                <w:color w:val="auto"/>
              </w:rPr>
            </w:pPr>
            <w:r>
              <w:rPr>
                <w:rFonts w:ascii="Arial" w:cs="Arial" w:eastAsia="Arial" w:hAnsi="Arial"/>
                <w:sz w:val="3"/>
                <w:szCs w:val="3"/>
                <w:color w:val="FFFFFF"/>
              </w:rPr>
              <w:t>1, the five individuals whose emoluments were the</w:t>
            </w:r>
          </w:p>
        </w:tc>
        <w:tc>
          <w:tcPr>
            <w:tcW w:w="0" w:type="dxa"/>
            <w:vAlign w:val="bottom"/>
          </w:tcPr>
          <w:p>
            <w:pPr>
              <w:spacing w:after="0"/>
              <w:rPr>
                <w:sz w:val="1"/>
                <w:szCs w:val="1"/>
                <w:color w:val="auto"/>
              </w:rPr>
            </w:pPr>
          </w:p>
        </w:tc>
      </w:tr>
      <w:tr>
        <w:trPr>
          <w:trHeight w:val="41"/>
        </w:trPr>
        <w:tc>
          <w:tcPr>
            <w:tcW w:w="1940" w:type="dxa"/>
            <w:vAlign w:val="bottom"/>
            <w:gridSpan w:val="5"/>
          </w:tcPr>
          <w:p>
            <w:pPr>
              <w:spacing w:after="0"/>
              <w:rPr>
                <w:sz w:val="20"/>
                <w:szCs w:val="20"/>
                <w:color w:val="auto"/>
              </w:rPr>
            </w:pPr>
            <w:r>
              <w:rPr>
                <w:rFonts w:ascii="Arial" w:cs="Arial" w:eastAsia="Arial" w:hAnsi="Arial"/>
                <w:sz w:val="3"/>
                <w:szCs w:val="3"/>
                <w:color w:val="FFFFFF"/>
              </w:rPr>
              <w:t>highest in the Group included three</w:t>
            </w:r>
          </w:p>
        </w:tc>
        <w:tc>
          <w:tcPr>
            <w:tcW w:w="3340" w:type="dxa"/>
            <w:vAlign w:val="bottom"/>
            <w:gridSpan w:val="2"/>
          </w:tcPr>
          <w:p>
            <w:pPr>
              <w:ind w:left="20"/>
              <w:spacing w:after="0"/>
              <w:rPr>
                <w:sz w:val="20"/>
                <w:szCs w:val="20"/>
                <w:color w:val="auto"/>
              </w:rPr>
            </w:pPr>
            <w:r>
              <w:rPr>
                <w:rFonts w:ascii="Arial" w:cs="Arial" w:eastAsia="Arial" w:hAnsi="Arial"/>
                <w:sz w:val="3"/>
                <w:szCs w:val="3"/>
                <w:color w:val="FFFFFF"/>
              </w:rPr>
              <w:t>(2010: three) Directors whose emoluments were reflected</w:t>
            </w:r>
          </w:p>
        </w:tc>
        <w:tc>
          <w:tcPr>
            <w:tcW w:w="0" w:type="dxa"/>
            <w:vAlign w:val="bottom"/>
          </w:tcPr>
          <w:p>
            <w:pPr>
              <w:spacing w:after="0"/>
              <w:rPr>
                <w:sz w:val="1"/>
                <w:szCs w:val="1"/>
                <w:color w:val="auto"/>
              </w:rPr>
            </w:pPr>
          </w:p>
        </w:tc>
      </w:tr>
      <w:tr>
        <w:trPr>
          <w:trHeight w:val="41"/>
        </w:trPr>
        <w:tc>
          <w:tcPr>
            <w:tcW w:w="5280" w:type="dxa"/>
            <w:vAlign w:val="bottom"/>
            <w:gridSpan w:val="7"/>
          </w:tcPr>
          <w:p>
            <w:pPr>
              <w:spacing w:after="0"/>
              <w:rPr>
                <w:sz w:val="20"/>
                <w:szCs w:val="20"/>
                <w:color w:val="auto"/>
              </w:rPr>
            </w:pPr>
            <w:r>
              <w:rPr>
                <w:rFonts w:ascii="Arial" w:cs="Arial" w:eastAsia="Arial" w:hAnsi="Arial"/>
                <w:sz w:val="3"/>
                <w:szCs w:val="3"/>
                <w:color w:val="FFFFFF"/>
              </w:rPr>
              <w:t>in the analysis presented above. Details of the emoluments payable to the remaining two (2010:</w:t>
            </w:r>
          </w:p>
        </w:tc>
        <w:tc>
          <w:tcPr>
            <w:tcW w:w="0" w:type="dxa"/>
            <w:vAlign w:val="bottom"/>
          </w:tcPr>
          <w:p>
            <w:pPr>
              <w:spacing w:after="0"/>
              <w:rPr>
                <w:sz w:val="1"/>
                <w:szCs w:val="1"/>
                <w:color w:val="auto"/>
              </w:rPr>
            </w:pPr>
          </w:p>
        </w:tc>
      </w:tr>
      <w:tr>
        <w:trPr>
          <w:trHeight w:val="41"/>
        </w:trPr>
        <w:tc>
          <w:tcPr>
            <w:tcW w:w="5280" w:type="dxa"/>
            <w:vAlign w:val="bottom"/>
            <w:gridSpan w:val="7"/>
          </w:tcPr>
          <w:p>
            <w:pPr>
              <w:spacing w:after="0"/>
              <w:rPr>
                <w:sz w:val="20"/>
                <w:szCs w:val="20"/>
                <w:color w:val="auto"/>
              </w:rPr>
            </w:pPr>
            <w:r>
              <w:rPr>
                <w:rFonts w:ascii="Arial" w:cs="Arial" w:eastAsia="Arial" w:hAnsi="Arial"/>
                <w:sz w:val="3"/>
                <w:szCs w:val="3"/>
                <w:color w:val="FFFFFF"/>
              </w:rPr>
              <w:t>two) highest paid individuals for each of the years ended 31 December 2011 and 2010 are as</w:t>
            </w:r>
          </w:p>
        </w:tc>
        <w:tc>
          <w:tcPr>
            <w:tcW w:w="0" w:type="dxa"/>
            <w:vAlign w:val="bottom"/>
          </w:tcPr>
          <w:p>
            <w:pPr>
              <w:spacing w:after="0"/>
              <w:rPr>
                <w:sz w:val="1"/>
                <w:szCs w:val="1"/>
                <w:color w:val="auto"/>
              </w:rPr>
            </w:pPr>
          </w:p>
        </w:tc>
      </w:tr>
      <w:tr>
        <w:trPr>
          <w:trHeight w:val="41"/>
        </w:trPr>
        <w:tc>
          <w:tcPr>
            <w:tcW w:w="880" w:type="dxa"/>
            <w:vAlign w:val="bottom"/>
            <w:gridSpan w:val="2"/>
          </w:tcPr>
          <w:p>
            <w:pPr>
              <w:spacing w:after="0"/>
              <w:rPr>
                <w:sz w:val="20"/>
                <w:szCs w:val="20"/>
                <w:color w:val="auto"/>
              </w:rPr>
            </w:pPr>
            <w:r>
              <w:rPr>
                <w:rFonts w:ascii="Arial" w:cs="Arial" w:eastAsia="Arial" w:hAnsi="Arial"/>
                <w:sz w:val="3"/>
                <w:szCs w:val="3"/>
                <w:color w:val="FFFFFF"/>
              </w:rPr>
              <w:t>follows:</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0" w:type="dxa"/>
            <w:vAlign w:val="bottom"/>
            <w:gridSpan w:val="2"/>
          </w:tcPr>
          <w:p>
            <w:pPr>
              <w:spacing w:after="0"/>
              <w:rPr>
                <w:sz w:val="20"/>
                <w:szCs w:val="20"/>
                <w:color w:val="auto"/>
              </w:rPr>
            </w:pPr>
            <w:r>
              <w:rPr>
                <w:rFonts w:ascii="Arial" w:cs="Arial" w:eastAsia="Arial" w:hAnsi="Arial"/>
                <w:sz w:val="3"/>
                <w:szCs w:val="3"/>
                <w:color w:val="FFFFFF"/>
              </w:rPr>
              <w:t>Group</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60" w:type="dxa"/>
            <w:vAlign w:val="bottom"/>
            <w:gridSpan w:val="3"/>
          </w:tcPr>
          <w:p>
            <w:pPr>
              <w:spacing w:after="0"/>
              <w:rPr>
                <w:sz w:val="20"/>
                <w:szCs w:val="20"/>
                <w:color w:val="auto"/>
              </w:rPr>
            </w:pPr>
            <w:r>
              <w:rPr>
                <w:rFonts w:ascii="Arial" w:cs="Arial" w:eastAsia="Arial" w:hAnsi="Arial"/>
                <w:sz w:val="3"/>
                <w:szCs w:val="3"/>
                <w:color w:val="FFFFFF"/>
              </w:rPr>
              <w:t>For the year ended</w:t>
            </w: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0" w:type="dxa"/>
            <w:vAlign w:val="bottom"/>
            <w:gridSpan w:val="2"/>
          </w:tcPr>
          <w:p>
            <w:pPr>
              <w:spacing w:after="0"/>
              <w:rPr>
                <w:sz w:val="20"/>
                <w:szCs w:val="20"/>
                <w:color w:val="auto"/>
              </w:rPr>
            </w:pPr>
            <w:r>
              <w:rPr>
                <w:rFonts w:ascii="Arial" w:cs="Arial" w:eastAsia="Arial" w:hAnsi="Arial"/>
                <w:sz w:val="3"/>
                <w:szCs w:val="3"/>
                <w:color w:val="FFFFFF"/>
              </w:rPr>
              <w:t>31 December</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0" w:type="dxa"/>
            <w:vAlign w:val="bottom"/>
            <w:gridSpan w:val="2"/>
          </w:tcPr>
          <w:p>
            <w:pPr>
              <w:spacing w:after="0"/>
              <w:rPr>
                <w:sz w:val="20"/>
                <w:szCs w:val="20"/>
                <w:color w:val="auto"/>
              </w:rPr>
            </w:pPr>
            <w:r>
              <w:rPr>
                <w:rFonts w:ascii="Arial" w:cs="Arial" w:eastAsia="Arial" w:hAnsi="Arial"/>
                <w:sz w:val="3"/>
                <w:szCs w:val="3"/>
                <w:color w:val="FFFFFF"/>
              </w:rPr>
              <w:t>2011 2010</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0" w:type="dxa"/>
            <w:vAlign w:val="bottom"/>
            <w:gridSpan w:val="2"/>
          </w:tcPr>
          <w:p>
            <w:pPr>
              <w:spacing w:after="0"/>
              <w:rPr>
                <w:sz w:val="20"/>
                <w:szCs w:val="20"/>
                <w:color w:val="auto"/>
              </w:rPr>
            </w:pPr>
            <w:r>
              <w:rPr>
                <w:rFonts w:ascii="Arial" w:cs="Arial" w:eastAsia="Arial" w:hAnsi="Arial"/>
                <w:sz w:val="3"/>
                <w:szCs w:val="3"/>
                <w:color w:val="FFFFFF"/>
              </w:rPr>
              <w:t>HK$ HK$</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(in</w:t>
            </w: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0" w:type="dxa"/>
            <w:vAlign w:val="bottom"/>
            <w:gridSpan w:val="6"/>
          </w:tcPr>
          <w:p>
            <w:pPr>
              <w:spacing w:after="0"/>
              <w:rPr>
                <w:sz w:val="20"/>
                <w:szCs w:val="20"/>
                <w:color w:val="auto"/>
              </w:rPr>
            </w:pPr>
            <w:r>
              <w:rPr>
                <w:rFonts w:ascii="Arial" w:cs="Arial" w:eastAsia="Arial" w:hAnsi="Arial"/>
                <w:sz w:val="3"/>
                <w:szCs w:val="3"/>
                <w:color w:val="FFFFFF"/>
              </w:rPr>
              <w:t>Salariesthousands)other benefits 10,364 6,972</w:t>
            </w: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5"/>
          </w:tcPr>
          <w:p>
            <w:pPr>
              <w:spacing w:after="0"/>
              <w:rPr>
                <w:sz w:val="20"/>
                <w:szCs w:val="20"/>
                <w:color w:val="auto"/>
              </w:rPr>
            </w:pPr>
            <w:r>
              <w:rPr>
                <w:rFonts w:ascii="Arial" w:cs="Arial" w:eastAsia="Arial" w:hAnsi="Arial"/>
                <w:sz w:val="3"/>
                <w:szCs w:val="3"/>
                <w:color w:val="FFFFFF"/>
              </w:rPr>
              <w:t>Discretionary bonus 9,346 7,699</w:t>
            </w: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5"/>
          </w:tcPr>
          <w:p>
            <w:pPr>
              <w:spacing w:after="0"/>
              <w:rPr>
                <w:sz w:val="20"/>
                <w:szCs w:val="20"/>
                <w:color w:val="auto"/>
              </w:rPr>
            </w:pPr>
            <w:r>
              <w:rPr>
                <w:rFonts w:ascii="Arial" w:cs="Arial" w:eastAsia="Arial" w:hAnsi="Arial"/>
                <w:sz w:val="3"/>
                <w:szCs w:val="3"/>
                <w:color w:val="FFFFFF"/>
              </w:rPr>
              <w:t>Share-based payments 10,558</w:t>
            </w: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0" w:type="dxa"/>
            <w:vAlign w:val="bottom"/>
            <w:gridSpan w:val="6"/>
          </w:tcPr>
          <w:p>
            <w:pPr>
              <w:spacing w:after="0"/>
              <w:rPr>
                <w:sz w:val="20"/>
                <w:szCs w:val="20"/>
                <w:color w:val="auto"/>
              </w:rPr>
            </w:pPr>
            <w:r>
              <w:rPr>
                <w:rFonts w:ascii="Arial" w:cs="Arial" w:eastAsia="Arial" w:hAnsi="Arial"/>
                <w:sz w:val="3"/>
                <w:szCs w:val="3"/>
                <w:color w:val="FFFFFF"/>
              </w:rPr>
              <w:t>Contributions to retirement plan10,066</w:t>
            </w: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ind w:left="80"/>
              <w:spacing w:after="0"/>
              <w:rPr>
                <w:sz w:val="20"/>
                <w:szCs w:val="20"/>
                <w:color w:val="auto"/>
              </w:rPr>
            </w:pPr>
            <w:r>
              <w:rPr>
                <w:rFonts w:ascii="Arial" w:cs="Arial" w:eastAsia="Arial" w:hAnsi="Arial"/>
                <w:sz w:val="3"/>
                <w:szCs w:val="3"/>
                <w:color w:val="FFFFFF"/>
              </w:rPr>
              <w:t>otal</w:t>
            </w:r>
          </w:p>
        </w:tc>
        <w:tc>
          <w:tcPr>
            <w:tcW w:w="560" w:type="dxa"/>
            <w:vAlign w:val="bottom"/>
          </w:tcPr>
          <w:p>
            <w:pPr>
              <w:spacing w:after="0"/>
              <w:rPr>
                <w:sz w:val="3"/>
                <w:szCs w:val="3"/>
                <w:color w:val="auto"/>
              </w:rPr>
            </w:pPr>
          </w:p>
        </w:tc>
        <w:tc>
          <w:tcPr>
            <w:tcW w:w="1060" w:type="dxa"/>
            <w:vAlign w:val="bottom"/>
            <w:gridSpan w:val="3"/>
          </w:tcPr>
          <w:p>
            <w:pPr>
              <w:jc w:val="center"/>
              <w:spacing w:after="0"/>
              <w:rPr>
                <w:sz w:val="20"/>
                <w:szCs w:val="20"/>
                <w:color w:val="auto"/>
              </w:rPr>
            </w:pPr>
            <w:r>
              <w:rPr>
                <w:rFonts w:ascii="Arial" w:cs="Arial" w:eastAsia="Arial" w:hAnsi="Arial"/>
                <w:sz w:val="3"/>
                <w:szCs w:val="3"/>
                <w:color w:val="FFFFFF"/>
              </w:rPr>
              <w:t>30,269 24,738</w:t>
            </w: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80" w:type="dxa"/>
            <w:vAlign w:val="bottom"/>
            <w:gridSpan w:val="7"/>
          </w:tcPr>
          <w:p>
            <w:pPr>
              <w:spacing w:after="0"/>
              <w:rPr>
                <w:sz w:val="20"/>
                <w:szCs w:val="20"/>
                <w:color w:val="auto"/>
              </w:rPr>
            </w:pPr>
            <w:r>
              <w:rPr>
                <w:rFonts w:ascii="Arial" w:cs="Arial" w:eastAsia="Arial" w:hAnsi="Arial"/>
                <w:sz w:val="3"/>
                <w:szCs w:val="3"/>
                <w:color w:val="FFFFFF"/>
              </w:rPr>
              <w:t>The emolumemolumentswere within the following bands:</w:t>
            </w:r>
          </w:p>
        </w:tc>
        <w:tc>
          <w:tcPr>
            <w:tcW w:w="0" w:type="dxa"/>
            <w:vAlign w:val="bottom"/>
          </w:tcPr>
          <w:p>
            <w:pPr>
              <w:spacing w:after="0"/>
              <w:rPr>
                <w:sz w:val="1"/>
                <w:szCs w:val="1"/>
                <w:color w:val="auto"/>
              </w:rPr>
            </w:pPr>
          </w:p>
        </w:tc>
      </w:tr>
      <w:tr>
        <w:trPr>
          <w:trHeight w:val="41"/>
        </w:trPr>
        <w:tc>
          <w:tcPr>
            <w:tcW w:w="1260" w:type="dxa"/>
            <w:vAlign w:val="bottom"/>
            <w:gridSpan w:val="3"/>
          </w:tcPr>
          <w:p>
            <w:pPr>
              <w:spacing w:after="0"/>
              <w:rPr>
                <w:sz w:val="20"/>
                <w:szCs w:val="20"/>
                <w:color w:val="auto"/>
              </w:rPr>
            </w:pPr>
            <w:r>
              <w:rPr>
                <w:rFonts w:ascii="Arial" w:cs="Arial" w:eastAsia="Arial" w:hAnsi="Arial"/>
                <w:sz w:val="3"/>
                <w:szCs w:val="3"/>
                <w:color w:val="FFFFFF"/>
              </w:rPr>
              <w:t>For the year ended</w:t>
            </w: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0" w:type="dxa"/>
            <w:vAlign w:val="bottom"/>
            <w:gridSpan w:val="2"/>
          </w:tcPr>
          <w:p>
            <w:pPr>
              <w:spacing w:after="0"/>
              <w:rPr>
                <w:sz w:val="20"/>
                <w:szCs w:val="20"/>
                <w:color w:val="auto"/>
              </w:rPr>
            </w:pPr>
            <w:r>
              <w:rPr>
                <w:rFonts w:ascii="Arial" w:cs="Arial" w:eastAsia="Arial" w:hAnsi="Arial"/>
                <w:sz w:val="3"/>
                <w:szCs w:val="3"/>
                <w:color w:val="FFFFFF"/>
              </w:rPr>
              <w:t>31 December</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0" w:type="dxa"/>
            <w:vAlign w:val="bottom"/>
            <w:gridSpan w:val="2"/>
          </w:tcPr>
          <w:p>
            <w:pPr>
              <w:spacing w:after="0"/>
              <w:rPr>
                <w:sz w:val="20"/>
                <w:szCs w:val="20"/>
                <w:color w:val="auto"/>
              </w:rPr>
            </w:pPr>
            <w:r>
              <w:rPr>
                <w:rFonts w:ascii="Arial" w:cs="Arial" w:eastAsia="Arial" w:hAnsi="Arial"/>
                <w:sz w:val="3"/>
                <w:szCs w:val="3"/>
                <w:color w:val="FFFFFF"/>
              </w:rPr>
              <w:t>2011 2010</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60" w:type="dxa"/>
            <w:vAlign w:val="bottom"/>
            <w:gridSpan w:val="3"/>
          </w:tcPr>
          <w:p>
            <w:pPr>
              <w:spacing w:after="0"/>
              <w:rPr>
                <w:sz w:val="20"/>
                <w:szCs w:val="20"/>
                <w:color w:val="auto"/>
              </w:rPr>
            </w:pPr>
            <w:r>
              <w:rPr>
                <w:rFonts w:ascii="Arial" w:cs="Arial" w:eastAsia="Arial" w:hAnsi="Arial"/>
                <w:sz w:val="3"/>
                <w:szCs w:val="3"/>
                <w:color w:val="FFFFFF"/>
              </w:rPr>
              <w:t>Number of Number of</w:t>
            </w: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60" w:type="dxa"/>
            <w:vAlign w:val="bottom"/>
            <w:gridSpan w:val="3"/>
          </w:tcPr>
          <w:p>
            <w:pPr>
              <w:spacing w:after="0"/>
              <w:rPr>
                <w:sz w:val="20"/>
                <w:szCs w:val="20"/>
                <w:color w:val="auto"/>
              </w:rPr>
            </w:pPr>
            <w:r>
              <w:rPr>
                <w:rFonts w:ascii="Arial" w:cs="Arial" w:eastAsia="Arial" w:hAnsi="Arial"/>
                <w:sz w:val="3"/>
                <w:szCs w:val="3"/>
                <w:color w:val="FFFFFF"/>
              </w:rPr>
              <w:t>Individuals Individuals</w:t>
            </w:r>
          </w:p>
        </w:tc>
        <w:tc>
          <w:tcPr>
            <w:tcW w:w="680" w:type="dxa"/>
            <w:vAlign w:val="bottom"/>
            <w:gridSpan w:val="2"/>
            <w:vMerge w:val="restart"/>
          </w:tcPr>
          <w:p>
            <w:pPr>
              <w:jc w:val="center"/>
              <w:ind w:right="335"/>
              <w:spacing w:after="0" w:line="81" w:lineRule="exact"/>
              <w:rPr>
                <w:sz w:val="20"/>
                <w:szCs w:val="20"/>
                <w:color w:val="auto"/>
              </w:rPr>
            </w:pPr>
            <w:r>
              <w:rPr>
                <w:rFonts w:ascii="Arial" w:cs="Arial" w:eastAsia="Arial" w:hAnsi="Arial"/>
                <w:sz w:val="9"/>
                <w:szCs w:val="9"/>
                <w:color w:val="FFFFFF"/>
              </w:rPr>
              <w:t>— —</w:t>
            </w:r>
          </w:p>
        </w:tc>
        <w:tc>
          <w:tcPr>
            <w:tcW w:w="2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Nil to</w:t>
            </w:r>
          </w:p>
        </w:tc>
        <w:tc>
          <w:tcPr>
            <w:tcW w:w="94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0HK$10,000,000</w:t>
            </w:r>
          </w:p>
        </w:tc>
        <w:tc>
          <w:tcPr>
            <w:tcW w:w="680" w:type="dxa"/>
            <w:vAlign w:val="bottom"/>
            <w:gridSpan w:val="2"/>
            <w:vMerge w:val="continue"/>
          </w:tcPr>
          <w:p>
            <w:pPr>
              <w:spacing w:after="0"/>
              <w:rPr>
                <w:sz w:val="3"/>
                <w:szCs w:val="3"/>
                <w:color w:val="auto"/>
              </w:rPr>
            </w:pPr>
          </w:p>
        </w:tc>
        <w:tc>
          <w:tcPr>
            <w:tcW w:w="26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 1</w:t>
            </w: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80" w:type="dxa"/>
            <w:vAlign w:val="bottom"/>
            <w:gridSpan w:val="2"/>
          </w:tcPr>
          <w:p>
            <w:pPr>
              <w:jc w:val="right"/>
              <w:ind w:right="355"/>
              <w:spacing w:after="0"/>
              <w:rPr>
                <w:sz w:val="20"/>
                <w:szCs w:val="20"/>
                <w:color w:val="auto"/>
              </w:rPr>
            </w:pPr>
            <w:r>
              <w:rPr>
                <w:rFonts w:ascii="Arial" w:cs="Arial" w:eastAsia="Arial" w:hAnsi="Arial"/>
                <w:sz w:val="3"/>
                <w:szCs w:val="3"/>
                <w:color w:val="FFFFFF"/>
              </w:rPr>
              <w:t>0 5</w:t>
            </w:r>
          </w:p>
        </w:tc>
        <w:tc>
          <w:tcPr>
            <w:tcW w:w="260" w:type="dxa"/>
            <w:vAlign w:val="bottom"/>
            <w:vMerge w:val="continue"/>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560" w:type="dxa"/>
            <w:vAlign w:val="bottom"/>
          </w:tcPr>
          <w:p>
            <w:pPr>
              <w:ind w:left="20"/>
              <w:spacing w:after="0"/>
              <w:rPr>
                <w:sz w:val="20"/>
                <w:szCs w:val="20"/>
                <w:color w:val="auto"/>
              </w:rPr>
            </w:pPr>
            <w:r>
              <w:rPr>
                <w:rFonts w:ascii="Arial" w:cs="Arial" w:eastAsia="Arial" w:hAnsi="Arial"/>
                <w:sz w:val="3"/>
                <w:szCs w:val="3"/>
                <w:color w:val="FFFFFF"/>
              </w:rPr>
              <w:t>3</w:t>
            </w:r>
          </w:p>
        </w:tc>
        <w:tc>
          <w:tcPr>
            <w:tcW w:w="380" w:type="dxa"/>
            <w:vAlign w:val="bottom"/>
          </w:tcPr>
          <w:p>
            <w:pPr>
              <w:spacing w:after="0"/>
              <w:rPr>
                <w:sz w:val="3"/>
                <w:szCs w:val="3"/>
                <w:color w:val="auto"/>
              </w:rPr>
            </w:pPr>
          </w:p>
        </w:tc>
        <w:tc>
          <w:tcPr>
            <w:tcW w:w="220" w:type="dxa"/>
            <w:vAlign w:val="bottom"/>
          </w:tcPr>
          <w:p>
            <w:pPr>
              <w:jc w:val="center"/>
              <w:ind w:left="54"/>
              <w:spacing w:after="0"/>
              <w:rPr>
                <w:sz w:val="20"/>
                <w:szCs w:val="20"/>
                <w:color w:val="auto"/>
              </w:rPr>
            </w:pPr>
            <w:r>
              <w:rPr>
                <w:rFonts w:ascii="Arial" w:cs="Arial" w:eastAsia="Arial" w:hAnsi="Arial"/>
                <w:sz w:val="3"/>
                <w:szCs w:val="3"/>
                <w:color w:val="FFFFFF"/>
              </w:rPr>
              <w:t>4</w:t>
            </w:r>
          </w:p>
        </w:tc>
        <w:tc>
          <w:tcPr>
            <w:tcW w:w="460" w:type="dxa"/>
            <w:vAlign w:val="bottom"/>
            <w:vMerge w:val="restart"/>
          </w:tcPr>
          <w:p>
            <w:pPr>
              <w:jc w:val="right"/>
              <w:ind w:right="355"/>
              <w:spacing w:after="0" w:line="81" w:lineRule="exact"/>
              <w:rPr>
                <w:sz w:val="20"/>
                <w:szCs w:val="20"/>
                <w:color w:val="auto"/>
              </w:rPr>
            </w:pPr>
            <w:r>
              <w:rPr>
                <w:rFonts w:ascii="Arial" w:cs="Arial" w:eastAsia="Arial" w:hAnsi="Arial"/>
                <w:sz w:val="9"/>
                <w:szCs w:val="9"/>
                <w:color w:val="FFFFFF"/>
                <w:w w:val="78"/>
              </w:rPr>
              <w:t>0</w:t>
            </w:r>
          </w:p>
        </w:tc>
        <w:tc>
          <w:tcPr>
            <w:tcW w:w="260" w:type="dxa"/>
            <w:vAlign w:val="bottom"/>
          </w:tcPr>
          <w:p>
            <w:pPr>
              <w:ind w:left="20"/>
              <w:spacing w:after="0"/>
              <w:rPr>
                <w:sz w:val="20"/>
                <w:szCs w:val="20"/>
                <w:color w:val="auto"/>
              </w:rPr>
            </w:pPr>
            <w:r>
              <w:rPr>
                <w:rFonts w:ascii="Arial" w:cs="Arial" w:eastAsia="Arial" w:hAnsi="Arial"/>
                <w:sz w:val="3"/>
                <w:szCs w:val="3"/>
                <w:color w:val="FFFFFF"/>
              </w:rPr>
              <w:t>1 —</w:t>
            </w: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560" w:type="dxa"/>
            <w:vAlign w:val="bottom"/>
          </w:tcPr>
          <w:p>
            <w:pPr>
              <w:ind w:left="20"/>
              <w:spacing w:after="0"/>
              <w:rPr>
                <w:sz w:val="20"/>
                <w:szCs w:val="20"/>
                <w:color w:val="auto"/>
              </w:rPr>
            </w:pPr>
            <w:r>
              <w:rPr>
                <w:rFonts w:ascii="Arial" w:cs="Arial" w:eastAsia="Arial" w:hAnsi="Arial"/>
                <w:sz w:val="3"/>
                <w:szCs w:val="3"/>
                <w:color w:val="FFFFFF"/>
              </w:rPr>
              <w:t>4 5</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60" w:type="dxa"/>
            <w:vAlign w:val="bottom"/>
          </w:tcPr>
          <w:p>
            <w:pPr>
              <w:ind w:left="20"/>
              <w:spacing w:after="0"/>
              <w:rPr>
                <w:sz w:val="20"/>
                <w:szCs w:val="20"/>
                <w:color w:val="auto"/>
              </w:rPr>
            </w:pPr>
            <w:r>
              <w:rPr>
                <w:rFonts w:ascii="Arial" w:cs="Arial" w:eastAsia="Arial" w:hAnsi="Arial"/>
                <w:sz w:val="3"/>
                <w:szCs w:val="3"/>
                <w:color w:val="FFFFFF"/>
              </w:rPr>
              <w:t>— 1</w:t>
            </w: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5"/>
          </w:tcPr>
          <w:p>
            <w:pPr>
              <w:spacing w:after="0"/>
              <w:rPr>
                <w:sz w:val="20"/>
                <w:szCs w:val="20"/>
                <w:color w:val="auto"/>
              </w:rPr>
            </w:pPr>
            <w:r>
              <w:rPr>
                <w:rFonts w:ascii="Arial" w:cs="Arial" w:eastAsia="Arial" w:hAnsi="Arial"/>
                <w:sz w:val="3"/>
                <w:szCs w:val="3"/>
                <w:color w:val="FFFFFF"/>
              </w:rPr>
              <w:t>HK$16,000,001 to HK$16,500,000</w:t>
            </w:r>
          </w:p>
        </w:tc>
        <w:tc>
          <w:tcPr>
            <w:tcW w:w="260" w:type="dxa"/>
            <w:vAlign w:val="bottom"/>
          </w:tcPr>
          <w:p>
            <w:pPr>
              <w:ind w:left="20"/>
              <w:spacing w:after="0"/>
              <w:rPr>
                <w:sz w:val="20"/>
                <w:szCs w:val="20"/>
                <w:color w:val="auto"/>
              </w:rPr>
            </w:pPr>
            <w:r>
              <w:rPr>
                <w:rFonts w:ascii="Arial" w:cs="Arial" w:eastAsia="Arial" w:hAnsi="Arial"/>
                <w:sz w:val="3"/>
                <w:szCs w:val="3"/>
                <w:color w:val="FFFFFF"/>
              </w:rPr>
              <w:t>1 —</w:t>
            </w: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80" w:type="dxa"/>
            <w:vAlign w:val="bottom"/>
            <w:gridSpan w:val="2"/>
          </w:tcPr>
          <w:p>
            <w:pPr>
              <w:spacing w:after="0"/>
              <w:rPr>
                <w:sz w:val="20"/>
                <w:szCs w:val="20"/>
                <w:color w:val="auto"/>
              </w:rPr>
            </w:pPr>
            <w:r>
              <w:rPr>
                <w:rFonts w:ascii="Arial" w:cs="Arial" w:eastAsia="Arial" w:hAnsi="Arial"/>
                <w:sz w:val="14"/>
                <w:szCs w:val="14"/>
                <w:color w:val="FFFFFF"/>
              </w:rPr>
              <w:t>Total 2 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FFFFFF"/>
              </w:rPr>
              <w:t>Annual Report 2011 141</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240" w:type="dxa"/>
            <w:vAlign w:val="bottom"/>
          </w:tcPr>
          <w:p>
            <w:pPr>
              <w:spacing w:after="0"/>
              <w:rPr>
                <w:sz w:val="20"/>
                <w:szCs w:val="20"/>
                <w:color w:val="auto"/>
              </w:rPr>
            </w:pPr>
            <w:r>
              <w:rPr>
                <w:rFonts w:ascii="Arial" w:cs="Arial" w:eastAsia="Arial" w:hAnsi="Arial"/>
                <w:sz w:val="3"/>
                <w:szCs w:val="3"/>
                <w:color w:val="FFFFFF"/>
              </w:rPr>
              <w:t>Financial Statements</w:t>
            </w:r>
          </w:p>
        </w:tc>
        <w:tc>
          <w:tcPr>
            <w:tcW w:w="2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80" w:type="dxa"/>
            <w:vAlign w:val="bottom"/>
            <w:gridSpan w:val="5"/>
          </w:tcPr>
          <w:p>
            <w:pPr>
              <w:spacing w:after="0"/>
              <w:rPr>
                <w:sz w:val="20"/>
                <w:szCs w:val="20"/>
                <w:color w:val="auto"/>
              </w:rPr>
            </w:pPr>
            <w:r>
              <w:rPr>
                <w:rFonts w:ascii="Arial" w:cs="Arial" w:eastAsia="Arial" w:hAnsi="Arial"/>
                <w:sz w:val="3"/>
                <w:szCs w:val="3"/>
                <w:color w:val="FFFFFF"/>
              </w:rPr>
              <w:t>25. DIRECTORS’ REMUNERATION AND FIVE HIGHEST PAID INDIVIDUALS (continued)</w:t>
            </w:r>
          </w:p>
        </w:tc>
        <w:tc>
          <w:tcPr>
            <w:tcW w:w="0" w:type="dxa"/>
            <w:vAlign w:val="bottom"/>
          </w:tcPr>
          <w:p>
            <w:pPr>
              <w:spacing w:after="0"/>
              <w:rPr>
                <w:sz w:val="1"/>
                <w:szCs w:val="1"/>
                <w:color w:val="auto"/>
              </w:rPr>
            </w:pPr>
          </w:p>
        </w:tc>
      </w:tr>
      <w:tr>
        <w:trPr>
          <w:trHeight w:val="41"/>
        </w:trPr>
        <w:tc>
          <w:tcPr>
            <w:tcW w:w="3320" w:type="dxa"/>
            <w:vAlign w:val="bottom"/>
            <w:gridSpan w:val="2"/>
          </w:tcPr>
          <w:p>
            <w:pPr>
              <w:spacing w:after="0"/>
              <w:rPr>
                <w:sz w:val="20"/>
                <w:szCs w:val="20"/>
                <w:color w:val="auto"/>
              </w:rPr>
            </w:pPr>
            <w:r>
              <w:rPr>
                <w:rFonts w:ascii="Arial" w:cs="Arial" w:eastAsia="Arial" w:hAnsi="Arial"/>
                <w:sz w:val="3"/>
                <w:szCs w:val="3"/>
                <w:color w:val="FFFFFF"/>
              </w:rPr>
              <w:t>Five highest paid individuals’ emoluments (continued)</w:t>
            </w: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80" w:type="dxa"/>
            <w:vAlign w:val="bottom"/>
            <w:gridSpan w:val="5"/>
          </w:tcPr>
          <w:p>
            <w:pPr>
              <w:spacing w:after="0"/>
              <w:rPr>
                <w:sz w:val="20"/>
                <w:szCs w:val="20"/>
                <w:color w:val="auto"/>
              </w:rPr>
            </w:pPr>
            <w:r>
              <w:rPr>
                <w:rFonts w:ascii="Arial" w:cs="Arial" w:eastAsia="Arial" w:hAnsi="Arial"/>
                <w:sz w:val="3"/>
                <w:szCs w:val="3"/>
                <w:color w:val="FFFFFF"/>
              </w:rPr>
              <w:t>The emoluments of certain individuals have been apportioned on a basis that is considered to</w:t>
            </w:r>
          </w:p>
        </w:tc>
        <w:tc>
          <w:tcPr>
            <w:tcW w:w="0" w:type="dxa"/>
            <w:vAlign w:val="bottom"/>
          </w:tcPr>
          <w:p>
            <w:pPr>
              <w:spacing w:after="0"/>
              <w:rPr>
                <w:sz w:val="1"/>
                <w:szCs w:val="1"/>
                <w:color w:val="auto"/>
              </w:rPr>
            </w:pPr>
          </w:p>
        </w:tc>
      </w:tr>
      <w:tr>
        <w:trPr>
          <w:trHeight w:val="41"/>
        </w:trPr>
        <w:tc>
          <w:tcPr>
            <w:tcW w:w="5280" w:type="dxa"/>
            <w:vAlign w:val="bottom"/>
            <w:gridSpan w:val="5"/>
          </w:tcPr>
          <w:p>
            <w:pPr>
              <w:spacing w:after="0"/>
              <w:rPr>
                <w:sz w:val="20"/>
                <w:szCs w:val="20"/>
                <w:color w:val="auto"/>
              </w:rPr>
            </w:pPr>
            <w:r>
              <w:rPr>
                <w:rFonts w:ascii="Arial" w:cs="Arial" w:eastAsia="Arial" w:hAnsi="Arial"/>
                <w:sz w:val="3"/>
                <w:szCs w:val="3"/>
                <w:color w:val="FFFFFF"/>
              </w:rPr>
              <w:t>be reasonable estimates of the utilization of service provided or the benefit received by the</w:t>
            </w:r>
          </w:p>
        </w:tc>
        <w:tc>
          <w:tcPr>
            <w:tcW w:w="0" w:type="dxa"/>
            <w:vAlign w:val="bottom"/>
          </w:tcPr>
          <w:p>
            <w:pPr>
              <w:spacing w:after="0"/>
              <w:rPr>
                <w:sz w:val="1"/>
                <w:szCs w:val="1"/>
                <w:color w:val="auto"/>
              </w:rPr>
            </w:pPr>
          </w:p>
        </w:tc>
      </w:tr>
      <w:tr>
        <w:trPr>
          <w:trHeight w:val="41"/>
        </w:trPr>
        <w:tc>
          <w:tcPr>
            <w:tcW w:w="3320" w:type="dxa"/>
            <w:vAlign w:val="bottom"/>
            <w:gridSpan w:val="2"/>
          </w:tcPr>
          <w:p>
            <w:pPr>
              <w:spacing w:after="0"/>
              <w:rPr>
                <w:sz w:val="20"/>
                <w:szCs w:val="20"/>
                <w:color w:val="auto"/>
              </w:rPr>
            </w:pPr>
            <w:r>
              <w:rPr>
                <w:rFonts w:ascii="Arial" w:cs="Arial" w:eastAsia="Arial" w:hAnsi="Arial"/>
                <w:sz w:val="3"/>
                <w:szCs w:val="3"/>
                <w:color w:val="FFFFFF"/>
              </w:rPr>
              <w:t>Group. The apportioned emoluments of these certain</w:t>
            </w:r>
          </w:p>
        </w:tc>
        <w:tc>
          <w:tcPr>
            <w:tcW w:w="1960" w:type="dxa"/>
            <w:vAlign w:val="bottom"/>
            <w:gridSpan w:val="3"/>
          </w:tcPr>
          <w:p>
            <w:pPr>
              <w:ind w:left="220"/>
              <w:spacing w:after="0"/>
              <w:rPr>
                <w:sz w:val="20"/>
                <w:szCs w:val="20"/>
                <w:color w:val="auto"/>
              </w:rPr>
            </w:pPr>
            <w:r>
              <w:rPr>
                <w:rFonts w:ascii="Arial" w:cs="Arial" w:eastAsia="Arial" w:hAnsi="Arial"/>
                <w:sz w:val="3"/>
                <w:szCs w:val="3"/>
                <w:color w:val="FFFFFF"/>
              </w:rPr>
              <w:t>are included in the expense</w:t>
            </w:r>
          </w:p>
        </w:tc>
        <w:tc>
          <w:tcPr>
            <w:tcW w:w="0" w:type="dxa"/>
            <w:vAlign w:val="bottom"/>
          </w:tcPr>
          <w:p>
            <w:pPr>
              <w:spacing w:after="0"/>
              <w:rPr>
                <w:sz w:val="1"/>
                <w:szCs w:val="1"/>
                <w:color w:val="auto"/>
              </w:rPr>
            </w:pPr>
          </w:p>
        </w:tc>
      </w:tr>
      <w:tr>
        <w:trPr>
          <w:trHeight w:val="41"/>
        </w:trPr>
        <w:tc>
          <w:tcPr>
            <w:tcW w:w="5280" w:type="dxa"/>
            <w:vAlign w:val="bottom"/>
            <w:gridSpan w:val="5"/>
          </w:tcPr>
          <w:p>
            <w:pPr>
              <w:spacing w:after="0"/>
              <w:rPr>
                <w:sz w:val="20"/>
                <w:szCs w:val="20"/>
                <w:color w:val="auto"/>
              </w:rPr>
            </w:pPr>
            <w:r>
              <w:rPr>
                <w:rFonts w:ascii="Arial" w:cs="Arial" w:eastAsia="Arial" w:hAnsi="Arial"/>
                <w:sz w:val="3"/>
                <w:szCs w:val="3"/>
                <w:color w:val="FFFFFF"/>
              </w:rPr>
              <w:t>allocations charged by Wynn Resorts, Limited and theindividualsGroup’fellow subsidiaries for the years</w:t>
            </w:r>
          </w:p>
        </w:tc>
        <w:tc>
          <w:tcPr>
            <w:tcW w:w="0" w:type="dxa"/>
            <w:vAlign w:val="bottom"/>
          </w:tcPr>
          <w:p>
            <w:pPr>
              <w:spacing w:after="0"/>
              <w:rPr>
                <w:sz w:val="1"/>
                <w:szCs w:val="1"/>
                <w:color w:val="auto"/>
              </w:rPr>
            </w:pPr>
          </w:p>
        </w:tc>
      </w:tr>
      <w:tr>
        <w:trPr>
          <w:trHeight w:val="41"/>
        </w:trPr>
        <w:tc>
          <w:tcPr>
            <w:tcW w:w="4300" w:type="dxa"/>
            <w:vAlign w:val="bottom"/>
            <w:gridSpan w:val="4"/>
          </w:tcPr>
          <w:p>
            <w:pPr>
              <w:spacing w:after="0"/>
              <w:rPr>
                <w:sz w:val="20"/>
                <w:szCs w:val="20"/>
                <w:color w:val="auto"/>
              </w:rPr>
            </w:pPr>
            <w:r>
              <w:rPr>
                <w:rFonts w:ascii="Arial" w:cs="Arial" w:eastAsia="Arial" w:hAnsi="Arial"/>
                <w:sz w:val="3"/>
                <w:szCs w:val="3"/>
                <w:color w:val="FFFFFF"/>
              </w:rPr>
              <w:t>ended 31 December 2011 and 2010 (See note 27 “Related Party Disclosures”).</w:t>
            </w:r>
          </w:p>
        </w:tc>
        <w:tc>
          <w:tcPr>
            <w:tcW w:w="98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or the five</w:t>
            </w:r>
          </w:p>
        </w:tc>
        <w:tc>
          <w:tcPr>
            <w:tcW w:w="0" w:type="dxa"/>
            <w:vAlign w:val="bottom"/>
          </w:tcPr>
          <w:p>
            <w:pPr>
              <w:spacing w:after="0"/>
              <w:rPr>
                <w:sz w:val="1"/>
                <w:szCs w:val="1"/>
                <w:color w:val="auto"/>
              </w:rPr>
            </w:pPr>
          </w:p>
        </w:tc>
      </w:tr>
      <w:tr>
        <w:trPr>
          <w:trHeight w:val="41"/>
        </w:trPr>
        <w:tc>
          <w:tcPr>
            <w:tcW w:w="3880" w:type="dxa"/>
            <w:vAlign w:val="bottom"/>
            <w:gridSpan w:val="3"/>
          </w:tcPr>
          <w:p>
            <w:pPr>
              <w:spacing w:after="0"/>
              <w:rPr>
                <w:sz w:val="20"/>
                <w:szCs w:val="20"/>
                <w:color w:val="auto"/>
              </w:rPr>
            </w:pPr>
            <w:r>
              <w:rPr>
                <w:rFonts w:ascii="Arial" w:cs="Arial" w:eastAsia="Arial" w:hAnsi="Arial"/>
                <w:sz w:val="3"/>
                <w:szCs w:val="3"/>
                <w:color w:val="FFFFFF"/>
              </w:rPr>
              <w:t>During the year, no emoluments were paid by the Group to any of the</w:t>
            </w:r>
          </w:p>
        </w:tc>
        <w:tc>
          <w:tcPr>
            <w:tcW w:w="4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tcPr>
          <w:p>
            <w:pPr>
              <w:spacing w:after="0"/>
              <w:rPr>
                <w:sz w:val="20"/>
                <w:szCs w:val="20"/>
                <w:color w:val="auto"/>
              </w:rPr>
            </w:pPr>
            <w:r>
              <w:rPr>
                <w:rFonts w:ascii="Arial" w:cs="Arial" w:eastAsia="Arial" w:hAnsi="Arial"/>
                <w:sz w:val="3"/>
                <w:szCs w:val="3"/>
                <w:color w:val="FFFFFF"/>
              </w:rPr>
              <w:t>highest paid</w:t>
            </w:r>
          </w:p>
        </w:tc>
        <w:tc>
          <w:tcPr>
            <w:tcW w:w="2080" w:type="dxa"/>
            <w:vAlign w:val="bottom"/>
          </w:tcPr>
          <w:p>
            <w:pPr>
              <w:ind w:left="100"/>
              <w:spacing w:after="0"/>
              <w:rPr>
                <w:sz w:val="20"/>
                <w:szCs w:val="20"/>
                <w:color w:val="auto"/>
              </w:rPr>
            </w:pPr>
            <w:r>
              <w:rPr>
                <w:rFonts w:ascii="Arial" w:cs="Arial" w:eastAsia="Arial" w:hAnsi="Arial"/>
                <w:sz w:val="3"/>
                <w:szCs w:val="3"/>
                <w:color w:val="FFFFFF"/>
              </w:rPr>
              <w:t>as an inducement to join or upon</w:t>
            </w:r>
          </w:p>
        </w:tc>
        <w:tc>
          <w:tcPr>
            <w:tcW w:w="1960" w:type="dxa"/>
            <w:vAlign w:val="bottom"/>
            <w:gridSpan w:val="3"/>
          </w:tcPr>
          <w:p>
            <w:pPr>
              <w:ind w:left="240"/>
              <w:spacing w:after="0"/>
              <w:rPr>
                <w:sz w:val="20"/>
                <w:szCs w:val="20"/>
                <w:color w:val="auto"/>
              </w:rPr>
            </w:pPr>
            <w:r>
              <w:rPr>
                <w:rFonts w:ascii="Arial" w:cs="Arial" w:eastAsia="Arial" w:hAnsi="Arial"/>
                <w:sz w:val="3"/>
                <w:szCs w:val="3"/>
                <w:color w:val="FFFFFF"/>
              </w:rPr>
              <w:t>the GroupDirectorsas compensation</w:t>
            </w:r>
          </w:p>
        </w:tc>
        <w:tc>
          <w:tcPr>
            <w:tcW w:w="0" w:type="dxa"/>
            <w:vAlign w:val="bottom"/>
          </w:tcPr>
          <w:p>
            <w:pPr>
              <w:spacing w:after="0"/>
              <w:rPr>
                <w:sz w:val="1"/>
                <w:szCs w:val="1"/>
                <w:color w:val="auto"/>
              </w:rPr>
            </w:pPr>
          </w:p>
        </w:tc>
      </w:tr>
      <w:tr>
        <w:trPr>
          <w:trHeight w:val="41"/>
        </w:trPr>
        <w:tc>
          <w:tcPr>
            <w:tcW w:w="5280" w:type="dxa"/>
            <w:vAlign w:val="bottom"/>
            <w:gridSpan w:val="5"/>
          </w:tcPr>
          <w:p>
            <w:pPr>
              <w:spacing w:after="0"/>
              <w:rPr>
                <w:sz w:val="20"/>
                <w:szCs w:val="20"/>
                <w:color w:val="auto"/>
              </w:rPr>
            </w:pPr>
            <w:r>
              <w:rPr>
                <w:rFonts w:ascii="Arial" w:cs="Arial" w:eastAsia="Arial" w:hAnsi="Arial"/>
                <w:sz w:val="3"/>
                <w:szCs w:val="3"/>
                <w:color w:val="FFFFFF"/>
              </w:rPr>
              <w:t>for loss of officeindividualsasdirector of any member of the Groupjoiningorconnection with the</w:t>
            </w:r>
          </w:p>
        </w:tc>
        <w:tc>
          <w:tcPr>
            <w:tcW w:w="0" w:type="dxa"/>
            <w:vAlign w:val="bottom"/>
          </w:tcPr>
          <w:p>
            <w:pPr>
              <w:spacing w:after="0"/>
              <w:rPr>
                <w:sz w:val="1"/>
                <w:szCs w:val="1"/>
                <w:color w:val="auto"/>
              </w:rPr>
            </w:pPr>
          </w:p>
        </w:tc>
      </w:tr>
      <w:tr>
        <w:trPr>
          <w:trHeight w:val="41"/>
        </w:trPr>
        <w:tc>
          <w:tcPr>
            <w:tcW w:w="5280" w:type="dxa"/>
            <w:vAlign w:val="bottom"/>
            <w:gridSpan w:val="5"/>
          </w:tcPr>
          <w:p>
            <w:pPr>
              <w:spacing w:after="0"/>
              <w:rPr>
                <w:sz w:val="20"/>
                <w:szCs w:val="20"/>
                <w:color w:val="auto"/>
              </w:rPr>
            </w:pPr>
            <w:r>
              <w:rPr>
                <w:rFonts w:ascii="Arial" w:cs="Arial" w:eastAsia="Arial" w:hAnsi="Arial"/>
                <w:sz w:val="3"/>
                <w:szCs w:val="3"/>
                <w:color w:val="FFFFFF"/>
              </w:rPr>
              <w:t>management of the affairs of any members of the Group. None of the Directors waived any</w:t>
            </w:r>
          </w:p>
        </w:tc>
        <w:tc>
          <w:tcPr>
            <w:tcW w:w="0" w:type="dxa"/>
            <w:vAlign w:val="bottom"/>
          </w:tcPr>
          <w:p>
            <w:pPr>
              <w:spacing w:after="0"/>
              <w:rPr>
                <w:sz w:val="1"/>
                <w:szCs w:val="1"/>
                <w:color w:val="auto"/>
              </w:rPr>
            </w:pPr>
          </w:p>
        </w:tc>
      </w:tr>
      <w:tr>
        <w:trPr>
          <w:trHeight w:val="41"/>
        </w:trPr>
        <w:tc>
          <w:tcPr>
            <w:tcW w:w="3320" w:type="dxa"/>
            <w:vAlign w:val="bottom"/>
            <w:gridSpan w:val="2"/>
          </w:tcPr>
          <w:p>
            <w:pPr>
              <w:spacing w:after="0"/>
              <w:rPr>
                <w:sz w:val="20"/>
                <w:szCs w:val="20"/>
                <w:color w:val="auto"/>
              </w:rPr>
            </w:pPr>
            <w:r>
              <w:rPr>
                <w:rFonts w:ascii="Arial" w:cs="Arial" w:eastAsia="Arial" w:hAnsi="Arial"/>
                <w:sz w:val="3"/>
                <w:szCs w:val="3"/>
                <w:color w:val="FFFFFF"/>
              </w:rPr>
              <w:t>emoluments during the years.</w:t>
            </w: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2"/>
          </w:tcPr>
          <w:p>
            <w:pPr>
              <w:spacing w:after="0"/>
              <w:rPr>
                <w:sz w:val="20"/>
                <w:szCs w:val="20"/>
                <w:color w:val="auto"/>
              </w:rPr>
            </w:pPr>
            <w:r>
              <w:rPr>
                <w:rFonts w:ascii="Arial" w:cs="Arial" w:eastAsia="Arial" w:hAnsi="Arial"/>
                <w:sz w:val="3"/>
                <w:szCs w:val="3"/>
                <w:color w:val="FFFFFF"/>
              </w:rPr>
              <w:t>26. COMMITMENTS AND CONTINGENCIES</w:t>
            </w: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2"/>
          </w:tcPr>
          <w:p>
            <w:pPr>
              <w:spacing w:after="0"/>
              <w:rPr>
                <w:sz w:val="20"/>
                <w:szCs w:val="20"/>
                <w:color w:val="auto"/>
              </w:rPr>
            </w:pPr>
            <w:r>
              <w:rPr>
                <w:rFonts w:ascii="Arial" w:cs="Arial" w:eastAsia="Arial" w:hAnsi="Arial"/>
                <w:sz w:val="3"/>
                <w:szCs w:val="3"/>
                <w:color w:val="FFFFFF"/>
              </w:rPr>
              <w:t>Operating lease commitments — Group as lessee</w:t>
            </w: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80" w:type="dxa"/>
            <w:vAlign w:val="bottom"/>
            <w:gridSpan w:val="5"/>
          </w:tcPr>
          <w:p>
            <w:pPr>
              <w:spacing w:after="0"/>
              <w:rPr>
                <w:sz w:val="20"/>
                <w:szCs w:val="20"/>
                <w:color w:val="auto"/>
              </w:rPr>
            </w:pPr>
            <w:r>
              <w:rPr>
                <w:rFonts w:ascii="Arial" w:cs="Arial" w:eastAsia="Arial" w:hAnsi="Arial"/>
                <w:sz w:val="3"/>
                <w:szCs w:val="3"/>
                <w:color w:val="FFFFFF"/>
              </w:rPr>
              <w:t>The Group has entered into leases for administrative offices in Macau, warehouse facilities,</w:t>
            </w:r>
          </w:p>
        </w:tc>
        <w:tc>
          <w:tcPr>
            <w:tcW w:w="0" w:type="dxa"/>
            <w:vAlign w:val="bottom"/>
          </w:tcPr>
          <w:p>
            <w:pPr>
              <w:spacing w:after="0"/>
              <w:rPr>
                <w:sz w:val="1"/>
                <w:szCs w:val="1"/>
                <w:color w:val="auto"/>
              </w:rPr>
            </w:pPr>
          </w:p>
        </w:tc>
      </w:tr>
      <w:tr>
        <w:trPr>
          <w:trHeight w:val="41"/>
        </w:trPr>
        <w:tc>
          <w:tcPr>
            <w:tcW w:w="5280" w:type="dxa"/>
            <w:vAlign w:val="bottom"/>
            <w:gridSpan w:val="5"/>
          </w:tcPr>
          <w:p>
            <w:pPr>
              <w:spacing w:after="0"/>
              <w:rPr>
                <w:sz w:val="20"/>
                <w:szCs w:val="20"/>
                <w:color w:val="auto"/>
              </w:rPr>
            </w:pPr>
            <w:r>
              <w:rPr>
                <w:rFonts w:ascii="Arial" w:cs="Arial" w:eastAsia="Arial" w:hAnsi="Arial"/>
                <w:sz w:val="3"/>
                <w:szCs w:val="3"/>
                <w:color w:val="FFFFFF"/>
              </w:rPr>
              <w:t>apartment units for executives and staff, dormitories for imported labor, and for certain office</w:t>
            </w:r>
          </w:p>
        </w:tc>
        <w:tc>
          <w:tcPr>
            <w:tcW w:w="0" w:type="dxa"/>
            <w:vAlign w:val="bottom"/>
          </w:tcPr>
          <w:p>
            <w:pPr>
              <w:spacing w:after="0"/>
              <w:rPr>
                <w:sz w:val="1"/>
                <w:szCs w:val="1"/>
                <w:color w:val="auto"/>
              </w:rPr>
            </w:pPr>
          </w:p>
        </w:tc>
      </w:tr>
      <w:tr>
        <w:trPr>
          <w:trHeight w:val="0"/>
        </w:trPr>
        <w:tc>
          <w:tcPr>
            <w:tcW w:w="3880" w:type="dxa"/>
            <w:vAlign w:val="bottom"/>
            <w:gridSpan w:val="3"/>
          </w:tcPr>
          <w:p>
            <w:pPr>
              <w:spacing w:after="0" w:line="80" w:lineRule="exact"/>
              <w:rPr>
                <w:sz w:val="20"/>
                <w:szCs w:val="20"/>
                <w:color w:val="auto"/>
              </w:rPr>
            </w:pPr>
            <w:r>
              <w:rPr>
                <w:rFonts w:ascii="Arial" w:cs="Arial" w:eastAsia="Arial" w:hAnsi="Arial"/>
                <w:sz w:val="9"/>
                <w:szCs w:val="9"/>
                <w:color w:val="FFFFFF"/>
              </w:rPr>
              <w:t>equipment. These leases typically contain renewal or continuation</w:t>
            </w:r>
          </w:p>
        </w:tc>
        <w:tc>
          <w:tcPr>
            <w:tcW w:w="420" w:type="dxa"/>
            <w:vAlign w:val="bottom"/>
          </w:tcPr>
          <w:p>
            <w:pPr>
              <w:jc w:val="right"/>
              <w:ind w:right="215"/>
              <w:spacing w:after="0" w:line="80" w:lineRule="exact"/>
              <w:rPr>
                <w:sz w:val="20"/>
                <w:szCs w:val="20"/>
                <w:color w:val="auto"/>
              </w:rPr>
            </w:pPr>
            <w:r>
              <w:rPr>
                <w:rFonts w:ascii="Arial" w:cs="Arial" w:eastAsia="Arial" w:hAnsi="Arial"/>
                <w:sz w:val="9"/>
                <w:szCs w:val="9"/>
                <w:color w:val="FFFFFF"/>
              </w:rPr>
              <w:t>.</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In addition to the leases described above, the Group pays rent for theclausesof the land on which</w:t>
      </w:r>
    </w:p>
    <w:p>
      <w:pPr>
        <w:spacing w:after="0" w:line="199" w:lineRule="auto"/>
        <w:rPr>
          <w:sz w:val="20"/>
          <w:szCs w:val="20"/>
          <w:color w:val="auto"/>
        </w:rPr>
      </w:pPr>
      <w:r>
        <w:rPr>
          <w:rFonts w:ascii="Arial" w:cs="Arial" w:eastAsia="Arial" w:hAnsi="Arial"/>
          <w:sz w:val="5"/>
          <w:szCs w:val="5"/>
          <w:color w:val="FFFFFF"/>
        </w:rPr>
        <w:t>concessionsWynnMacauaswasdiscussedconstructedinnoteand9. will pay rent for the use of the Cotai Land under the land</w:t>
      </w:r>
    </w:p>
    <w:p>
      <w:pPr>
        <w:ind w:right="5059"/>
        <w:spacing w:after="0"/>
        <w:rPr>
          <w:sz w:val="20"/>
          <w:szCs w:val="20"/>
          <w:color w:val="auto"/>
        </w:rPr>
      </w:pPr>
      <w:r>
        <w:rPr>
          <w:rFonts w:ascii="Arial" w:cs="Arial" w:eastAsia="Arial" w:hAnsi="Arial"/>
          <w:sz w:val="7"/>
          <w:szCs w:val="7"/>
          <w:color w:val="FFFFFF"/>
        </w:rPr>
        <w:t>At 31 December 2011 and 2010, outstanding commitments for future minimum lease payments under non-cancellable operating leases are as follows:</w:t>
      </w:r>
    </w:p>
    <w:p>
      <w:pPr>
        <w:spacing w:after="0" w:line="189" w:lineRule="auto"/>
        <w:rPr>
          <w:sz w:val="20"/>
          <w:szCs w:val="20"/>
          <w:color w:val="auto"/>
        </w:rPr>
      </w:pPr>
      <w:r>
        <w:rPr>
          <w:rFonts w:ascii="Arial" w:cs="Arial" w:eastAsia="Arial" w:hAnsi="Arial"/>
          <w:sz w:val="9"/>
          <w:szCs w:val="9"/>
          <w:color w:val="FFFFFF"/>
        </w:rPr>
        <w:t>Group</w:t>
      </w:r>
    </w:p>
    <w:p>
      <w:pPr>
        <w:spacing w:after="0" w:line="188" w:lineRule="auto"/>
        <w:rPr>
          <w:sz w:val="20"/>
          <w:szCs w:val="20"/>
          <w:color w:val="auto"/>
        </w:rPr>
      </w:pPr>
      <w:r>
        <w:rPr>
          <w:rFonts w:ascii="Arial" w:cs="Arial" w:eastAsia="Arial" w:hAnsi="Arial"/>
          <w:sz w:val="9"/>
          <w:szCs w:val="9"/>
          <w:color w:val="FFFFFF"/>
        </w:rPr>
        <w:t>2011Asat 201031December</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10"/>
          <w:szCs w:val="10"/>
          <w:color w:val="FFFFFF"/>
        </w:rPr>
        <w:t>Within one year 21,712 11,323</w:t>
      </w:r>
    </w:p>
    <w:p>
      <w:pPr>
        <w:spacing w:after="0"/>
        <w:rPr>
          <w:sz w:val="20"/>
          <w:szCs w:val="20"/>
          <w:color w:val="auto"/>
        </w:rPr>
      </w:pPr>
      <w:r>
        <w:rPr>
          <w:rFonts w:ascii="Arial" w:cs="Arial" w:eastAsia="Arial" w:hAnsi="Arial"/>
          <w:sz w:val="3"/>
          <w:szCs w:val="3"/>
          <w:color w:val="FFFFFF"/>
        </w:rPr>
        <w:t>MoreAfter onethanyearfive butyearsnot233,519morethan55,862five years 52,092 22,286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307,323 89,471</w:t>
      </w:r>
    </w:p>
    <w:p>
      <w:pPr>
        <w:sectPr>
          <w:pgSz w:w="11900" w:h="16838" w:orient="portrait"/>
          <w:cols w:equalWidth="0" w:num="1">
            <w:col w:w="10219"/>
          </w:cols>
          <w:pgMar w:left="240" w:top="1440" w:right="1440"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142 Wynn Macau, Limited</w:t>
      </w:r>
    </w:p>
    <w:p>
      <w:pPr>
        <w:spacing w:after="0"/>
        <w:rPr>
          <w:sz w:val="20"/>
          <w:szCs w:val="20"/>
          <w:color w:val="auto"/>
        </w:rPr>
      </w:pPr>
      <w:r>
        <w:rPr>
          <w:rFonts w:ascii="Arial" w:cs="Arial" w:eastAsia="Arial" w:hAnsi="Arial"/>
          <w:sz w:val="3"/>
          <w:szCs w:val="3"/>
          <w:color w:val="FFFFFF"/>
        </w:rPr>
        <w:t>Financial Statements</w:t>
      </w:r>
    </w:p>
    <w:p>
      <w:pPr>
        <w:spacing w:after="0" w:line="190" w:lineRule="auto"/>
        <w:rPr>
          <w:sz w:val="20"/>
          <w:szCs w:val="20"/>
          <w:color w:val="auto"/>
        </w:rPr>
      </w:pPr>
      <w:r>
        <w:rPr>
          <w:rFonts w:ascii="Arial" w:cs="Arial" w:eastAsia="Arial" w:hAnsi="Arial"/>
          <w:sz w:val="11"/>
          <w:szCs w:val="11"/>
          <w:color w:val="FFFFFF"/>
        </w:rPr>
        <w:t>ForNotesthetoyearFinancialended Statements31December 2011</w:t>
      </w:r>
    </w:p>
    <w:p>
      <w:pPr>
        <w:spacing w:after="0"/>
        <w:tabs>
          <w:tab w:leader="none" w:pos="440" w:val="left"/>
        </w:tabs>
        <w:rPr>
          <w:sz w:val="20"/>
          <w:szCs w:val="20"/>
          <w:color w:val="auto"/>
        </w:rPr>
      </w:pPr>
      <w:r>
        <w:rPr>
          <w:rFonts w:ascii="Arial" w:cs="Arial" w:eastAsia="Arial" w:hAnsi="Arial"/>
          <w:sz w:val="3"/>
          <w:szCs w:val="3"/>
          <w:color w:val="FFFFFF"/>
        </w:rPr>
        <w:t>26.</w:t>
      </w:r>
      <w:r>
        <w:rPr>
          <w:sz w:val="20"/>
          <w:szCs w:val="20"/>
          <w:color w:val="auto"/>
        </w:rPr>
        <w:tab/>
      </w:r>
      <w:r>
        <w:rPr>
          <w:rFonts w:ascii="Arial" w:cs="Arial" w:eastAsia="Arial" w:hAnsi="Arial"/>
          <w:sz w:val="3"/>
          <w:szCs w:val="3"/>
          <w:color w:val="FFFFFF"/>
        </w:rPr>
        <w:t>COMMITMENTS AND CONTINGENCIES (continued)</w:t>
      </w:r>
    </w:p>
    <w:p>
      <w:pPr>
        <w:spacing w:after="0" w:line="227" w:lineRule="auto"/>
        <w:rPr>
          <w:sz w:val="20"/>
          <w:szCs w:val="20"/>
          <w:color w:val="auto"/>
        </w:rPr>
      </w:pPr>
      <w:r>
        <w:rPr>
          <w:rFonts w:ascii="Arial" w:cs="Arial" w:eastAsia="Arial" w:hAnsi="Arial"/>
          <w:sz w:val="8"/>
          <w:szCs w:val="8"/>
          <w:color w:val="FFFFFF"/>
        </w:rPr>
        <w:t>TheOperatingGroupleasehasenteredcommitmentsintoleases—GroupforspaceaslessoratWynn Macau’s retail promenade with several</w:t>
      </w:r>
    </w:p>
    <w:p>
      <w:pPr>
        <w:ind w:right="4979"/>
        <w:spacing w:after="0" w:line="181" w:lineRule="auto"/>
        <w:rPr>
          <w:sz w:val="20"/>
          <w:szCs w:val="20"/>
          <w:color w:val="auto"/>
        </w:rPr>
      </w:pPr>
      <w:r>
        <w:rPr>
          <w:rFonts w:ascii="Arial" w:cs="Arial" w:eastAsia="Arial" w:hAnsi="Arial"/>
          <w:sz w:val="7"/>
          <w:szCs w:val="7"/>
          <w:color w:val="FFFFFF"/>
        </w:rPr>
        <w:t>plushigh-additionalendretailers.rentThesebasednonupon-cancelablethenetsalesleasesof thetypicallyretailers.containThe Groupprovisionsrecordedforminimumcontingentrentals rental income under operating leases of approximately HK$525.8 million for the year ended 31</w:t>
      </w:r>
    </w:p>
    <w:p>
      <w:pPr>
        <w:spacing w:after="0"/>
        <w:rPr>
          <w:sz w:val="20"/>
          <w:szCs w:val="20"/>
          <w:color w:val="auto"/>
        </w:rPr>
      </w:pPr>
      <w:r>
        <w:rPr>
          <w:rFonts w:ascii="Arial" w:cs="Arial" w:eastAsia="Arial" w:hAnsi="Arial"/>
          <w:sz w:val="3"/>
          <w:szCs w:val="3"/>
          <w:color w:val="FFFFFF"/>
        </w:rPr>
        <w:t>December 2011 (2010: HK$293.2 million).</w:t>
      </w:r>
    </w:p>
    <w:p>
      <w:pPr>
        <w:spacing w:after="0" w:line="181" w:lineRule="auto"/>
        <w:rPr>
          <w:sz w:val="20"/>
          <w:szCs w:val="20"/>
          <w:color w:val="auto"/>
        </w:rPr>
      </w:pPr>
      <w:r>
        <w:rPr>
          <w:rFonts w:ascii="Arial" w:cs="Arial" w:eastAsia="Arial" w:hAnsi="Arial"/>
          <w:sz w:val="10"/>
          <w:szCs w:val="10"/>
          <w:color w:val="FFFFFF"/>
        </w:rPr>
        <w:t>GroupFuture minimum rents to be received at 31 December 2011 and 2010 are as follows:</w:t>
      </w:r>
    </w:p>
    <w:p>
      <w:pPr>
        <w:spacing w:after="0"/>
        <w:rPr>
          <w:sz w:val="20"/>
          <w:szCs w:val="20"/>
          <w:color w:val="auto"/>
        </w:rPr>
      </w:pPr>
      <w:r>
        <w:rPr>
          <w:rFonts w:ascii="Arial" w:cs="Arial" w:eastAsia="Arial" w:hAnsi="Arial"/>
          <w:sz w:val="3"/>
          <w:szCs w:val="3"/>
          <w:color w:val="FFFFFF"/>
        </w:rPr>
        <w:t>As at 31 December</w:t>
      </w:r>
    </w:p>
    <w:p>
      <w:pPr>
        <w:spacing w:after="0" w:line="181" w:lineRule="auto"/>
        <w:rPr>
          <w:sz w:val="20"/>
          <w:szCs w:val="20"/>
          <w:color w:val="auto"/>
        </w:rPr>
      </w:pPr>
      <w:r>
        <w:rPr>
          <w:rFonts w:ascii="Arial" w:cs="Arial" w:eastAsia="Arial" w:hAnsi="Arial"/>
          <w:sz w:val="10"/>
          <w:szCs w:val="10"/>
          <w:color w:val="FFFFFF"/>
        </w:rPr>
        <w:t>HK2011$ HK2010$</w:t>
      </w:r>
    </w:p>
    <w:p>
      <w:pPr>
        <w:spacing w:after="0"/>
        <w:rPr>
          <w:sz w:val="20"/>
          <w:szCs w:val="20"/>
          <w:color w:val="auto"/>
        </w:rPr>
      </w:pPr>
      <w:r>
        <w:rPr>
          <w:rFonts w:ascii="Arial" w:cs="Arial" w:eastAsia="Arial" w:hAnsi="Arial"/>
          <w:sz w:val="3"/>
          <w:szCs w:val="3"/>
          <w:color w:val="FFFFFF"/>
        </w:rPr>
        <w:t>(in thousands)</w:t>
      </w:r>
    </w:p>
    <w:p>
      <w:pPr>
        <w:spacing w:after="0" w:line="181" w:lineRule="auto"/>
        <w:rPr>
          <w:sz w:val="20"/>
          <w:szCs w:val="20"/>
          <w:color w:val="auto"/>
        </w:rPr>
      </w:pPr>
      <w:r>
        <w:rPr>
          <w:rFonts w:ascii="Arial" w:cs="Arial" w:eastAsia="Arial" w:hAnsi="Arial"/>
          <w:sz w:val="10"/>
          <w:szCs w:val="10"/>
          <w:color w:val="FFFFFF"/>
        </w:rPr>
        <w:t>AfterWithinoneoneyearyearbut137,215notmore95,700than five years 315,952 96,883</w:t>
      </w:r>
    </w:p>
    <w:p>
      <w:pPr>
        <w:ind w:left="320"/>
        <w:spacing w:after="0"/>
        <w:rPr>
          <w:sz w:val="20"/>
          <w:szCs w:val="20"/>
          <w:color w:val="auto"/>
        </w:rPr>
      </w:pPr>
      <w:r>
        <w:rPr>
          <w:rFonts w:ascii="Arial" w:cs="Arial" w:eastAsia="Arial" w:hAnsi="Arial"/>
          <w:sz w:val="3"/>
          <w:szCs w:val="3"/>
          <w:color w:val="FFFFFF"/>
        </w:rPr>
        <w:t>five years 19,645 —</w:t>
      </w:r>
    </w:p>
    <w:p>
      <w:pPr>
        <w:spacing w:after="0" w:line="181" w:lineRule="auto"/>
        <w:rPr>
          <w:sz w:val="20"/>
          <w:szCs w:val="20"/>
          <w:color w:val="auto"/>
        </w:rPr>
      </w:pPr>
      <w:r>
        <w:rPr>
          <w:rFonts w:ascii="Arial" w:cs="Arial" w:eastAsia="Arial" w:hAnsi="Arial"/>
          <w:sz w:val="10"/>
          <w:szCs w:val="10"/>
          <w:color w:val="FFFFFF"/>
        </w:rPr>
        <w:t>The472,812operating192,583lease rentals of certain retailers are based on the higher ofandfixed rental and</w:t>
      </w:r>
    </w:p>
    <w:p>
      <w:pPr>
        <w:ind w:left="4840"/>
        <w:spacing w:after="0"/>
        <w:rPr>
          <w:sz w:val="20"/>
          <w:szCs w:val="20"/>
          <w:color w:val="auto"/>
        </w:rPr>
      </w:pPr>
      <w:r>
        <w:rPr>
          <w:rFonts w:ascii="Arial" w:cs="Arial" w:eastAsia="Arial" w:hAnsi="Arial"/>
          <w:sz w:val="1"/>
          <w:szCs w:val="1"/>
          <w:color w:val="FFFFFF"/>
        </w:rPr>
        <w:t>setcontingentouttherentrespectivebasedonrentalthesalesagreements.oftheretailersAsthepursuantfuturesalestotheof terms retailersconditionscouldnotas be</w:t>
      </w:r>
    </w:p>
    <w:p>
      <w:pPr>
        <w:spacing w:after="0" w:line="187" w:lineRule="auto"/>
        <w:tabs>
          <w:tab w:leader="none" w:pos="3500" w:val="left"/>
        </w:tabs>
        <w:rPr>
          <w:sz w:val="20"/>
          <w:szCs w:val="20"/>
          <w:color w:val="auto"/>
        </w:rPr>
      </w:pPr>
      <w:r>
        <w:rPr>
          <w:rFonts w:ascii="Arial" w:cs="Arial" w:eastAsia="Arial" w:hAnsi="Arial"/>
          <w:sz w:val="9"/>
          <w:szCs w:val="9"/>
          <w:color w:val="FFFFFF"/>
        </w:rPr>
        <w:t>estimated</w:t>
      </w:r>
      <w:r>
        <w:rPr>
          <w:sz w:val="20"/>
          <w:szCs w:val="20"/>
          <w:color w:val="auto"/>
        </w:rPr>
        <w:tab/>
      </w:r>
      <w:r>
        <w:rPr>
          <w:rFonts w:ascii="Arial" w:cs="Arial" w:eastAsia="Arial" w:hAnsi="Arial"/>
          <w:sz w:val="9"/>
          <w:szCs w:val="9"/>
          <w:color w:val="FFFFFF"/>
        </w:rPr>
        <w:t>these</w:t>
      </w:r>
    </w:p>
    <w:p>
      <w:pPr>
        <w:spacing w:after="0" w:line="209" w:lineRule="auto"/>
        <w:tabs>
          <w:tab w:leader="none" w:pos="3780" w:val="left"/>
        </w:tabs>
        <w:rPr>
          <w:sz w:val="20"/>
          <w:szCs w:val="20"/>
          <w:color w:val="auto"/>
        </w:rPr>
      </w:pPr>
      <w:r>
        <w:rPr>
          <w:rFonts w:ascii="Arial" w:cs="Arial" w:eastAsia="Arial" w:hAnsi="Arial"/>
          <w:sz w:val="12"/>
          <w:szCs w:val="12"/>
          <w:color w:val="FFFFFF"/>
        </w:rPr>
        <w:t>been includedreliably,intheonlyabovethe table.minimum lease commitments, and not</w:t>
      </w:r>
      <w:r>
        <w:rPr>
          <w:sz w:val="20"/>
          <w:szCs w:val="20"/>
          <w:color w:val="auto"/>
        </w:rPr>
        <w:tab/>
      </w:r>
      <w:r>
        <w:rPr>
          <w:rFonts w:ascii="Arial" w:cs="Arial" w:eastAsia="Arial" w:hAnsi="Arial"/>
          <w:sz w:val="12"/>
          <w:szCs w:val="12"/>
          <w:color w:val="FFFFFF"/>
        </w:rPr>
        <w:t>contingent rents, have</w:t>
      </w:r>
    </w:p>
    <w:p>
      <w:pPr>
        <w:sectPr>
          <w:pgSz w:w="11900" w:h="16838" w:orient="portrait"/>
          <w:cols w:equalWidth="0" w:num="1">
            <w:col w:w="10219"/>
          </w:cols>
          <w:pgMar w:left="240" w:top="1440" w:right="1440"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143</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For the year ended 31 December 2011</w:t>
      </w:r>
    </w:p>
    <w:p>
      <w:pPr>
        <w:spacing w:after="0"/>
        <w:rPr>
          <w:sz w:val="20"/>
          <w:szCs w:val="20"/>
          <w:color w:val="auto"/>
        </w:rPr>
      </w:pPr>
      <w:r>
        <w:rPr>
          <w:rFonts w:ascii="Arial" w:cs="Arial" w:eastAsia="Arial" w:hAnsi="Arial"/>
          <w:sz w:val="3"/>
          <w:szCs w:val="3"/>
          <w:color w:val="FFFFFF"/>
        </w:rPr>
        <w:t>Capital26.COMMITMENTScommitments AND CONTINGENCIES (continued)</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Asconstructionat31Decembercontracts,2011constructionand2010,-therelatedGroupconsultinghadthe followingandother capitalagreementscommitmentsandpurchaseunder</w:t>
      </w:r>
    </w:p>
    <w:p>
      <w:pPr>
        <w:spacing w:after="0" w:line="232" w:lineRule="auto"/>
        <w:rPr>
          <w:sz w:val="20"/>
          <w:szCs w:val="20"/>
          <w:color w:val="auto"/>
        </w:rPr>
      </w:pPr>
      <w:r>
        <w:rPr>
          <w:rFonts w:ascii="Arial" w:cs="Arial" w:eastAsia="Arial" w:hAnsi="Arial"/>
          <w:sz w:val="12"/>
          <w:szCs w:val="12"/>
          <w:color w:val="FFFFFF"/>
        </w:rPr>
        <w:t>Grouporders which have not been provided for in the Group’s statement of financial position:</w:t>
      </w:r>
    </w:p>
    <w:p>
      <w:pPr>
        <w:spacing w:after="0" w:line="188" w:lineRule="auto"/>
        <w:rPr>
          <w:sz w:val="20"/>
          <w:szCs w:val="20"/>
          <w:color w:val="auto"/>
        </w:rPr>
      </w:pPr>
      <w:r>
        <w:rPr>
          <w:rFonts w:ascii="Arial" w:cs="Arial" w:eastAsia="Arial" w:hAnsi="Arial"/>
          <w:sz w:val="9"/>
          <w:szCs w:val="9"/>
          <w:color w:val="FFFFFF"/>
        </w:rPr>
        <w:t>2011Asat 201031December</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10"/>
          <w:szCs w:val="10"/>
          <w:color w:val="FFFFFF"/>
        </w:rPr>
        <w:t>Contracted, but not provided for 181,996 29,505</w:t>
      </w:r>
    </w:p>
    <w:p>
      <w:pPr>
        <w:spacing w:after="0"/>
        <w:rPr>
          <w:sz w:val="20"/>
          <w:szCs w:val="20"/>
          <w:color w:val="auto"/>
        </w:rPr>
      </w:pPr>
      <w:r>
        <w:rPr>
          <w:rFonts w:ascii="Arial" w:cs="Arial" w:eastAsia="Arial" w:hAnsi="Arial"/>
          <w:sz w:val="3"/>
          <w:szCs w:val="3"/>
          <w:color w:val="FFFFFF"/>
        </w:rPr>
        <w:t>318,125Authorized,117,597butnot contracted for 136,129 88,092</w:t>
      </w:r>
    </w:p>
    <w:p>
      <w:pPr>
        <w:spacing w:after="0" w:line="194" w:lineRule="auto"/>
        <w:rPr>
          <w:sz w:val="20"/>
          <w:szCs w:val="20"/>
          <w:color w:val="auto"/>
        </w:rPr>
      </w:pPr>
      <w:r>
        <w:rPr>
          <w:rFonts w:ascii="Arial" w:cs="Arial" w:eastAsia="Arial" w:hAnsi="Arial"/>
          <w:sz w:val="5"/>
          <w:szCs w:val="5"/>
          <w:color w:val="FFFFFF"/>
        </w:rPr>
        <w:t>Gaming premium commitment</w:t>
      </w:r>
    </w:p>
    <w:p>
      <w:pPr>
        <w:spacing w:after="0" w:line="211" w:lineRule="auto"/>
        <w:rPr>
          <w:sz w:val="20"/>
          <w:szCs w:val="20"/>
          <w:color w:val="auto"/>
        </w:rPr>
      </w:pPr>
      <w:r>
        <w:rPr>
          <w:rFonts w:ascii="Arial" w:cs="Arial" w:eastAsia="Arial" w:hAnsi="Arial"/>
          <w:sz w:val="2"/>
          <w:szCs w:val="2"/>
          <w:color w:val="FFFFFF"/>
        </w:rPr>
        <w:t>Pursuant to</w:t>
      </w:r>
      <w:r>
        <w:rPr>
          <w:rFonts w:ascii="Arial" w:cs="Arial" w:eastAsia="Arial" w:hAnsi="Arial"/>
          <w:sz w:val="4"/>
          <w:szCs w:val="4"/>
          <w:color w:val="FFFFFF"/>
          <w:vertAlign w:val="subscript"/>
        </w:rPr>
        <w:t>annual</w:t>
      </w:r>
      <w:r>
        <w:rPr>
          <w:rFonts w:ascii="Arial" w:cs="Arial" w:eastAsia="Arial" w:hAnsi="Arial"/>
          <w:sz w:val="2"/>
          <w:szCs w:val="2"/>
          <w:color w:val="FFFFFF"/>
        </w:rPr>
        <w:t>gaming contract signed with the Macau government, the Group has committed to</w:t>
      </w:r>
    </w:p>
    <w:p>
      <w:pPr>
        <w:ind w:left="520" w:right="4959" w:hanging="520"/>
        <w:spacing w:after="0"/>
        <w:rPr>
          <w:sz w:val="20"/>
          <w:szCs w:val="20"/>
          <w:color w:val="auto"/>
        </w:rPr>
      </w:pPr>
      <w:r>
        <w:rPr>
          <w:rFonts w:ascii="Arial" w:cs="Arial" w:eastAsia="Arial" w:hAnsi="Arial"/>
          <w:sz w:val="27"/>
          <w:szCs w:val="27"/>
          <w:color w:val="FFFFFF"/>
          <w:vertAlign w:val="subscript"/>
        </w:rPr>
        <w:t>premium</w:t>
      </w:r>
      <w:r>
        <w:rPr>
          <w:rFonts w:ascii="Arial" w:cs="Arial" w:eastAsia="Arial" w:hAnsi="Arial"/>
          <w:sz w:val="14"/>
          <w:szCs w:val="14"/>
          <w:color w:val="FFFFFF"/>
        </w:rPr>
        <w:t>ayingan</w:t>
      </w:r>
      <w:r>
        <w:rPr>
          <w:sz w:val="20"/>
          <w:szCs w:val="20"/>
          <w:color w:val="auto"/>
        </w:rPr>
        <w:t xml:space="preserve"> </w:t>
      </w:r>
      <w:r>
        <w:rPr>
          <w:rFonts w:ascii="Arial" w:cs="Arial" w:eastAsia="Arial" w:hAnsi="Arial"/>
          <w:sz w:val="6"/>
          <w:szCs w:val="6"/>
          <w:color w:val="FFFFFF"/>
        </w:rPr>
        <w:t>premium of MOP30.0 million (approximately HK$29.1 million) plus</w:t>
      </w:r>
      <w:r>
        <w:rPr>
          <w:rFonts w:ascii="Arial" w:cs="Arial" w:eastAsia="Arial" w:hAnsi="Arial"/>
          <w:sz w:val="7"/>
          <w:szCs w:val="7"/>
          <w:color w:val="FFFFFF"/>
          <w:vertAlign w:val="subscript"/>
        </w:rPr>
        <w:t>operated</w:t>
      </w:r>
      <w:r>
        <w:rPr>
          <w:rFonts w:ascii="Arial" w:cs="Arial" w:eastAsia="Arial" w:hAnsi="Arial"/>
          <w:sz w:val="6"/>
          <w:szCs w:val="6"/>
          <w:color w:val="FFFFFF"/>
        </w:rPr>
        <w:t>variable calculated on the basis of the number of gaming tables and gaming devices</w:t>
      </w:r>
    </w:p>
    <w:p>
      <w:pPr>
        <w:spacing w:after="0"/>
        <w:rPr>
          <w:sz w:val="20"/>
          <w:szCs w:val="20"/>
          <w:color w:val="auto"/>
        </w:rPr>
      </w:pPr>
      <w:r>
        <w:rPr>
          <w:rFonts w:ascii="Arial" w:cs="Arial" w:eastAsia="Arial" w:hAnsi="Arial"/>
          <w:sz w:val="14"/>
          <w:szCs w:val="14"/>
          <w:color w:val="FFFFFF"/>
        </w:rPr>
        <w:t>by the Group.</w:t>
      </w:r>
    </w:p>
    <w:p>
      <w:pPr>
        <w:sectPr>
          <w:pgSz w:w="11900" w:h="16838" w:orient="portrait"/>
          <w:cols w:equalWidth="0" w:num="1">
            <w:col w:w="10219"/>
          </w:cols>
          <w:pgMar w:left="240" w:top="1440" w:right="1440"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tcPr>
          <w:p>
            <w:pPr>
              <w:spacing w:after="0"/>
              <w:rPr>
                <w:sz w:val="20"/>
                <w:szCs w:val="20"/>
                <w:color w:val="auto"/>
              </w:rPr>
            </w:pPr>
            <w:r>
              <w:rPr>
                <w:rFonts w:ascii="Arial" w:cs="Arial" w:eastAsia="Arial" w:hAnsi="Arial"/>
                <w:sz w:val="14"/>
                <w:szCs w:val="14"/>
                <w:color w:val="FFFFFF"/>
              </w:rPr>
              <w:t>144 Wynn Macau, Limited</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26. COMMITMENTS AND CONTINGENCIES (continued)</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Other services commitments</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The Group has service agreements for signage in several cities in China, Macau and Hong Kong.</w:t>
            </w:r>
          </w:p>
        </w:tc>
        <w:tc>
          <w:tcPr>
            <w:tcW w:w="0" w:type="dxa"/>
            <w:vAlign w:val="bottom"/>
          </w:tcPr>
          <w:p>
            <w:pPr>
              <w:spacing w:after="0"/>
              <w:rPr>
                <w:sz w:val="1"/>
                <w:szCs w:val="1"/>
                <w:color w:val="auto"/>
              </w:rPr>
            </w:pPr>
          </w:p>
        </w:tc>
      </w:tr>
      <w:tr>
        <w:trPr>
          <w:trHeight w:val="41"/>
        </w:trPr>
        <w:tc>
          <w:tcPr>
            <w:tcW w:w="5240" w:type="dxa"/>
            <w:vAlign w:val="bottom"/>
            <w:gridSpan w:val="2"/>
          </w:tcPr>
          <w:p>
            <w:pPr>
              <w:ind w:left="760"/>
              <w:spacing w:after="0"/>
              <w:rPr>
                <w:sz w:val="20"/>
                <w:szCs w:val="20"/>
                <w:color w:val="auto"/>
              </w:rPr>
            </w:pPr>
            <w:r>
              <w:rPr>
                <w:rFonts w:ascii="Arial" w:cs="Arial" w:eastAsia="Arial" w:hAnsi="Arial"/>
                <w:sz w:val="3"/>
                <w:szCs w:val="3"/>
                <w:color w:val="FFFFFF"/>
              </w:rPr>
              <w:t>the Group is obligated under several agreements for shuttle-bus services running</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Furthermore,fromPeople’ Republic of China’s border to Wynn Macau and within Macau and under</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various agreements for maintenance, printing and other services. Under these agreements, the</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line="41" w:lineRule="exact"/>
              <w:rPr>
                <w:sz w:val="20"/>
                <w:szCs w:val="20"/>
                <w:color w:val="auto"/>
              </w:rPr>
            </w:pPr>
            <w:r>
              <w:rPr>
                <w:rFonts w:ascii="Arial" w:cs="Arial" w:eastAsia="Arial" w:hAnsi="Arial"/>
                <w:sz w:val="4"/>
                <w:szCs w:val="4"/>
                <w:color w:val="FFFFFF"/>
                <w:vertAlign w:val="subscript"/>
              </w:rPr>
              <w:t>Group</w:t>
            </w:r>
            <w:r>
              <w:rPr>
                <w:rFonts w:ascii="Arial" w:cs="Arial" w:eastAsia="Arial" w:hAnsi="Arial"/>
                <w:sz w:val="2"/>
                <w:szCs w:val="2"/>
                <w:color w:val="FFFFFF"/>
              </w:rPr>
              <w:t xml:space="preserve"> is obligated for the following future payments as at 31 December 2011 and 2010:</w:t>
            </w:r>
          </w:p>
        </w:tc>
        <w:tc>
          <w:tcPr>
            <w:tcW w:w="0" w:type="dxa"/>
            <w:vAlign w:val="bottom"/>
          </w:tcPr>
          <w:p>
            <w:pPr>
              <w:spacing w:after="0"/>
              <w:rPr>
                <w:sz w:val="1"/>
                <w:szCs w:val="1"/>
                <w:color w:val="auto"/>
              </w:rPr>
            </w:pPr>
          </w:p>
        </w:tc>
      </w:tr>
      <w:tr>
        <w:trPr>
          <w:trHeight w:val="81"/>
        </w:trPr>
        <w:tc>
          <w:tcPr>
            <w:tcW w:w="1060" w:type="dxa"/>
            <w:vAlign w:val="bottom"/>
          </w:tcPr>
          <w:p>
            <w:pPr>
              <w:spacing w:after="0" w:line="81" w:lineRule="exact"/>
              <w:rPr>
                <w:sz w:val="20"/>
                <w:szCs w:val="20"/>
                <w:color w:val="auto"/>
              </w:rPr>
            </w:pPr>
            <w:r>
              <w:rPr>
                <w:rFonts w:ascii="Arial" w:cs="Arial" w:eastAsia="Arial" w:hAnsi="Arial"/>
                <w:sz w:val="9"/>
                <w:szCs w:val="9"/>
                <w:color w:val="FFFFFF"/>
              </w:rPr>
              <w:t>As at 31 December</w:t>
            </w: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060" w:type="dxa"/>
            <w:vAlign w:val="bottom"/>
          </w:tcPr>
          <w:p>
            <w:pPr>
              <w:spacing w:after="0"/>
              <w:rPr>
                <w:sz w:val="20"/>
                <w:szCs w:val="20"/>
                <w:color w:val="auto"/>
              </w:rPr>
            </w:pPr>
            <w:r>
              <w:rPr>
                <w:rFonts w:ascii="Arial" w:cs="Arial" w:eastAsia="Arial" w:hAnsi="Arial"/>
                <w:sz w:val="3"/>
                <w:szCs w:val="3"/>
                <w:color w:val="FFFFFF"/>
              </w:rPr>
              <w:t>2011 2010</w:t>
            </w: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tcPr>
          <w:p>
            <w:pPr>
              <w:spacing w:after="0"/>
              <w:rPr>
                <w:sz w:val="20"/>
                <w:szCs w:val="20"/>
                <w:color w:val="auto"/>
              </w:rPr>
            </w:pPr>
            <w:r>
              <w:rPr>
                <w:rFonts w:ascii="Arial" w:cs="Arial" w:eastAsia="Arial" w:hAnsi="Arial"/>
                <w:sz w:val="3"/>
                <w:szCs w:val="3"/>
                <w:color w:val="FFFFFF"/>
              </w:rPr>
              <w:t>HK$ HK$</w:t>
            </w: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tcPr>
          <w:p>
            <w:pPr>
              <w:spacing w:after="0"/>
              <w:rPr>
                <w:sz w:val="20"/>
                <w:szCs w:val="20"/>
                <w:color w:val="auto"/>
              </w:rPr>
            </w:pPr>
            <w:r>
              <w:rPr>
                <w:rFonts w:ascii="Arial" w:cs="Arial" w:eastAsia="Arial" w:hAnsi="Arial"/>
                <w:sz w:val="3"/>
                <w:szCs w:val="3"/>
                <w:color w:val="FFFFFF"/>
              </w:rPr>
              <w:t>(in thousands)</w:t>
            </w: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Within one year 140,286 144,893</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After one year but not more than five years 29,485 74,396</w:t>
            </w:r>
          </w:p>
        </w:tc>
        <w:tc>
          <w:tcPr>
            <w:tcW w:w="0" w:type="dxa"/>
            <w:vAlign w:val="bottom"/>
          </w:tcPr>
          <w:p>
            <w:pPr>
              <w:spacing w:after="0"/>
              <w:rPr>
                <w:sz w:val="1"/>
                <w:szCs w:val="1"/>
                <w:color w:val="auto"/>
              </w:rPr>
            </w:pPr>
          </w:p>
        </w:tc>
      </w:tr>
      <w:tr>
        <w:trPr>
          <w:trHeight w:val="41"/>
        </w:trPr>
        <w:tc>
          <w:tcPr>
            <w:tcW w:w="1060" w:type="dxa"/>
            <w:vAlign w:val="bottom"/>
          </w:tcPr>
          <w:p>
            <w:pPr>
              <w:spacing w:after="0"/>
              <w:rPr>
                <w:sz w:val="20"/>
                <w:szCs w:val="20"/>
                <w:color w:val="auto"/>
              </w:rPr>
            </w:pPr>
            <w:r>
              <w:rPr>
                <w:rFonts w:ascii="Arial" w:cs="Arial" w:eastAsia="Arial" w:hAnsi="Arial"/>
                <w:sz w:val="3"/>
                <w:szCs w:val="3"/>
                <w:color w:val="FFFFFF"/>
              </w:rPr>
              <w:t>169,771 219,289</w:t>
            </w:r>
          </w:p>
        </w:tc>
        <w:tc>
          <w:tcPr>
            <w:tcW w:w="418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1, the Group was committed to purchases for operating items totaling</w:t>
            </w:r>
          </w:p>
        </w:tc>
        <w:tc>
          <w:tcPr>
            <w:tcW w:w="0" w:type="dxa"/>
            <w:vAlign w:val="bottom"/>
          </w:tcPr>
          <w:p>
            <w:pPr>
              <w:spacing w:after="0"/>
              <w:rPr>
                <w:sz w:val="1"/>
                <w:szCs w:val="1"/>
                <w:color w:val="auto"/>
              </w:rPr>
            </w:pPr>
          </w:p>
        </w:tc>
      </w:tr>
      <w:tr>
        <w:trPr>
          <w:trHeight w:val="41"/>
        </w:trPr>
        <w:tc>
          <w:tcPr>
            <w:tcW w:w="1060" w:type="dxa"/>
            <w:vAlign w:val="bottom"/>
          </w:tcPr>
          <w:p>
            <w:pPr>
              <w:spacing w:after="0"/>
              <w:rPr>
                <w:sz w:val="20"/>
                <w:szCs w:val="20"/>
                <w:color w:val="auto"/>
              </w:rPr>
            </w:pPr>
            <w:r>
              <w:rPr>
                <w:rFonts w:ascii="Arial" w:cs="Arial" w:eastAsia="Arial" w:hAnsi="Arial"/>
                <w:sz w:val="3"/>
                <w:szCs w:val="3"/>
                <w:color w:val="FFFFFF"/>
              </w:rPr>
              <w:t>As at 31 December</w:t>
            </w:r>
          </w:p>
        </w:tc>
        <w:tc>
          <w:tcPr>
            <w:tcW w:w="4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tcPr>
          <w:p>
            <w:pPr>
              <w:spacing w:after="0"/>
              <w:rPr>
                <w:sz w:val="20"/>
                <w:szCs w:val="20"/>
                <w:color w:val="auto"/>
              </w:rPr>
            </w:pPr>
            <w:r>
              <w:rPr>
                <w:rFonts w:ascii="Arial" w:cs="Arial" w:eastAsia="Arial" w:hAnsi="Arial"/>
                <w:sz w:val="3"/>
                <w:szCs w:val="3"/>
                <w:color w:val="FFFFFF"/>
              </w:rPr>
              <w:t>HK$96.2 million</w:t>
            </w:r>
          </w:p>
        </w:tc>
        <w:tc>
          <w:tcPr>
            <w:tcW w:w="4180" w:type="dxa"/>
            <w:vAlign w:val="bottom"/>
          </w:tcPr>
          <w:p>
            <w:pPr>
              <w:ind w:left="300"/>
              <w:spacing w:after="0"/>
              <w:rPr>
                <w:sz w:val="20"/>
                <w:szCs w:val="20"/>
                <w:color w:val="auto"/>
              </w:rPr>
            </w:pPr>
            <w:r>
              <w:rPr>
                <w:rFonts w:ascii="Arial" w:cs="Arial" w:eastAsia="Arial" w:hAnsi="Arial"/>
                <w:sz w:val="3"/>
                <w:szCs w:val="3"/>
                <w:color w:val="FFFFFF"/>
              </w:rPr>
              <w:t>HK$86.4 million).</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As at 31 Dec mber(2010:1, in addition to the MOP300 million (approximately HK$291.3 million)</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bank guarantee issued for the Concession Agreement as d scribed in note 20, the banks</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granted guarantees to the Group for other purposes to the extent of approximately HK$22.7</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million (2010: HK$10.2 million).</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Employment agreements</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The Group has entered into employment agreements with several executive officers, other</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membe s of management and certain key employees. These agreements generally have two- to</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ten-year terms and typically indicate a base salary and often contain provisions for discretionary</w:t>
            </w:r>
          </w:p>
        </w:tc>
        <w:tc>
          <w:tcPr>
            <w:tcW w:w="0" w:type="dxa"/>
            <w:vAlign w:val="bottom"/>
          </w:tcPr>
          <w:p>
            <w:pPr>
              <w:spacing w:after="0"/>
              <w:rPr>
                <w:sz w:val="1"/>
                <w:szCs w:val="1"/>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bonuses. Certain of the executives are also entitled to a separation payment if terminated</w:t>
            </w:r>
          </w:p>
        </w:tc>
        <w:tc>
          <w:tcPr>
            <w:tcW w:w="0" w:type="dxa"/>
            <w:vAlign w:val="bottom"/>
          </w:tcPr>
          <w:p>
            <w:pPr>
              <w:spacing w:after="0"/>
              <w:rPr>
                <w:sz w:val="1"/>
                <w:szCs w:val="1"/>
                <w:color w:val="auto"/>
              </w:rPr>
            </w:pPr>
          </w:p>
        </w:tc>
      </w:tr>
      <w:tr>
        <w:trPr>
          <w:trHeight w:val="0"/>
        </w:trPr>
        <w:tc>
          <w:tcPr>
            <w:tcW w:w="1060" w:type="dxa"/>
            <w:vAlign w:val="bottom"/>
          </w:tcPr>
          <w:p>
            <w:pPr>
              <w:spacing w:after="0" w:line="80" w:lineRule="exact"/>
              <w:rPr>
                <w:sz w:val="20"/>
                <w:szCs w:val="20"/>
                <w:color w:val="auto"/>
              </w:rPr>
            </w:pPr>
            <w:r>
              <w:rPr>
                <w:rFonts w:ascii="Arial" w:cs="Arial" w:eastAsia="Arial" w:hAnsi="Arial"/>
                <w:sz w:val="9"/>
                <w:szCs w:val="9"/>
                <w:color w:val="FFFFFF"/>
              </w:rPr>
              <w:t>without “cause”</w:t>
            </w:r>
          </w:p>
        </w:tc>
        <w:tc>
          <w:tcPr>
            <w:tcW w:w="4180" w:type="dxa"/>
            <w:vAlign w:val="bottom"/>
          </w:tcPr>
          <w:p>
            <w:pPr>
              <w:spacing w:after="0" w:line="80" w:lineRule="exact"/>
              <w:rPr>
                <w:sz w:val="20"/>
                <w:szCs w:val="20"/>
                <w:color w:val="auto"/>
              </w:rPr>
            </w:pPr>
            <w:r>
              <w:rPr>
                <w:rFonts w:ascii="Arial" w:cs="Arial" w:eastAsia="Arial" w:hAnsi="Arial"/>
                <w:sz w:val="9"/>
                <w:szCs w:val="9"/>
                <w:color w:val="FFFFFF"/>
              </w:rPr>
              <w:t>upon voluntary termination of employment for “good reason” following a</w:t>
            </w:r>
          </w:p>
        </w:tc>
        <w:tc>
          <w:tcPr>
            <w:tcW w:w="0" w:type="dxa"/>
            <w:vAlign w:val="bottom"/>
          </w:tcPr>
          <w:p>
            <w:pPr>
              <w:spacing w:after="0" w:line="20" w:lineRule="exact"/>
              <w:rPr>
                <w:sz w:val="1"/>
                <w:szCs w:val="1"/>
                <w:color w:val="auto"/>
              </w:rPr>
            </w:pPr>
          </w:p>
        </w:tc>
      </w:tr>
    </w:tbl>
    <w:p>
      <w:pPr>
        <w:ind w:left="640"/>
        <w:spacing w:after="0" w:line="25" w:lineRule="auto"/>
        <w:rPr>
          <w:sz w:val="20"/>
          <w:szCs w:val="20"/>
          <w:color w:val="auto"/>
        </w:rPr>
      </w:pPr>
      <w:r>
        <w:rPr>
          <w:rFonts w:ascii="Arial" w:cs="Arial" w:eastAsia="Arial" w:hAnsi="Arial"/>
          <w:sz w:val="1"/>
          <w:szCs w:val="1"/>
          <w:color w:val="FFFFFF"/>
        </w:rPr>
        <w:t>control”</w:t>
      </w:r>
    </w:p>
    <w:p>
      <w:pPr>
        <w:spacing w:after="0" w:line="187" w:lineRule="auto"/>
        <w:tabs>
          <w:tab w:leader="none" w:pos="1080" w:val="left"/>
        </w:tabs>
        <w:rPr>
          <w:sz w:val="20"/>
          <w:szCs w:val="20"/>
          <w:color w:val="auto"/>
        </w:rPr>
      </w:pPr>
      <w:r>
        <w:rPr>
          <w:rFonts w:ascii="Arial" w:cs="Arial" w:eastAsia="Arial" w:hAnsi="Arial"/>
          <w:sz w:val="9"/>
          <w:szCs w:val="9"/>
          <w:color w:val="FFFFFF"/>
        </w:rPr>
        <w:t>Litigation“changeof</w:t>
      </w:r>
      <w:r>
        <w:rPr>
          <w:sz w:val="20"/>
          <w:szCs w:val="20"/>
          <w:color w:val="auto"/>
        </w:rPr>
        <w:tab/>
      </w:r>
      <w:r>
        <w:rPr>
          <w:rFonts w:ascii="Arial" w:cs="Arial" w:eastAsia="Arial" w:hAnsi="Arial"/>
          <w:sz w:val="9"/>
          <w:szCs w:val="9"/>
          <w:color w:val="FFFFFF"/>
        </w:rPr>
        <w:t>(as these terms are defined in the employment contracts).</w:t>
      </w:r>
    </w:p>
    <w:p>
      <w:pPr>
        <w:spacing w:after="0"/>
        <w:rPr>
          <w:sz w:val="20"/>
          <w:szCs w:val="20"/>
          <w:color w:val="auto"/>
        </w:rPr>
      </w:pPr>
      <w:r>
        <w:rPr>
          <w:rFonts w:ascii="Arial" w:cs="Arial" w:eastAsia="Arial" w:hAnsi="Arial"/>
          <w:sz w:val="12"/>
          <w:szCs w:val="12"/>
          <w:color w:val="FFFFFF"/>
        </w:rPr>
        <w:t>none)TheGroup. did not have any material litigation outstanding as at 31 December 2011 (2010:</w:t>
      </w:r>
    </w:p>
    <w:p>
      <w:pPr>
        <w:sectPr>
          <w:pgSz w:w="11900" w:h="16838" w:orient="portrait"/>
          <w:cols w:equalWidth="0" w:num="1">
            <w:col w:w="10219"/>
          </w:cols>
          <w:pgMar w:left="240" w:top="1440" w:right="1440"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145</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line="188" w:lineRule="auto"/>
        <w:rPr>
          <w:sz w:val="20"/>
          <w:szCs w:val="20"/>
          <w:color w:val="auto"/>
        </w:rPr>
      </w:pPr>
      <w:r>
        <w:rPr>
          <w:rFonts w:ascii="Arial" w:cs="Arial" w:eastAsia="Arial" w:hAnsi="Arial"/>
          <w:sz w:val="9"/>
          <w:szCs w:val="9"/>
          <w:color w:val="FFFFFF"/>
        </w:rPr>
        <w:t>27. RELATED PARTY DISCLOSURES</w:t>
      </w:r>
    </w:p>
    <w:p>
      <w:pPr>
        <w:spacing w:after="0" w:line="211" w:lineRule="auto"/>
        <w:rPr>
          <w:sz w:val="20"/>
          <w:szCs w:val="20"/>
          <w:color w:val="auto"/>
        </w:rPr>
      </w:pPr>
      <w:r>
        <w:rPr>
          <w:rFonts w:ascii="Arial" w:cs="Arial" w:eastAsia="Arial" w:hAnsi="Arial"/>
          <w:sz w:val="2"/>
          <w:szCs w:val="2"/>
          <w:color w:val="FFFFFF"/>
        </w:rPr>
        <w:t>As</w:t>
      </w:r>
      <w:r>
        <w:rPr>
          <w:rFonts w:ascii="Arial" w:cs="Arial" w:eastAsia="Arial" w:hAnsi="Arial"/>
          <w:sz w:val="4"/>
          <w:szCs w:val="4"/>
          <w:color w:val="FFFFFF"/>
          <w:vertAlign w:val="subscript"/>
        </w:rPr>
        <w:t>related</w:t>
      </w:r>
      <w:r>
        <w:rPr>
          <w:rFonts w:ascii="Arial" w:cs="Arial" w:eastAsia="Arial" w:hAnsi="Arial"/>
          <w:sz w:val="2"/>
          <w:szCs w:val="2"/>
          <w:color w:val="FFFFFF"/>
        </w:rPr>
        <w:t>31companiesDecemberwere2011asandfollows:2010, the outstanding balances between the Group and the</w:t>
      </w:r>
    </w:p>
    <w:p>
      <w:pPr>
        <w:spacing w:after="0"/>
        <w:rPr>
          <w:sz w:val="20"/>
          <w:szCs w:val="20"/>
          <w:color w:val="auto"/>
        </w:rPr>
      </w:pPr>
      <w:r>
        <w:rPr>
          <w:rFonts w:ascii="Arial" w:cs="Arial" w:eastAsia="Arial" w:hAnsi="Arial"/>
          <w:sz w:val="3"/>
          <w:szCs w:val="3"/>
          <w:color w:val="FFFFFF"/>
        </w:rPr>
        <w:t>Group Company</w:t>
      </w:r>
    </w:p>
    <w:p>
      <w:pPr>
        <w:spacing w:after="0" w:line="181" w:lineRule="auto"/>
        <w:rPr>
          <w:sz w:val="20"/>
          <w:szCs w:val="20"/>
          <w:color w:val="auto"/>
        </w:rPr>
      </w:pPr>
      <w:r>
        <w:rPr>
          <w:rFonts w:ascii="Arial" w:cs="Arial" w:eastAsia="Arial" w:hAnsi="Arial"/>
          <w:sz w:val="7"/>
          <w:szCs w:val="7"/>
          <w:color w:val="FFFFFF"/>
        </w:rPr>
        <w:t>As at 31 December</w:t>
      </w:r>
      <w:r>
        <w:rPr>
          <w:rFonts w:ascii="Arial" w:cs="Arial" w:eastAsia="Arial" w:hAnsi="Arial"/>
          <w:sz w:val="10"/>
          <w:szCs w:val="10"/>
          <w:color w:val="FFFFFF"/>
          <w:vertAlign w:val="subscript"/>
        </w:rPr>
        <w:t>Relation</w:t>
      </w:r>
      <w:r>
        <w:rPr>
          <w:rFonts w:ascii="Arial" w:cs="Arial" w:eastAsia="Arial" w:hAnsi="Arial"/>
          <w:sz w:val="7"/>
          <w:szCs w:val="7"/>
          <w:color w:val="FFFFFF"/>
        </w:rPr>
        <w:t>As31 December</w:t>
      </w:r>
    </w:p>
    <w:p>
      <w:pPr>
        <w:spacing w:after="0" w:line="213" w:lineRule="auto"/>
        <w:rPr>
          <w:sz w:val="20"/>
          <w:szCs w:val="20"/>
          <w:color w:val="auto"/>
        </w:rPr>
      </w:pPr>
      <w:r>
        <w:rPr>
          <w:rFonts w:ascii="Arial" w:cs="Arial" w:eastAsia="Arial" w:hAnsi="Arial"/>
          <w:sz w:val="2"/>
          <w:szCs w:val="2"/>
          <w:color w:val="FFFFFF"/>
        </w:rPr>
        <w:t>Na</w:t>
      </w:r>
      <w:r>
        <w:rPr>
          <w:rFonts w:ascii="Arial" w:cs="Arial" w:eastAsia="Arial" w:hAnsi="Arial"/>
          <w:sz w:val="4"/>
          <w:szCs w:val="4"/>
          <w:color w:val="FFFFFF"/>
          <w:vertAlign w:val="subscript"/>
        </w:rPr>
        <w:t>Companies</w:t>
      </w:r>
      <w:r>
        <w:rPr>
          <w:rFonts w:ascii="Arial" w:cs="Arial" w:eastAsia="Arial" w:hAnsi="Arial"/>
          <w:sz w:val="2"/>
          <w:szCs w:val="2"/>
          <w:color w:val="FFFFFF"/>
        </w:rPr>
        <w:t>ofRelatedtheCompaniestoHK2011$HK2010$HK2011$HK2010$</w:t>
      </w:r>
    </w:p>
    <w:p>
      <w:pPr>
        <w:spacing w:after="0" w:line="181" w:lineRule="auto"/>
        <w:rPr>
          <w:sz w:val="20"/>
          <w:szCs w:val="20"/>
          <w:color w:val="auto"/>
        </w:rPr>
      </w:pPr>
      <w:r>
        <w:rPr>
          <w:rFonts w:ascii="Arial" w:cs="Arial" w:eastAsia="Arial" w:hAnsi="Arial"/>
          <w:sz w:val="14"/>
          <w:szCs w:val="14"/>
          <w:color w:val="FFFFFF"/>
        </w:rPr>
        <w:t>(inDuethousands)fromrelated(in thousands)</w:t>
      </w:r>
    </w:p>
    <w:p>
      <w:pPr>
        <w:spacing w:after="0" w:line="188" w:lineRule="auto"/>
        <w:rPr>
          <w:sz w:val="20"/>
          <w:szCs w:val="20"/>
          <w:color w:val="auto"/>
        </w:rPr>
      </w:pPr>
      <w:r>
        <w:rPr>
          <w:rFonts w:ascii="Arial" w:cs="Arial" w:eastAsia="Arial" w:hAnsi="Arial"/>
          <w:sz w:val="9"/>
          <w:szCs w:val="9"/>
          <w:color w:val="FFFFFF"/>
        </w:rPr>
        <w:t>WIMLcompaniesSubsidiary—currentof Wynn</w:t>
      </w:r>
    </w:p>
    <w:p>
      <w:pPr>
        <w:spacing w:after="0" w:line="188" w:lineRule="auto"/>
        <w:rPr>
          <w:sz w:val="20"/>
          <w:szCs w:val="20"/>
          <w:color w:val="auto"/>
        </w:rPr>
      </w:pPr>
      <w:r>
        <w:rPr>
          <w:rFonts w:ascii="Arial" w:cs="Arial" w:eastAsia="Arial" w:hAnsi="Arial"/>
          <w:sz w:val="9"/>
          <w:szCs w:val="9"/>
          <w:color w:val="FFFFFF"/>
        </w:rPr>
        <w:t>WynnResorts,HotelLimitedSales56,754Subsidiary385,529of — —</w:t>
      </w:r>
    </w:p>
    <w:p>
      <w:pPr>
        <w:spacing w:after="0" w:line="188" w:lineRule="auto"/>
        <w:rPr>
          <w:sz w:val="20"/>
          <w:szCs w:val="20"/>
          <w:color w:val="auto"/>
        </w:rPr>
      </w:pPr>
      <w:r>
        <w:rPr>
          <w:rFonts w:ascii="Arial" w:cs="Arial" w:eastAsia="Arial" w:hAnsi="Arial"/>
          <w:sz w:val="9"/>
          <w:szCs w:val="9"/>
          <w:color w:val="FFFFFF"/>
          <w:vertAlign w:val="superscript"/>
        </w:rPr>
        <w:t>Wynn</w:t>
      </w:r>
      <w:r>
        <w:rPr>
          <w:rFonts w:ascii="Arial" w:cs="Arial" w:eastAsia="Arial" w:hAnsi="Arial"/>
          <w:sz w:val="7"/>
          <w:szCs w:val="7"/>
          <w:color w:val="FFFFFF"/>
        </w:rPr>
        <w:t>&amp;Marketing,ManpowerLLCLimitedWynn Resorts,SubsidiaryLimitedof 3 348 — —</w:t>
      </w:r>
    </w:p>
    <w:p>
      <w:pPr>
        <w:spacing w:after="0" w:line="188" w:lineRule="auto"/>
        <w:rPr>
          <w:sz w:val="20"/>
          <w:szCs w:val="20"/>
          <w:color w:val="auto"/>
        </w:rPr>
      </w:pPr>
      <w:r>
        <w:rPr>
          <w:rFonts w:ascii="Arial" w:cs="Arial" w:eastAsia="Arial" w:hAnsi="Arial"/>
          <w:sz w:val="9"/>
          <w:szCs w:val="9"/>
          <w:color w:val="FFFFFF"/>
          <w:vertAlign w:val="subscript"/>
        </w:rPr>
        <w:t>Company</w:t>
      </w:r>
      <w:r>
        <w:rPr>
          <w:rFonts w:ascii="Arial" w:cs="Arial" w:eastAsia="Arial" w:hAnsi="Arial"/>
          <w:sz w:val="7"/>
          <w:szCs w:val="7"/>
          <w:color w:val="FFFFFF"/>
        </w:rPr>
        <w:t>taiLandResorts,DevelopmentLimited292Subsidiary292——of</w:t>
      </w:r>
    </w:p>
    <w:p>
      <w:pPr>
        <w:spacing w:after="0"/>
        <w:rPr>
          <w:sz w:val="20"/>
          <w:szCs w:val="20"/>
          <w:color w:val="auto"/>
        </w:rPr>
      </w:pPr>
      <w:r>
        <w:rPr>
          <w:rFonts w:ascii="Arial" w:cs="Arial" w:eastAsia="Arial" w:hAnsi="Arial"/>
          <w:sz w:val="3"/>
          <w:szCs w:val="3"/>
          <w:color w:val="FFFFFF"/>
        </w:rPr>
        <w:t>Las Vegas, LimitedJet,LLCWynnSubsidiaryResorts,of Limited 137 126 — —</w:t>
      </w:r>
    </w:p>
    <w:p>
      <w:pPr>
        <w:spacing w:after="0" w:line="194" w:lineRule="auto"/>
        <w:rPr>
          <w:sz w:val="20"/>
          <w:szCs w:val="20"/>
          <w:color w:val="auto"/>
        </w:rPr>
      </w:pPr>
      <w:r>
        <w:rPr>
          <w:rFonts w:ascii="Arial" w:cs="Arial" w:eastAsia="Arial" w:hAnsi="Arial"/>
          <w:sz w:val="5"/>
          <w:szCs w:val="5"/>
          <w:color w:val="FFFFFF"/>
        </w:rPr>
        <w:t>Wynn Resorts, Limited 468 — — —</w:t>
      </w:r>
    </w:p>
    <w:p>
      <w:pPr>
        <w:spacing w:after="0" w:line="188" w:lineRule="auto"/>
        <w:rPr>
          <w:sz w:val="20"/>
          <w:szCs w:val="20"/>
          <w:color w:val="auto"/>
        </w:rPr>
      </w:pPr>
      <w:r>
        <w:rPr>
          <w:rFonts w:ascii="Arial" w:cs="Arial" w:eastAsia="Arial" w:hAnsi="Arial"/>
          <w:sz w:val="9"/>
          <w:szCs w:val="9"/>
          <w:color w:val="FFFFFF"/>
        </w:rPr>
        <w:t>57,654 386,295 — —</w:t>
      </w:r>
    </w:p>
    <w:p>
      <w:pPr>
        <w:spacing w:after="0"/>
        <w:rPr>
          <w:sz w:val="20"/>
          <w:szCs w:val="20"/>
          <w:color w:val="auto"/>
        </w:rPr>
      </w:pPr>
      <w:r>
        <w:rPr>
          <w:rFonts w:ascii="Arial" w:cs="Arial" w:eastAsia="Arial" w:hAnsi="Arial"/>
          <w:sz w:val="3"/>
          <w:szCs w:val="3"/>
          <w:color w:val="FFFFFF"/>
        </w:rPr>
        <w:t>companiesDuetorelated— current</w:t>
      </w:r>
    </w:p>
    <w:p>
      <w:pPr>
        <w:ind w:left="360"/>
        <w:spacing w:after="0" w:line="194" w:lineRule="auto"/>
        <w:rPr>
          <w:sz w:val="20"/>
          <w:szCs w:val="20"/>
          <w:color w:val="auto"/>
        </w:rPr>
      </w:pPr>
      <w:r>
        <w:rPr>
          <w:rFonts w:ascii="Arial" w:cs="Arial" w:eastAsia="Arial" w:hAnsi="Arial"/>
          <w:sz w:val="5"/>
          <w:szCs w:val="5"/>
          <w:color w:val="FFFFFF"/>
        </w:rPr>
        <w:t>Las Vegas, LLC Subsidiary of</w:t>
      </w:r>
    </w:p>
    <w:p>
      <w:pPr>
        <w:spacing w:after="0" w:line="211" w:lineRule="auto"/>
        <w:rPr>
          <w:sz w:val="20"/>
          <w:szCs w:val="20"/>
          <w:color w:val="auto"/>
        </w:rPr>
      </w:pPr>
      <w:r>
        <w:rPr>
          <w:rFonts w:ascii="Arial" w:cs="Arial" w:eastAsia="Arial" w:hAnsi="Arial"/>
          <w:sz w:val="4"/>
          <w:szCs w:val="4"/>
          <w:color w:val="FFFFFF"/>
          <w:vertAlign w:val="superscript"/>
        </w:rPr>
        <w:t>Wynn</w:t>
      </w:r>
    </w:p>
    <w:p>
      <w:pPr>
        <w:ind w:left="360"/>
        <w:spacing w:after="0" w:line="188" w:lineRule="auto"/>
        <w:rPr>
          <w:sz w:val="20"/>
          <w:szCs w:val="20"/>
          <w:color w:val="auto"/>
        </w:rPr>
      </w:pPr>
      <w:r>
        <w:rPr>
          <w:rFonts w:ascii="Arial" w:cs="Arial" w:eastAsia="Arial" w:hAnsi="Arial"/>
          <w:sz w:val="9"/>
          <w:szCs w:val="9"/>
          <w:color w:val="FFFFFF"/>
        </w:rPr>
        <w:t>DesignResorts,SubsidiaryLimited17,236of 54,752 — 836</w:t>
      </w:r>
    </w:p>
    <w:p>
      <w:pPr>
        <w:spacing w:after="0" w:line="188" w:lineRule="auto"/>
        <w:rPr>
          <w:sz w:val="20"/>
          <w:szCs w:val="20"/>
          <w:color w:val="auto"/>
        </w:rPr>
      </w:pPr>
      <w:r>
        <w:rPr>
          <w:rFonts w:ascii="Arial" w:cs="Arial" w:eastAsia="Arial" w:hAnsi="Arial"/>
          <w:sz w:val="9"/>
          <w:szCs w:val="9"/>
          <w:color w:val="FFFFFF"/>
        </w:rPr>
        <w:t>Wynn&amp;DevelopmentResorts,LimitedWynnResorts,UltimateLimitedparent 6,817 3,149 — —</w:t>
      </w:r>
    </w:p>
    <w:p>
      <w:pPr>
        <w:spacing w:after="0" w:line="211" w:lineRule="auto"/>
        <w:rPr>
          <w:sz w:val="20"/>
          <w:szCs w:val="20"/>
          <w:color w:val="auto"/>
        </w:rPr>
      </w:pPr>
      <w:r>
        <w:rPr>
          <w:rFonts w:ascii="Arial" w:cs="Arial" w:eastAsia="Arial" w:hAnsi="Arial"/>
          <w:sz w:val="4"/>
          <w:szCs w:val="4"/>
          <w:color w:val="FFFFFF"/>
          <w:vertAlign w:val="superscript"/>
        </w:rPr>
        <w:t>W</w:t>
      </w:r>
      <w:r>
        <w:rPr>
          <w:rFonts w:ascii="Arial" w:cs="Arial" w:eastAsia="Arial" w:hAnsi="Arial"/>
          <w:sz w:val="2"/>
          <w:szCs w:val="2"/>
          <w:color w:val="FFFFFF"/>
        </w:rPr>
        <w:t>companyorldwide133,080Wynn Subsidiary164,35316,179of 122</w:t>
      </w:r>
    </w:p>
    <w:p>
      <w:pPr>
        <w:ind w:left="120"/>
        <w:spacing w:after="0" w:line="188" w:lineRule="auto"/>
        <w:rPr>
          <w:sz w:val="20"/>
          <w:szCs w:val="20"/>
          <w:color w:val="auto"/>
        </w:rPr>
      </w:pPr>
      <w:r>
        <w:rPr>
          <w:rFonts w:ascii="Arial" w:cs="Arial" w:eastAsia="Arial" w:hAnsi="Arial"/>
          <w:sz w:val="9"/>
          <w:szCs w:val="9"/>
          <w:color w:val="FFFFFF"/>
        </w:rPr>
        <w:t>ynn Resorts, Limited 1,055 10,983 —</w:t>
      </w:r>
    </w:p>
    <w:p>
      <w:pPr>
        <w:spacing w:after="0" w:line="211" w:lineRule="auto"/>
        <w:rPr>
          <w:sz w:val="20"/>
          <w:szCs w:val="20"/>
          <w:color w:val="auto"/>
        </w:rPr>
      </w:pPr>
      <w:r>
        <w:rPr>
          <w:rFonts w:ascii="Arial" w:cs="Arial" w:eastAsia="Arial" w:hAnsi="Arial"/>
          <w:sz w:val="4"/>
          <w:szCs w:val="4"/>
          <w:color w:val="FFFFFF"/>
          <w:vertAlign w:val="subscript"/>
        </w:rPr>
        <w:t>Wynn</w:t>
      </w:r>
      <w:r>
        <w:rPr>
          <w:rFonts w:ascii="Arial" w:cs="Arial" w:eastAsia="Arial" w:hAnsi="Arial"/>
          <w:sz w:val="2"/>
          <w:szCs w:val="2"/>
          <w:color w:val="FFFFFF"/>
        </w:rPr>
        <w:t>LasVegas</w:t>
      </w:r>
      <w:r>
        <w:rPr>
          <w:rFonts w:ascii="Arial" w:cs="Arial" w:eastAsia="Arial" w:hAnsi="Arial"/>
          <w:sz w:val="4"/>
          <w:szCs w:val="4"/>
          <w:color w:val="FFFFFF"/>
          <w:vertAlign w:val="subscript"/>
        </w:rPr>
        <w:t>Resorts</w:t>
      </w:r>
      <w:r>
        <w:rPr>
          <w:rFonts w:ascii="Arial" w:cs="Arial" w:eastAsia="Arial" w:hAnsi="Arial"/>
          <w:sz w:val="2"/>
          <w:szCs w:val="2"/>
          <w:color w:val="FFFFFF"/>
        </w:rPr>
        <w:t>Jet,, LLCLimitedSubsidiary—2,685of— —</w:t>
      </w:r>
    </w:p>
    <w:p>
      <w:pPr>
        <w:ind w:left="800"/>
        <w:spacing w:after="0" w:line="188" w:lineRule="auto"/>
        <w:rPr>
          <w:sz w:val="20"/>
          <w:szCs w:val="20"/>
          <w:color w:val="auto"/>
        </w:rPr>
      </w:pPr>
      <w:r>
        <w:rPr>
          <w:rFonts w:ascii="Arial" w:cs="Arial" w:eastAsia="Arial" w:hAnsi="Arial"/>
          <w:sz w:val="9"/>
          <w:szCs w:val="9"/>
          <w:color w:val="FFFFFF"/>
        </w:rPr>
        <w:t>Subsidiary of</w:t>
      </w:r>
    </w:p>
    <w:p>
      <w:pPr>
        <w:spacing w:after="0" w:line="188" w:lineRule="auto"/>
        <w:rPr>
          <w:sz w:val="20"/>
          <w:szCs w:val="20"/>
          <w:color w:val="auto"/>
        </w:rPr>
      </w:pPr>
      <w:r>
        <w:rPr>
          <w:rFonts w:ascii="Arial" w:cs="Arial" w:eastAsia="Arial" w:hAnsi="Arial"/>
          <w:sz w:val="9"/>
          <w:szCs w:val="9"/>
          <w:color w:val="FFFFFF"/>
        </w:rPr>
        <w:t>Wynn(Macau),ResortsS.A. SubsidiaryWynnResorts,of Limited — — 1,822 1,149</w:t>
      </w:r>
    </w:p>
    <w:p>
      <w:pPr>
        <w:spacing w:after="0" w:line="188" w:lineRule="auto"/>
        <w:rPr>
          <w:sz w:val="20"/>
          <w:szCs w:val="20"/>
          <w:color w:val="auto"/>
        </w:rPr>
      </w:pPr>
      <w:r>
        <w:rPr>
          <w:rFonts w:ascii="Arial" w:cs="Arial" w:eastAsia="Arial" w:hAnsi="Arial"/>
          <w:sz w:val="9"/>
          <w:szCs w:val="9"/>
          <w:color w:val="FFFFFF"/>
        </w:rPr>
        <w:t>WynnInternational,ResortsLtd.SubsidiaryWynnResorts,of Limited — — 556 —</w:t>
      </w:r>
    </w:p>
    <w:p>
      <w:pPr>
        <w:spacing w:after="0"/>
        <w:rPr>
          <w:sz w:val="20"/>
          <w:szCs w:val="20"/>
          <w:color w:val="auto"/>
        </w:rPr>
      </w:pPr>
      <w:r>
        <w:rPr>
          <w:rFonts w:ascii="Arial" w:cs="Arial" w:eastAsia="Arial" w:hAnsi="Arial"/>
          <w:sz w:val="12"/>
          <w:szCs w:val="12"/>
          <w:color w:val="FFFFFF"/>
        </w:rPr>
        <w:t>158,188(Macau),235,922Limited19,200Wynn Resorts,2,107 Limited — — 643 —</w:t>
      </w:r>
    </w:p>
    <w:p>
      <w:pPr>
        <w:sectPr>
          <w:pgSz w:w="11900" w:h="16838" w:orient="portrait"/>
          <w:cols w:equalWidth="0" w:num="1">
            <w:col w:w="10219"/>
          </w:cols>
          <w:pgMar w:left="240" w:top="1440" w:right="1440"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Financial146WynnStatementsMacau,Limited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2011</w:t>
      </w:r>
    </w:p>
    <w:p>
      <w:pPr>
        <w:spacing w:after="0" w:line="188" w:lineRule="auto"/>
        <w:rPr>
          <w:sz w:val="20"/>
          <w:szCs w:val="20"/>
          <w:color w:val="auto"/>
        </w:rPr>
      </w:pPr>
      <w:r>
        <w:rPr>
          <w:rFonts w:ascii="Arial" w:cs="Arial" w:eastAsia="Arial" w:hAnsi="Arial"/>
          <w:sz w:val="9"/>
          <w:szCs w:val="9"/>
          <w:color w:val="FFFFFF"/>
        </w:rPr>
        <w:t>27. RELATED PARTY DISCLOSURES (continued)</w:t>
      </w:r>
    </w:p>
    <w:p>
      <w:pPr>
        <w:spacing w:after="0" w:line="187" w:lineRule="auto"/>
        <w:rPr>
          <w:sz w:val="20"/>
          <w:szCs w:val="20"/>
          <w:color w:val="auto"/>
        </w:rPr>
      </w:pPr>
      <w:r>
        <w:rPr>
          <w:rFonts w:ascii="Arial" w:cs="Arial" w:eastAsia="Arial" w:hAnsi="Arial"/>
          <w:sz w:val="9"/>
          <w:szCs w:val="9"/>
          <w:color w:val="FFFFFF"/>
        </w:rPr>
        <w:t>demand.Theamounts disclosed in the above table are unsecured, interest-free and repayable on</w:t>
      </w:r>
    </w:p>
    <w:p>
      <w:pPr>
        <w:spacing w:after="0" w:line="188" w:lineRule="auto"/>
        <w:rPr>
          <w:sz w:val="20"/>
          <w:szCs w:val="20"/>
          <w:color w:val="auto"/>
        </w:rPr>
      </w:pPr>
      <w:r>
        <w:rPr>
          <w:rFonts w:ascii="Arial" w:cs="Arial" w:eastAsia="Arial" w:hAnsi="Arial"/>
          <w:sz w:val="9"/>
          <w:szCs w:val="9"/>
          <w:color w:val="FFFFFF"/>
        </w:rPr>
        <w:t>GroupTheGroup had the following material transactions with related companies during the year:</w:t>
      </w:r>
    </w:p>
    <w:p>
      <w:pPr>
        <w:spacing w:after="0"/>
        <w:rPr>
          <w:sz w:val="20"/>
          <w:szCs w:val="20"/>
          <w:color w:val="auto"/>
        </w:rPr>
      </w:pPr>
      <w:r>
        <w:rPr>
          <w:rFonts w:ascii="Arial" w:cs="Arial" w:eastAsia="Arial" w:hAnsi="Arial"/>
          <w:sz w:val="3"/>
          <w:szCs w:val="3"/>
          <w:color w:val="FFFFFF"/>
        </w:rPr>
        <w:t>31ForDecembertheyearended</w:t>
      </w:r>
    </w:p>
    <w:p>
      <w:pPr>
        <w:spacing w:after="0" w:line="181" w:lineRule="auto"/>
        <w:rPr>
          <w:sz w:val="20"/>
          <w:szCs w:val="20"/>
          <w:color w:val="auto"/>
        </w:rPr>
      </w:pPr>
      <w:r>
        <w:rPr>
          <w:rFonts w:ascii="Arial" w:cs="Arial" w:eastAsia="Arial" w:hAnsi="Arial"/>
          <w:sz w:val="10"/>
          <w:szCs w:val="10"/>
          <w:color w:val="FFFFFF"/>
        </w:rPr>
        <w:t>Name of Relation to Primary Nature 2011 2010</w:t>
      </w:r>
    </w:p>
    <w:p>
      <w:pPr>
        <w:spacing w:after="0" w:line="188" w:lineRule="auto"/>
        <w:rPr>
          <w:sz w:val="20"/>
          <w:szCs w:val="20"/>
          <w:color w:val="auto"/>
        </w:rPr>
      </w:pPr>
      <w:r>
        <w:rPr>
          <w:rFonts w:ascii="Arial" w:cs="Arial" w:eastAsia="Arial" w:hAnsi="Arial"/>
          <w:sz w:val="9"/>
          <w:szCs w:val="9"/>
          <w:color w:val="FFFFFF"/>
        </w:rPr>
        <w:t>(inRelatedthousands)Companies the Companies of Transactions HK$ HK$</w:t>
      </w:r>
    </w:p>
    <w:p>
      <w:pPr>
        <w:spacing w:after="0" w:line="188" w:lineRule="auto"/>
        <w:rPr>
          <w:sz w:val="20"/>
          <w:szCs w:val="20"/>
          <w:color w:val="auto"/>
        </w:rPr>
      </w:pPr>
      <w:r>
        <w:rPr>
          <w:rFonts w:ascii="Arial" w:cs="Arial" w:eastAsia="Arial" w:hAnsi="Arial"/>
          <w:sz w:val="9"/>
          <w:szCs w:val="9"/>
          <w:color w:val="FFFFFF"/>
        </w:rPr>
        <w:t>companyWynnResorts,1,186,900Limited892,571Ultimate parent Royalty fees (i)</w:t>
      </w:r>
    </w:p>
    <w:p>
      <w:pPr>
        <w:spacing w:after="0"/>
        <w:rPr>
          <w:sz w:val="20"/>
          <w:szCs w:val="20"/>
          <w:color w:val="auto"/>
        </w:rPr>
      </w:pPr>
      <w:r>
        <w:rPr>
          <w:rFonts w:ascii="Arial" w:cs="Arial" w:eastAsia="Arial" w:hAnsi="Arial"/>
          <w:sz w:val="3"/>
          <w:szCs w:val="3"/>
          <w:color w:val="FFFFFF"/>
        </w:rPr>
        <w:t>companyWynnResorts,supportLimited Ultimate parent Corporate</w:t>
      </w:r>
    </w:p>
    <w:p>
      <w:pPr>
        <w:spacing w:after="0" w:line="194" w:lineRule="auto"/>
        <w:rPr>
          <w:sz w:val="20"/>
          <w:szCs w:val="20"/>
          <w:color w:val="auto"/>
        </w:rPr>
      </w:pPr>
      <w:r>
        <w:rPr>
          <w:rFonts w:ascii="Arial" w:cs="Arial" w:eastAsia="Arial" w:hAnsi="Arial"/>
          <w:sz w:val="5"/>
          <w:szCs w:val="5"/>
          <w:color w:val="FFFFFF"/>
        </w:rPr>
        <w:t>services (ii) 165,355 157,866</w:t>
      </w:r>
    </w:p>
    <w:p>
      <w:pPr>
        <w:spacing w:after="0" w:line="211" w:lineRule="auto"/>
        <w:rPr>
          <w:sz w:val="20"/>
          <w:szCs w:val="20"/>
          <w:color w:val="auto"/>
        </w:rPr>
      </w:pPr>
      <w:r>
        <w:rPr>
          <w:rFonts w:ascii="Arial" w:cs="Arial" w:eastAsia="Arial" w:hAnsi="Arial"/>
          <w:sz w:val="4"/>
          <w:szCs w:val="4"/>
          <w:color w:val="FFFFFF"/>
          <w:vertAlign w:val="superscript"/>
        </w:rPr>
        <w:t>W</w:t>
      </w:r>
    </w:p>
    <w:p>
      <w:pPr>
        <w:ind w:left="120"/>
        <w:spacing w:after="0"/>
        <w:rPr>
          <w:sz w:val="20"/>
          <w:szCs w:val="20"/>
          <w:color w:val="auto"/>
        </w:rPr>
      </w:pPr>
      <w:r>
        <w:rPr>
          <w:rFonts w:ascii="Arial" w:cs="Arial" w:eastAsia="Arial" w:hAnsi="Arial"/>
          <w:sz w:val="3"/>
          <w:szCs w:val="3"/>
          <w:color w:val="FFFFFF"/>
        </w:rPr>
        <w:t>ynnIMLResorts,SubsidiarymarketingofInternational</w:t>
      </w:r>
    </w:p>
    <w:p>
      <w:pPr>
        <w:spacing w:after="0" w:line="181" w:lineRule="auto"/>
        <w:rPr>
          <w:sz w:val="20"/>
          <w:szCs w:val="20"/>
          <w:color w:val="auto"/>
        </w:rPr>
      </w:pPr>
      <w:r>
        <w:rPr>
          <w:rFonts w:ascii="Arial" w:cs="Arial" w:eastAsia="Arial" w:hAnsi="Arial"/>
          <w:sz w:val="10"/>
          <w:szCs w:val="10"/>
          <w:color w:val="FFFFFF"/>
        </w:rPr>
        <w:t>Limited expenses (iii) 106,202 82,298</w:t>
      </w:r>
    </w:p>
    <w:p>
      <w:pPr>
        <w:spacing w:after="0"/>
        <w:rPr>
          <w:sz w:val="20"/>
          <w:szCs w:val="20"/>
          <w:color w:val="auto"/>
        </w:rPr>
      </w:pPr>
      <w:r>
        <w:rPr>
          <w:rFonts w:ascii="Arial" w:cs="Arial" w:eastAsia="Arial" w:hAnsi="Arial"/>
          <w:sz w:val="3"/>
          <w:szCs w:val="3"/>
          <w:color w:val="FFFFFF"/>
        </w:rPr>
        <w:t>companyWynnResorts,paymentLimited Ultimate parent Share-based</w:t>
      </w:r>
    </w:p>
    <w:p>
      <w:pPr>
        <w:spacing w:after="0" w:line="194" w:lineRule="auto"/>
        <w:rPr>
          <w:sz w:val="20"/>
          <w:szCs w:val="20"/>
          <w:color w:val="auto"/>
        </w:rPr>
      </w:pPr>
      <w:r>
        <w:rPr>
          <w:rFonts w:ascii="Arial" w:cs="Arial" w:eastAsia="Arial" w:hAnsi="Arial"/>
          <w:sz w:val="5"/>
          <w:szCs w:val="5"/>
          <w:color w:val="FFFFFF"/>
        </w:rPr>
        <w:t>expenses</w:t>
      </w:r>
    </w:p>
    <w:p>
      <w:pPr>
        <w:spacing w:after="0"/>
        <w:rPr>
          <w:sz w:val="20"/>
          <w:szCs w:val="20"/>
          <w:color w:val="auto"/>
        </w:rPr>
      </w:pPr>
      <w:r>
        <w:rPr>
          <w:rFonts w:ascii="Arial" w:cs="Arial" w:eastAsia="Arial" w:hAnsi="Arial"/>
          <w:sz w:val="3"/>
          <w:szCs w:val="3"/>
          <w:color w:val="FFFFFF"/>
        </w:rPr>
        <w:t>(note 3.1) 47,098 45,017</w:t>
      </w:r>
    </w:p>
    <w:p>
      <w:pPr>
        <w:spacing w:after="0" w:line="194" w:lineRule="auto"/>
        <w:rPr>
          <w:sz w:val="20"/>
          <w:szCs w:val="20"/>
          <w:color w:val="auto"/>
        </w:rPr>
      </w:pPr>
      <w:r>
        <w:rPr>
          <w:rFonts w:ascii="Arial" w:cs="Arial" w:eastAsia="Arial" w:hAnsi="Arial"/>
          <w:sz w:val="5"/>
          <w:szCs w:val="5"/>
          <w:color w:val="FFFFFF"/>
          <w:vertAlign w:val="superscript"/>
        </w:rPr>
        <w:t>W</w:t>
      </w:r>
    </w:p>
    <w:p>
      <w:pPr>
        <w:ind w:left="120"/>
        <w:spacing w:after="0"/>
        <w:rPr>
          <w:sz w:val="20"/>
          <w:szCs w:val="20"/>
          <w:color w:val="auto"/>
        </w:rPr>
      </w:pPr>
      <w:r>
        <w:rPr>
          <w:rFonts w:ascii="Arial" w:cs="Arial" w:eastAsia="Arial" w:hAnsi="Arial"/>
          <w:sz w:val="3"/>
          <w:szCs w:val="3"/>
          <w:color w:val="FFFFFF"/>
        </w:rPr>
        <w:t>orldwideynnResorts,WynnsecondmentSubsidiary of Staff</w:t>
      </w:r>
    </w:p>
    <w:p>
      <w:pPr>
        <w:spacing w:after="0" w:line="194" w:lineRule="auto"/>
        <w:rPr>
          <w:sz w:val="20"/>
          <w:szCs w:val="20"/>
          <w:color w:val="auto"/>
        </w:rPr>
      </w:pPr>
      <w:r>
        <w:rPr>
          <w:rFonts w:ascii="Arial" w:cs="Arial" w:eastAsia="Arial" w:hAnsi="Arial"/>
          <w:sz w:val="5"/>
          <w:szCs w:val="5"/>
          <w:color w:val="FFFFFF"/>
        </w:rPr>
        <w:t>Limited payroll</w:t>
      </w:r>
    </w:p>
    <w:p>
      <w:pPr>
        <w:spacing w:after="0"/>
        <w:rPr>
          <w:sz w:val="20"/>
          <w:szCs w:val="20"/>
          <w:color w:val="auto"/>
        </w:rPr>
      </w:pPr>
      <w:r>
        <w:rPr>
          <w:rFonts w:ascii="Arial" w:cs="Arial" w:eastAsia="Arial" w:hAnsi="Arial"/>
          <w:sz w:val="3"/>
          <w:szCs w:val="3"/>
          <w:color w:val="FFFFFF"/>
        </w:rPr>
        <w:t>charges (iv) 41,437 63,709</w:t>
      </w:r>
    </w:p>
    <w:p>
      <w:pPr>
        <w:spacing w:after="0" w:line="181" w:lineRule="auto"/>
        <w:rPr>
          <w:sz w:val="20"/>
          <w:szCs w:val="20"/>
          <w:color w:val="auto"/>
        </w:rPr>
      </w:pPr>
      <w:r>
        <w:rPr>
          <w:rFonts w:ascii="Arial" w:cs="Arial" w:eastAsia="Arial" w:hAnsi="Arial"/>
          <w:sz w:val="10"/>
          <w:szCs w:val="10"/>
          <w:color w:val="FFFFFF"/>
        </w:rPr>
        <w:t>Wynn Design Subsidiary of Design/</w:t>
      </w:r>
    </w:p>
    <w:p>
      <w:pPr>
        <w:spacing w:after="0" w:line="188" w:lineRule="auto"/>
        <w:rPr>
          <w:sz w:val="20"/>
          <w:szCs w:val="20"/>
          <w:color w:val="auto"/>
        </w:rPr>
      </w:pPr>
      <w:r>
        <w:rPr>
          <w:rFonts w:ascii="Arial" w:cs="Arial" w:eastAsia="Arial" w:hAnsi="Arial"/>
          <w:sz w:val="9"/>
          <w:szCs w:val="9"/>
          <w:color w:val="FFFFFF"/>
          <w:vertAlign w:val="superscript"/>
        </w:rPr>
        <w:t>Las</w:t>
      </w:r>
      <w:r>
        <w:rPr>
          <w:rFonts w:ascii="Arial" w:cs="Arial" w:eastAsia="Arial" w:hAnsi="Arial"/>
          <w:sz w:val="7"/>
          <w:szCs w:val="7"/>
          <w:color w:val="FFFFFF"/>
        </w:rPr>
        <w:t>&amp;imitedDevelopmentpayroll 31,579Wynn Resorts,15,085 development</w:t>
      </w:r>
    </w:p>
    <w:p>
      <w:pPr>
        <w:spacing w:after="0"/>
        <w:rPr>
          <w:sz w:val="20"/>
          <w:szCs w:val="20"/>
          <w:color w:val="auto"/>
        </w:rPr>
      </w:pPr>
      <w:r>
        <w:rPr>
          <w:rFonts w:ascii="Arial" w:cs="Arial" w:eastAsia="Arial" w:hAnsi="Arial"/>
          <w:sz w:val="3"/>
          <w:szCs w:val="3"/>
          <w:color w:val="FFFFFF"/>
        </w:rPr>
        <w:t>WynnVegasResorts,Jet, LLCusageSubsidiary of Airplane</w:t>
      </w:r>
    </w:p>
    <w:p>
      <w:pPr>
        <w:spacing w:after="0" w:line="194" w:lineRule="auto"/>
        <w:rPr>
          <w:sz w:val="20"/>
          <w:szCs w:val="20"/>
          <w:color w:val="auto"/>
        </w:rPr>
      </w:pPr>
      <w:r>
        <w:rPr>
          <w:rFonts w:ascii="Arial" w:cs="Arial" w:eastAsia="Arial" w:hAnsi="Arial"/>
          <w:sz w:val="5"/>
          <w:szCs w:val="5"/>
          <w:color w:val="FFFFFF"/>
        </w:rPr>
        <w:t>Limited charges (ii) 16,204 10,072</w:t>
      </w:r>
    </w:p>
    <w:p>
      <w:pPr>
        <w:spacing w:after="0"/>
        <w:rPr>
          <w:sz w:val="20"/>
          <w:szCs w:val="20"/>
          <w:color w:val="auto"/>
        </w:rPr>
      </w:pPr>
      <w:r>
        <w:rPr>
          <w:rFonts w:ascii="Arial" w:cs="Arial" w:eastAsia="Arial" w:hAnsi="Arial"/>
          <w:sz w:val="14"/>
          <w:szCs w:val="14"/>
          <w:color w:val="FFFFFF"/>
        </w:rPr>
        <w:t>All of the above transactions are noted as continuing related party transactions.</w:t>
      </w:r>
    </w:p>
    <w:p>
      <w:pPr>
        <w:sectPr>
          <w:pgSz w:w="11900" w:h="16838" w:orient="portrait"/>
          <w:cols w:equalWidth="0" w:num="1">
            <w:col w:w="10219"/>
          </w:cols>
          <w:pgMar w:left="240" w:top="1440" w:right="1440"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2011 147</w:t>
      </w:r>
    </w:p>
    <w:p>
      <w:pPr>
        <w:spacing w:after="0" w:line="187" w:lineRule="auto"/>
        <w:rPr>
          <w:sz w:val="20"/>
          <w:szCs w:val="20"/>
          <w:color w:val="auto"/>
        </w:rPr>
      </w:pPr>
      <w:r>
        <w:rPr>
          <w:rFonts w:ascii="Arial" w:cs="Arial" w:eastAsia="Arial" w:hAnsi="Arial"/>
          <w:sz w:val="9"/>
          <w:szCs w:val="9"/>
          <w:color w:val="FFFFFF"/>
        </w:rPr>
        <w:t>NotesFinancialtoFinancialStatementsStatements</w:t>
      </w:r>
    </w:p>
    <w:p>
      <w:pPr>
        <w:spacing w:after="0"/>
        <w:rPr>
          <w:sz w:val="20"/>
          <w:szCs w:val="20"/>
          <w:color w:val="auto"/>
        </w:rPr>
      </w:pPr>
      <w:r>
        <w:rPr>
          <w:rFonts w:ascii="Arial" w:cs="Arial" w:eastAsia="Arial" w:hAnsi="Arial"/>
          <w:sz w:val="3"/>
          <w:szCs w:val="3"/>
          <w:color w:val="FFFFFF"/>
        </w:rPr>
        <w:t>For the year ended 31 December 2011</w:t>
      </w:r>
    </w:p>
    <w:p>
      <w:pPr>
        <w:spacing w:after="0" w:line="181" w:lineRule="auto"/>
        <w:rPr>
          <w:sz w:val="20"/>
          <w:szCs w:val="20"/>
          <w:color w:val="auto"/>
        </w:rPr>
      </w:pPr>
      <w:r>
        <w:rPr>
          <w:rFonts w:ascii="Arial" w:cs="Arial" w:eastAsia="Arial" w:hAnsi="Arial"/>
          <w:sz w:val="10"/>
          <w:szCs w:val="10"/>
          <w:color w:val="FFFFFF"/>
        </w:rPr>
        <w:t>Notes:27.RELATED PARTY DISCLOSURES (continued)</w:t>
      </w:r>
    </w:p>
    <w:p>
      <w:pPr>
        <w:spacing w:after="0" w:line="181" w:lineRule="auto"/>
        <w:rPr>
          <w:sz w:val="20"/>
          <w:szCs w:val="20"/>
          <w:color w:val="auto"/>
        </w:rPr>
      </w:pPr>
      <w:r>
        <w:rPr>
          <w:rFonts w:ascii="Arial" w:cs="Arial" w:eastAsia="Arial" w:hAnsi="Arial"/>
          <w:sz w:val="7"/>
          <w:szCs w:val="7"/>
          <w:color w:val="FFFFFF"/>
        </w:rPr>
        <w:t>Prior(i)RoyaltytoListing,fees WRM had an arrangement with Wynn Resorts, Limited and Wynn Resorts Holdings, LLC (together, the “Licensors”) under which the Licensors licensed to WRM certain trademarks and service marks, other marks and works,intellectualdomin names, and hotel casino design, development and management know-how (collectively, the “Intellectual Property Rights”). On 19 September 2009, each of the Company</w:t>
      </w:r>
    </w:p>
    <w:p>
      <w:pPr>
        <w:spacing w:after="0" w:line="181" w:lineRule="auto"/>
        <w:rPr>
          <w:sz w:val="20"/>
          <w:szCs w:val="20"/>
          <w:color w:val="auto"/>
        </w:rPr>
      </w:pPr>
      <w:r>
        <w:rPr>
          <w:rFonts w:ascii="Arial" w:cs="Arial" w:eastAsia="Arial" w:hAnsi="Arial"/>
          <w:sz w:val="7"/>
          <w:szCs w:val="7"/>
          <w:color w:val="FFFFFF"/>
        </w:rPr>
        <w:t>licensedandWRMto enteredeachof intotheCompany and WRMpropertythelicenserighttoagreementusetheIntellectualwiththeLicensorsProperty Rights(together,usingthethe“IPsameLicensepricingArrangement”),basisasdescribedwhichbelow.hasperpetualTheIPLicenseterm.PursuantArrangementtotheisIPalsoLicensesubjectArrangement,torestrictionstheinLicensorsthe agreements between Wynn Resorts Holdings, LLC or Wynn Resorts, Limited and any third parties, including Mr. Stephen A. Wynn, in respect of a third party’provisionsintellectual property, including any applicable</w:t>
      </w:r>
    </w:p>
    <w:p>
      <w:pPr>
        <w:ind w:right="80"/>
        <w:spacing w:after="0"/>
        <w:rPr>
          <w:sz w:val="20"/>
          <w:szCs w:val="20"/>
          <w:color w:val="auto"/>
        </w:rPr>
      </w:pPr>
      <w:r>
        <w:rPr>
          <w:rFonts w:ascii="Arial" w:cs="Arial" w:eastAsia="Arial" w:hAnsi="Arial"/>
          <w:sz w:val="3"/>
          <w:szCs w:val="3"/>
          <w:color w:val="FFFFFF"/>
        </w:rPr>
        <w:t>Thelimitationsintellectualcenseonfeesthepayablescopeofto theWynnlicense,ResortslimitationsHoldings,onLLCsub-licensing,equalthe greaterterminationof(1)(including3%ofthechangeIPgrossofmonthlycontrol) revenues,undercertainand circumstances(2)US$1.5millionandother(approximatelystandard HK$11.6. million) per month. For the purposes of each property license agreement, the term “IP gross revenues” refers to the licensee’ total operating as adjusted by adding back (1) commissions and discounts which were netted gainst</w:t>
      </w:r>
    </w:p>
    <w:p>
      <w:pPr>
        <w:spacing w:after="0" w:line="181" w:lineRule="auto"/>
        <w:rPr>
          <w:sz w:val="20"/>
          <w:szCs w:val="20"/>
          <w:color w:val="auto"/>
        </w:rPr>
      </w:pPr>
      <w:r>
        <w:rPr>
          <w:rFonts w:ascii="Arial" w:cs="Arial" w:eastAsia="Arial" w:hAnsi="Arial"/>
          <w:sz w:val="10"/>
          <w:szCs w:val="10"/>
          <w:color w:val="FFFFFF"/>
          <w:vertAlign w:val="subscript"/>
        </w:rPr>
        <w:t>licensee’</w:t>
      </w:r>
      <w:r>
        <w:rPr>
          <w:rFonts w:ascii="Arial" w:cs="Arial" w:eastAsia="Arial" w:hAnsi="Arial"/>
          <w:sz w:val="7"/>
          <w:szCs w:val="7"/>
          <w:color w:val="FFFFFF"/>
        </w:rPr>
        <w:t>oprating revenues, and (2) promotional allowances, and the term “IP gross monthly revenues” refers to the licensee’revenuesIPgross revenues accrued at the end of each calendar month. The calculation of each</w:t>
      </w:r>
    </w:p>
    <w:p>
      <w:pPr>
        <w:ind w:right="100" w:firstLine="472"/>
        <w:spacing w:after="0"/>
        <w:rPr>
          <w:sz w:val="20"/>
          <w:szCs w:val="20"/>
          <w:color w:val="auto"/>
        </w:rPr>
      </w:pPr>
      <w:r>
        <w:rPr>
          <w:rFonts w:ascii="Arial" w:cs="Arial" w:eastAsia="Arial" w:hAnsi="Arial"/>
          <w:sz w:val="7"/>
          <w:szCs w:val="7"/>
          <w:color w:val="FFFFFF"/>
        </w:rPr>
        <w:t>s operating revenues, promotional allowances, and commissions and discounts in connection with the IP gross revenues stated in the intellectual property license agreements shall always be consistent with the Group’s accounting policies and prepared in accordance with IFRSs as in effect from 31 December 2008. If any other subsidiary of the Company (other than WRM) acquires the Intellectual Property Rights under the intellectual property license agreement between the Company and the Licensors, “IP gross revenues” and “IP monthly gross revenues” will be interpreted to include the gross revenues of such relevant subsidiary.</w:t>
      </w:r>
    </w:p>
    <w:p>
      <w:pPr>
        <w:spacing w:after="0" w:line="1" w:lineRule="exact"/>
        <w:rPr>
          <w:sz w:val="20"/>
          <w:szCs w:val="20"/>
          <w:color w:val="auto"/>
        </w:rPr>
      </w:pPr>
    </w:p>
    <w:p>
      <w:pPr>
        <w:ind w:right="360"/>
        <w:spacing w:after="0" w:line="190" w:lineRule="auto"/>
        <w:rPr>
          <w:sz w:val="20"/>
          <w:szCs w:val="20"/>
          <w:color w:val="auto"/>
        </w:rPr>
      </w:pPr>
      <w:r>
        <w:rPr>
          <w:rFonts w:ascii="Arial" w:cs="Arial" w:eastAsia="Arial" w:hAnsi="Arial"/>
          <w:sz w:val="11"/>
          <w:szCs w:val="11"/>
          <w:color w:val="FFFFFF"/>
        </w:rPr>
        <w:t>The following table presents a reconciliation of total operating revenues (as reported in the these fi nancial statements) to WRM’s IP gross revenues as used for the purposes of the IP License Arrangement between WRM and the Licensors.</w:t>
      </w:r>
    </w:p>
    <w:p>
      <w:pPr>
        <w:sectPr>
          <w:pgSz w:w="11900" w:h="16838" w:orient="portrait"/>
          <w:cols w:equalWidth="0" w:num="1">
            <w:col w:w="11380"/>
          </w:cols>
          <w:pgMar w:left="240" w:top="1440" w:right="27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color w:val="FFFFFF"/>
              </w:rPr>
              <w:t>148 Wynn Macau, Limited</w:t>
            </w: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Financial Statements</w:t>
            </w: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For the year ended 31 December 2011</w:t>
            </w: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27. RELATED PARTY DISCLOSURES (continued)</w:t>
            </w: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Notes: (continued)</w:t>
            </w: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(i) Royalty fees (continued)</w:t>
            </w: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Group</w:t>
            </w: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For the year ended</w:t>
            </w: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31 December</w:t>
            </w: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2011 2010</w:t>
            </w: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HK$ HK$</w:t>
            </w: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(in thousands)</w:t>
            </w: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Total operating revenues 29,498,092 22,438,939</w:t>
            </w: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Commissions and discounts included in operating revenues 8,714,464 6,336,848</w:t>
            </w: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Promotional allowances 1,351,977 976,865</w:t>
            </w: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IP gross revenues 39,564,533 29,752,652</w:t>
            </w: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(ii) Corporate support services</w:t>
            </w:r>
          </w:p>
        </w:tc>
        <w:tc>
          <w:tcPr>
            <w:tcW w:w="100" w:type="dxa"/>
            <w:vAlign w:val="bottom"/>
          </w:tcPr>
          <w:p>
            <w:pPr>
              <w:spacing w:after="0"/>
              <w:rPr>
                <w:sz w:val="3"/>
                <w:szCs w:val="3"/>
                <w:color w:val="auto"/>
              </w:rPr>
            </w:pPr>
          </w:p>
        </w:tc>
        <w:tc>
          <w:tcPr>
            <w:tcW w:w="362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corporate support services to the Group. These services consist</w:t>
            </w: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Wynn Resorts, Limited provides</w:t>
            </w:r>
          </w:p>
        </w:tc>
        <w:tc>
          <w:tcPr>
            <w:tcW w:w="100" w:type="dxa"/>
            <w:vAlign w:val="bottom"/>
          </w:tcPr>
          <w:p>
            <w:pPr>
              <w:spacing w:after="0"/>
              <w:rPr>
                <w:sz w:val="3"/>
                <w:szCs w:val="3"/>
                <w:color w:val="auto"/>
              </w:rPr>
            </w:pPr>
          </w:p>
        </w:tc>
        <w:tc>
          <w:tcPr>
            <w:tcW w:w="36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0" w:type="dxa"/>
            <w:vAlign w:val="bottom"/>
            <w:gridSpan w:val="4"/>
          </w:tcPr>
          <w:p>
            <w:pPr>
              <w:ind w:left="80"/>
              <w:spacing w:after="0"/>
              <w:rPr>
                <w:sz w:val="20"/>
                <w:szCs w:val="20"/>
                <w:color w:val="auto"/>
              </w:rPr>
            </w:pPr>
            <w:r>
              <w:rPr>
                <w:rFonts w:ascii="Arial" w:cs="Arial" w:eastAsia="Arial" w:hAnsi="Arial"/>
                <w:sz w:val="3"/>
                <w:szCs w:val="3"/>
                <w:color w:val="FFFFFF"/>
              </w:rPr>
              <w:t>f a limited number of executivescertainrelevant areas assisting the Group on U.S. regulatory and certain</w:t>
            </w: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other matters. The assistance</w:t>
            </w:r>
          </w:p>
        </w:tc>
        <w:tc>
          <w:tcPr>
            <w:tcW w:w="3720" w:type="dxa"/>
            <w:vAlign w:val="bottom"/>
            <w:gridSpan w:val="3"/>
          </w:tcPr>
          <w:p>
            <w:pPr>
              <w:spacing w:after="0"/>
              <w:rPr>
                <w:sz w:val="20"/>
                <w:szCs w:val="20"/>
                <w:color w:val="auto"/>
              </w:rPr>
            </w:pPr>
            <w:r>
              <w:rPr>
                <w:rFonts w:ascii="Arial" w:cs="Arial" w:eastAsia="Arial" w:hAnsi="Arial"/>
                <w:sz w:val="3"/>
                <w:szCs w:val="3"/>
                <w:color w:val="FFFFFF"/>
              </w:rPr>
              <w:t>guidance on certain issues and ensuring that, from  regulatory</w:t>
            </w:r>
          </w:p>
        </w:tc>
        <w:tc>
          <w:tcPr>
            <w:tcW w:w="0" w:type="dxa"/>
            <w:vAlign w:val="bottom"/>
          </w:tcPr>
          <w:p>
            <w:pPr>
              <w:spacing w:after="0"/>
              <w:rPr>
                <w:sz w:val="1"/>
                <w:szCs w:val="1"/>
                <w:color w:val="auto"/>
              </w:rPr>
            </w:pPr>
          </w:p>
        </w:tc>
      </w:tr>
      <w:tr>
        <w:trPr>
          <w:trHeight w:val="41"/>
        </w:trPr>
        <w:tc>
          <w:tcPr>
            <w:tcW w:w="5800" w:type="dxa"/>
            <w:vAlign w:val="bottom"/>
            <w:gridSpan w:val="4"/>
          </w:tcPr>
          <w:p>
            <w:pPr>
              <w:spacing w:after="0"/>
              <w:rPr>
                <w:sz w:val="20"/>
                <w:szCs w:val="20"/>
                <w:color w:val="auto"/>
              </w:rPr>
            </w:pPr>
            <w:r>
              <w:rPr>
                <w:rFonts w:ascii="Arial" w:cs="Arial" w:eastAsia="Arial" w:hAnsi="Arial"/>
                <w:sz w:val="3"/>
                <w:szCs w:val="3"/>
                <w:color w:val="FFFFFF"/>
              </w:rPr>
              <w:t>standpoint, Wynn Resorts, Limited’includesstandard operating procedures are followed and maintained by the</w:t>
            </w:r>
          </w:p>
        </w:tc>
        <w:tc>
          <w:tcPr>
            <w:tcW w:w="0" w:type="dxa"/>
            <w:vAlign w:val="bottom"/>
          </w:tcPr>
          <w:p>
            <w:pPr>
              <w:spacing w:after="0"/>
              <w:rPr>
                <w:sz w:val="1"/>
                <w:szCs w:val="1"/>
                <w:color w:val="auto"/>
              </w:rPr>
            </w:pPr>
          </w:p>
        </w:tc>
      </w:tr>
      <w:tr>
        <w:trPr>
          <w:trHeight w:val="41"/>
        </w:trPr>
        <w:tc>
          <w:tcPr>
            <w:tcW w:w="5800" w:type="dxa"/>
            <w:vAlign w:val="bottom"/>
            <w:gridSpan w:val="4"/>
          </w:tcPr>
          <w:p>
            <w:pPr>
              <w:spacing w:after="0"/>
              <w:rPr>
                <w:sz w:val="20"/>
                <w:szCs w:val="20"/>
                <w:color w:val="auto"/>
              </w:rPr>
            </w:pPr>
            <w:r>
              <w:rPr>
                <w:rFonts w:ascii="Arial" w:cs="Arial" w:eastAsia="Arial" w:hAnsi="Arial"/>
                <w:sz w:val="3"/>
                <w:szCs w:val="3"/>
                <w:color w:val="FFFFFF"/>
              </w:rPr>
              <w:t>Group. The annual fee for the services provided by Wynn Resorts, Limited is based on an allocation of the</w:t>
            </w:r>
          </w:p>
        </w:tc>
        <w:tc>
          <w:tcPr>
            <w:tcW w:w="0" w:type="dxa"/>
            <w:vAlign w:val="bottom"/>
          </w:tcPr>
          <w:p>
            <w:pPr>
              <w:spacing w:after="0"/>
              <w:rPr>
                <w:sz w:val="1"/>
                <w:szCs w:val="1"/>
                <w:color w:val="auto"/>
              </w:rPr>
            </w:pPr>
          </w:p>
        </w:tc>
      </w:tr>
      <w:tr>
        <w:trPr>
          <w:trHeight w:val="41"/>
        </w:trPr>
        <w:tc>
          <w:tcPr>
            <w:tcW w:w="5800" w:type="dxa"/>
            <w:vAlign w:val="bottom"/>
            <w:gridSpan w:val="4"/>
          </w:tcPr>
          <w:p>
            <w:pPr>
              <w:spacing w:after="0"/>
              <w:rPr>
                <w:sz w:val="20"/>
                <w:szCs w:val="20"/>
                <w:color w:val="auto"/>
              </w:rPr>
            </w:pPr>
            <w:r>
              <w:rPr>
                <w:rFonts w:ascii="Arial" w:cs="Arial" w:eastAsia="Arial" w:hAnsi="Arial"/>
                <w:sz w:val="3"/>
                <w:szCs w:val="3"/>
                <w:color w:val="FFFFFF"/>
              </w:rPr>
              <w:t>actual proportion of Wynn Resorts, Limited’s annual corporate departments’ costs (including s laries and</w:t>
            </w:r>
          </w:p>
        </w:tc>
        <w:tc>
          <w:tcPr>
            <w:tcW w:w="0" w:type="dxa"/>
            <w:vAlign w:val="bottom"/>
          </w:tcPr>
          <w:p>
            <w:pPr>
              <w:spacing w:after="0"/>
              <w:rPr>
                <w:sz w:val="1"/>
                <w:szCs w:val="1"/>
                <w:color w:val="auto"/>
              </w:rPr>
            </w:pPr>
          </w:p>
        </w:tc>
      </w:tr>
      <w:tr>
        <w:trPr>
          <w:trHeight w:val="41"/>
        </w:trPr>
        <w:tc>
          <w:tcPr>
            <w:tcW w:w="5800" w:type="dxa"/>
            <w:vAlign w:val="bottom"/>
            <w:gridSpan w:val="4"/>
          </w:tcPr>
          <w:p>
            <w:pPr>
              <w:spacing w:after="0"/>
              <w:rPr>
                <w:sz w:val="20"/>
                <w:szCs w:val="20"/>
                <w:color w:val="auto"/>
              </w:rPr>
            </w:pPr>
            <w:r>
              <w:rPr>
                <w:rFonts w:ascii="Arial" w:cs="Arial" w:eastAsia="Arial" w:hAnsi="Arial"/>
                <w:sz w:val="3"/>
                <w:szCs w:val="3"/>
                <w:color w:val="FFFFFF"/>
              </w:rPr>
              <w:t>benefits for such employees during the period in which such services are rendered) and overhead expense</w:t>
            </w:r>
          </w:p>
        </w:tc>
        <w:tc>
          <w:tcPr>
            <w:tcW w:w="0" w:type="dxa"/>
            <w:vAlign w:val="bottom"/>
          </w:tcPr>
          <w:p>
            <w:pPr>
              <w:spacing w:after="0"/>
              <w:rPr>
                <w:sz w:val="1"/>
                <w:szCs w:val="1"/>
                <w:color w:val="auto"/>
              </w:rPr>
            </w:pPr>
          </w:p>
        </w:tc>
      </w:tr>
      <w:tr>
        <w:trPr>
          <w:trHeight w:val="41"/>
        </w:trPr>
        <w:tc>
          <w:tcPr>
            <w:tcW w:w="5800" w:type="dxa"/>
            <w:vAlign w:val="bottom"/>
            <w:gridSpan w:val="4"/>
          </w:tcPr>
          <w:p>
            <w:pPr>
              <w:spacing w:after="0"/>
              <w:rPr>
                <w:sz w:val="20"/>
                <w:szCs w:val="20"/>
                <w:color w:val="auto"/>
              </w:rPr>
            </w:pPr>
            <w:r>
              <w:rPr>
                <w:rFonts w:ascii="Arial" w:cs="Arial" w:eastAsia="Arial" w:hAnsi="Arial"/>
                <w:sz w:val="3"/>
                <w:szCs w:val="3"/>
                <w:color w:val="FFFFFF"/>
              </w:rPr>
              <w:t>relat d to the provision of such services and, in any event, such annual fees shall not exceed 50% of the</w:t>
            </w:r>
          </w:p>
        </w:tc>
        <w:tc>
          <w:tcPr>
            <w:tcW w:w="0" w:type="dxa"/>
            <w:vAlign w:val="bottom"/>
          </w:tcPr>
          <w:p>
            <w:pPr>
              <w:spacing w:after="0"/>
              <w:rPr>
                <w:sz w:val="1"/>
                <w:szCs w:val="1"/>
                <w:color w:val="auto"/>
              </w:rPr>
            </w:pPr>
          </w:p>
        </w:tc>
      </w:tr>
      <w:tr>
        <w:trPr>
          <w:trHeight w:val="41"/>
        </w:trPr>
        <w:tc>
          <w:tcPr>
            <w:tcW w:w="5800" w:type="dxa"/>
            <w:vAlign w:val="bottom"/>
            <w:gridSpan w:val="4"/>
          </w:tcPr>
          <w:p>
            <w:pPr>
              <w:spacing w:after="0"/>
              <w:rPr>
                <w:sz w:val="20"/>
                <w:szCs w:val="20"/>
                <w:color w:val="auto"/>
              </w:rPr>
            </w:pPr>
            <w:r>
              <w:rPr>
                <w:rFonts w:ascii="Arial" w:cs="Arial" w:eastAsia="Arial" w:hAnsi="Arial"/>
                <w:sz w:val="3"/>
                <w:szCs w:val="3"/>
                <w:color w:val="FFFFFF"/>
              </w:rPr>
              <w:t>aggregate annual corporate departments’ costs and overhead expenses incurred by Wynn Resorts, Limited</w:t>
            </w: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during any financial year.</w:t>
            </w:r>
          </w:p>
        </w:tc>
        <w:tc>
          <w:tcPr>
            <w:tcW w:w="100" w:type="dxa"/>
            <w:vAlign w:val="bottom"/>
          </w:tcPr>
          <w:p>
            <w:pPr>
              <w:spacing w:after="0"/>
              <w:rPr>
                <w:sz w:val="3"/>
                <w:szCs w:val="3"/>
                <w:color w:val="auto"/>
              </w:rPr>
            </w:pPr>
          </w:p>
        </w:tc>
        <w:tc>
          <w:tcPr>
            <w:tcW w:w="2200" w:type="dxa"/>
            <w:vAlign w:val="bottom"/>
            <w:vMerge w:val="restart"/>
          </w:tcPr>
          <w:p>
            <w:pPr>
              <w:ind w:left="160"/>
              <w:spacing w:after="0" w:line="81" w:lineRule="exact"/>
              <w:rPr>
                <w:sz w:val="20"/>
                <w:szCs w:val="20"/>
                <w:color w:val="auto"/>
              </w:rPr>
            </w:pPr>
            <w:r>
              <w:rPr>
                <w:rFonts w:ascii="Arial" w:cs="Arial" w:eastAsia="Arial" w:hAnsi="Arial"/>
                <w:sz w:val="9"/>
                <w:szCs w:val="9"/>
                <w:color w:val="FFFFFF"/>
              </w:rPr>
              <w:t>arrangements to allow Wynn</w:t>
            </w:r>
          </w:p>
        </w:tc>
        <w:tc>
          <w:tcPr>
            <w:tcW w:w="142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Limited or its subsidiaries</w:t>
            </w: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Similarly, WML and WRM had</w:t>
            </w:r>
          </w:p>
        </w:tc>
        <w:tc>
          <w:tcPr>
            <w:tcW w:w="100" w:type="dxa"/>
            <w:vAlign w:val="bottom"/>
          </w:tcPr>
          <w:p>
            <w:pPr>
              <w:spacing w:after="0"/>
              <w:rPr>
                <w:sz w:val="3"/>
                <w:szCs w:val="3"/>
                <w:color w:val="auto"/>
              </w:rPr>
            </w:pPr>
          </w:p>
        </w:tc>
        <w:tc>
          <w:tcPr>
            <w:tcW w:w="220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0" w:type="dxa"/>
            <w:vAlign w:val="bottom"/>
            <w:gridSpan w:val="4"/>
          </w:tcPr>
          <w:p>
            <w:pPr>
              <w:spacing w:after="0"/>
              <w:rPr>
                <w:sz w:val="20"/>
                <w:szCs w:val="20"/>
                <w:color w:val="auto"/>
              </w:rPr>
            </w:pPr>
            <w:r>
              <w:rPr>
                <w:rFonts w:ascii="Arial" w:cs="Arial" w:eastAsia="Arial" w:hAnsi="Arial"/>
                <w:sz w:val="3"/>
                <w:szCs w:val="3"/>
                <w:color w:val="FFFFFF"/>
              </w:rPr>
              <w:t>(other than the Group) to have accessreciprocalthe services of any of the Group’Resorts,employees provided that such</w:t>
            </w:r>
          </w:p>
        </w:tc>
        <w:tc>
          <w:tcPr>
            <w:tcW w:w="0" w:type="dxa"/>
            <w:vAlign w:val="bottom"/>
          </w:tcPr>
          <w:p>
            <w:pPr>
              <w:spacing w:after="0"/>
              <w:rPr>
                <w:sz w:val="1"/>
                <w:szCs w:val="1"/>
                <w:color w:val="auto"/>
              </w:rPr>
            </w:pPr>
          </w:p>
        </w:tc>
      </w:tr>
      <w:tr>
        <w:trPr>
          <w:trHeight w:val="0"/>
        </w:trPr>
        <w:tc>
          <w:tcPr>
            <w:tcW w:w="2180" w:type="dxa"/>
            <w:vAlign w:val="bottom"/>
            <w:gridSpan w:val="2"/>
          </w:tcPr>
          <w:p>
            <w:pPr>
              <w:spacing w:after="0" w:line="80" w:lineRule="exact"/>
              <w:rPr>
                <w:sz w:val="20"/>
                <w:szCs w:val="20"/>
                <w:color w:val="auto"/>
              </w:rPr>
            </w:pPr>
            <w:r>
              <w:rPr>
                <w:rFonts w:ascii="Arial" w:cs="Arial" w:eastAsia="Arial" w:hAnsi="Arial"/>
                <w:sz w:val="9"/>
                <w:szCs w:val="9"/>
                <w:color w:val="FFFFFF"/>
              </w:rPr>
              <w:t>services do not materially interfere with</w:t>
            </w:r>
          </w:p>
        </w:tc>
        <w:tc>
          <w:tcPr>
            <w:tcW w:w="3620" w:type="dxa"/>
            <w:vAlign w:val="bottom"/>
            <w:gridSpan w:val="2"/>
          </w:tcPr>
          <w:p>
            <w:pPr>
              <w:ind w:left="300"/>
              <w:spacing w:after="0" w:line="80" w:lineRule="exact"/>
              <w:rPr>
                <w:sz w:val="20"/>
                <w:szCs w:val="20"/>
                <w:color w:val="auto"/>
              </w:rPr>
            </w:pPr>
            <w:r>
              <w:rPr>
                <w:rFonts w:ascii="Arial" w:cs="Arial" w:eastAsia="Arial" w:hAnsi="Arial"/>
                <w:sz w:val="9"/>
                <w:szCs w:val="9"/>
                <w:color w:val="FFFFFF"/>
              </w:rPr>
              <w:t>employees’ obligations to, and responsibilities with, the</w:t>
            </w:r>
          </w:p>
        </w:tc>
        <w:tc>
          <w:tcPr>
            <w:tcW w:w="0" w:type="dxa"/>
            <w:vAlign w:val="bottom"/>
          </w:tcPr>
          <w:p>
            <w:pPr>
              <w:spacing w:after="0" w:line="20" w:lineRule="exact"/>
              <w:rPr>
                <w:sz w:val="1"/>
                <w:szCs w:val="1"/>
                <w:color w:val="auto"/>
              </w:rPr>
            </w:pPr>
          </w:p>
        </w:tc>
      </w:tr>
    </w:tbl>
    <w:p>
      <w:pPr>
        <w:ind w:right="4479"/>
        <w:spacing w:after="0"/>
        <w:rPr>
          <w:sz w:val="20"/>
          <w:szCs w:val="20"/>
          <w:color w:val="auto"/>
        </w:rPr>
      </w:pPr>
      <w:r>
        <w:rPr>
          <w:rFonts w:ascii="Arial" w:cs="Arial" w:eastAsia="Arial" w:hAnsi="Arial"/>
          <w:sz w:val="3"/>
          <w:szCs w:val="3"/>
          <w:color w:val="FFFFFF"/>
        </w:rPr>
        <w:t xml:space="preserve">Group. For services provided by the Group’such employees, Wynn Resorts, Limited shall pay for the services based on an actual cost (including salaries and benefits for such employees during the period when such services are being rendered) and expenses </w:t>
      </w:r>
      <w:r>
        <w:rPr>
          <w:rFonts w:ascii="Arial" w:cs="Arial" w:eastAsia="Arial" w:hAnsi="Arial"/>
          <w:sz w:val="6"/>
          <w:szCs w:val="6"/>
          <w:color w:val="FFFFFF"/>
          <w:vertAlign w:val="superscript"/>
        </w:rPr>
        <w:t>certain</w:t>
      </w:r>
      <w:r>
        <w:rPr>
          <w:rFonts w:ascii="Arial" w:cs="Arial" w:eastAsia="Arial" w:hAnsi="Arial"/>
          <w:sz w:val="3"/>
          <w:szCs w:val="3"/>
          <w:color w:val="FFFFFF"/>
        </w:rPr>
        <w:t>onreimbursement basis.</w:t>
      </w:r>
    </w:p>
    <w:p>
      <w:pPr>
        <w:spacing w:after="0" w:line="13" w:lineRule="exact"/>
        <w:rPr>
          <w:sz w:val="20"/>
          <w:szCs w:val="20"/>
          <w:color w:val="auto"/>
        </w:rPr>
      </w:pPr>
    </w:p>
    <w:p>
      <w:pPr>
        <w:ind w:right="4399"/>
        <w:spacing w:after="0"/>
        <w:rPr>
          <w:sz w:val="20"/>
          <w:szCs w:val="20"/>
          <w:color w:val="auto"/>
        </w:rPr>
      </w:pPr>
      <w:r>
        <w:rPr>
          <w:rFonts w:ascii="Arial" w:cs="Arial" w:eastAsia="Arial" w:hAnsi="Arial"/>
          <w:sz w:val="9"/>
          <w:szCs w:val="9"/>
          <w:color w:val="FFFFFF"/>
        </w:rPr>
        <w:t>Wynn Resorts, Limited allows WRM and of its employees to use aircraft assets owned by Wynn Resorts, Limited and its subsidiaries (other than the Group) at hourly rates set by Las Vegas Jet, LLC, a subsidiary of Wynn Resorts, Limited. Similarly, WRM has reciprocal arrangements to allow Wynn Resorts, Limited or its subsidiaries (other than the Group) to use any aircraft assets that the Group could own in the future.</w:t>
      </w:r>
    </w:p>
    <w:p>
      <w:pPr>
        <w:sectPr>
          <w:pgSz w:w="11900" w:h="16838" w:orient="portrait"/>
          <w:cols w:equalWidth="0" w:num="1">
            <w:col w:w="10219"/>
          </w:cols>
          <w:pgMar w:left="240" w:top="1440" w:right="1440"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sz w:val="20"/>
                <w:szCs w:val="20"/>
                <w:color w:val="auto"/>
              </w:rPr>
            </w:pPr>
            <w:r>
              <w:rPr>
                <w:rFonts w:ascii="Arial" w:cs="Arial" w:eastAsia="Arial" w:hAnsi="Arial"/>
                <w:sz w:val="14"/>
                <w:szCs w:val="14"/>
                <w:color w:val="FFFFFF"/>
              </w:rPr>
              <w:t>Annual Report 2011 149</w:t>
            </w:r>
          </w:p>
        </w:tc>
        <w:tc>
          <w:tcPr>
            <w:tcW w:w="6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6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6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For the year ended 31 December 2011</w:t>
            </w:r>
          </w:p>
        </w:tc>
        <w:tc>
          <w:tcPr>
            <w:tcW w:w="6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27. RELATED PARTY DISCLOSURES (continued)</w:t>
            </w:r>
          </w:p>
        </w:tc>
        <w:tc>
          <w:tcPr>
            <w:tcW w:w="6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Notes: (continued)</w:t>
            </w:r>
          </w:p>
        </w:tc>
        <w:tc>
          <w:tcPr>
            <w:tcW w:w="6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(iii)</w:t>
            </w:r>
          </w:p>
        </w:tc>
        <w:tc>
          <w:tcPr>
            <w:tcW w:w="3080" w:type="dxa"/>
            <w:vAlign w:val="bottom"/>
          </w:tcPr>
          <w:p>
            <w:pPr>
              <w:ind w:left="380"/>
              <w:spacing w:after="0"/>
              <w:rPr>
                <w:sz w:val="20"/>
                <w:szCs w:val="20"/>
                <w:color w:val="auto"/>
              </w:rPr>
            </w:pPr>
            <w:r>
              <w:rPr>
                <w:rFonts w:ascii="Arial" w:cs="Arial" w:eastAsia="Arial" w:hAnsi="Arial"/>
                <w:sz w:val="3"/>
                <w:szCs w:val="3"/>
                <w:color w:val="FFFFFF"/>
              </w:rPr>
              <w:t>marketing expenses</w:t>
            </w:r>
          </w:p>
        </w:tc>
        <w:tc>
          <w:tcPr>
            <w:tcW w:w="7700" w:type="dxa"/>
            <w:vAlign w:val="bottom"/>
            <w:gridSpan w:val="2"/>
            <w:vMerge w:val="restart"/>
          </w:tcPr>
          <w:p>
            <w:pPr>
              <w:ind w:left="440"/>
              <w:spacing w:after="0" w:line="81" w:lineRule="exact"/>
              <w:rPr>
                <w:sz w:val="20"/>
                <w:szCs w:val="20"/>
                <w:color w:val="auto"/>
              </w:rPr>
            </w:pPr>
            <w:r>
              <w:rPr>
                <w:rFonts w:ascii="Arial" w:cs="Arial" w:eastAsia="Arial" w:hAnsi="Arial"/>
                <w:sz w:val="9"/>
                <w:szCs w:val="9"/>
                <w:color w:val="FFFFFF"/>
              </w:rPr>
              <w:t>promotional, and marketing services as well as a limited number of marketing executives to attract and introduce customers to WRM,</w:t>
            </w:r>
          </w:p>
        </w:tc>
        <w:tc>
          <w:tcPr>
            <w:tcW w:w="0" w:type="dxa"/>
            <w:vAlign w:val="bottom"/>
          </w:tcPr>
          <w:p>
            <w:pPr>
              <w:spacing w:after="0"/>
              <w:rPr>
                <w:sz w:val="1"/>
                <w:szCs w:val="1"/>
                <w:color w:val="auto"/>
              </w:rPr>
            </w:pP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WIML,Internationalsubsidiary of Wynn Resorts, Limited, (i) provides</w:t>
            </w:r>
          </w:p>
        </w:tc>
        <w:tc>
          <w:tcPr>
            <w:tcW w:w="7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520" w:type="dxa"/>
            <w:vAlign w:val="bottom"/>
            <w:gridSpan w:val="3"/>
          </w:tcPr>
          <w:p>
            <w:pPr>
              <w:spacing w:after="0"/>
              <w:rPr>
                <w:sz w:val="20"/>
                <w:szCs w:val="20"/>
                <w:color w:val="auto"/>
              </w:rPr>
            </w:pPr>
            <w:r>
              <w:rPr>
                <w:rFonts w:ascii="Arial" w:cs="Arial" w:eastAsia="Arial" w:hAnsi="Arial"/>
                <w:sz w:val="3"/>
                <w:szCs w:val="3"/>
                <w:color w:val="FFFFFF"/>
              </w:rPr>
              <w:t>and (ii) employs certain non-Macau residents based in or to beadministrative,basedMacau (“Foreign Resident Staff”) on the Company’s behalf and seconds such Foreign Resident Staff to the Group.</w:t>
            </w: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These administrative, promotional and marketing services are provided through branch offi ces located   various cities around the world under the direction and supervision provided by WIML. For the services</w:t>
            </w:r>
          </w:p>
        </w:tc>
        <w:tc>
          <w:tcPr>
            <w:tcW w:w="0" w:type="dxa"/>
            <w:vAlign w:val="bottom"/>
          </w:tcPr>
          <w:p>
            <w:pPr>
              <w:spacing w:after="0"/>
              <w:rPr>
                <w:sz w:val="1"/>
                <w:szCs w:val="1"/>
                <w:color w:val="auto"/>
              </w:rPr>
            </w:pPr>
          </w:p>
        </w:tc>
      </w:tr>
      <w:tr>
        <w:trPr>
          <w:trHeight w:val="41"/>
        </w:trPr>
        <w:tc>
          <w:tcPr>
            <w:tcW w:w="10520" w:type="dxa"/>
            <w:vAlign w:val="bottom"/>
            <w:gridSpan w:val="3"/>
          </w:tcPr>
          <w:p>
            <w:pPr>
              <w:spacing w:after="0"/>
              <w:rPr>
                <w:sz w:val="20"/>
                <w:szCs w:val="20"/>
                <w:color w:val="auto"/>
              </w:rPr>
            </w:pPr>
            <w:r>
              <w:rPr>
                <w:rFonts w:ascii="Arial" w:cs="Arial" w:eastAsia="Arial" w:hAnsi="Arial"/>
                <w:sz w:val="3"/>
                <w:szCs w:val="3"/>
                <w:color w:val="FFFFFF"/>
              </w:rPr>
              <w:t>provided under this arrangement, WIML charges a service fee equal to the total costs it incurs in rendering the services plus 5%.</w:t>
            </w: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60" w:type="dxa"/>
            <w:vAlign w:val="bottom"/>
            <w:gridSpan w:val="2"/>
          </w:tcPr>
          <w:p>
            <w:pPr>
              <w:spacing w:after="0"/>
              <w:rPr>
                <w:sz w:val="20"/>
                <w:szCs w:val="20"/>
                <w:color w:val="auto"/>
              </w:rPr>
            </w:pPr>
            <w:r>
              <w:rPr>
                <w:rFonts w:ascii="Arial" w:cs="Arial" w:eastAsia="Arial" w:hAnsi="Arial"/>
                <w:sz w:val="3"/>
                <w:szCs w:val="3"/>
                <w:color w:val="FFFFFF"/>
              </w:rPr>
              <w:t>(iv) Staff secondment payroll charges</w:t>
            </w:r>
          </w:p>
        </w:tc>
        <w:tc>
          <w:tcPr>
            <w:tcW w:w="6860" w:type="dxa"/>
            <w:vAlign w:val="bottom"/>
          </w:tcPr>
          <w:p>
            <w:pPr>
              <w:spacing w:after="0"/>
              <w:rPr>
                <w:sz w:val="3"/>
                <w:szCs w:val="3"/>
                <w:color w:val="auto"/>
              </w:rPr>
            </w:pPr>
          </w:p>
        </w:tc>
        <w:tc>
          <w:tcPr>
            <w:tcW w:w="840" w:type="dxa"/>
            <w:vAlign w:val="bottom"/>
            <w:vMerge w:val="restart"/>
          </w:tcPr>
          <w:p>
            <w:pPr>
              <w:ind w:left="220"/>
              <w:spacing w:after="0"/>
              <w:rPr>
                <w:sz w:val="20"/>
                <w:szCs w:val="20"/>
                <w:color w:val="auto"/>
              </w:rPr>
            </w:pPr>
            <w:r>
              <w:rPr>
                <w:rFonts w:ascii="Arial" w:cs="Arial" w:eastAsia="Arial" w:hAnsi="Arial"/>
                <w:sz w:val="3"/>
                <w:szCs w:val="3"/>
                <w:color w:val="FFFFFF"/>
              </w:rPr>
              <w:t>the</w:t>
            </w:r>
          </w:p>
        </w:tc>
        <w:tc>
          <w:tcPr>
            <w:tcW w:w="0" w:type="dxa"/>
            <w:vAlign w:val="bottom"/>
          </w:tcPr>
          <w:p>
            <w:pPr>
              <w:spacing w:after="0"/>
              <w:rPr>
                <w:sz w:val="1"/>
                <w:szCs w:val="1"/>
                <w:color w:val="auto"/>
              </w:rPr>
            </w:pPr>
          </w:p>
        </w:tc>
      </w:tr>
      <w:tr>
        <w:trPr>
          <w:trHeight w:val="0"/>
        </w:trPr>
        <w:tc>
          <w:tcPr>
            <w:tcW w:w="10520" w:type="dxa"/>
            <w:vAlign w:val="bottom"/>
            <w:gridSpan w:val="3"/>
          </w:tcPr>
          <w:p>
            <w:pPr>
              <w:spacing w:after="0" w:line="80" w:lineRule="exact"/>
              <w:rPr>
                <w:sz w:val="20"/>
                <w:szCs w:val="20"/>
                <w:color w:val="auto"/>
              </w:rPr>
            </w:pPr>
            <w:r>
              <w:rPr>
                <w:rFonts w:ascii="Arial" w:cs="Arial" w:eastAsia="Arial" w:hAnsi="Arial"/>
                <w:sz w:val="9"/>
                <w:szCs w:val="9"/>
                <w:color w:val="FFFFFF"/>
              </w:rPr>
              <w:t>Worldwide Wynn, a subsidiary of Wynn Resorts, Limited, is responsible for supplying management personnel to WRM for pre-determined lengths of time through secondment arrangements.</w:t>
            </w: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00"/>
        <w:spacing w:after="0"/>
        <w:rPr>
          <w:sz w:val="20"/>
          <w:szCs w:val="20"/>
          <w:color w:val="auto"/>
        </w:rPr>
      </w:pPr>
      <w:r>
        <w:rPr>
          <w:rFonts w:ascii="Arial" w:cs="Arial" w:eastAsia="Arial" w:hAnsi="Arial"/>
          <w:sz w:val="5"/>
          <w:szCs w:val="5"/>
          <w:color w:val="FFFFFF"/>
        </w:rPr>
        <w:t>secondment period, employees are expected to devote their efforts and all of their business time and attention to the operations and functions of WRM. The seconded employees live and workDuringMacau for the duration of the secondment periods. Worldwide Wynn was compensated for these services with a service fee equal to its aggregate costs plus 5% to Worldwide Wynn of the seconded employees during the periods of secondment to WRM, including:</w:t>
      </w:r>
    </w:p>
    <w:p>
      <w:pPr>
        <w:ind w:left="80"/>
        <w:spacing w:after="0" w:line="183" w:lineRule="auto"/>
        <w:rPr>
          <w:sz w:val="20"/>
          <w:szCs w:val="20"/>
          <w:color w:val="auto"/>
        </w:rPr>
      </w:pPr>
      <w:r>
        <w:rPr>
          <w:rFonts w:ascii="Arial" w:cs="Arial" w:eastAsia="Arial" w:hAnsi="Arial"/>
          <w:sz w:val="12"/>
          <w:szCs w:val="12"/>
          <w:color w:val="FFFFFF"/>
        </w:rPr>
        <w:t>Wages-regular and overtime;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3"/>
          <w:szCs w:val="3"/>
          <w:color w:val="FFFFFF"/>
        </w:rPr>
        <w:t>VacationBonuses andpay commissions;andsickleave;</w:t>
      </w:r>
    </w:p>
    <w:p>
      <w:pPr>
        <w:ind w:left="580"/>
        <w:spacing w:after="0" w:line="194" w:lineRule="auto"/>
        <w:rPr>
          <w:sz w:val="20"/>
          <w:szCs w:val="20"/>
          <w:color w:val="auto"/>
        </w:rPr>
      </w:pPr>
      <w:r>
        <w:rPr>
          <w:rFonts w:ascii="Arial" w:cs="Arial" w:eastAsia="Arial" w:hAnsi="Arial"/>
          <w:sz w:val="5"/>
          <w:szCs w:val="5"/>
          <w:color w:val="FFFFFF"/>
        </w:rPr>
        <w:t>e benefi t plans, including health insurance, life insurance, and other insurance or 401k plans;</w:t>
      </w:r>
    </w:p>
    <w:p>
      <w:pPr>
        <w:ind w:left="940" w:right="5580" w:hanging="921"/>
        <w:spacing w:after="0" w:line="182" w:lineRule="auto"/>
        <w:rPr>
          <w:sz w:val="20"/>
          <w:szCs w:val="20"/>
          <w:color w:val="auto"/>
        </w:rPr>
      </w:pPr>
      <w:r>
        <w:rPr>
          <w:rFonts w:ascii="Arial" w:cs="Arial" w:eastAsia="Arial" w:hAnsi="Arial"/>
          <w:sz w:val="14"/>
          <w:szCs w:val="14"/>
          <w:color w:val="FFFFFF"/>
          <w:vertAlign w:val="subscript"/>
        </w:rPr>
        <w:t>• Employer-paid</w:t>
      </w:r>
      <w:r>
        <w:rPr>
          <w:rFonts w:ascii="Arial" w:cs="Arial" w:eastAsia="Arial" w:hAnsi="Arial"/>
          <w:sz w:val="9"/>
          <w:szCs w:val="9"/>
          <w:color w:val="FFFFFF"/>
        </w:rPr>
        <w:t xml:space="preserve"> federal, state or local taxes or workers’ compensation costs and unemployment taxes; and business expenses and employee international allowances.</w:t>
      </w:r>
    </w:p>
    <w:p>
      <w:pPr>
        <w:sectPr>
          <w:pgSz w:w="11900" w:h="16838" w:orient="portrait"/>
          <w:cols w:equalWidth="0" w:num="1">
            <w:col w:w="11360"/>
          </w:cols>
          <w:pgMar w:left="240" w:top="1440" w:right="29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FFFFFF"/>
        </w:rPr>
        <w:t>150 Wynn Macau, Limited</w:t>
      </w:r>
    </w:p>
    <w:p>
      <w:pPr>
        <w:spacing w:after="0" w:line="187" w:lineRule="auto"/>
        <w:rPr>
          <w:sz w:val="20"/>
          <w:szCs w:val="20"/>
          <w:color w:val="auto"/>
        </w:rPr>
      </w:pPr>
      <w:r>
        <w:rPr>
          <w:rFonts w:ascii="Arial" w:cs="Arial" w:eastAsia="Arial" w:hAnsi="Arial"/>
          <w:sz w:val="12"/>
          <w:szCs w:val="12"/>
          <w:color w:val="FFFFFF"/>
        </w:rPr>
        <w:t>NotesFinancialtoFinancialStatementsStatements</w:t>
      </w:r>
    </w:p>
    <w:p>
      <w:pPr>
        <w:spacing w:after="0" w:line="189" w:lineRule="auto"/>
        <w:rPr>
          <w:sz w:val="20"/>
          <w:szCs w:val="20"/>
          <w:color w:val="auto"/>
        </w:rPr>
      </w:pPr>
      <w:r>
        <w:rPr>
          <w:rFonts w:ascii="Arial" w:cs="Arial" w:eastAsia="Arial" w:hAnsi="Arial"/>
          <w:sz w:val="9"/>
          <w:szCs w:val="9"/>
          <w:color w:val="FFFFFF"/>
        </w:rPr>
        <w:t>For the year ended 31 December 2011</w:t>
      </w:r>
    </w:p>
    <w:p>
      <w:pPr>
        <w:ind w:right="180"/>
        <w:spacing w:after="0" w:line="181" w:lineRule="auto"/>
        <w:rPr>
          <w:sz w:val="20"/>
          <w:szCs w:val="20"/>
          <w:color w:val="auto"/>
        </w:rPr>
      </w:pPr>
      <w:r>
        <w:rPr>
          <w:rFonts w:ascii="Arial" w:cs="Arial" w:eastAsia="Arial" w:hAnsi="Arial"/>
          <w:sz w:val="7"/>
          <w:szCs w:val="7"/>
          <w:color w:val="FFFFFF"/>
        </w:rPr>
        <w:t>The27.RELATEDabovetransactionsPARTY wereDISCLOSUREScarriedouton(continued)termsmutually agreed between the Group and the related companies. There were no signifi cant charges from the Group to the related companies during the twelve months ended 31 December 2011 and 2010. In the opinion of the Directors, the related party transactions were conducted in the ordinary and usual course of the Group’s business.</w:t>
      </w:r>
    </w:p>
    <w:p>
      <w:pPr>
        <w:spacing w:after="0"/>
        <w:rPr>
          <w:sz w:val="20"/>
          <w:szCs w:val="20"/>
          <w:color w:val="auto"/>
        </w:rPr>
      </w:pPr>
      <w:r>
        <w:rPr>
          <w:rFonts w:ascii="Arial" w:cs="Arial" w:eastAsia="Arial" w:hAnsi="Arial"/>
          <w:sz w:val="3"/>
          <w:szCs w:val="3"/>
          <w:color w:val="FFFFFF"/>
        </w:rPr>
        <w:t>All such outstanding balances between the Group and the related companies are deemed to be trade in nature.</w:t>
      </w:r>
    </w:p>
    <w:p>
      <w:pPr>
        <w:spacing w:after="0" w:line="181" w:lineRule="auto"/>
        <w:rPr>
          <w:sz w:val="20"/>
          <w:szCs w:val="20"/>
          <w:color w:val="auto"/>
        </w:rPr>
      </w:pPr>
      <w:r>
        <w:rPr>
          <w:rFonts w:ascii="Arial" w:cs="Arial" w:eastAsia="Arial" w:hAnsi="Arial"/>
          <w:sz w:val="10"/>
          <w:szCs w:val="10"/>
          <w:color w:val="FFFFFF"/>
        </w:rPr>
        <w:t>InHomeMaypurchase2010,Worldwide Wynn entered into a new employment agreement with Linda Chen, who is also a director of Wynn Macau, Limited and Wynn Resorts, Limited. The term of the new employment</w:t>
      </w:r>
    </w:p>
    <w:p>
      <w:pPr>
        <w:ind w:right="120"/>
        <w:spacing w:after="0" w:line="181" w:lineRule="auto"/>
        <w:rPr>
          <w:sz w:val="20"/>
          <w:szCs w:val="20"/>
          <w:color w:val="auto"/>
        </w:rPr>
      </w:pPr>
      <w:r>
        <w:rPr>
          <w:rFonts w:ascii="Arial" w:cs="Arial" w:eastAsia="Arial" w:hAnsi="Arial"/>
          <w:sz w:val="7"/>
          <w:szCs w:val="7"/>
          <w:color w:val="FFFFFF"/>
        </w:rPr>
        <w:t>Ms.agreemChentwithisthroughtheuse24ofFebruaryanautomobile2020. inUnderMacau.the Ms.termsChenoftheshallnewhaveemploymenttheoptionagreement,topurchaseWorldwidethehouse Wynnandit iscausedexercisableWynn forMacau(a) noto considerationpurchasehouseatthein endMacauof thefor 10use-yearbyMs.term,Chen(b) USand$1.00will alsointheprovideevent of termination of Ms. Chen’s employment without “cause” or termination of Ms. Chen’s employment for “good reason” following a “change of control”, and (c) at a price basedagreementonpercentage of the fair market</w:t>
      </w:r>
    </w:p>
    <w:p>
      <w:pPr>
        <w:ind w:left="11040"/>
        <w:spacing w:after="0"/>
        <w:rPr>
          <w:sz w:val="20"/>
          <w:szCs w:val="20"/>
          <w:color w:val="auto"/>
        </w:rPr>
      </w:pPr>
      <w:r>
        <w:rPr>
          <w:rFonts w:ascii="Arial" w:cs="Arial" w:eastAsia="Arial" w:hAnsi="Arial"/>
          <w:sz w:val="1"/>
          <w:szCs w:val="1"/>
          <w:color w:val="FFFFFF"/>
        </w:rPr>
        <w:t>WorldwidevalueoftheWynn.house Uponthatis Ms.reduced bys terminationtenpercent perfor year“cause”,duringMs.theChenrmwillof thebe deemedagreementto have(the “Discountelectedto purchasePercentage”)the MacautheeventhouseMs.basedChenon terminatestheapplicablethe employmentDiscountPercentage unlessdue Wto material breachWynn by</w:t>
      </w:r>
    </w:p>
    <w:p>
      <w:pPr>
        <w:spacing w:after="0"/>
        <w:rPr>
          <w:sz w:val="20"/>
          <w:szCs w:val="20"/>
          <w:color w:val="auto"/>
        </w:rPr>
      </w:pPr>
      <w:r>
        <w:rPr>
          <w:rFonts w:ascii="Arial" w:cs="Arial" w:eastAsia="Arial" w:hAnsi="Arial"/>
          <w:sz w:val="11"/>
          <w:szCs w:val="11"/>
          <w:color w:val="FFFFFF"/>
        </w:rPr>
        <w:t>determines not to require Ms.Chen’ to purchase the house. If Ms. Chen’s employment terminates for any other reason before the expiration of the term (e.g., because of her death or disabilityorldwidedue to revocation of the gaming license), the option will terminate. As at 31 December 2011, the net carrying amount of the house together with improvements and its land lease right was HK$58.6 million (2010: HK$44.6 million).</w:t>
      </w:r>
    </w:p>
    <w:p>
      <w:pPr>
        <w:sectPr>
          <w:pgSz w:w="11900" w:h="16838" w:orient="portrait"/>
          <w:cols w:equalWidth="0" w:num="1">
            <w:col w:w="11380"/>
          </w:cols>
          <w:pgMar w:left="240" w:top="1440" w:right="27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151</w:t>
      </w:r>
    </w:p>
    <w:p>
      <w:pPr>
        <w:spacing w:after="0" w:line="187" w:lineRule="auto"/>
        <w:rPr>
          <w:sz w:val="20"/>
          <w:szCs w:val="20"/>
          <w:color w:val="auto"/>
        </w:rPr>
      </w:pPr>
      <w:r>
        <w:rPr>
          <w:rFonts w:ascii="Arial" w:cs="Arial" w:eastAsia="Arial" w:hAnsi="Arial"/>
          <w:sz w:val="12"/>
          <w:szCs w:val="12"/>
          <w:color w:val="FFFFFF"/>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For the year ended 31 December 2011</w:t>
      </w:r>
    </w:p>
    <w:p>
      <w:pPr>
        <w:spacing w:after="0" w:line="181" w:lineRule="auto"/>
        <w:rPr>
          <w:sz w:val="20"/>
          <w:szCs w:val="20"/>
          <w:color w:val="auto"/>
        </w:rPr>
      </w:pPr>
      <w:r>
        <w:rPr>
          <w:rFonts w:ascii="Arial" w:cs="Arial" w:eastAsia="Arial" w:hAnsi="Arial"/>
          <w:sz w:val="10"/>
          <w:szCs w:val="10"/>
          <w:color w:val="FFFFFF"/>
        </w:rPr>
        <w:t>27. RELATED PARTY DISCLOSURES (continued)</w:t>
      </w:r>
    </w:p>
    <w:p>
      <w:pPr>
        <w:spacing w:after="0"/>
        <w:rPr>
          <w:sz w:val="20"/>
          <w:szCs w:val="20"/>
          <w:color w:val="auto"/>
        </w:rPr>
      </w:pPr>
      <w:r>
        <w:rPr>
          <w:rFonts w:ascii="Arial" w:cs="Arial" w:eastAsia="Arial" w:hAnsi="Arial"/>
          <w:sz w:val="3"/>
          <w:szCs w:val="3"/>
          <w:color w:val="FFFFFF"/>
        </w:rPr>
        <w:t>GroupCompensation of senior/key management personnel of the Group</w:t>
      </w:r>
    </w:p>
    <w:p>
      <w:pPr>
        <w:spacing w:after="0" w:line="181" w:lineRule="auto"/>
        <w:rPr>
          <w:sz w:val="20"/>
          <w:szCs w:val="20"/>
          <w:color w:val="auto"/>
        </w:rPr>
      </w:pPr>
      <w:r>
        <w:rPr>
          <w:rFonts w:ascii="Arial" w:cs="Arial" w:eastAsia="Arial" w:hAnsi="Arial"/>
          <w:sz w:val="10"/>
          <w:szCs w:val="10"/>
          <w:color w:val="FFFFFF"/>
        </w:rPr>
        <w:t>For the year ended</w:t>
      </w:r>
    </w:p>
    <w:p>
      <w:pPr>
        <w:spacing w:after="0" w:line="188" w:lineRule="auto"/>
        <w:rPr>
          <w:sz w:val="20"/>
          <w:szCs w:val="20"/>
          <w:color w:val="auto"/>
        </w:rPr>
      </w:pPr>
      <w:r>
        <w:rPr>
          <w:rFonts w:ascii="Arial" w:cs="Arial" w:eastAsia="Arial" w:hAnsi="Arial"/>
          <w:sz w:val="9"/>
          <w:szCs w:val="9"/>
          <w:color w:val="FFFFFF"/>
        </w:rPr>
        <w:t>201031December</w:t>
      </w:r>
    </w:p>
    <w:p>
      <w:pPr>
        <w:spacing w:after="0" w:line="188" w:lineRule="auto"/>
        <w:rPr>
          <w:sz w:val="20"/>
          <w:szCs w:val="20"/>
          <w:color w:val="auto"/>
        </w:rPr>
      </w:pPr>
      <w:r>
        <w:rPr>
          <w:rFonts w:ascii="Arial" w:cs="Arial" w:eastAsia="Arial" w:hAnsi="Arial"/>
          <w:sz w:val="9"/>
          <w:szCs w:val="9"/>
          <w:color w:val="FFFFFF"/>
        </w:rPr>
        <w:t>HK$</w:t>
      </w:r>
    </w:p>
    <w:p>
      <w:pPr>
        <w:spacing w:after="0"/>
        <w:rPr>
          <w:sz w:val="20"/>
          <w:szCs w:val="20"/>
          <w:color w:val="auto"/>
        </w:rPr>
      </w:pPr>
      <w:r>
        <w:rPr>
          <w:rFonts w:ascii="Arial" w:cs="Arial" w:eastAsia="Arial" w:hAnsi="Arial"/>
          <w:sz w:val="3"/>
          <w:szCs w:val="3"/>
          <w:color w:val="FFFFFF"/>
        </w:rPr>
        <w:t>(in thousands)</w:t>
      </w:r>
    </w:p>
    <w:p>
      <w:pPr>
        <w:spacing w:after="0" w:line="181" w:lineRule="auto"/>
        <w:rPr>
          <w:sz w:val="20"/>
          <w:szCs w:val="20"/>
          <w:color w:val="auto"/>
        </w:rPr>
      </w:pPr>
      <w:r>
        <w:rPr>
          <w:rFonts w:ascii="Arial" w:cs="Arial" w:eastAsia="Arial" w:hAnsi="Arial"/>
          <w:sz w:val="10"/>
          <w:szCs w:val="10"/>
          <w:color w:val="FFFFFF"/>
        </w:rPr>
        <w:t>Salaries, bonuses, allowances and benefits in kind</w:t>
      </w:r>
    </w:p>
    <w:p>
      <w:pPr>
        <w:spacing w:after="0" w:line="188" w:lineRule="auto"/>
        <w:rPr>
          <w:sz w:val="20"/>
          <w:szCs w:val="20"/>
          <w:color w:val="auto"/>
        </w:rPr>
      </w:pPr>
      <w:r>
        <w:rPr>
          <w:rFonts w:ascii="Arial" w:cs="Arial" w:eastAsia="Arial" w:hAnsi="Arial"/>
          <w:sz w:val="9"/>
          <w:szCs w:val="9"/>
          <w:color w:val="FFFFFF"/>
        </w:rPr>
        <w:t>97,403111,241</w:t>
      </w:r>
    </w:p>
    <w:p>
      <w:pPr>
        <w:spacing w:after="0" w:line="188" w:lineRule="auto"/>
        <w:rPr>
          <w:sz w:val="20"/>
          <w:szCs w:val="20"/>
          <w:color w:val="auto"/>
        </w:rPr>
      </w:pPr>
      <w:r>
        <w:rPr>
          <w:rFonts w:ascii="Arial" w:cs="Arial" w:eastAsia="Arial" w:hAnsi="Arial"/>
          <w:sz w:val="7"/>
          <w:szCs w:val="7"/>
          <w:color w:val="FFFFFF"/>
        </w:rPr>
        <w:t>41,688Share</w:t>
      </w:r>
      <w:r>
        <w:rPr>
          <w:rFonts w:ascii="Arial" w:cs="Arial" w:eastAsia="Arial" w:hAnsi="Arial"/>
          <w:sz w:val="9"/>
          <w:szCs w:val="9"/>
          <w:color w:val="FFFFFF"/>
          <w:vertAlign w:val="superscript"/>
        </w:rPr>
        <w:t>078</w:t>
      </w:r>
      <w:r>
        <w:rPr>
          <w:rFonts w:ascii="Arial" w:cs="Arial" w:eastAsia="Arial" w:hAnsi="Arial"/>
          <w:sz w:val="7"/>
          <w:szCs w:val="7"/>
          <w:color w:val="FFFFFF"/>
        </w:rPr>
        <w:t>-based payments</w:t>
      </w:r>
    </w:p>
    <w:p>
      <w:pPr>
        <w:spacing w:after="0" w:line="188" w:lineRule="auto"/>
        <w:rPr>
          <w:sz w:val="20"/>
          <w:szCs w:val="20"/>
          <w:color w:val="auto"/>
        </w:rPr>
      </w:pPr>
      <w:r>
        <w:rPr>
          <w:rFonts w:ascii="Arial" w:cs="Arial" w:eastAsia="Arial" w:hAnsi="Arial"/>
          <w:sz w:val="9"/>
          <w:szCs w:val="9"/>
          <w:color w:val="FFFFFF"/>
        </w:rPr>
        <w:t>Retirement benefits</w:t>
      </w:r>
    </w:p>
    <w:p>
      <w:pPr>
        <w:spacing w:after="0" w:line="188" w:lineRule="auto"/>
        <w:rPr>
          <w:sz w:val="20"/>
          <w:szCs w:val="20"/>
          <w:color w:val="auto"/>
        </w:rPr>
      </w:pPr>
      <w:r>
        <w:rPr>
          <w:rFonts w:ascii="Arial" w:cs="Arial" w:eastAsia="Arial" w:hAnsi="Arial"/>
          <w:sz w:val="9"/>
          <w:szCs w:val="9"/>
          <w:color w:val="FFFFFF"/>
        </w:rPr>
        <w:t>346537</w:t>
      </w:r>
    </w:p>
    <w:p>
      <w:pPr>
        <w:spacing w:after="0" w:line="188" w:lineRule="auto"/>
        <w:rPr>
          <w:sz w:val="20"/>
          <w:szCs w:val="20"/>
          <w:color w:val="auto"/>
        </w:rPr>
      </w:pPr>
      <w:r>
        <w:rPr>
          <w:rFonts w:ascii="Arial" w:cs="Arial" w:eastAsia="Arial" w:hAnsi="Arial"/>
          <w:sz w:val="7"/>
          <w:szCs w:val="7"/>
          <w:color w:val="FFFFFF"/>
        </w:rPr>
        <w:t>139,437Total</w:t>
      </w:r>
      <w:r>
        <w:rPr>
          <w:rFonts w:ascii="Arial" w:cs="Arial" w:eastAsia="Arial" w:hAnsi="Arial"/>
          <w:sz w:val="9"/>
          <w:szCs w:val="9"/>
          <w:color w:val="FFFFFF"/>
          <w:vertAlign w:val="superscript"/>
        </w:rPr>
        <w:t>57856</w:t>
      </w:r>
      <w:r>
        <w:rPr>
          <w:rFonts w:ascii="Arial" w:cs="Arial" w:eastAsia="Arial" w:hAnsi="Arial"/>
          <w:sz w:val="7"/>
          <w:szCs w:val="7"/>
          <w:color w:val="FFFFFF"/>
        </w:rPr>
        <w:t>compensation paid to senior/key management personnel</w:t>
      </w:r>
    </w:p>
    <w:p>
      <w:pPr>
        <w:spacing w:after="0"/>
        <w:rPr>
          <w:sz w:val="20"/>
          <w:szCs w:val="20"/>
          <w:color w:val="auto"/>
        </w:rPr>
      </w:pPr>
      <w:r>
        <w:rPr>
          <w:rFonts w:ascii="Arial" w:cs="Arial" w:eastAsia="Arial" w:hAnsi="Arial"/>
          <w:sz w:val="3"/>
          <w:szCs w:val="3"/>
          <w:color w:val="FFFFFF"/>
        </w:rPr>
        <w:t>Further details of Directors’ emoluments are included in note 25 to the fi nancial statements.</w:t>
      </w:r>
    </w:p>
    <w:p>
      <w:pPr>
        <w:spacing w:after="0" w:line="194" w:lineRule="auto"/>
        <w:rPr>
          <w:sz w:val="20"/>
          <w:szCs w:val="20"/>
          <w:color w:val="auto"/>
        </w:rPr>
      </w:pPr>
      <w:r>
        <w:rPr>
          <w:rFonts w:ascii="Arial" w:cs="Arial" w:eastAsia="Arial" w:hAnsi="Arial"/>
          <w:sz w:val="5"/>
          <w:szCs w:val="5"/>
          <w:color w:val="FFFFFF"/>
        </w:rPr>
        <w:t>28. FINANCIAL RISK MANAGEMENT OBJECTIVES AND POLICIES</w:t>
      </w:r>
    </w:p>
    <w:p>
      <w:pPr>
        <w:spacing w:after="0"/>
        <w:rPr>
          <w:sz w:val="20"/>
          <w:szCs w:val="20"/>
          <w:color w:val="auto"/>
        </w:rPr>
      </w:pPr>
      <w:r>
        <w:rPr>
          <w:rFonts w:ascii="Arial" w:cs="Arial" w:eastAsia="Arial" w:hAnsi="Arial"/>
          <w:sz w:val="7"/>
          <w:szCs w:val="7"/>
          <w:color w:val="FFFFFF"/>
        </w:rPr>
        <w:t>The Group’s principal fi nancial liabilities, other than derivatives, comprise bank loans, accounts payable and other payables. The main purpose of these fi nancial liabilities is to fi nance the Group’s construction activities and its operations. The Group has various fi nancial assets such as trade receivables and cash and deposits, which arise directly from its operations.</w:t>
      </w:r>
    </w:p>
    <w:p>
      <w:pPr>
        <w:spacing w:after="0" w:line="1" w:lineRule="exact"/>
        <w:rPr>
          <w:sz w:val="20"/>
          <w:szCs w:val="20"/>
          <w:color w:val="auto"/>
        </w:rPr>
      </w:pPr>
    </w:p>
    <w:p>
      <w:pPr>
        <w:ind w:right="1620"/>
        <w:spacing w:after="0"/>
        <w:rPr>
          <w:sz w:val="20"/>
          <w:szCs w:val="20"/>
          <w:color w:val="auto"/>
        </w:rPr>
      </w:pPr>
      <w:r>
        <w:rPr>
          <w:rFonts w:ascii="Arial" w:cs="Arial" w:eastAsia="Arial" w:hAnsi="Arial"/>
          <w:sz w:val="6"/>
          <w:szCs w:val="6"/>
          <w:color w:val="FFFFFF"/>
        </w:rPr>
        <w:t xml:space="preserve">The Group also enters into derivative transactions, primarily interest rate </w:t>
      </w:r>
      <w:r>
        <w:rPr>
          <w:rFonts w:ascii="Arial" w:cs="Arial" w:eastAsia="Arial" w:hAnsi="Arial"/>
          <w:sz w:val="7"/>
          <w:szCs w:val="7"/>
          <w:color w:val="FFFFFF"/>
          <w:vertAlign w:val="superscript"/>
        </w:rPr>
        <w:t>swaps</w:t>
      </w:r>
      <w:r>
        <w:rPr>
          <w:rFonts w:ascii="Arial" w:cs="Arial" w:eastAsia="Arial" w:hAnsi="Arial"/>
          <w:sz w:val="6"/>
          <w:szCs w:val="6"/>
          <w:color w:val="FFFFFF"/>
        </w:rPr>
        <w:t xml:space="preserve"> contracts. The purpose is to manage the interest rate risks arising from the Group’s operations and its sources of fi nance. It is, and has been throughout 2011 and 2010, the Group’ policy that no trading in derivatives should be undertaken.</w:t>
      </w:r>
    </w:p>
    <w:p>
      <w:pPr>
        <w:spacing w:after="0" w:line="1" w:lineRule="exact"/>
        <w:rPr>
          <w:sz w:val="20"/>
          <w:szCs w:val="20"/>
          <w:color w:val="auto"/>
        </w:rPr>
      </w:pPr>
    </w:p>
    <w:p>
      <w:pPr>
        <w:ind w:right="480"/>
        <w:spacing w:after="0" w:line="190" w:lineRule="auto"/>
        <w:rPr>
          <w:sz w:val="20"/>
          <w:szCs w:val="20"/>
          <w:color w:val="auto"/>
        </w:rPr>
      </w:pPr>
      <w:r>
        <w:rPr>
          <w:rFonts w:ascii="Arial" w:cs="Arial" w:eastAsia="Arial" w:hAnsi="Arial"/>
          <w:sz w:val="11"/>
          <w:szCs w:val="11"/>
          <w:color w:val="FFFFFF"/>
        </w:rPr>
        <w:t>The main risks arising from the Group’s fi nancial instruments are cash fl ow interest rate risk, foreign currency risk, credit risk and liquidity risks. The Board of Directors reviews and agrees policies for managing each of these risks, which are summarized below.</w:t>
      </w:r>
    </w:p>
    <w:p>
      <w:pPr>
        <w:sectPr>
          <w:pgSz w:w="11900" w:h="16838" w:orient="portrait"/>
          <w:cols w:equalWidth="0" w:num="1">
            <w:col w:w="11400"/>
          </w:cols>
          <w:pgMar w:left="240" w:top="1440" w:right="25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20"/>
                <w:szCs w:val="20"/>
                <w:color w:val="auto"/>
              </w:rPr>
            </w:pPr>
            <w:r>
              <w:rPr>
                <w:rFonts w:ascii="Arial" w:cs="Arial" w:eastAsia="Arial" w:hAnsi="Arial"/>
                <w:sz w:val="14"/>
                <w:szCs w:val="14"/>
                <w:color w:val="FFFFFF"/>
              </w:rPr>
              <w:t>152 Wynn Macau, Limited</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280" w:type="dxa"/>
            <w:vAlign w:val="bottom"/>
          </w:tcPr>
          <w:p>
            <w:pPr>
              <w:spacing w:after="0"/>
              <w:rPr>
                <w:sz w:val="20"/>
                <w:szCs w:val="20"/>
                <w:color w:val="auto"/>
              </w:rPr>
            </w:pPr>
            <w:r>
              <w:rPr>
                <w:rFonts w:ascii="Arial" w:cs="Arial" w:eastAsia="Arial" w:hAnsi="Arial"/>
                <w:sz w:val="3"/>
                <w:szCs w:val="3"/>
                <w:color w:val="FFFFFF"/>
              </w:rPr>
              <w:t>Financial Statements</w:t>
            </w: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8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9280" w:type="dxa"/>
            <w:vAlign w:val="bottom"/>
          </w:tcPr>
          <w:p>
            <w:pPr>
              <w:spacing w:after="0" w:line="108" w:lineRule="exact"/>
              <w:rPr>
                <w:sz w:val="20"/>
                <w:szCs w:val="20"/>
                <w:color w:val="auto"/>
              </w:rPr>
            </w:pPr>
            <w:r>
              <w:rPr>
                <w:rFonts w:ascii="Arial" w:cs="Arial" w:eastAsia="Arial" w:hAnsi="Arial"/>
                <w:sz w:val="12"/>
                <w:szCs w:val="12"/>
                <w:color w:val="FFFFFF"/>
              </w:rPr>
              <w:t>For the year ended 31 December 2011</w:t>
            </w: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280" w:type="dxa"/>
            <w:vAlign w:val="bottom"/>
          </w:tcPr>
          <w:p>
            <w:pPr>
              <w:spacing w:after="0"/>
              <w:rPr>
                <w:sz w:val="20"/>
                <w:szCs w:val="20"/>
                <w:color w:val="auto"/>
              </w:rPr>
            </w:pPr>
            <w:r>
              <w:rPr>
                <w:rFonts w:ascii="Arial" w:cs="Arial" w:eastAsia="Arial" w:hAnsi="Arial"/>
                <w:sz w:val="3"/>
                <w:szCs w:val="3"/>
                <w:color w:val="FFFFFF"/>
              </w:rPr>
              <w:t>28. FINANCIAL RISK MANAGEMENT OBJECTIVES AND POLICIES (continued)</w:t>
            </w: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80" w:type="dxa"/>
            <w:vAlign w:val="bottom"/>
          </w:tcPr>
          <w:p>
            <w:pPr>
              <w:spacing w:after="0"/>
              <w:rPr>
                <w:sz w:val="20"/>
                <w:szCs w:val="20"/>
                <w:color w:val="auto"/>
              </w:rPr>
            </w:pPr>
            <w:r>
              <w:rPr>
                <w:rFonts w:ascii="Arial" w:cs="Arial" w:eastAsia="Arial" w:hAnsi="Arial"/>
                <w:sz w:val="3"/>
                <w:szCs w:val="3"/>
                <w:color w:val="FFFFFF"/>
              </w:rPr>
              <w:t>Int rest rate risk</w:t>
            </w: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Group’s primary exposure is changes in market interest rates associated with  s bank loans that bear interest based on variable rates. The Group attempts to manage interest rate risk by managing the mix of</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long-term fi xed rate borrowings and variable rate borrowings, and through interest rate swap arrangements. These risk management strategies may not always have the desired effect, and interest rate fl</w:t>
            </w:r>
          </w:p>
        </w:tc>
        <w:tc>
          <w:tcPr>
            <w:tcW w:w="0" w:type="dxa"/>
            <w:vAlign w:val="bottom"/>
          </w:tcPr>
          <w:p>
            <w:pPr>
              <w:spacing w:after="0"/>
              <w:rPr>
                <w:sz w:val="1"/>
                <w:szCs w:val="1"/>
                <w:color w:val="auto"/>
              </w:rPr>
            </w:pPr>
          </w:p>
        </w:tc>
      </w:tr>
      <w:tr>
        <w:trPr>
          <w:trHeight w:val="41"/>
        </w:trPr>
        <w:tc>
          <w:tcPr>
            <w:tcW w:w="9280" w:type="dxa"/>
            <w:vAlign w:val="bottom"/>
          </w:tcPr>
          <w:p>
            <w:pPr>
              <w:spacing w:after="0"/>
              <w:rPr>
                <w:sz w:val="20"/>
                <w:szCs w:val="20"/>
                <w:color w:val="auto"/>
              </w:rPr>
            </w:pPr>
            <w:r>
              <w:rPr>
                <w:rFonts w:ascii="Arial" w:cs="Arial" w:eastAsia="Arial" w:hAnsi="Arial"/>
                <w:sz w:val="3"/>
                <w:szCs w:val="3"/>
                <w:color w:val="FFFFFF"/>
              </w:rPr>
              <w:t>uctuations could have a negative impact on the results of operations.</w:t>
            </w: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80" w:type="dxa"/>
            <w:vAlign w:val="bottom"/>
          </w:tcPr>
          <w:p>
            <w:pPr>
              <w:spacing w:after="0"/>
              <w:rPr>
                <w:sz w:val="20"/>
                <w:szCs w:val="20"/>
                <w:color w:val="auto"/>
              </w:rPr>
            </w:pPr>
            <w:r>
              <w:rPr>
                <w:rFonts w:ascii="Arial" w:cs="Arial" w:eastAsia="Arial" w:hAnsi="Arial"/>
                <w:sz w:val="3"/>
                <w:szCs w:val="3"/>
                <w:color w:val="FFFFFF"/>
              </w:rPr>
              <w:t>Interest rate sensitivity</w:t>
            </w: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As at 31 December 2011 and 2010, all of the interest-bearing loans and borrowings were variable rate borrowings based on LIBOR   HIBOR plus a margin. However, the Group has entered into interest rate</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swaps that effectively fi x the interest rate for approximately 48% of the interest-bearing loans in 2011 (2010: 89%). Based on borrowings at 31 December 2011, an assumed 1% change in the variable rates</w:t>
            </w:r>
          </w:p>
        </w:tc>
        <w:tc>
          <w:tcPr>
            <w:tcW w:w="0" w:type="dxa"/>
            <w:vAlign w:val="bottom"/>
          </w:tcPr>
          <w:p>
            <w:pPr>
              <w:spacing w:after="0"/>
              <w:rPr>
                <w:sz w:val="1"/>
                <w:szCs w:val="1"/>
                <w:color w:val="auto"/>
              </w:rPr>
            </w:pPr>
          </w:p>
        </w:tc>
      </w:tr>
      <w:tr>
        <w:trPr>
          <w:trHeight w:val="41"/>
        </w:trPr>
        <w:tc>
          <w:tcPr>
            <w:tcW w:w="9280" w:type="dxa"/>
            <w:vAlign w:val="bottom"/>
          </w:tcPr>
          <w:p>
            <w:pPr>
              <w:spacing w:after="0"/>
              <w:rPr>
                <w:sz w:val="20"/>
                <w:szCs w:val="20"/>
                <w:color w:val="auto"/>
              </w:rPr>
            </w:pPr>
            <w:r>
              <w:rPr>
                <w:rFonts w:ascii="Arial" w:cs="Arial" w:eastAsia="Arial" w:hAnsi="Arial"/>
                <w:sz w:val="3"/>
                <w:szCs w:val="3"/>
                <w:color w:val="FFFFFF"/>
              </w:rPr>
              <w:t>would cause the annual interest expenses, without adjusting for any amounts to be capitalized, to change by HK$25.5 million (2010: HK$5.5 million).</w:t>
            </w: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80" w:type="dxa"/>
            <w:vAlign w:val="bottom"/>
          </w:tcPr>
          <w:p>
            <w:pPr>
              <w:spacing w:after="0"/>
              <w:rPr>
                <w:sz w:val="20"/>
                <w:szCs w:val="20"/>
                <w:color w:val="auto"/>
              </w:rPr>
            </w:pPr>
            <w:r>
              <w:rPr>
                <w:rFonts w:ascii="Arial" w:cs="Arial" w:eastAsia="Arial" w:hAnsi="Arial"/>
                <w:sz w:val="3"/>
                <w:szCs w:val="3"/>
                <w:color w:val="FFFFFF"/>
              </w:rPr>
              <w:t>Foreign currency risk</w:t>
            </w:r>
          </w:p>
        </w:tc>
        <w:tc>
          <w:tcPr>
            <w:tcW w:w="2140" w:type="dxa"/>
            <w:vAlign w:val="bottom"/>
            <w:vMerge w:val="restart"/>
          </w:tcPr>
          <w:p>
            <w:pPr>
              <w:ind w:left="380"/>
              <w:spacing w:after="0"/>
              <w:rPr>
                <w:sz w:val="20"/>
                <w:szCs w:val="20"/>
                <w:color w:val="auto"/>
              </w:rPr>
            </w:pPr>
            <w:r>
              <w:rPr>
                <w:rFonts w:ascii="Arial" w:cs="Arial" w:eastAsia="Arial" w:hAnsi="Arial"/>
                <w:sz w:val="3"/>
                <w:szCs w:val="3"/>
                <w:color w:val="FFFFFF"/>
              </w:rPr>
              <w:t>fi nancial statements. Assets and</w:t>
            </w:r>
          </w:p>
        </w:tc>
        <w:tc>
          <w:tcPr>
            <w:tcW w:w="0" w:type="dxa"/>
            <w:vAlign w:val="bottom"/>
          </w:tcPr>
          <w:p>
            <w:pPr>
              <w:spacing w:after="0"/>
              <w:rPr>
                <w:sz w:val="1"/>
                <w:szCs w:val="1"/>
                <w:color w:val="auto"/>
              </w:rPr>
            </w:pPr>
          </w:p>
        </w:tc>
      </w:tr>
      <w:tr>
        <w:trPr>
          <w:trHeight w:val="0"/>
        </w:trPr>
        <w:tc>
          <w:tcPr>
            <w:tcW w:w="9280" w:type="dxa"/>
            <w:vAlign w:val="bottom"/>
          </w:tcPr>
          <w:p>
            <w:pPr>
              <w:spacing w:after="0" w:line="80" w:lineRule="exact"/>
              <w:rPr>
                <w:sz w:val="20"/>
                <w:szCs w:val="20"/>
                <w:color w:val="auto"/>
              </w:rPr>
            </w:pPr>
            <w:r>
              <w:rPr>
                <w:rFonts w:ascii="Arial" w:cs="Arial" w:eastAsia="Arial" w:hAnsi="Arial"/>
                <w:sz w:val="9"/>
                <w:szCs w:val="9"/>
                <w:color w:val="FFFFFF"/>
              </w:rPr>
              <w:t>The fi nancial statements of foreign operations are translated into Hong Kong dollars, the Company and the Group’s presentation currency, for incorporation into the</w:t>
            </w:r>
          </w:p>
        </w:tc>
        <w:tc>
          <w:tcPr>
            <w:tcW w:w="2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0"/>
        <w:spacing w:after="0"/>
        <w:rPr>
          <w:sz w:val="20"/>
          <w:szCs w:val="20"/>
          <w:color w:val="auto"/>
        </w:rPr>
      </w:pPr>
      <w:r>
        <w:rPr>
          <w:rFonts w:ascii="Arial" w:cs="Arial" w:eastAsia="Arial" w:hAnsi="Arial"/>
          <w:sz w:val="8"/>
          <w:szCs w:val="8"/>
          <w:color w:val="FFFFFF"/>
        </w:rPr>
        <w:t>liabilities are translated at the prevailing foreign exchange rates in effect at the statement of fi nancial position date. Income, expenditure and cash fl ow items are measuredconsolidatedthe actual foreign exchange rates or average foreign exchange rates for the period. The Hong Kong dollar is linked to the U.S. dollar and the exchange rate between these two currencies has remained relatively stable over the past several years. However, the exchange linkages of the Hong Kong dollar and the Macau pataca to the U.S. dollar, are subject to potential changes due to, among other things, changes in governmental policies and international economic and political developments. In particular, the Company and the Group are exposed to foreign exchange risks arising primarily with respect to the Offshore RMB, which does not have pegged exchange linkages to the U.S. dollar, Hong Kong dollar or Macau pataca.</w:t>
      </w:r>
    </w:p>
    <w:p>
      <w:pPr>
        <w:sectPr>
          <w:pgSz w:w="11900" w:h="16838" w:orient="portrait"/>
          <w:cols w:equalWidth="0" w:num="1">
            <w:col w:w="11420"/>
          </w:cols>
          <w:pgMar w:left="240" w:top="1440" w:right="23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color w:val="FFFFFF"/>
              </w:rPr>
              <w:t>Annual Report 2011 153</w:t>
            </w: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3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13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940" w:type="dxa"/>
            <w:vAlign w:val="bottom"/>
            <w:gridSpan w:val="3"/>
          </w:tcPr>
          <w:p>
            <w:pPr>
              <w:spacing w:after="0" w:line="108" w:lineRule="exact"/>
              <w:rPr>
                <w:sz w:val="20"/>
                <w:szCs w:val="20"/>
                <w:color w:val="auto"/>
              </w:rPr>
            </w:pPr>
            <w:r>
              <w:rPr>
                <w:rFonts w:ascii="Arial" w:cs="Arial" w:eastAsia="Arial" w:hAnsi="Arial"/>
                <w:sz w:val="12"/>
                <w:szCs w:val="12"/>
                <w:color w:val="FFFFFF"/>
              </w:rPr>
              <w:t>For the year ended 31 December 2011</w:t>
            </w:r>
          </w:p>
        </w:tc>
        <w:tc>
          <w:tcPr>
            <w:tcW w:w="2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060" w:type="dxa"/>
            <w:vAlign w:val="bottom"/>
            <w:gridSpan w:val="4"/>
          </w:tcPr>
          <w:p>
            <w:pPr>
              <w:spacing w:after="0"/>
              <w:rPr>
                <w:sz w:val="20"/>
                <w:szCs w:val="20"/>
                <w:color w:val="auto"/>
              </w:rPr>
            </w:pPr>
            <w:r>
              <w:rPr>
                <w:rFonts w:ascii="Arial" w:cs="Arial" w:eastAsia="Arial" w:hAnsi="Arial"/>
                <w:sz w:val="3"/>
                <w:szCs w:val="3"/>
                <w:color w:val="FFFFFF"/>
              </w:rPr>
              <w:t>28. FINANCIAL RISK MANAGEMENT OBJECTIVES AND POLICIES (continued)</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Foreign currency sensitivity</w:t>
            </w:r>
          </w:p>
        </w:tc>
        <w:tc>
          <w:tcPr>
            <w:tcW w:w="1300" w:type="dxa"/>
            <w:vAlign w:val="bottom"/>
          </w:tcPr>
          <w:p>
            <w:pPr>
              <w:spacing w:after="0"/>
              <w:rPr>
                <w:sz w:val="3"/>
                <w:szCs w:val="3"/>
                <w:color w:val="auto"/>
              </w:rPr>
            </w:pPr>
          </w:p>
        </w:tc>
        <w:tc>
          <w:tcPr>
            <w:tcW w:w="4600" w:type="dxa"/>
            <w:vAlign w:val="bottom"/>
            <w:gridSpan w:val="2"/>
            <w:vMerge w:val="restart"/>
          </w:tcPr>
          <w:p>
            <w:pPr>
              <w:ind w:left="60"/>
              <w:spacing w:after="0" w:line="81" w:lineRule="exact"/>
              <w:rPr>
                <w:sz w:val="20"/>
                <w:szCs w:val="20"/>
                <w:color w:val="auto"/>
              </w:rPr>
            </w:pPr>
            <w:r>
              <w:rPr>
                <w:rFonts w:ascii="Arial" w:cs="Arial" w:eastAsia="Arial" w:hAnsi="Arial"/>
                <w:sz w:val="9"/>
                <w:szCs w:val="9"/>
                <w:color w:val="FFFFFF"/>
              </w:rPr>
              <w:t>net liability position where the Group had more liabilities than assets that were</w:t>
            </w:r>
          </w:p>
        </w:tc>
        <w:tc>
          <w:tcPr>
            <w:tcW w:w="1800" w:type="dxa"/>
            <w:vAlign w:val="bottom"/>
            <w:vMerge w:val="restart"/>
          </w:tcPr>
          <w:p>
            <w:pPr>
              <w:ind w:left="480"/>
              <w:spacing w:after="0" w:line="81" w:lineRule="exact"/>
              <w:rPr>
                <w:sz w:val="20"/>
                <w:szCs w:val="20"/>
                <w:color w:val="auto"/>
              </w:rPr>
            </w:pPr>
            <w:r>
              <w:rPr>
                <w:rFonts w:ascii="Arial" w:cs="Arial" w:eastAsia="Arial" w:hAnsi="Arial"/>
                <w:sz w:val="9"/>
                <w:szCs w:val="9"/>
                <w:color w:val="FFFFFF"/>
              </w:rPr>
              <w:t>in U.S. dollars. Based</w:t>
            </w:r>
          </w:p>
        </w:tc>
        <w:tc>
          <w:tcPr>
            <w:tcW w:w="206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the liability position at 31 December</w:t>
            </w:r>
          </w:p>
        </w:tc>
        <w:tc>
          <w:tcPr>
            <w:tcW w:w="0" w:type="dxa"/>
            <w:vAlign w:val="bottom"/>
          </w:tcPr>
          <w:p>
            <w:pPr>
              <w:spacing w:after="0"/>
              <w:rPr>
                <w:sz w:val="1"/>
                <w:szCs w:val="1"/>
                <w:color w:val="auto"/>
              </w:rPr>
            </w:pPr>
          </w:p>
        </w:tc>
      </w:tr>
      <w:tr>
        <w:trPr>
          <w:trHeight w:val="41"/>
        </w:trPr>
        <w:tc>
          <w:tcPr>
            <w:tcW w:w="2940" w:type="dxa"/>
            <w:vAlign w:val="bottom"/>
            <w:gridSpan w:val="3"/>
          </w:tcPr>
          <w:p>
            <w:pPr>
              <w:spacing w:after="0"/>
              <w:rPr>
                <w:sz w:val="20"/>
                <w:szCs w:val="20"/>
                <w:color w:val="auto"/>
              </w:rPr>
            </w:pPr>
            <w:r>
              <w:rPr>
                <w:rFonts w:ascii="Arial" w:cs="Arial" w:eastAsia="Arial" w:hAnsi="Arial"/>
                <w:sz w:val="3"/>
                <w:szCs w:val="3"/>
                <w:color w:val="FFFFFF"/>
              </w:rPr>
              <w:t>As at 31 December 2011 and 2010, the Group was in</w:t>
            </w:r>
          </w:p>
        </w:tc>
        <w:tc>
          <w:tcPr>
            <w:tcW w:w="4600" w:type="dxa"/>
            <w:vAlign w:val="bottom"/>
            <w:gridSpan w:val="2"/>
            <w:vMerge w:val="continue"/>
          </w:tcPr>
          <w:p>
            <w:pPr>
              <w:spacing w:after="0"/>
              <w:rPr>
                <w:sz w:val="3"/>
                <w:szCs w:val="3"/>
                <w:color w:val="auto"/>
              </w:rPr>
            </w:pPr>
          </w:p>
        </w:tc>
        <w:tc>
          <w:tcPr>
            <w:tcW w:w="1800" w:type="dxa"/>
            <w:vAlign w:val="bottom"/>
            <w:vMerge w:val="continue"/>
          </w:tcPr>
          <w:p>
            <w:pPr>
              <w:spacing w:after="0"/>
              <w:rPr>
                <w:sz w:val="3"/>
                <w:szCs w:val="3"/>
                <w:color w:val="auto"/>
              </w:rPr>
            </w:pPr>
          </w:p>
        </w:tc>
        <w:tc>
          <w:tcPr>
            <w:tcW w:w="2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40" w:type="dxa"/>
            <w:vAlign w:val="bottom"/>
            <w:gridSpan w:val="3"/>
          </w:tcPr>
          <w:p>
            <w:pPr>
              <w:spacing w:after="0"/>
              <w:rPr>
                <w:sz w:val="20"/>
                <w:szCs w:val="20"/>
                <w:color w:val="auto"/>
              </w:rPr>
            </w:pPr>
            <w:r>
              <w:rPr>
                <w:rFonts w:ascii="Arial" w:cs="Arial" w:eastAsia="Arial" w:hAnsi="Arial"/>
                <w:sz w:val="3"/>
                <w:szCs w:val="3"/>
                <w:color w:val="FFFFFF"/>
              </w:rPr>
              <w:t>2011, an assumed 1% increase or decrease in the</w:t>
            </w:r>
          </w:p>
        </w:tc>
        <w:tc>
          <w:tcPr>
            <w:tcW w:w="8460" w:type="dxa"/>
            <w:vAlign w:val="bottom"/>
            <w:gridSpan w:val="4"/>
          </w:tcPr>
          <w:p>
            <w:pPr>
              <w:ind w:left="60"/>
              <w:spacing w:after="0"/>
              <w:rPr>
                <w:sz w:val="20"/>
                <w:szCs w:val="20"/>
                <w:color w:val="auto"/>
              </w:rPr>
            </w:pPr>
            <w:r>
              <w:rPr>
                <w:rFonts w:ascii="Arial" w:cs="Arial" w:eastAsia="Arial" w:hAnsi="Arial"/>
                <w:sz w:val="3"/>
                <w:szCs w:val="3"/>
                <w:color w:val="FFFFFF"/>
              </w:rPr>
              <w:t>of the Hong Kong dollar against the U.S. dollar would cause the Group to recognizedenominatedgainor loss of HK$13.8 million (2010: HK$10.5 million). As for</w:t>
            </w: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Offshore RMB, the</w:t>
            </w:r>
          </w:p>
        </w:tc>
        <w:tc>
          <w:tcPr>
            <w:tcW w:w="9760" w:type="dxa"/>
            <w:vAlign w:val="bottom"/>
            <w:gridSpan w:val="5"/>
          </w:tcPr>
          <w:p>
            <w:pPr>
              <w:jc w:val="right"/>
              <w:spacing w:after="0"/>
              <w:rPr>
                <w:sz w:val="20"/>
                <w:szCs w:val="20"/>
                <w:color w:val="auto"/>
              </w:rPr>
            </w:pPr>
            <w:r>
              <w:rPr>
                <w:rFonts w:ascii="Arial" w:cs="Arial" w:eastAsia="Arial" w:hAnsi="Arial"/>
                <w:sz w:val="3"/>
                <w:szCs w:val="3"/>
                <w:color w:val="FFFFFF"/>
              </w:rPr>
              <w:t>and the Group was valueinnet asset position where the Company and the Group had more assets than liabilities that were denominated in Offshore RMB. Based on the asset position at</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31 December 2011, Companyassumed 1% increase or decrease in the value of the Hong Kong dollar against the Offshore RMB would cause the Company and the Group to recognize a loss or gain of HK$15.9 million</w:t>
            </w: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(2010:nil).</w:t>
            </w:r>
          </w:p>
        </w:tc>
        <w:tc>
          <w:tcPr>
            <w:tcW w:w="13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Credit risk</w:t>
            </w:r>
          </w:p>
        </w:tc>
        <w:tc>
          <w:tcPr>
            <w:tcW w:w="13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340" w:type="dxa"/>
            <w:vAlign w:val="bottom"/>
            <w:gridSpan w:val="6"/>
          </w:tcPr>
          <w:p>
            <w:pPr>
              <w:spacing w:after="0"/>
              <w:rPr>
                <w:sz w:val="20"/>
                <w:szCs w:val="20"/>
                <w:color w:val="auto"/>
              </w:rPr>
            </w:pPr>
            <w:r>
              <w:rPr>
                <w:rFonts w:ascii="Arial" w:cs="Arial" w:eastAsia="Arial" w:hAnsi="Arial"/>
                <w:sz w:val="3"/>
                <w:szCs w:val="3"/>
                <w:color w:val="FFFFFF"/>
              </w:rPr>
              <w:t>Financial instruments that potentially subject the Group to concentrations of credit risk consist principally of casino accounts receivable and available-for-sale investments.</w:t>
            </w: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40" w:type="dxa"/>
            <w:vAlign w:val="bottom"/>
            <w:gridSpan w:val="5"/>
          </w:tcPr>
          <w:p>
            <w:pPr>
              <w:spacing w:after="0"/>
              <w:rPr>
                <w:sz w:val="20"/>
                <w:szCs w:val="20"/>
                <w:color w:val="auto"/>
              </w:rPr>
            </w:pPr>
            <w:r>
              <w:rPr>
                <w:rFonts w:ascii="Arial" w:cs="Arial" w:eastAsia="Arial" w:hAnsi="Arial"/>
                <w:sz w:val="3"/>
                <w:szCs w:val="3"/>
                <w:color w:val="FFFFFF"/>
              </w:rPr>
              <w:t>The Group issues credit in the form of markers to approved casino customers following investigations of creditworthiness. The Group</w:t>
            </w:r>
          </w:p>
        </w:tc>
        <w:tc>
          <w:tcPr>
            <w:tcW w:w="3860" w:type="dxa"/>
            <w:vAlign w:val="bottom"/>
            <w:gridSpan w:val="2"/>
          </w:tcPr>
          <w:p>
            <w:pPr>
              <w:jc w:val="right"/>
              <w:ind w:right="329"/>
              <w:spacing w:after="0"/>
              <w:rPr>
                <w:sz w:val="20"/>
                <w:szCs w:val="20"/>
                <w:color w:val="auto"/>
              </w:rPr>
            </w:pPr>
            <w:r>
              <w:rPr>
                <w:rFonts w:ascii="Arial" w:cs="Arial" w:eastAsia="Arial" w:hAnsi="Arial"/>
                <w:sz w:val="3"/>
                <w:szCs w:val="3"/>
                <w:color w:val="FFFFFF"/>
              </w:rPr>
              <w:t>strict control over the issuance of markers and aggressively</w:t>
            </w:r>
          </w:p>
        </w:tc>
        <w:tc>
          <w:tcPr>
            <w:tcW w:w="0" w:type="dxa"/>
            <w:vAlign w:val="bottom"/>
          </w:tcPr>
          <w:p>
            <w:pPr>
              <w:spacing w:after="0"/>
              <w:rPr>
                <w:sz w:val="1"/>
                <w:szCs w:val="1"/>
                <w:color w:val="auto"/>
              </w:rPr>
            </w:pPr>
          </w:p>
        </w:tc>
      </w:tr>
      <w:tr>
        <w:trPr>
          <w:trHeight w:val="41"/>
        </w:trPr>
        <w:tc>
          <w:tcPr>
            <w:tcW w:w="9340" w:type="dxa"/>
            <w:vAlign w:val="bottom"/>
            <w:gridSpan w:val="6"/>
          </w:tcPr>
          <w:p>
            <w:pPr>
              <w:spacing w:after="0"/>
              <w:rPr>
                <w:sz w:val="20"/>
                <w:szCs w:val="20"/>
                <w:color w:val="auto"/>
              </w:rPr>
            </w:pPr>
            <w:r>
              <w:rPr>
                <w:rFonts w:ascii="Arial" w:cs="Arial" w:eastAsia="Arial" w:hAnsi="Arial"/>
                <w:sz w:val="3"/>
                <w:szCs w:val="3"/>
                <w:color w:val="FFFFFF"/>
              </w:rPr>
              <w:t>pursues collection from those customers who fail to pay their marker balances on  timely basis. These collection efforts may include themaintainsing of statements and</w:t>
            </w:r>
          </w:p>
        </w:tc>
        <w:tc>
          <w:tcPr>
            <w:tcW w:w="2060" w:type="dxa"/>
            <w:vAlign w:val="bottom"/>
          </w:tcPr>
          <w:p>
            <w:pPr>
              <w:jc w:val="right"/>
              <w:spacing w:after="0"/>
              <w:rPr>
                <w:sz w:val="20"/>
                <w:szCs w:val="20"/>
                <w:color w:val="auto"/>
              </w:rPr>
            </w:pPr>
            <w:r>
              <w:rPr>
                <w:rFonts w:ascii="Arial" w:cs="Arial" w:eastAsia="Arial" w:hAnsi="Arial"/>
                <w:sz w:val="3"/>
                <w:szCs w:val="3"/>
                <w:color w:val="FFFFFF"/>
              </w:rPr>
              <w:t>notices, personal contacts, the use</w:t>
            </w: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4900" w:type="dxa"/>
            <w:vAlign w:val="bottom"/>
            <w:gridSpan w:val="3"/>
          </w:tcPr>
          <w:p>
            <w:pPr>
              <w:spacing w:after="0"/>
              <w:rPr>
                <w:sz w:val="20"/>
                <w:szCs w:val="20"/>
                <w:color w:val="auto"/>
              </w:rPr>
            </w:pPr>
            <w:r>
              <w:rPr>
                <w:rFonts w:ascii="Arial" w:cs="Arial" w:eastAsia="Arial" w:hAnsi="Arial"/>
                <w:sz w:val="3"/>
                <w:szCs w:val="3"/>
                <w:color w:val="FFFFFF"/>
              </w:rPr>
              <w:t>outside collection agencies, and litigation. Markers are generally legally enforceable</w:t>
            </w:r>
          </w:p>
        </w:tc>
        <w:tc>
          <w:tcPr>
            <w:tcW w:w="6340" w:type="dxa"/>
            <w:vAlign w:val="bottom"/>
            <w:gridSpan w:val="3"/>
          </w:tcPr>
          <w:p>
            <w:pPr>
              <w:jc w:val="right"/>
              <w:spacing w:after="0"/>
              <w:rPr>
                <w:sz w:val="20"/>
                <w:szCs w:val="20"/>
                <w:color w:val="auto"/>
              </w:rPr>
            </w:pPr>
            <w:r>
              <w:rPr>
                <w:rFonts w:ascii="Arial" w:cs="Arial" w:eastAsia="Arial" w:hAnsi="Arial"/>
                <w:sz w:val="3"/>
                <w:szCs w:val="3"/>
                <w:color w:val="FFFFFF"/>
              </w:rPr>
              <w:t>in Macau, however, markers are not legally enforceable instrumentsdelinquencysome other countries. The collectibility</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of markers given to foreign customers is affected by a number of factors including changesinstrumentscurrency exchange rates and economic conditions in the customers’ home countries.</w:t>
            </w:r>
          </w:p>
        </w:tc>
        <w:tc>
          <w:tcPr>
            <w:tcW w:w="0" w:type="dxa"/>
            <w:vAlign w:val="bottom"/>
          </w:tcPr>
          <w:p>
            <w:pPr>
              <w:spacing w:after="0"/>
              <w:rPr>
                <w:sz w:val="1"/>
                <w:szCs w:val="1"/>
                <w:color w:val="auto"/>
              </w:rPr>
            </w:pPr>
          </w:p>
        </w:tc>
      </w:tr>
      <w:tr>
        <w:trPr>
          <w:trHeight w:val="0"/>
        </w:trPr>
        <w:tc>
          <w:tcPr>
            <w:tcW w:w="160" w:type="dxa"/>
            <w:vAlign w:val="bottom"/>
          </w:tcPr>
          <w:p>
            <w:pPr>
              <w:ind w:left="80"/>
              <w:spacing w:after="0" w:line="80" w:lineRule="exact"/>
              <w:rPr>
                <w:sz w:val="20"/>
                <w:szCs w:val="20"/>
                <w:color w:val="auto"/>
              </w:rPr>
            </w:pPr>
            <w:r>
              <w:rPr>
                <w:rFonts w:ascii="Arial" w:cs="Arial" w:eastAsia="Arial" w:hAnsi="Arial"/>
                <w:sz w:val="9"/>
                <w:szCs w:val="9"/>
                <w:color w:val="FFFFFF"/>
              </w:rPr>
              <w:t>u</w:t>
            </w:r>
          </w:p>
        </w:tc>
        <w:tc>
          <w:tcPr>
            <w:tcW w:w="9180" w:type="dxa"/>
            <w:vAlign w:val="bottom"/>
            <w:gridSpan w:val="5"/>
          </w:tcPr>
          <w:p>
            <w:pPr>
              <w:ind w:left="280"/>
              <w:spacing w:after="0" w:line="80" w:lineRule="exact"/>
              <w:rPr>
                <w:sz w:val="20"/>
                <w:szCs w:val="20"/>
                <w:color w:val="auto"/>
              </w:rPr>
            </w:pPr>
            <w:r>
              <w:rPr>
                <w:rFonts w:ascii="Arial" w:cs="Arial" w:eastAsia="Arial" w:hAnsi="Arial"/>
                <w:sz w:val="9"/>
                <w:szCs w:val="9"/>
                <w:color w:val="FFFFFF"/>
              </w:rPr>
              <w:t>quantitative data in respect of the Group’s exposure to credit risk arising from trade and other receivables are disclosed   note 15 to the fi nancial statements.</w:t>
            </w: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Forther debt securities classifi ed as available-for-sale investments, the maximum exposure to credit risk at the end of the reporting period is the carrying value as disclosed in note 11 to the fi nancial statements.</w:t>
      </w:r>
    </w:p>
    <w:p>
      <w:pPr>
        <w:sectPr>
          <w:pgSz w:w="11900" w:h="16838" w:orient="portrait"/>
          <w:cols w:equalWidth="0" w:num="1">
            <w:col w:w="11400"/>
          </w:cols>
          <w:pgMar w:left="240" w:top="1440" w:right="25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Financial154WynnStatementsMacau,Limited</w:t>
      </w:r>
    </w:p>
    <w:p>
      <w:pPr>
        <w:spacing w:after="0" w:line="187" w:lineRule="auto"/>
        <w:rPr>
          <w:sz w:val="20"/>
          <w:szCs w:val="20"/>
          <w:color w:val="auto"/>
        </w:rPr>
      </w:pPr>
      <w:r>
        <w:rPr>
          <w:rFonts w:ascii="Arial" w:cs="Arial" w:eastAsia="Arial" w:hAnsi="Arial"/>
          <w:sz w:val="12"/>
          <w:szCs w:val="12"/>
          <w:color w:val="FFFFFF"/>
        </w:rPr>
        <w:t>Notes to Financial Statements</w:t>
      </w:r>
    </w:p>
    <w:p>
      <w:pPr>
        <w:spacing w:after="0" w:line="189" w:lineRule="auto"/>
        <w:rPr>
          <w:sz w:val="20"/>
          <w:szCs w:val="20"/>
          <w:color w:val="auto"/>
        </w:rPr>
      </w:pPr>
      <w:r>
        <w:rPr>
          <w:rFonts w:ascii="Arial" w:cs="Arial" w:eastAsia="Arial" w:hAnsi="Arial"/>
          <w:sz w:val="9"/>
          <w:szCs w:val="9"/>
          <w:color w:val="FFFFFF"/>
        </w:rPr>
        <w:t>For the year ended 31 December 2011</w:t>
      </w:r>
    </w:p>
    <w:p>
      <w:pPr>
        <w:spacing w:after="0"/>
        <w:rPr>
          <w:sz w:val="20"/>
          <w:szCs w:val="20"/>
          <w:color w:val="auto"/>
        </w:rPr>
      </w:pPr>
      <w:r>
        <w:rPr>
          <w:rFonts w:ascii="Arial" w:cs="Arial" w:eastAsia="Arial" w:hAnsi="Arial"/>
          <w:sz w:val="3"/>
          <w:szCs w:val="3"/>
          <w:color w:val="FFFFFF"/>
        </w:rPr>
        <w:t>Liquidity28.FINANCIALrisk RISK MANAGEMENT OBJECTIVES AND POLICIES (continued)</w:t>
      </w:r>
    </w:p>
    <w:p>
      <w:pPr>
        <w:spacing w:after="0" w:line="6" w:lineRule="exact"/>
        <w:rPr>
          <w:sz w:val="20"/>
          <w:szCs w:val="20"/>
          <w:color w:val="auto"/>
        </w:rPr>
      </w:pPr>
    </w:p>
    <w:p>
      <w:pPr>
        <w:ind w:right="120"/>
        <w:spacing w:after="0"/>
        <w:rPr>
          <w:sz w:val="20"/>
          <w:szCs w:val="20"/>
          <w:color w:val="auto"/>
        </w:rPr>
      </w:pPr>
      <w:r>
        <w:rPr>
          <w:rFonts w:ascii="Arial" w:cs="Arial" w:eastAsia="Arial" w:hAnsi="Arial"/>
          <w:sz w:val="6"/>
          <w:szCs w:val="6"/>
          <w:color w:val="FFFFFF"/>
        </w:rPr>
        <w:t>The Group measures and monitors its liquidity structure based on the overall assets, liabilities and debt conjunction with its expected cash fl ows to ensure capability to meet any unexpected and material cash requirements</w:t>
      </w:r>
      <w:r>
        <w:rPr>
          <w:rFonts w:ascii="Arial" w:cs="Arial" w:eastAsia="Arial" w:hAnsi="Arial"/>
          <w:sz w:val="7"/>
          <w:szCs w:val="7"/>
          <w:color w:val="FFFFFF"/>
          <w:vertAlign w:val="subscript"/>
        </w:rPr>
        <w:t>maintenance</w:t>
      </w:r>
      <w:r>
        <w:rPr>
          <w:rFonts w:ascii="Arial" w:cs="Arial" w:eastAsia="Arial" w:hAnsi="Arial"/>
          <w:sz w:val="6"/>
          <w:szCs w:val="6"/>
          <w:color w:val="FFFFFF"/>
        </w:rPr>
        <w:t>the ordinary course of business. In addition, the Group’s senior bank facility’s governing documents contain capital spending limits and other affi rmative and negative covenants which</w:t>
      </w:r>
    </w:p>
    <w:p>
      <w:pPr>
        <w:spacing w:after="0" w:line="1" w:lineRule="exact"/>
        <w:rPr>
          <w:sz w:val="20"/>
          <w:szCs w:val="20"/>
          <w:color w:val="auto"/>
        </w:rPr>
      </w:pPr>
    </w:p>
    <w:p>
      <w:pPr>
        <w:spacing w:after="0"/>
        <w:tabs>
          <w:tab w:leader="none" w:pos="1320" w:val="left"/>
        </w:tabs>
        <w:rPr>
          <w:sz w:val="20"/>
          <w:szCs w:val="20"/>
          <w:color w:val="auto"/>
        </w:rPr>
      </w:pPr>
      <w:r>
        <w:rPr>
          <w:rFonts w:ascii="Arial" w:cs="Arial" w:eastAsia="Arial" w:hAnsi="Arial"/>
          <w:sz w:val="3"/>
          <w:szCs w:val="3"/>
          <w:color w:val="FFFFFF"/>
        </w:rPr>
        <w:t>require the</w:t>
      </w:r>
      <w:r>
        <w:rPr>
          <w:sz w:val="20"/>
          <w:szCs w:val="20"/>
          <w:color w:val="auto"/>
        </w:rPr>
        <w:tab/>
      </w:r>
      <w:r>
        <w:rPr>
          <w:rFonts w:ascii="Arial" w:cs="Arial" w:eastAsia="Arial" w:hAnsi="Arial"/>
          <w:sz w:val="3"/>
          <w:szCs w:val="3"/>
          <w:color w:val="FFFFFF"/>
        </w:rPr>
        <w:t>of secure capital procedures.</w:t>
      </w:r>
    </w:p>
    <w:p>
      <w:pPr>
        <w:spacing w:after="0" w:line="6" w:lineRule="exact"/>
        <w:rPr>
          <w:sz w:val="20"/>
          <w:szCs w:val="20"/>
          <w:color w:val="auto"/>
        </w:rPr>
      </w:pPr>
    </w:p>
    <w:p>
      <w:pPr>
        <w:ind w:right="20"/>
        <w:spacing w:after="0" w:line="201" w:lineRule="auto"/>
        <w:rPr>
          <w:sz w:val="20"/>
          <w:szCs w:val="20"/>
          <w:color w:val="auto"/>
        </w:rPr>
      </w:pPr>
      <w:r>
        <w:rPr>
          <w:rFonts w:ascii="Arial" w:cs="Arial" w:eastAsia="Arial" w:hAnsi="Arial"/>
          <w:sz w:val="7"/>
          <w:szCs w:val="7"/>
          <w:color w:val="FFFFFF"/>
        </w:rPr>
        <w:t>As at 31 December 2011, the Group held available-for-sale fi nancial investments and an interest rate swap at fair values with assets and liabilities measured at fair value for level 2 of HK$508.8 million and HK$20.8 million, respectively (2010: nil and HK$101.1 million, respectively), and the Group has not held any assets or liabilities measured at fair value for levels 1 and 3 during the years 2011 and 2010. Level 1 fair values are those measured using quoted prices (unadjusted) in active markets for identical fi nancial instruments, level 2 fair values measured using quoted prices in active markets for similar fi nancial instruments, or using valuation techniques in which all signifi cant inputs are directly or indirectly based on observable market data and level 3 fair values are those measured using valuation techniques in which any signifi cant input is not based on observable market data.</w:t>
      </w:r>
    </w:p>
    <w:p>
      <w:pPr>
        <w:spacing w:after="0" w:line="213" w:lineRule="auto"/>
        <w:rPr>
          <w:sz w:val="20"/>
          <w:szCs w:val="20"/>
          <w:color w:val="auto"/>
        </w:rPr>
      </w:pPr>
      <w:r>
        <w:rPr>
          <w:rFonts w:ascii="Arial" w:cs="Arial" w:eastAsia="Arial" w:hAnsi="Arial"/>
          <w:sz w:val="2"/>
          <w:szCs w:val="2"/>
          <w:color w:val="FFFFFF"/>
        </w:rPr>
        <w:t>The table below analyzes the Group’</w:t>
      </w:r>
      <w:r>
        <w:rPr>
          <w:rFonts w:ascii="Arial" w:cs="Arial" w:eastAsia="Arial" w:hAnsi="Arial"/>
          <w:sz w:val="4"/>
          <w:szCs w:val="4"/>
          <w:color w:val="FFFFFF"/>
          <w:vertAlign w:val="superscript"/>
        </w:rPr>
        <w:t>based</w:t>
      </w:r>
      <w:r>
        <w:rPr>
          <w:rFonts w:ascii="Arial" w:cs="Arial" w:eastAsia="Arial" w:hAnsi="Arial"/>
          <w:sz w:val="2"/>
          <w:szCs w:val="2"/>
          <w:color w:val="FFFFFF"/>
        </w:rPr>
        <w:t>and the Company’s fi nancial liabilities into relevant maturity groupings based on the remaining period at the statement of fi nancial position date to the contractual maturity</w:t>
      </w:r>
    </w:p>
    <w:p>
      <w:pPr>
        <w:ind w:right="60"/>
        <w:spacing w:after="0"/>
        <w:rPr>
          <w:sz w:val="20"/>
          <w:szCs w:val="20"/>
          <w:color w:val="auto"/>
        </w:rPr>
      </w:pPr>
      <w:r>
        <w:rPr>
          <w:rFonts w:ascii="Arial" w:cs="Arial" w:eastAsia="Arial" w:hAnsi="Arial"/>
          <w:sz w:val="10"/>
          <w:szCs w:val="10"/>
          <w:color w:val="FFFFFF"/>
        </w:rPr>
        <w:t>date. The amounts disclosed are on the contractual undiscounted cash fl ows of fi nancial liabilities which include principal and interest payments. The maturities are calculated assuming the effect of interest rate swap arrangements and interest rates with respect to variable rate fi nancial liabilities remain constant as at respective year ends and there is no change in the aggregate principal amount of fi nancial liabilities other than repayment at scheduled maturities as refl ected in the table below.</w:t>
      </w:r>
    </w:p>
    <w:p>
      <w:pPr>
        <w:sectPr>
          <w:pgSz w:w="11900" w:h="16838" w:orient="portrait"/>
          <w:cols w:equalWidth="0" w:num="1">
            <w:col w:w="11400"/>
          </w:cols>
          <w:pgMar w:left="240" w:top="1440" w:right="25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FinancialAnnualReportStatements2011 155</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For the year ended 31 December 2011</w:t>
      </w:r>
    </w:p>
    <w:p>
      <w:pPr>
        <w:spacing w:after="0"/>
        <w:rPr>
          <w:sz w:val="20"/>
          <w:szCs w:val="20"/>
          <w:color w:val="auto"/>
        </w:rPr>
      </w:pPr>
      <w:r>
        <w:rPr>
          <w:rFonts w:ascii="Arial" w:cs="Arial" w:eastAsia="Arial" w:hAnsi="Arial"/>
          <w:sz w:val="3"/>
          <w:szCs w:val="3"/>
          <w:color w:val="FFFFFF"/>
        </w:rPr>
        <w:t>Liquidity28.FINANCIALrisk(continued)RISKMANAGEMENT OBJECTIVES AND POLICIES (continued)</w:t>
      </w:r>
    </w:p>
    <w:p>
      <w:pPr>
        <w:spacing w:after="0" w:line="181" w:lineRule="auto"/>
        <w:rPr>
          <w:sz w:val="20"/>
          <w:szCs w:val="20"/>
          <w:color w:val="auto"/>
        </w:rPr>
      </w:pPr>
      <w:r>
        <w:rPr>
          <w:rFonts w:ascii="Arial" w:cs="Arial" w:eastAsia="Arial" w:hAnsi="Arial"/>
          <w:sz w:val="10"/>
          <w:szCs w:val="10"/>
          <w:color w:val="FFFFFF"/>
        </w:rPr>
        <w:t>Group:</w:t>
      </w:r>
    </w:p>
    <w:p>
      <w:pPr>
        <w:spacing w:after="0" w:line="213" w:lineRule="auto"/>
        <w:rPr>
          <w:sz w:val="20"/>
          <w:szCs w:val="20"/>
          <w:color w:val="auto"/>
        </w:rPr>
      </w:pPr>
      <w:r>
        <w:rPr>
          <w:rFonts w:ascii="Arial" w:cs="Arial" w:eastAsia="Arial" w:hAnsi="Arial"/>
          <w:sz w:val="2"/>
          <w:szCs w:val="2"/>
          <w:color w:val="FFFFFF"/>
        </w:rPr>
        <w:t xml:space="preserve">BetweenWithin </w:t>
      </w:r>
      <w:r>
        <w:rPr>
          <w:rFonts w:ascii="Arial" w:cs="Arial" w:eastAsia="Arial" w:hAnsi="Arial"/>
          <w:sz w:val="4"/>
          <w:szCs w:val="4"/>
          <w:color w:val="FFFFFF"/>
          <w:vertAlign w:val="superscript"/>
        </w:rPr>
        <w:t>one</w:t>
      </w:r>
    </w:p>
    <w:p>
      <w:pPr>
        <w:spacing w:after="0" w:line="181" w:lineRule="auto"/>
        <w:rPr>
          <w:sz w:val="20"/>
          <w:szCs w:val="20"/>
          <w:color w:val="auto"/>
        </w:rPr>
      </w:pPr>
      <w:r>
        <w:rPr>
          <w:rFonts w:ascii="Arial" w:cs="Arial" w:eastAsia="Arial" w:hAnsi="Arial"/>
          <w:sz w:val="14"/>
          <w:szCs w:val="14"/>
          <w:color w:val="FFFFFF"/>
        </w:rPr>
        <w:t>Interest ratestwo</w:t>
      </w:r>
    </w:p>
    <w:p>
      <w:pPr>
        <w:spacing w:after="0" w:line="212" w:lineRule="auto"/>
        <w:rPr>
          <w:sz w:val="20"/>
          <w:szCs w:val="20"/>
          <w:color w:val="auto"/>
        </w:rPr>
      </w:pPr>
      <w:r>
        <w:rPr>
          <w:rFonts w:ascii="Arial" w:cs="Arial" w:eastAsia="Arial" w:hAnsi="Arial"/>
          <w:sz w:val="4"/>
          <w:szCs w:val="4"/>
          <w:color w:val="FFFFFF"/>
          <w:vertAlign w:val="superscript"/>
        </w:rPr>
        <w:t>and</w:t>
      </w:r>
      <w:r>
        <w:rPr>
          <w:rFonts w:ascii="Arial" w:cs="Arial" w:eastAsia="Arial" w:hAnsi="Arial"/>
          <w:sz w:val="2"/>
          <w:szCs w:val="2"/>
          <w:color w:val="FFFFFF"/>
        </w:rPr>
        <w:t>one twoyear years</w:t>
      </w:r>
    </w:p>
    <w:p>
      <w:pPr>
        <w:ind w:left="240"/>
        <w:spacing w:after="0" w:line="188" w:lineRule="auto"/>
        <w:rPr>
          <w:sz w:val="20"/>
          <w:szCs w:val="20"/>
          <w:color w:val="auto"/>
        </w:rPr>
      </w:pPr>
      <w:r>
        <w:rPr>
          <w:rFonts w:ascii="Arial" w:cs="Arial" w:eastAsia="Arial" w:hAnsi="Arial"/>
          <w:sz w:val="9"/>
          <w:szCs w:val="9"/>
          <w:color w:val="FFFFFF"/>
        </w:rPr>
        <w:t>five years</w:t>
      </w:r>
    </w:p>
    <w:p>
      <w:pPr>
        <w:spacing w:after="0"/>
        <w:rPr>
          <w:sz w:val="20"/>
          <w:szCs w:val="20"/>
          <w:color w:val="auto"/>
        </w:rPr>
      </w:pPr>
      <w:r>
        <w:rPr>
          <w:rFonts w:ascii="Arial" w:cs="Arial" w:eastAsia="Arial" w:hAnsi="Arial"/>
          <w:sz w:val="14"/>
          <w:szCs w:val="14"/>
          <w:color w:val="FFFFFF"/>
        </w:rPr>
        <w:t>TotalOver Five Years</w:t>
      </w:r>
    </w:p>
    <w:p>
      <w:pPr>
        <w:spacing w:after="0" w:line="190" w:lineRule="auto"/>
        <w:rPr>
          <w:sz w:val="20"/>
          <w:szCs w:val="20"/>
          <w:color w:val="auto"/>
        </w:rPr>
      </w:pPr>
      <w:r>
        <w:rPr>
          <w:rFonts w:ascii="Arial" w:cs="Arial" w:eastAsia="Arial" w:hAnsi="Arial"/>
          <w:sz w:val="9"/>
          <w:szCs w:val="9"/>
          <w:color w:val="FFFFFF"/>
        </w:rPr>
        <w:t>HK$</w:t>
      </w:r>
    </w:p>
    <w:p>
      <w:pPr>
        <w:spacing w:after="0"/>
        <w:rPr>
          <w:sz w:val="20"/>
          <w:szCs w:val="20"/>
          <w:color w:val="auto"/>
        </w:rPr>
      </w:pPr>
      <w:r>
        <w:rPr>
          <w:rFonts w:ascii="Arial" w:cs="Arial" w:eastAsia="Arial" w:hAnsi="Arial"/>
          <w:sz w:val="3"/>
          <w:szCs w:val="3"/>
          <w:color w:val="FFFFFF"/>
        </w:rPr>
        <w:t>(in thousands)</w:t>
      </w:r>
    </w:p>
    <w:p>
      <w:pPr>
        <w:spacing w:after="0" w:line="190" w:lineRule="auto"/>
        <w:rPr>
          <w:sz w:val="20"/>
          <w:szCs w:val="20"/>
          <w:color w:val="auto"/>
        </w:rPr>
      </w:pPr>
      <w:r>
        <w:rPr>
          <w:rFonts w:ascii="Arial" w:cs="Arial" w:eastAsia="Arial" w:hAnsi="Arial"/>
          <w:sz w:val="14"/>
          <w:szCs w:val="14"/>
          <w:color w:val="FFFFFF"/>
        </w:rPr>
        <w:t>AsInterestat31-bearingDecemberbank2011loans</w:t>
      </w:r>
    </w:p>
    <w:p>
      <w:pPr>
        <w:spacing w:after="0" w:line="181" w:lineRule="auto"/>
        <w:rPr>
          <w:sz w:val="20"/>
          <w:szCs w:val="20"/>
          <w:color w:val="auto"/>
        </w:rPr>
      </w:pPr>
      <w:r>
        <w:rPr>
          <w:rFonts w:ascii="Arial" w:cs="Arial" w:eastAsia="Arial" w:hAnsi="Arial"/>
          <w:sz w:val="14"/>
          <w:szCs w:val="14"/>
          <w:color w:val="FFFFFF"/>
          <w:vertAlign w:val="subscript"/>
        </w:rPr>
        <w:t>1,472,863</w:t>
      </w:r>
      <w:r>
        <w:rPr>
          <w:rFonts w:ascii="Arial" w:cs="Arial" w:eastAsia="Arial" w:hAnsi="Arial"/>
          <w:sz w:val="9"/>
          <w:szCs w:val="9"/>
          <w:color w:val="FFFFFF"/>
        </w:rPr>
        <w:t>1.5%–2.0%</w:t>
      </w:r>
      <w:r>
        <w:rPr>
          <w:rFonts w:ascii="Arial" w:cs="Arial" w:eastAsia="Arial" w:hAnsi="Arial"/>
          <w:sz w:val="14"/>
          <w:szCs w:val="14"/>
          <w:color w:val="FFFFFF"/>
          <w:vertAlign w:val="superscript"/>
        </w:rPr>
        <w:t>400</w:t>
      </w:r>
      <w:r>
        <w:rPr>
          <w:rFonts w:ascii="Arial" w:cs="Arial" w:eastAsia="Arial" w:hAnsi="Arial"/>
          <w:sz w:val="9"/>
          <w:szCs w:val="9"/>
          <w:color w:val="FFFFFF"/>
        </w:rPr>
        <w:t>15570</w:t>
      </w:r>
      <w:r>
        <w:rPr>
          <w:rFonts w:ascii="Arial" w:cs="Arial" w:eastAsia="Arial" w:hAnsi="Arial"/>
          <w:sz w:val="14"/>
          <w:szCs w:val="14"/>
          <w:color w:val="FFFFFF"/>
          <w:vertAlign w:val="superscript"/>
        </w:rPr>
        <w:t>9</w:t>
      </w:r>
    </w:p>
    <w:p>
      <w:pPr>
        <w:spacing w:after="0"/>
        <w:rPr>
          <w:sz w:val="20"/>
          <w:szCs w:val="20"/>
          <w:color w:val="auto"/>
        </w:rPr>
      </w:pPr>
      <w:r>
        <w:rPr>
          <w:rFonts w:ascii="Arial" w:cs="Arial" w:eastAsia="Arial" w:hAnsi="Arial"/>
          <w:sz w:val="3"/>
          <w:szCs w:val="3"/>
          <w:color w:val="FFFFFF"/>
        </w:rPr>
        <w:t>—</w:t>
      </w:r>
    </w:p>
    <w:p>
      <w:pPr>
        <w:spacing w:after="0" w:line="181" w:lineRule="auto"/>
        <w:rPr>
          <w:sz w:val="20"/>
          <w:szCs w:val="20"/>
          <w:color w:val="auto"/>
        </w:rPr>
      </w:pPr>
      <w:r>
        <w:rPr>
          <w:rFonts w:ascii="Arial" w:cs="Arial" w:eastAsia="Arial" w:hAnsi="Arial"/>
          <w:sz w:val="10"/>
          <w:szCs w:val="10"/>
          <w:color w:val="FFFFFF"/>
        </w:rPr>
        <w:t>5,025,512</w:t>
      </w:r>
    </w:p>
    <w:p>
      <w:pPr>
        <w:spacing w:after="0"/>
        <w:rPr>
          <w:sz w:val="20"/>
          <w:szCs w:val="20"/>
          <w:color w:val="auto"/>
        </w:rPr>
      </w:pPr>
      <w:r>
        <w:rPr>
          <w:rFonts w:ascii="Arial" w:cs="Arial" w:eastAsia="Arial" w:hAnsi="Arial"/>
          <w:sz w:val="3"/>
          <w:szCs w:val="3"/>
          <w:color w:val="FFFFFF"/>
        </w:rPr>
        <w:t>5%Land premium payable</w:t>
      </w:r>
    </w:p>
    <w:p>
      <w:pPr>
        <w:spacing w:after="0" w:line="194" w:lineRule="auto"/>
        <w:rPr>
          <w:sz w:val="20"/>
          <w:szCs w:val="20"/>
          <w:color w:val="auto"/>
        </w:rPr>
      </w:pPr>
      <w:r>
        <w:rPr>
          <w:rFonts w:ascii="Arial" w:cs="Arial" w:eastAsia="Arial" w:hAnsi="Arial"/>
          <w:sz w:val="3"/>
          <w:szCs w:val="3"/>
          <w:color w:val="FFFFFF"/>
        </w:rPr>
        <w:t>254</w:t>
      </w:r>
      <w:r>
        <w:rPr>
          <w:rFonts w:ascii="Arial" w:cs="Arial" w:eastAsia="Arial" w:hAnsi="Arial"/>
          <w:sz w:val="5"/>
          <w:szCs w:val="5"/>
          <w:color w:val="FFFFFF"/>
          <w:vertAlign w:val="superscript"/>
        </w:rPr>
        <w:t>127</w:t>
      </w:r>
      <w:r>
        <w:rPr>
          <w:rFonts w:ascii="Arial" w:cs="Arial" w:eastAsia="Arial" w:hAnsi="Arial"/>
          <w:sz w:val="3"/>
          <w:szCs w:val="3"/>
          <w:color w:val="FFFFFF"/>
        </w:rPr>
        <w:t xml:space="preserve"> 230</w:t>
      </w:r>
      <w:r>
        <w:rPr>
          <w:rFonts w:ascii="Arial" w:cs="Arial" w:eastAsia="Arial" w:hAnsi="Arial"/>
          <w:sz w:val="5"/>
          <w:szCs w:val="5"/>
          <w:color w:val="FFFFFF"/>
          <w:vertAlign w:val="superscript"/>
        </w:rPr>
        <w:t>115</w:t>
      </w:r>
    </w:p>
    <w:p>
      <w:pPr>
        <w:spacing w:after="0" w:line="188" w:lineRule="auto"/>
        <w:rPr>
          <w:sz w:val="20"/>
          <w:szCs w:val="20"/>
          <w:color w:val="auto"/>
        </w:rPr>
      </w:pPr>
      <w:r>
        <w:rPr>
          <w:rFonts w:ascii="Arial" w:cs="Arial" w:eastAsia="Arial" w:hAnsi="Arial"/>
          <w:sz w:val="9"/>
          <w:szCs w:val="9"/>
          <w:color w:val="FFFFFF"/>
        </w:rPr>
        <w:t>635,576</w:t>
      </w:r>
    </w:p>
    <w:p>
      <w:pPr>
        <w:spacing w:after="0"/>
        <w:rPr>
          <w:sz w:val="20"/>
          <w:szCs w:val="20"/>
          <w:color w:val="auto"/>
        </w:rPr>
      </w:pPr>
      <w:r>
        <w:rPr>
          <w:rFonts w:ascii="Arial" w:cs="Arial" w:eastAsia="Arial" w:hAnsi="Arial"/>
          <w:sz w:val="3"/>
          <w:szCs w:val="3"/>
          <w:color w:val="FFFFFF"/>
        </w:rPr>
        <w:t>—</w:t>
      </w:r>
    </w:p>
    <w:p>
      <w:pPr>
        <w:spacing w:after="0" w:line="181" w:lineRule="auto"/>
        <w:rPr>
          <w:sz w:val="20"/>
          <w:szCs w:val="20"/>
          <w:color w:val="auto"/>
        </w:rPr>
      </w:pPr>
      <w:r>
        <w:rPr>
          <w:rFonts w:ascii="Arial" w:cs="Arial" w:eastAsia="Arial" w:hAnsi="Arial"/>
          <w:sz w:val="10"/>
          <w:szCs w:val="10"/>
          <w:color w:val="FFFFFF"/>
        </w:rPr>
        <w:t>1,016,921</w:t>
      </w:r>
    </w:p>
    <w:p>
      <w:pPr>
        <w:spacing w:after="0" w:line="188" w:lineRule="auto"/>
        <w:rPr>
          <w:sz w:val="20"/>
          <w:szCs w:val="20"/>
          <w:color w:val="auto"/>
        </w:rPr>
      </w:pPr>
      <w:r>
        <w:rPr>
          <w:rFonts w:ascii="Arial" w:cs="Arial" w:eastAsia="Arial" w:hAnsi="Arial"/>
          <w:sz w:val="9"/>
          <w:szCs w:val="9"/>
          <w:color w:val="FFFFFF"/>
        </w:rPr>
        <w:t>20,752Interest rate swaps</w:t>
      </w:r>
    </w:p>
    <w:p>
      <w:pPr>
        <w:spacing w:after="0" w:line="188" w:lineRule="auto"/>
        <w:rPr>
          <w:sz w:val="20"/>
          <w:szCs w:val="20"/>
          <w:color w:val="auto"/>
        </w:rPr>
      </w:pPr>
      <w:r>
        <w:rPr>
          <w:rFonts w:ascii="Arial" w:cs="Arial" w:eastAsia="Arial" w:hAnsi="Arial"/>
          <w:sz w:val="9"/>
          <w:szCs w:val="9"/>
          <w:color w:val="FFFFFF"/>
        </w:rPr>
        <w:t>—</w:t>
      </w:r>
    </w:p>
    <w:p>
      <w:pPr>
        <w:spacing w:after="0" w:line="188" w:lineRule="auto"/>
        <w:rPr>
          <w:sz w:val="20"/>
          <w:szCs w:val="20"/>
          <w:color w:val="auto"/>
        </w:rPr>
      </w:pPr>
      <w:r>
        <w:rPr>
          <w:rFonts w:ascii="Arial" w:cs="Arial" w:eastAsia="Arial" w:hAnsi="Arial"/>
          <w:sz w:val="9"/>
          <w:szCs w:val="9"/>
          <w:color w:val="FFFFFF"/>
        </w:rPr>
        <w:t>20,752</w:t>
      </w:r>
    </w:p>
    <w:p>
      <w:pPr>
        <w:spacing w:after="0" w:line="188" w:lineRule="auto"/>
        <w:rPr>
          <w:sz w:val="20"/>
          <w:szCs w:val="20"/>
          <w:color w:val="auto"/>
        </w:rPr>
      </w:pPr>
      <w:r>
        <w:rPr>
          <w:rFonts w:ascii="Arial" w:cs="Arial" w:eastAsia="Arial" w:hAnsi="Arial"/>
          <w:sz w:val="9"/>
          <w:szCs w:val="9"/>
          <w:color w:val="FFFFFF"/>
        </w:rPr>
        <w:t>1,050,345Accounts payable</w:t>
      </w:r>
    </w:p>
    <w:p>
      <w:pPr>
        <w:spacing w:after="0" w:line="188" w:lineRule="auto"/>
        <w:rPr>
          <w:sz w:val="20"/>
          <w:szCs w:val="20"/>
          <w:color w:val="auto"/>
        </w:rPr>
      </w:pPr>
      <w:r>
        <w:rPr>
          <w:rFonts w:ascii="Arial" w:cs="Arial" w:eastAsia="Arial" w:hAnsi="Arial"/>
          <w:sz w:val="9"/>
          <w:szCs w:val="9"/>
          <w:color w:val="FFFFFF"/>
        </w:rPr>
        <w:t>—</w:t>
      </w:r>
    </w:p>
    <w:p>
      <w:pPr>
        <w:spacing w:after="0" w:line="188" w:lineRule="auto"/>
        <w:rPr>
          <w:sz w:val="20"/>
          <w:szCs w:val="20"/>
          <w:color w:val="auto"/>
        </w:rPr>
      </w:pPr>
      <w:r>
        <w:rPr>
          <w:rFonts w:ascii="Arial" w:cs="Arial" w:eastAsia="Arial" w:hAnsi="Arial"/>
          <w:sz w:val="9"/>
          <w:szCs w:val="9"/>
          <w:color w:val="FFFFFF"/>
        </w:rPr>
        <w:t>1,050,345</w:t>
      </w:r>
    </w:p>
    <w:p>
      <w:pPr>
        <w:spacing w:after="0" w:line="188" w:lineRule="auto"/>
        <w:rPr>
          <w:sz w:val="20"/>
          <w:szCs w:val="20"/>
          <w:color w:val="auto"/>
        </w:rPr>
      </w:pPr>
      <w:r>
        <w:rPr>
          <w:rFonts w:ascii="Arial" w:cs="Arial" w:eastAsia="Arial" w:hAnsi="Arial"/>
          <w:sz w:val="9"/>
          <w:szCs w:val="9"/>
          <w:color w:val="FFFFFF"/>
        </w:rPr>
        <w:t>158,188Amounts due torelated companies</w:t>
      </w:r>
    </w:p>
    <w:p>
      <w:pPr>
        <w:spacing w:after="0" w:line="188" w:lineRule="auto"/>
        <w:rPr>
          <w:sz w:val="20"/>
          <w:szCs w:val="20"/>
          <w:color w:val="auto"/>
        </w:rPr>
      </w:pPr>
      <w:r>
        <w:rPr>
          <w:rFonts w:ascii="Arial" w:cs="Arial" w:eastAsia="Arial" w:hAnsi="Arial"/>
          <w:sz w:val="9"/>
          <w:szCs w:val="9"/>
          <w:color w:val="FFFFFF"/>
        </w:rPr>
        <w:t>—</w:t>
      </w:r>
    </w:p>
    <w:p>
      <w:pPr>
        <w:spacing w:after="0" w:line="188" w:lineRule="auto"/>
        <w:rPr>
          <w:sz w:val="20"/>
          <w:szCs w:val="20"/>
          <w:color w:val="auto"/>
        </w:rPr>
      </w:pPr>
      <w:r>
        <w:rPr>
          <w:rFonts w:ascii="Arial" w:cs="Arial" w:eastAsia="Arial" w:hAnsi="Arial"/>
          <w:sz w:val="9"/>
          <w:szCs w:val="9"/>
          <w:color w:val="FFFFFF"/>
        </w:rPr>
        <w:t>158,188</w:t>
      </w:r>
    </w:p>
    <w:p>
      <w:pPr>
        <w:spacing w:after="0" w:line="188" w:lineRule="auto"/>
        <w:rPr>
          <w:sz w:val="20"/>
          <w:szCs w:val="20"/>
          <w:color w:val="auto"/>
        </w:rPr>
      </w:pPr>
      <w:r>
        <w:rPr>
          <w:rFonts w:ascii="Arial" w:cs="Arial" w:eastAsia="Arial" w:hAnsi="Arial"/>
          <w:sz w:val="9"/>
          <w:szCs w:val="9"/>
          <w:color w:val="FFFFFF"/>
          <w:vertAlign w:val="superscript"/>
        </w:rPr>
        <w:t>9</w:t>
      </w:r>
      <w:r>
        <w:rPr>
          <w:rFonts w:ascii="Arial" w:cs="Arial" w:eastAsia="Arial" w:hAnsi="Arial"/>
          <w:sz w:val="7"/>
          <w:szCs w:val="7"/>
          <w:color w:val="FFFFFF"/>
        </w:rPr>
        <w:t>Other,965</w:t>
      </w:r>
      <w:r>
        <w:rPr>
          <w:rFonts w:ascii="Arial" w:cs="Arial" w:eastAsia="Arial" w:hAnsi="Arial"/>
          <w:sz w:val="9"/>
          <w:szCs w:val="9"/>
          <w:color w:val="FFFFFF"/>
          <w:vertAlign w:val="superscript"/>
        </w:rPr>
        <w:t>201</w:t>
      </w:r>
      <w:r>
        <w:rPr>
          <w:rFonts w:ascii="Arial" w:cs="Arial" w:eastAsia="Arial" w:hAnsi="Arial"/>
          <w:sz w:val="7"/>
          <w:szCs w:val="7"/>
          <w:color w:val="FFFFFF"/>
        </w:rPr>
        <w:t xml:space="preserve"> liabilities,excluding tax liabilities</w:t>
      </w:r>
    </w:p>
    <w:p>
      <w:pPr>
        <w:spacing w:after="0" w:line="187" w:lineRule="auto"/>
        <w:rPr>
          <w:sz w:val="20"/>
          <w:szCs w:val="20"/>
          <w:color w:val="auto"/>
        </w:rPr>
      </w:pPr>
      <w:r>
        <w:rPr>
          <w:rFonts w:ascii="Arial" w:cs="Arial" w:eastAsia="Arial" w:hAnsi="Arial"/>
          <w:sz w:val="7"/>
          <w:szCs w:val="7"/>
          <w:color w:val="FFFFFF"/>
        </w:rPr>
        <w:t>1,000</w:t>
      </w:r>
      <w:r>
        <w:rPr>
          <w:rFonts w:ascii="Arial" w:cs="Arial" w:eastAsia="Arial" w:hAnsi="Arial"/>
          <w:sz w:val="9"/>
          <w:szCs w:val="9"/>
          <w:color w:val="FFFFFF"/>
          <w:vertAlign w:val="superscript"/>
        </w:rPr>
        <w:t>1,309</w:t>
      </w:r>
    </w:p>
    <w:p>
      <w:pPr>
        <w:spacing w:after="0"/>
        <w:rPr>
          <w:sz w:val="20"/>
          <w:szCs w:val="20"/>
          <w:color w:val="auto"/>
        </w:rPr>
      </w:pPr>
      <w:r>
        <w:rPr>
          <w:rFonts w:ascii="Arial" w:cs="Arial" w:eastAsia="Arial" w:hAnsi="Arial"/>
          <w:sz w:val="3"/>
          <w:szCs w:val="3"/>
          <w:color w:val="FFFFFF"/>
        </w:rPr>
        <w:t>23,475</w:t>
      </w:r>
    </w:p>
    <w:p>
      <w:pPr>
        <w:spacing w:after="0" w:line="194" w:lineRule="auto"/>
        <w:rPr>
          <w:sz w:val="20"/>
          <w:szCs w:val="20"/>
          <w:color w:val="auto"/>
        </w:rPr>
      </w:pPr>
      <w:r>
        <w:rPr>
          <w:rFonts w:ascii="Arial" w:cs="Arial" w:eastAsia="Arial" w:hAnsi="Arial"/>
          <w:sz w:val="5"/>
          <w:szCs w:val="5"/>
          <w:color w:val="FFFFFF"/>
        </w:rPr>
        <w:t>Other payables</w:t>
      </w:r>
    </w:p>
    <w:p>
      <w:pPr>
        <w:spacing w:after="0" w:line="188" w:lineRule="auto"/>
        <w:rPr>
          <w:sz w:val="20"/>
          <w:szCs w:val="20"/>
          <w:color w:val="auto"/>
        </w:rPr>
      </w:pPr>
      <w:r>
        <w:rPr>
          <w:rFonts w:ascii="Arial" w:cs="Arial" w:eastAsia="Arial" w:hAnsi="Arial"/>
          <w:sz w:val="9"/>
          <w:szCs w:val="9"/>
          <w:color w:val="FFFFFF"/>
          <w:vertAlign w:val="subscript"/>
        </w:rPr>
        <w:t>77,670</w:t>
      </w:r>
      <w:r>
        <w:rPr>
          <w:rFonts w:ascii="Arial" w:cs="Arial" w:eastAsia="Arial" w:hAnsi="Arial"/>
          <w:sz w:val="7"/>
          <w:szCs w:val="7"/>
          <w:color w:val="FFFFFF"/>
        </w:rPr>
        <w:t>3,73,794</w:t>
      </w:r>
    </w:p>
    <w:p>
      <w:pPr>
        <w:spacing w:after="0" w:line="211" w:lineRule="auto"/>
        <w:rPr>
          <w:sz w:val="20"/>
          <w:szCs w:val="20"/>
          <w:color w:val="auto"/>
        </w:rPr>
      </w:pPr>
      <w:r>
        <w:rPr>
          <w:rFonts w:ascii="Arial" w:cs="Arial" w:eastAsia="Arial" w:hAnsi="Arial"/>
          <w:sz w:val="4"/>
          <w:szCs w:val="4"/>
          <w:color w:val="FFFFFF"/>
          <w:vertAlign w:val="superscript"/>
        </w:rPr>
        <w:t>233</w:t>
      </w:r>
      <w:r>
        <w:rPr>
          <w:rFonts w:ascii="Arial" w:cs="Arial" w:eastAsia="Arial" w:hAnsi="Arial"/>
          <w:sz w:val="2"/>
          <w:szCs w:val="2"/>
          <w:color w:val="FFFFFF"/>
        </w:rPr>
        <w:t>66,019</w:t>
      </w:r>
    </w:p>
    <w:p>
      <w:pPr>
        <w:spacing w:after="0" w:line="188" w:lineRule="auto"/>
        <w:rPr>
          <w:sz w:val="20"/>
          <w:szCs w:val="20"/>
          <w:color w:val="auto"/>
        </w:rPr>
      </w:pPr>
      <w:r>
        <w:rPr>
          <w:rFonts w:ascii="Arial" w:cs="Arial" w:eastAsia="Arial" w:hAnsi="Arial"/>
          <w:sz w:val="9"/>
          <w:szCs w:val="9"/>
          <w:color w:val="FFFFFF"/>
        </w:rPr>
        <w:t>4,514,493</w:t>
      </w:r>
    </w:p>
    <w:p>
      <w:pPr>
        <w:spacing w:after="0" w:line="188" w:lineRule="auto"/>
        <w:rPr>
          <w:sz w:val="20"/>
          <w:szCs w:val="20"/>
          <w:color w:val="auto"/>
        </w:rPr>
      </w:pPr>
      <w:r>
        <w:rPr>
          <w:rFonts w:ascii="Arial" w:cs="Arial" w:eastAsia="Arial" w:hAnsi="Arial"/>
          <w:sz w:val="9"/>
          <w:szCs w:val="9"/>
          <w:color w:val="FFFFFF"/>
        </w:rPr>
        <w:t>As at 31 December 2010</w:t>
      </w:r>
    </w:p>
    <w:p>
      <w:pPr>
        <w:spacing w:after="0" w:line="211" w:lineRule="auto"/>
        <w:rPr>
          <w:sz w:val="20"/>
          <w:szCs w:val="20"/>
          <w:color w:val="auto"/>
        </w:rPr>
      </w:pPr>
      <w:r>
        <w:rPr>
          <w:rFonts w:ascii="Arial" w:cs="Arial" w:eastAsia="Arial" w:hAnsi="Arial"/>
          <w:sz w:val="4"/>
          <w:szCs w:val="4"/>
          <w:color w:val="FFFFFF"/>
          <w:vertAlign w:val="subscript"/>
        </w:rPr>
        <w:t>773,41</w:t>
      </w:r>
      <w:r>
        <w:rPr>
          <w:rFonts w:ascii="Arial" w:cs="Arial" w:eastAsia="Arial" w:hAnsi="Arial"/>
          <w:sz w:val="2"/>
          <w:szCs w:val="2"/>
          <w:color w:val="FFFFFF"/>
        </w:rPr>
        <w:t>Interest.5%–3.4%-bearing bank loans</w:t>
      </w:r>
    </w:p>
    <w:p>
      <w:pPr>
        <w:ind w:left="380"/>
        <w:spacing w:after="0"/>
        <w:rPr>
          <w:sz w:val="20"/>
          <w:szCs w:val="20"/>
          <w:color w:val="auto"/>
        </w:rPr>
      </w:pPr>
      <w:r>
        <w:rPr>
          <w:rFonts w:ascii="Arial" w:cs="Arial" w:eastAsia="Arial" w:hAnsi="Arial"/>
          <w:sz w:val="3"/>
          <w:szCs w:val="3"/>
          <w:color w:val="FFFFFF"/>
        </w:rPr>
        <w:t>1</w:t>
      </w:r>
    </w:p>
    <w:p>
      <w:pPr>
        <w:spacing w:after="0" w:line="181" w:lineRule="auto"/>
        <w:rPr>
          <w:sz w:val="20"/>
          <w:szCs w:val="20"/>
          <w:color w:val="auto"/>
        </w:rPr>
      </w:pPr>
      <w:r>
        <w:rPr>
          <w:rFonts w:ascii="Arial" w:cs="Arial" w:eastAsia="Arial" w:hAnsi="Arial"/>
          <w:sz w:val="7"/>
          <w:szCs w:val="7"/>
          <w:color w:val="FFFFFF"/>
        </w:rPr>
        <w:t>2,625,340</w:t>
      </w:r>
      <w:r>
        <w:rPr>
          <w:rFonts w:ascii="Arial" w:cs="Arial" w:eastAsia="Arial" w:hAnsi="Arial"/>
          <w:sz w:val="10"/>
          <w:szCs w:val="10"/>
          <w:color w:val="FFFFFF"/>
          <w:vertAlign w:val="superscript"/>
        </w:rPr>
        <w:t>006866</w:t>
      </w:r>
    </w:p>
    <w:p>
      <w:pPr>
        <w:spacing w:after="0" w:line="188" w:lineRule="auto"/>
        <w:rPr>
          <w:sz w:val="20"/>
          <w:szCs w:val="20"/>
          <w:color w:val="auto"/>
        </w:rPr>
      </w:pPr>
      <w:r>
        <w:rPr>
          <w:rFonts w:ascii="Arial" w:cs="Arial" w:eastAsia="Arial" w:hAnsi="Arial"/>
          <w:sz w:val="9"/>
          <w:szCs w:val="9"/>
          <w:color w:val="FFFFFF"/>
        </w:rPr>
        <w:t>—</w:t>
      </w:r>
    </w:p>
    <w:p>
      <w:pPr>
        <w:spacing w:after="0"/>
        <w:rPr>
          <w:sz w:val="20"/>
          <w:szCs w:val="20"/>
          <w:color w:val="auto"/>
        </w:rPr>
      </w:pPr>
      <w:r>
        <w:rPr>
          <w:rFonts w:ascii="Arial" w:cs="Arial" w:eastAsia="Arial" w:hAnsi="Arial"/>
          <w:sz w:val="3"/>
          <w:szCs w:val="3"/>
          <w:color w:val="FFFFFF"/>
        </w:rPr>
        <w:t>Interest5,405,617rate swaps</w:t>
      </w:r>
    </w:p>
    <w:p>
      <w:pPr>
        <w:spacing w:after="0" w:line="181" w:lineRule="auto"/>
        <w:rPr>
          <w:sz w:val="20"/>
          <w:szCs w:val="20"/>
          <w:color w:val="auto"/>
        </w:rPr>
      </w:pPr>
      <w:r>
        <w:rPr>
          <w:rFonts w:ascii="Arial" w:cs="Arial" w:eastAsia="Arial" w:hAnsi="Arial"/>
          <w:sz w:val="7"/>
          <w:szCs w:val="7"/>
          <w:color w:val="FFFFFF"/>
        </w:rPr>
        <w:t>55,378</w:t>
      </w:r>
      <w:r>
        <w:rPr>
          <w:rFonts w:ascii="Arial" w:cs="Arial" w:eastAsia="Arial" w:hAnsi="Arial"/>
          <w:sz w:val="10"/>
          <w:szCs w:val="10"/>
          <w:color w:val="FFFFFF"/>
          <w:vertAlign w:val="superscript"/>
        </w:rPr>
        <w:t>4730</w:t>
      </w:r>
    </w:p>
    <w:p>
      <w:pPr>
        <w:spacing w:after="0" w:line="188" w:lineRule="auto"/>
        <w:rPr>
          <w:sz w:val="20"/>
          <w:szCs w:val="20"/>
          <w:color w:val="auto"/>
        </w:rPr>
      </w:pPr>
      <w:r>
        <w:rPr>
          <w:rFonts w:ascii="Arial" w:cs="Arial" w:eastAsia="Arial" w:hAnsi="Arial"/>
          <w:sz w:val="9"/>
          <w:szCs w:val="9"/>
          <w:color w:val="FFFFFF"/>
        </w:rPr>
        <w:t>—</w:t>
      </w:r>
    </w:p>
    <w:p>
      <w:pPr>
        <w:spacing w:after="0" w:line="188" w:lineRule="auto"/>
        <w:rPr>
          <w:sz w:val="20"/>
          <w:szCs w:val="20"/>
          <w:color w:val="auto"/>
        </w:rPr>
      </w:pPr>
      <w:r>
        <w:rPr>
          <w:rFonts w:ascii="Arial" w:cs="Arial" w:eastAsia="Arial" w:hAnsi="Arial"/>
          <w:sz w:val="9"/>
          <w:szCs w:val="9"/>
          <w:color w:val="FFFFFF"/>
        </w:rPr>
        <w:t>101,108</w:t>
      </w:r>
    </w:p>
    <w:p>
      <w:pPr>
        <w:spacing w:after="0" w:line="188" w:lineRule="auto"/>
        <w:rPr>
          <w:sz w:val="20"/>
          <w:szCs w:val="20"/>
          <w:color w:val="auto"/>
        </w:rPr>
      </w:pPr>
      <w:r>
        <w:rPr>
          <w:rFonts w:ascii="Arial" w:cs="Arial" w:eastAsia="Arial" w:hAnsi="Arial"/>
          <w:sz w:val="9"/>
          <w:szCs w:val="9"/>
          <w:color w:val="FFFFFF"/>
        </w:rPr>
        <w:t>1,018,086Accounts payable</w:t>
      </w:r>
    </w:p>
    <w:p>
      <w:pPr>
        <w:spacing w:after="0" w:line="188" w:lineRule="auto"/>
        <w:rPr>
          <w:sz w:val="20"/>
          <w:szCs w:val="20"/>
          <w:color w:val="auto"/>
        </w:rPr>
      </w:pPr>
      <w:r>
        <w:rPr>
          <w:rFonts w:ascii="Arial" w:cs="Arial" w:eastAsia="Arial" w:hAnsi="Arial"/>
          <w:sz w:val="9"/>
          <w:szCs w:val="9"/>
          <w:color w:val="FFFFFF"/>
        </w:rPr>
        <w:t>—</w:t>
      </w:r>
    </w:p>
    <w:p>
      <w:pPr>
        <w:spacing w:after="0" w:line="188" w:lineRule="auto"/>
        <w:rPr>
          <w:sz w:val="20"/>
          <w:szCs w:val="20"/>
          <w:color w:val="auto"/>
        </w:rPr>
      </w:pPr>
      <w:r>
        <w:rPr>
          <w:rFonts w:ascii="Arial" w:cs="Arial" w:eastAsia="Arial" w:hAnsi="Arial"/>
          <w:sz w:val="9"/>
          <w:szCs w:val="9"/>
          <w:color w:val="FFFFFF"/>
        </w:rPr>
        <w:t>1,018,086</w:t>
      </w:r>
    </w:p>
    <w:p>
      <w:pPr>
        <w:spacing w:after="0" w:line="188" w:lineRule="auto"/>
        <w:rPr>
          <w:sz w:val="20"/>
          <w:szCs w:val="20"/>
          <w:color w:val="auto"/>
        </w:rPr>
      </w:pPr>
      <w:r>
        <w:rPr>
          <w:rFonts w:ascii="Arial" w:cs="Arial" w:eastAsia="Arial" w:hAnsi="Arial"/>
          <w:sz w:val="9"/>
          <w:szCs w:val="9"/>
          <w:color w:val="FFFFFF"/>
        </w:rPr>
        <w:t>235,922Amounts due torelated companies</w:t>
      </w:r>
    </w:p>
    <w:p>
      <w:pPr>
        <w:spacing w:after="0" w:line="188" w:lineRule="auto"/>
        <w:rPr>
          <w:sz w:val="20"/>
          <w:szCs w:val="20"/>
          <w:color w:val="auto"/>
        </w:rPr>
      </w:pPr>
      <w:r>
        <w:rPr>
          <w:rFonts w:ascii="Arial" w:cs="Arial" w:eastAsia="Arial" w:hAnsi="Arial"/>
          <w:sz w:val="9"/>
          <w:szCs w:val="9"/>
          <w:color w:val="FFFFFF"/>
        </w:rPr>
        <w:t>—</w:t>
      </w:r>
    </w:p>
    <w:p>
      <w:pPr>
        <w:spacing w:after="0"/>
        <w:rPr>
          <w:sz w:val="20"/>
          <w:szCs w:val="20"/>
          <w:color w:val="auto"/>
        </w:rPr>
      </w:pPr>
      <w:r>
        <w:rPr>
          <w:rFonts w:ascii="Arial" w:cs="Arial" w:eastAsia="Arial" w:hAnsi="Arial"/>
          <w:sz w:val="3"/>
          <w:szCs w:val="3"/>
          <w:color w:val="FFFFFF"/>
        </w:rPr>
        <w:t>235,922</w:t>
      </w:r>
    </w:p>
    <w:p>
      <w:pPr>
        <w:spacing w:after="0" w:line="190" w:lineRule="auto"/>
        <w:rPr>
          <w:sz w:val="20"/>
          <w:szCs w:val="20"/>
          <w:color w:val="auto"/>
        </w:rPr>
      </w:pPr>
      <w:r>
        <w:rPr>
          <w:rFonts w:ascii="Arial" w:cs="Arial" w:eastAsia="Arial" w:hAnsi="Arial"/>
          <w:sz w:val="14"/>
          <w:szCs w:val="14"/>
          <w:color w:val="FFFFFF"/>
        </w:rPr>
        <w:t>Other7,099 liabilities,excluding tax liabilities</w:t>
      </w:r>
    </w:p>
    <w:p>
      <w:pPr>
        <w:spacing w:after="0"/>
        <w:rPr>
          <w:sz w:val="20"/>
          <w:szCs w:val="20"/>
          <w:color w:val="auto"/>
        </w:rPr>
      </w:pPr>
      <w:r>
        <w:rPr>
          <w:rFonts w:ascii="Arial" w:cs="Arial" w:eastAsia="Arial" w:hAnsi="Arial"/>
          <w:sz w:val="3"/>
          <w:szCs w:val="3"/>
          <w:color w:val="FFFFFF"/>
        </w:rPr>
        <w:t>4,64410,201</w:t>
      </w:r>
    </w:p>
    <w:p>
      <w:pPr>
        <w:spacing w:after="0" w:line="194" w:lineRule="auto"/>
        <w:rPr>
          <w:sz w:val="20"/>
          <w:szCs w:val="20"/>
          <w:color w:val="auto"/>
        </w:rPr>
      </w:pPr>
      <w:r>
        <w:rPr>
          <w:rFonts w:ascii="Arial" w:cs="Arial" w:eastAsia="Arial" w:hAnsi="Arial"/>
          <w:sz w:val="5"/>
          <w:szCs w:val="5"/>
          <w:color w:val="FFFFFF"/>
        </w:rPr>
        <w:t>—</w:t>
      </w:r>
    </w:p>
    <w:p>
      <w:pPr>
        <w:spacing w:after="0" w:line="188" w:lineRule="auto"/>
        <w:rPr>
          <w:sz w:val="20"/>
          <w:szCs w:val="20"/>
          <w:color w:val="auto"/>
        </w:rPr>
      </w:pPr>
      <w:r>
        <w:rPr>
          <w:rFonts w:ascii="Arial" w:cs="Arial" w:eastAsia="Arial" w:hAnsi="Arial"/>
          <w:sz w:val="9"/>
          <w:szCs w:val="9"/>
          <w:color w:val="FFFFFF"/>
        </w:rPr>
        <w:t>21,944</w:t>
      </w:r>
    </w:p>
    <w:p>
      <w:pPr>
        <w:spacing w:after="0" w:line="187" w:lineRule="auto"/>
        <w:rPr>
          <w:sz w:val="20"/>
          <w:szCs w:val="20"/>
          <w:color w:val="auto"/>
        </w:rPr>
      </w:pPr>
      <w:r>
        <w:rPr>
          <w:rFonts w:ascii="Arial" w:cs="Arial" w:eastAsia="Arial" w:hAnsi="Arial"/>
          <w:sz w:val="9"/>
          <w:szCs w:val="9"/>
          <w:color w:val="FFFFFF"/>
        </w:rPr>
        <w:t>2,151,604Otherpayables</w:t>
      </w:r>
    </w:p>
    <w:p>
      <w:pPr>
        <w:spacing w:after="0" w:line="188" w:lineRule="auto"/>
        <w:rPr>
          <w:sz w:val="20"/>
          <w:szCs w:val="20"/>
          <w:color w:val="auto"/>
        </w:rPr>
      </w:pPr>
      <w:r>
        <w:rPr>
          <w:rFonts w:ascii="Arial" w:cs="Arial" w:eastAsia="Arial" w:hAnsi="Arial"/>
          <w:sz w:val="9"/>
          <w:szCs w:val="9"/>
          <w:color w:val="FFFFFF"/>
        </w:rPr>
        <w:t>—</w:t>
      </w:r>
    </w:p>
    <w:p>
      <w:pPr>
        <w:spacing w:after="0"/>
        <w:rPr>
          <w:sz w:val="20"/>
          <w:szCs w:val="20"/>
          <w:color w:val="auto"/>
        </w:rPr>
      </w:pPr>
      <w:r>
        <w:rPr>
          <w:rFonts w:ascii="Arial" w:cs="Arial" w:eastAsia="Arial" w:hAnsi="Arial"/>
          <w:sz w:val="3"/>
          <w:szCs w:val="3"/>
          <w:color w:val="FFFFFF"/>
        </w:rPr>
        <w:t>2,151,604</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FFFFFF"/>
        </w:rPr>
        <w:t>“Other payables” are mainly comprised of outstanding chip liabilities, customer deposits, donation payable, and other miscellaneous payables, excluding tax liabilities, incurred as at 31 December 2011 and 2010.</w:t>
      </w:r>
    </w:p>
    <w:p>
      <w:pPr>
        <w:sectPr>
          <w:pgSz w:w="11900" w:h="16838" w:orient="portrait"/>
          <w:cols w:equalWidth="0" w:num="1">
            <w:col w:w="11080"/>
          </w:cols>
          <w:pgMar w:left="240" w:top="1440" w:right="579" w:bottom="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gridSpan w:val="2"/>
          </w:tcPr>
          <w:p>
            <w:pPr>
              <w:spacing w:after="0"/>
              <w:rPr>
                <w:sz w:val="20"/>
                <w:szCs w:val="20"/>
                <w:color w:val="auto"/>
              </w:rPr>
            </w:pPr>
            <w:r>
              <w:rPr>
                <w:rFonts w:ascii="Arial" w:cs="Arial" w:eastAsia="Arial" w:hAnsi="Arial"/>
                <w:sz w:val="14"/>
                <w:szCs w:val="14"/>
                <w:color w:val="FFFFFF"/>
              </w:rPr>
              <w:t>156 Wynn Macau, Limited</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8060" w:type="dxa"/>
            <w:vAlign w:val="bottom"/>
            <w:gridSpan w:val="2"/>
          </w:tcPr>
          <w:p>
            <w:pPr>
              <w:spacing w:after="0" w:line="108" w:lineRule="exact"/>
              <w:rPr>
                <w:sz w:val="20"/>
                <w:szCs w:val="20"/>
                <w:color w:val="auto"/>
              </w:rPr>
            </w:pPr>
            <w:r>
              <w:rPr>
                <w:rFonts w:ascii="Arial" w:cs="Arial" w:eastAsia="Arial" w:hAnsi="Arial"/>
                <w:sz w:val="12"/>
                <w:szCs w:val="12"/>
                <w:color w:val="FFFFFF"/>
              </w:rPr>
              <w:t>For the year ended 31 December 2011</w:t>
            </w: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28. FINANCIAL RISK MANAGEMENT OBJECTIVES AND POLICIES (continued)</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Liquidity risk (continued)</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Company:</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8060" w:type="dxa"/>
            <w:vAlign w:val="bottom"/>
            <w:gridSpan w:val="2"/>
          </w:tcPr>
          <w:p>
            <w:pPr>
              <w:spacing w:after="0" w:line="81" w:lineRule="exact"/>
              <w:rPr>
                <w:sz w:val="20"/>
                <w:szCs w:val="20"/>
                <w:color w:val="auto"/>
              </w:rPr>
            </w:pPr>
            <w:r>
              <w:rPr>
                <w:rFonts w:ascii="Arial" w:cs="Arial" w:eastAsia="Arial" w:hAnsi="Arial"/>
                <w:sz w:val="9"/>
                <w:szCs w:val="9"/>
                <w:color w:val="FFFFFF"/>
              </w:rPr>
              <w:t>Between</w:t>
            </w: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one and</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two and</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Within</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two</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8060" w:type="dxa"/>
            <w:vAlign w:val="bottom"/>
            <w:gridSpan w:val="2"/>
          </w:tcPr>
          <w:p>
            <w:pPr>
              <w:spacing w:after="0" w:line="81" w:lineRule="exact"/>
              <w:rPr>
                <w:sz w:val="20"/>
                <w:szCs w:val="20"/>
                <w:color w:val="auto"/>
              </w:rPr>
            </w:pPr>
            <w:r>
              <w:rPr>
                <w:rFonts w:ascii="Arial" w:cs="Arial" w:eastAsia="Arial" w:hAnsi="Arial"/>
                <w:sz w:val="9"/>
                <w:szCs w:val="9"/>
                <w:color w:val="FFFFFF"/>
              </w:rPr>
              <w:t>fiver</w:t>
            </w: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One year</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8060" w:type="dxa"/>
            <w:vAlign w:val="bottom"/>
            <w:gridSpan w:val="2"/>
          </w:tcPr>
          <w:p>
            <w:pPr>
              <w:spacing w:after="0" w:line="81" w:lineRule="exact"/>
              <w:rPr>
                <w:sz w:val="20"/>
                <w:szCs w:val="20"/>
                <w:color w:val="auto"/>
              </w:rPr>
            </w:pPr>
            <w:r>
              <w:rPr>
                <w:rFonts w:ascii="Arial" w:cs="Arial" w:eastAsia="Arial" w:hAnsi="Arial"/>
                <w:sz w:val="9"/>
                <w:szCs w:val="9"/>
                <w:color w:val="FFFFFF"/>
              </w:rPr>
              <w:t>years</w:t>
            </w: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five years</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8060" w:type="dxa"/>
            <w:vAlign w:val="bottom"/>
            <w:gridSpan w:val="2"/>
          </w:tcPr>
          <w:p>
            <w:pPr>
              <w:spacing w:after="0" w:line="110" w:lineRule="exact"/>
              <w:rPr>
                <w:sz w:val="20"/>
                <w:szCs w:val="20"/>
                <w:color w:val="auto"/>
              </w:rPr>
            </w:pPr>
            <w:r>
              <w:rPr>
                <w:rFonts w:ascii="Arial" w:cs="Arial" w:eastAsia="Arial" w:hAnsi="Arial"/>
                <w:sz w:val="12"/>
                <w:szCs w:val="12"/>
                <w:color w:val="FFFFFF"/>
              </w:rPr>
              <w:t>Total</w:t>
            </w: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060" w:type="dxa"/>
            <w:vAlign w:val="bottom"/>
            <w:gridSpan w:val="2"/>
          </w:tcPr>
          <w:p>
            <w:pPr>
              <w:spacing w:after="0" w:line="133" w:lineRule="exact"/>
              <w:rPr>
                <w:sz w:val="20"/>
                <w:szCs w:val="20"/>
                <w:color w:val="auto"/>
              </w:rPr>
            </w:pPr>
            <w:r>
              <w:rPr>
                <w:rFonts w:ascii="Arial" w:cs="Arial" w:eastAsia="Arial" w:hAnsi="Arial"/>
                <w:sz w:val="14"/>
                <w:szCs w:val="14"/>
                <w:color w:val="FFFFFF"/>
              </w:rPr>
              <w:t>HK$</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(in thousands)</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7900" w:type="dxa"/>
            <w:vAlign w:val="bottom"/>
          </w:tcPr>
          <w:p>
            <w:pPr>
              <w:ind w:left="40"/>
              <w:spacing w:after="0"/>
              <w:rPr>
                <w:sz w:val="20"/>
                <w:szCs w:val="20"/>
                <w:color w:val="auto"/>
              </w:rPr>
            </w:pPr>
            <w:r>
              <w:rPr>
                <w:rFonts w:ascii="Arial" w:cs="Arial" w:eastAsia="Arial" w:hAnsi="Arial"/>
                <w:sz w:val="3"/>
                <w:szCs w:val="3"/>
                <w:color w:val="FFFFFF"/>
              </w:rPr>
              <w:t>at 31 December 2011</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Amounts due torelated companies</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19,201</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line="122" w:lineRule="exact"/>
              <w:rPr>
                <w:sz w:val="20"/>
                <w:szCs w:val="20"/>
                <w:color w:val="auto"/>
              </w:rPr>
            </w:pPr>
            <w:r>
              <w:rPr>
                <w:rFonts w:ascii="Arial" w:cs="Arial" w:eastAsia="Arial" w:hAnsi="Arial"/>
                <w:sz w:val="14"/>
                <w:szCs w:val="14"/>
                <w:color w:val="FFFFFF"/>
                <w:w w:val="99"/>
              </w:rPr>
              <w:t>—</w:t>
            </w:r>
          </w:p>
        </w:tc>
        <w:tc>
          <w:tcPr>
            <w:tcW w:w="7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19,201</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7900" w:type="dxa"/>
            <w:vAlign w:val="bottom"/>
          </w:tcPr>
          <w:p>
            <w:pPr>
              <w:ind w:left="40"/>
              <w:spacing w:after="0"/>
              <w:rPr>
                <w:sz w:val="20"/>
                <w:szCs w:val="20"/>
                <w:color w:val="auto"/>
              </w:rPr>
            </w:pPr>
            <w:r>
              <w:rPr>
                <w:rFonts w:ascii="Arial" w:cs="Arial" w:eastAsia="Arial" w:hAnsi="Arial"/>
                <w:sz w:val="3"/>
                <w:szCs w:val="3"/>
                <w:color w:val="FFFFFF"/>
              </w:rPr>
              <w:t>at 31 December 2010</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Amounts due torelated companies</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2,107</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line="122" w:lineRule="exact"/>
              <w:rPr>
                <w:sz w:val="20"/>
                <w:szCs w:val="20"/>
                <w:color w:val="auto"/>
              </w:rPr>
            </w:pPr>
            <w:r>
              <w:rPr>
                <w:rFonts w:ascii="Arial" w:cs="Arial" w:eastAsia="Arial" w:hAnsi="Arial"/>
                <w:sz w:val="14"/>
                <w:szCs w:val="14"/>
                <w:color w:val="FFFFFF"/>
                <w:w w:val="99"/>
              </w:rPr>
              <w:t>—</w:t>
            </w:r>
          </w:p>
        </w:tc>
        <w:tc>
          <w:tcPr>
            <w:tcW w:w="7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2,107</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60" w:type="dxa"/>
            <w:vAlign w:val="bottom"/>
            <w:gridSpan w:val="2"/>
          </w:tcPr>
          <w:p>
            <w:pPr>
              <w:spacing w:after="0"/>
              <w:rPr>
                <w:sz w:val="20"/>
                <w:szCs w:val="20"/>
                <w:color w:val="auto"/>
              </w:rPr>
            </w:pPr>
            <w:r>
              <w:rPr>
                <w:rFonts w:ascii="Arial" w:cs="Arial" w:eastAsia="Arial" w:hAnsi="Arial"/>
                <w:sz w:val="3"/>
                <w:szCs w:val="3"/>
                <w:color w:val="FFFFFF"/>
              </w:rPr>
              <w:t>Capital management</w:t>
            </w:r>
          </w:p>
        </w:tc>
        <w:tc>
          <w:tcPr>
            <w:tcW w:w="1380" w:type="dxa"/>
            <w:vAlign w:val="bottom"/>
            <w:vMerge w:val="restart"/>
          </w:tcPr>
          <w:p>
            <w:pPr>
              <w:ind w:left="300"/>
              <w:spacing w:after="0"/>
              <w:rPr>
                <w:sz w:val="20"/>
                <w:szCs w:val="20"/>
                <w:color w:val="auto"/>
              </w:rPr>
            </w:pPr>
            <w:r>
              <w:rPr>
                <w:rFonts w:ascii="Arial" w:cs="Arial" w:eastAsia="Arial" w:hAnsi="Arial"/>
                <w:sz w:val="3"/>
                <w:szCs w:val="3"/>
                <w:color w:val="FFFFFF"/>
              </w:rPr>
              <w:t>shareholder’s value.</w:t>
            </w:r>
          </w:p>
        </w:tc>
        <w:tc>
          <w:tcPr>
            <w:tcW w:w="0" w:type="dxa"/>
            <w:vAlign w:val="bottom"/>
          </w:tcPr>
          <w:p>
            <w:pPr>
              <w:spacing w:after="0"/>
              <w:rPr>
                <w:sz w:val="1"/>
                <w:szCs w:val="1"/>
                <w:color w:val="auto"/>
              </w:rPr>
            </w:pPr>
          </w:p>
        </w:tc>
      </w:tr>
      <w:tr>
        <w:trPr>
          <w:trHeight w:val="0"/>
        </w:trPr>
        <w:tc>
          <w:tcPr>
            <w:tcW w:w="160" w:type="dxa"/>
            <w:vAlign w:val="bottom"/>
          </w:tcPr>
          <w:p>
            <w:pPr>
              <w:spacing w:after="0" w:line="20" w:lineRule="exact"/>
              <w:rPr>
                <w:sz w:val="1"/>
                <w:szCs w:val="1"/>
                <w:color w:val="auto"/>
              </w:rPr>
            </w:pPr>
          </w:p>
        </w:tc>
        <w:tc>
          <w:tcPr>
            <w:tcW w:w="7900" w:type="dxa"/>
            <w:vAlign w:val="bottom"/>
          </w:tcPr>
          <w:p>
            <w:pPr>
              <w:ind w:left="100"/>
              <w:spacing w:after="0" w:line="80" w:lineRule="exact"/>
              <w:rPr>
                <w:sz w:val="20"/>
                <w:szCs w:val="20"/>
                <w:color w:val="auto"/>
              </w:rPr>
            </w:pPr>
            <w:r>
              <w:rPr>
                <w:rFonts w:ascii="Arial" w:cs="Arial" w:eastAsia="Arial" w:hAnsi="Arial"/>
                <w:sz w:val="9"/>
                <w:szCs w:val="9"/>
                <w:color w:val="FFFFFF"/>
              </w:rPr>
              <w:t>primary objective of the Group’ capital management is to ensure that it maintains a strong credit rating   order to support its business and</w:t>
            </w: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auto"/>
        <w:rPr>
          <w:sz w:val="20"/>
          <w:szCs w:val="20"/>
          <w:color w:val="auto"/>
        </w:rPr>
      </w:pPr>
      <w:r>
        <w:rPr>
          <w:rFonts w:ascii="Arial" w:cs="Arial" w:eastAsia="Arial" w:hAnsi="Arial"/>
          <w:sz w:val="9"/>
          <w:szCs w:val="9"/>
          <w:color w:val="FFFFFF"/>
        </w:rPr>
        <w:t>The Group manages its capital structure and makes adjustments to it as economic conditions change (i.e. interest rates and equity markets). To maintainmaximizestrong capital structure and in response to changes in economic conditions, the Group may modify debt instruments to obtain more favorable interest rates, obtain additional debt fi nancing, and may adjust dividend payments to shareholders as conditions require. The gearing ratio is a key indicator of the Group’s capital structure. The gearing ratio is net debt divided by total capital plus net debt.</w:t>
      </w:r>
    </w:p>
    <w:p>
      <w:pPr>
        <w:sectPr>
          <w:pgSz w:w="11900" w:h="16838" w:orient="portrait"/>
          <w:cols w:equalWidth="0" w:num="1">
            <w:col w:w="11260"/>
          </w:cols>
          <w:pgMar w:left="240" w:top="1440" w:right="39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color w:val="FFFFFF"/>
              </w:rPr>
              <w:t>Annual Report 2011 157</w:t>
            </w:r>
          </w:p>
        </w:tc>
        <w:tc>
          <w:tcPr>
            <w:tcW w:w="2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For the year ended 31 December 2011</w:t>
            </w: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940" w:type="dxa"/>
            <w:vAlign w:val="bottom"/>
            <w:gridSpan w:val="4"/>
          </w:tcPr>
          <w:p>
            <w:pPr>
              <w:spacing w:after="0"/>
              <w:rPr>
                <w:sz w:val="20"/>
                <w:szCs w:val="20"/>
                <w:color w:val="auto"/>
              </w:rPr>
            </w:pPr>
            <w:r>
              <w:rPr>
                <w:rFonts w:ascii="Arial" w:cs="Arial" w:eastAsia="Arial" w:hAnsi="Arial"/>
                <w:sz w:val="3"/>
                <w:szCs w:val="3"/>
                <w:color w:val="FFFFFF"/>
              </w:rPr>
              <w:t>28. FINANCIAL RISK MANAGEMENT OBJECTIVES AND POLICIES (continued)</w:t>
            </w: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Group</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As at 31 December</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660" w:type="dxa"/>
            <w:vAlign w:val="bottom"/>
            <w:gridSpan w:val="2"/>
          </w:tcPr>
          <w:p>
            <w:pPr>
              <w:spacing w:after="0" w:line="81" w:lineRule="exact"/>
              <w:rPr>
                <w:sz w:val="20"/>
                <w:szCs w:val="20"/>
                <w:color w:val="auto"/>
              </w:rPr>
            </w:pPr>
            <w:r>
              <w:rPr>
                <w:rFonts w:ascii="Arial" w:cs="Arial" w:eastAsia="Arial" w:hAnsi="Arial"/>
                <w:sz w:val="9"/>
                <w:szCs w:val="9"/>
                <w:color w:val="FFFFFF"/>
              </w:rPr>
              <w:t>2010</w:t>
            </w:r>
          </w:p>
        </w:tc>
        <w:tc>
          <w:tcPr>
            <w:tcW w:w="24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5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60" w:type="dxa"/>
            <w:vAlign w:val="bottom"/>
            <w:gridSpan w:val="2"/>
          </w:tcPr>
          <w:p>
            <w:pPr>
              <w:spacing w:after="0" w:line="81" w:lineRule="exact"/>
              <w:rPr>
                <w:sz w:val="20"/>
                <w:szCs w:val="20"/>
                <w:color w:val="auto"/>
              </w:rPr>
            </w:pPr>
            <w:r>
              <w:rPr>
                <w:rFonts w:ascii="Arial" w:cs="Arial" w:eastAsia="Arial" w:hAnsi="Arial"/>
                <w:sz w:val="9"/>
                <w:szCs w:val="9"/>
                <w:color w:val="FFFFFF"/>
              </w:rPr>
              <w:t>HK$</w:t>
            </w:r>
          </w:p>
        </w:tc>
        <w:tc>
          <w:tcPr>
            <w:tcW w:w="24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5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(in thousands,</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except for percentages)</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Interest-bearing bank loans, net</w:t>
            </w: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jc w:val="right"/>
              <w:ind w:right="1093"/>
              <w:spacing w:after="0"/>
              <w:rPr>
                <w:sz w:val="20"/>
                <w:szCs w:val="20"/>
                <w:color w:val="auto"/>
              </w:rPr>
            </w:pPr>
            <w:r>
              <w:rPr>
                <w:rFonts w:ascii="Arial" w:cs="Arial" w:eastAsia="Arial" w:hAnsi="Arial"/>
                <w:sz w:val="3"/>
                <w:szCs w:val="3"/>
                <w:color w:val="FFFFFF"/>
              </w:rPr>
              <w:t>803 466</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4,949,703</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Accounts payable</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 w:type="dxa"/>
            <w:vAlign w:val="bottom"/>
          </w:tcPr>
          <w:p>
            <w:pPr>
              <w:spacing w:after="0"/>
              <w:rPr>
                <w:sz w:val="3"/>
                <w:szCs w:val="3"/>
                <w:color w:val="auto"/>
              </w:rPr>
            </w:pPr>
          </w:p>
        </w:tc>
        <w:tc>
          <w:tcPr>
            <w:tcW w:w="1520" w:type="dxa"/>
            <w:vAlign w:val="bottom"/>
          </w:tcPr>
          <w:p>
            <w:pPr>
              <w:jc w:val="right"/>
              <w:ind w:right="1093"/>
              <w:spacing w:after="0"/>
              <w:rPr>
                <w:sz w:val="20"/>
                <w:szCs w:val="20"/>
                <w:color w:val="auto"/>
              </w:rPr>
            </w:pPr>
            <w:r>
              <w:rPr>
                <w:rFonts w:ascii="Arial" w:cs="Arial" w:eastAsia="Arial" w:hAnsi="Arial"/>
                <w:sz w:val="3"/>
                <w:szCs w:val="3"/>
                <w:color w:val="FFFFFF"/>
              </w:rPr>
              <w:t>50 345</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1,018,016</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Land premium payable</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911,433</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w:t>
            </w:r>
          </w:p>
        </w:tc>
        <w:tc>
          <w:tcPr>
            <w:tcW w:w="15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Other payables and accruals</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jc w:val="right"/>
              <w:ind w:right="1093"/>
              <w:spacing w:after="0"/>
              <w:rPr>
                <w:sz w:val="20"/>
                <w:szCs w:val="20"/>
                <w:color w:val="auto"/>
              </w:rPr>
            </w:pPr>
            <w:r>
              <w:rPr>
                <w:rFonts w:ascii="Arial" w:cs="Arial" w:eastAsia="Arial" w:hAnsi="Arial"/>
                <w:sz w:val="3"/>
                <w:szCs w:val="3"/>
                <w:color w:val="FFFFFF"/>
              </w:rPr>
              <w:t>236 877</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3,665,441</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Amounts due to related companies</w:t>
            </w: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158 188</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235,922</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Other liabilities, net of uncertain tax position</w:t>
            </w: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1</w:t>
            </w:r>
          </w:p>
        </w:tc>
        <w:tc>
          <w:tcPr>
            <w:tcW w:w="1520" w:type="dxa"/>
            <w:vAlign w:val="bottom"/>
          </w:tcPr>
          <w:p>
            <w:pPr>
              <w:jc w:val="right"/>
              <w:ind w:right="1193"/>
              <w:spacing w:after="0"/>
              <w:rPr>
                <w:sz w:val="20"/>
                <w:szCs w:val="20"/>
                <w:color w:val="auto"/>
              </w:rPr>
            </w:pPr>
            <w:r>
              <w:rPr>
                <w:rFonts w:ascii="Arial" w:cs="Arial" w:eastAsia="Arial" w:hAnsi="Arial"/>
                <w:sz w:val="3"/>
                <w:szCs w:val="3"/>
                <w:color w:val="FFFFFF"/>
              </w:rPr>
              <w:t>5,396</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23,794</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Less: cash and cash equivalents</w:t>
            </w: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ind w:left="60"/>
              <w:spacing w:after="0"/>
              <w:rPr>
                <w:sz w:val="20"/>
                <w:szCs w:val="20"/>
                <w:color w:val="auto"/>
              </w:rPr>
            </w:pPr>
            <w:r>
              <w:rPr>
                <w:rFonts w:ascii="Arial" w:cs="Arial" w:eastAsia="Arial" w:hAnsi="Arial"/>
                <w:sz w:val="3"/>
                <w:szCs w:val="3"/>
                <w:color w:val="FFFFFF"/>
              </w:rPr>
              <w:t>5 156 725)</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(3,819,163)</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Net debt</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8 138 980</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6,073,713</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Equity</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jc w:val="right"/>
              <w:ind w:right="1093"/>
              <w:spacing w:after="0"/>
              <w:rPr>
                <w:sz w:val="20"/>
                <w:szCs w:val="20"/>
                <w:color w:val="auto"/>
              </w:rPr>
            </w:pPr>
            <w:r>
              <w:rPr>
                <w:rFonts w:ascii="Arial" w:cs="Arial" w:eastAsia="Arial" w:hAnsi="Arial"/>
                <w:sz w:val="3"/>
                <w:szCs w:val="3"/>
                <w:color w:val="FFFFFF"/>
              </w:rPr>
              <w:t>028 443</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4,297,089</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Total capital</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jc w:val="right"/>
              <w:ind w:right="1093"/>
              <w:spacing w:after="0"/>
              <w:rPr>
                <w:sz w:val="20"/>
                <w:szCs w:val="20"/>
                <w:color w:val="auto"/>
              </w:rPr>
            </w:pPr>
            <w:r>
              <w:rPr>
                <w:rFonts w:ascii="Arial" w:cs="Arial" w:eastAsia="Arial" w:hAnsi="Arial"/>
                <w:sz w:val="3"/>
                <w:szCs w:val="3"/>
                <w:color w:val="FFFFFF"/>
              </w:rPr>
              <w:t>028 443</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4,297,089</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Capital and net debt</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 w:type="dxa"/>
            <w:vAlign w:val="bottom"/>
          </w:tcPr>
          <w:p>
            <w:pPr>
              <w:spacing w:after="0"/>
              <w:rPr>
                <w:sz w:val="3"/>
                <w:szCs w:val="3"/>
                <w:color w:val="auto"/>
              </w:rPr>
            </w:pPr>
          </w:p>
        </w:tc>
        <w:tc>
          <w:tcPr>
            <w:tcW w:w="1520" w:type="dxa"/>
            <w:vAlign w:val="bottom"/>
          </w:tcPr>
          <w:p>
            <w:pPr>
              <w:ind w:left="40"/>
              <w:spacing w:after="0"/>
              <w:rPr>
                <w:sz w:val="20"/>
                <w:szCs w:val="20"/>
                <w:color w:val="auto"/>
              </w:rPr>
            </w:pPr>
            <w:r>
              <w:rPr>
                <w:rFonts w:ascii="Arial" w:cs="Arial" w:eastAsia="Arial" w:hAnsi="Arial"/>
                <w:sz w:val="3"/>
                <w:szCs w:val="3"/>
                <w:color w:val="FFFFFF"/>
              </w:rPr>
              <w:t>167 423</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10,370,802</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Gearing ratio</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66 9%</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58</w:t>
            </w:r>
          </w:p>
        </w:tc>
        <w:tc>
          <w:tcPr>
            <w:tcW w:w="1520" w:type="dxa"/>
            <w:vAlign w:val="bottom"/>
          </w:tcPr>
          <w:p>
            <w:pPr>
              <w:ind w:left="40"/>
              <w:spacing w:after="0"/>
              <w:rPr>
                <w:sz w:val="20"/>
                <w:szCs w:val="20"/>
                <w:color w:val="auto"/>
              </w:rPr>
            </w:pPr>
            <w:r>
              <w:rPr>
                <w:rFonts w:ascii="Arial" w:cs="Arial" w:eastAsia="Arial" w:hAnsi="Arial"/>
                <w:sz w:val="3"/>
                <w:szCs w:val="3"/>
                <w:color w:val="FFFFFF"/>
              </w:rPr>
              <w:t>6%</w:t>
            </w: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29. EVENTS AFTER THE REPORTING PERIOD</w:t>
            </w:r>
          </w:p>
        </w:tc>
        <w:tc>
          <w:tcPr>
            <w:tcW w:w="18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Determination of</w:t>
            </w:r>
          </w:p>
        </w:tc>
        <w:tc>
          <w:tcPr>
            <w:tcW w:w="4280" w:type="dxa"/>
            <w:vAlign w:val="bottom"/>
            <w:gridSpan w:val="2"/>
          </w:tcPr>
          <w:p>
            <w:pPr>
              <w:ind w:left="20"/>
              <w:spacing w:after="0"/>
              <w:rPr>
                <w:sz w:val="20"/>
                <w:szCs w:val="20"/>
                <w:color w:val="auto"/>
              </w:rPr>
            </w:pPr>
            <w:r>
              <w:rPr>
                <w:rFonts w:ascii="Arial" w:cs="Arial" w:eastAsia="Arial" w:hAnsi="Arial"/>
                <w:sz w:val="3"/>
                <w:szCs w:val="3"/>
                <w:color w:val="FFFFFF"/>
              </w:rPr>
              <w:t>and redemption of Aruze USA, Inc. and affi liates and related matters</w:t>
            </w:r>
          </w:p>
        </w:tc>
        <w:tc>
          <w:tcPr>
            <w:tcW w:w="5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On 18 February 2012,unsuitabilityWRL’ Gaming Compliance Committee concluded a year-long investigation after receiving an independent report by Freeh, Sporkin &amp; Sullivan, LLP (the “Freeh Report”) detailing</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numerous prima facie violations of the United States Foreign</w:t>
            </w:r>
          </w:p>
        </w:tc>
        <w:tc>
          <w:tcPr>
            <w:tcW w:w="1800" w:type="dxa"/>
            <w:vAlign w:val="bottom"/>
            <w:vMerge w:val="restart"/>
          </w:tcPr>
          <w:p>
            <w:pPr>
              <w:ind w:left="340"/>
              <w:spacing w:after="0" w:line="81" w:lineRule="exact"/>
              <w:rPr>
                <w:sz w:val="20"/>
                <w:szCs w:val="20"/>
                <w:color w:val="auto"/>
              </w:rPr>
            </w:pPr>
            <w:r>
              <w:rPr>
                <w:rFonts w:ascii="Arial" w:cs="Arial" w:eastAsia="Arial" w:hAnsi="Arial"/>
                <w:sz w:val="9"/>
                <w:szCs w:val="9"/>
                <w:color w:val="FFFFFF"/>
              </w:rPr>
              <w:t>of WRL, Universal</w:t>
            </w:r>
          </w:p>
        </w:tc>
        <w:tc>
          <w:tcPr>
            <w:tcW w:w="5440" w:type="dxa"/>
            <w:vAlign w:val="bottom"/>
            <w:vMerge w:val="restart"/>
          </w:tcPr>
          <w:p>
            <w:pPr>
              <w:ind w:left="420"/>
              <w:spacing w:after="0" w:line="81" w:lineRule="exact"/>
              <w:rPr>
                <w:sz w:val="20"/>
                <w:szCs w:val="20"/>
                <w:color w:val="auto"/>
              </w:rPr>
            </w:pPr>
            <w:r>
              <w:rPr>
                <w:rFonts w:ascii="Arial" w:cs="Arial" w:eastAsia="Arial" w:hAnsi="Arial"/>
                <w:sz w:val="9"/>
                <w:szCs w:val="9"/>
                <w:color w:val="FFFFFF"/>
              </w:rPr>
              <w:t>Corporation, Aruze USA, Inc.’s parent company, and Kazuo Okada, the majority shareholder</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Corrupt Pr ctices Act (the “FCPA”) by Aruze USA, Inc., at the time a</w:t>
            </w:r>
          </w:p>
        </w:tc>
        <w:tc>
          <w:tcPr>
            <w:tcW w:w="1800" w:type="dxa"/>
            <w:vAlign w:val="bottom"/>
            <w:vMerge w:val="continue"/>
          </w:tcPr>
          <w:p>
            <w:pPr>
              <w:spacing w:after="0"/>
              <w:rPr>
                <w:sz w:val="3"/>
                <w:szCs w:val="3"/>
                <w:color w:val="auto"/>
              </w:rPr>
            </w:pPr>
          </w:p>
        </w:tc>
        <w:tc>
          <w:tcPr>
            <w:tcW w:w="5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20"/>
                <w:szCs w:val="20"/>
                <w:color w:val="auto"/>
              </w:rPr>
            </w:pPr>
            <w:r>
              <w:rPr>
                <w:rFonts w:ascii="Arial" w:cs="Arial" w:eastAsia="Arial" w:hAnsi="Arial"/>
                <w:sz w:val="14"/>
                <w:szCs w:val="14"/>
                <w:color w:val="FFFFFF"/>
              </w:rPr>
              <w:t>of</w:t>
            </w:r>
          </w:p>
        </w:tc>
        <w:tc>
          <w:tcPr>
            <w:tcW w:w="11240" w:type="dxa"/>
            <w:vAlign w:val="bottom"/>
            <w:gridSpan w:val="4"/>
          </w:tcPr>
          <w:p>
            <w:pPr>
              <w:ind w:left="20"/>
              <w:spacing w:after="0"/>
              <w:rPr>
                <w:sz w:val="20"/>
                <w:szCs w:val="20"/>
                <w:color w:val="auto"/>
              </w:rPr>
            </w:pPr>
            <w:r>
              <w:rPr>
                <w:rFonts w:ascii="Arial" w:cs="Arial" w:eastAsia="Arial" w:hAnsi="Arial"/>
                <w:sz w:val="14"/>
                <w:szCs w:val="14"/>
                <w:color w:val="FFFFFF"/>
              </w:rPr>
              <w:t>Universal Entertainment Corporation, who is also a member of WRL’stockholderboardof directors and was atEntertainmentthetimeDirector of the Company.</w:t>
            </w:r>
          </w:p>
        </w:tc>
        <w:tc>
          <w:tcPr>
            <w:tcW w:w="0" w:type="dxa"/>
            <w:vAlign w:val="bottom"/>
          </w:tcPr>
          <w:p>
            <w:pPr>
              <w:spacing w:after="0"/>
              <w:rPr>
                <w:sz w:val="1"/>
                <w:szCs w:val="1"/>
                <w:color w:val="auto"/>
              </w:rPr>
            </w:pPr>
          </w:p>
        </w:tc>
      </w:tr>
    </w:tbl>
    <w:p>
      <w:pPr>
        <w:sectPr>
          <w:pgSz w:w="11900" w:h="16838" w:orient="portrait"/>
          <w:cols w:equalWidth="0" w:num="1">
            <w:col w:w="11380"/>
          </w:cols>
          <w:pgMar w:left="240" w:top="1440" w:right="27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color w:val="FFFFFF"/>
                <w:w w:val="91"/>
              </w:rPr>
              <w:t>158 Wynn Macau, Limited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60" w:type="dxa"/>
            <w:vAlign w:val="bottom"/>
          </w:tcPr>
          <w:p>
            <w:pPr>
              <w:spacing w:after="0"/>
              <w:rPr>
                <w:sz w:val="14"/>
                <w:szCs w:val="14"/>
                <w:color w:val="auto"/>
              </w:rPr>
            </w:pP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60" w:type="dxa"/>
            <w:vAlign w:val="bottom"/>
          </w:tcPr>
          <w:p>
            <w:pPr>
              <w:spacing w:after="0"/>
              <w:rPr>
                <w:sz w:val="3"/>
                <w:szCs w:val="3"/>
                <w:color w:val="auto"/>
              </w:rPr>
            </w:pPr>
          </w:p>
        </w:tc>
      </w:tr>
      <w:tr>
        <w:trPr>
          <w:trHeight w:val="41"/>
        </w:trPr>
        <w:tc>
          <w:tcPr>
            <w:tcW w:w="198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8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60" w:type="dxa"/>
            <w:vAlign w:val="bottom"/>
          </w:tcPr>
          <w:p>
            <w:pPr>
              <w:spacing w:after="0"/>
              <w:rPr>
                <w:sz w:val="3"/>
                <w:szCs w:val="3"/>
                <w:color w:val="auto"/>
              </w:rPr>
            </w:pPr>
          </w:p>
        </w:tc>
      </w:tr>
      <w:tr>
        <w:trPr>
          <w:trHeight w:val="108"/>
        </w:trPr>
        <w:tc>
          <w:tcPr>
            <w:tcW w:w="2860" w:type="dxa"/>
            <w:vAlign w:val="bottom"/>
            <w:gridSpan w:val="4"/>
          </w:tcPr>
          <w:p>
            <w:pPr>
              <w:spacing w:after="0" w:line="108" w:lineRule="exact"/>
              <w:rPr>
                <w:sz w:val="20"/>
                <w:szCs w:val="20"/>
                <w:color w:val="auto"/>
              </w:rPr>
            </w:pPr>
            <w:r>
              <w:rPr>
                <w:rFonts w:ascii="Arial" w:cs="Arial" w:eastAsia="Arial" w:hAnsi="Arial"/>
                <w:sz w:val="12"/>
                <w:szCs w:val="12"/>
                <w:color w:val="FFFFFF"/>
              </w:rPr>
              <w:t>For the year ended 31 December 2011</w:t>
            </w:r>
          </w:p>
        </w:tc>
        <w:tc>
          <w:tcPr>
            <w:tcW w:w="2480" w:type="dxa"/>
            <w:vAlign w:val="bottom"/>
          </w:tcPr>
          <w:p>
            <w:pPr>
              <w:spacing w:after="0"/>
              <w:rPr>
                <w:sz w:val="9"/>
                <w:szCs w:val="9"/>
                <w:color w:val="auto"/>
              </w:rPr>
            </w:pPr>
          </w:p>
        </w:tc>
        <w:tc>
          <w:tcPr>
            <w:tcW w:w="6060" w:type="dxa"/>
            <w:vAlign w:val="bottom"/>
          </w:tcPr>
          <w:p>
            <w:pPr>
              <w:spacing w:after="0"/>
              <w:rPr>
                <w:sz w:val="9"/>
                <w:szCs w:val="9"/>
                <w:color w:val="auto"/>
              </w:rPr>
            </w:pPr>
          </w:p>
        </w:tc>
      </w:tr>
      <w:tr>
        <w:trPr>
          <w:trHeight w:val="41"/>
        </w:trPr>
        <w:tc>
          <w:tcPr>
            <w:tcW w:w="5340" w:type="dxa"/>
            <w:vAlign w:val="bottom"/>
            <w:gridSpan w:val="5"/>
          </w:tcPr>
          <w:p>
            <w:pPr>
              <w:spacing w:after="0"/>
              <w:rPr>
                <w:sz w:val="20"/>
                <w:szCs w:val="20"/>
                <w:color w:val="auto"/>
              </w:rPr>
            </w:pPr>
            <w:r>
              <w:rPr>
                <w:rFonts w:ascii="Arial" w:cs="Arial" w:eastAsia="Arial" w:hAnsi="Arial"/>
                <w:sz w:val="3"/>
                <w:szCs w:val="3"/>
                <w:color w:val="FFFFFF"/>
              </w:rPr>
              <w:t>29. EVENTS AFTER THE REPORTING PERIOD (continued)</w:t>
            </w:r>
          </w:p>
        </w:tc>
        <w:tc>
          <w:tcPr>
            <w:tcW w:w="6060" w:type="dxa"/>
            <w:vAlign w:val="bottom"/>
          </w:tcPr>
          <w:p>
            <w:pPr>
              <w:spacing w:after="0"/>
              <w:rPr>
                <w:sz w:val="3"/>
                <w:szCs w:val="3"/>
                <w:color w:val="auto"/>
              </w:rPr>
            </w:pPr>
          </w:p>
        </w:tc>
      </w:tr>
      <w:tr>
        <w:trPr>
          <w:trHeight w:val="41"/>
        </w:trPr>
        <w:tc>
          <w:tcPr>
            <w:tcW w:w="1980" w:type="dxa"/>
            <w:vAlign w:val="bottom"/>
            <w:gridSpan w:val="3"/>
          </w:tcPr>
          <w:p>
            <w:pPr>
              <w:spacing w:after="0"/>
              <w:rPr>
                <w:sz w:val="20"/>
                <w:szCs w:val="20"/>
                <w:color w:val="auto"/>
              </w:rPr>
            </w:pPr>
            <w:r>
              <w:rPr>
                <w:rFonts w:ascii="Arial" w:cs="Arial" w:eastAsia="Arial" w:hAnsi="Arial"/>
                <w:sz w:val="3"/>
                <w:szCs w:val="3"/>
                <w:color w:val="FFFFFF"/>
              </w:rPr>
              <w:t>Based   the Freeh Report, the boa</w:t>
            </w:r>
          </w:p>
        </w:tc>
        <w:tc>
          <w:tcPr>
            <w:tcW w:w="9420" w:type="dxa"/>
            <w:vAlign w:val="bottom"/>
            <w:gridSpan w:val="3"/>
          </w:tcPr>
          <w:p>
            <w:pPr>
              <w:ind w:left="80"/>
              <w:spacing w:after="0"/>
              <w:rPr>
                <w:sz w:val="20"/>
                <w:szCs w:val="20"/>
                <w:color w:val="auto"/>
              </w:rPr>
            </w:pPr>
            <w:r>
              <w:rPr>
                <w:rFonts w:ascii="Arial" w:cs="Arial" w:eastAsia="Arial" w:hAnsi="Arial"/>
                <w:sz w:val="3"/>
                <w:szCs w:val="3"/>
                <w:color w:val="FFFFFF"/>
              </w:rPr>
              <w:t>of directors of WRL determined that Aruze USA, Inc., Universal Entertainment Corporation and Mr. Okada are “unsuitable” under Article VII of the WRL articles of</w:t>
            </w: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in</w:t>
            </w:r>
          </w:p>
        </w:tc>
        <w:tc>
          <w:tcPr>
            <w:tcW w:w="11220" w:type="dxa"/>
            <w:vAlign w:val="bottom"/>
            <w:gridSpan w:val="5"/>
          </w:tcPr>
          <w:p>
            <w:pPr>
              <w:ind w:left="60"/>
              <w:spacing w:after="0"/>
              <w:rPr>
                <w:sz w:val="20"/>
                <w:szCs w:val="20"/>
                <w:color w:val="auto"/>
              </w:rPr>
            </w:pPr>
            <w:r>
              <w:rPr>
                <w:rFonts w:ascii="Arial" w:cs="Arial" w:eastAsia="Arial" w:hAnsi="Arial"/>
                <w:sz w:val="3"/>
                <w:szCs w:val="3"/>
                <w:color w:val="FFFFFF"/>
              </w:rPr>
              <w:t>rporation. The board of directors of WRL was unanimous (other than Mr. Okada) in its determination. The board of directors of WRL also requested that Mr. Okada resign as a director of WRL and</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rec mmended that Mr. Okada be removed as a member of the Board of Directors of the Company. On 18 February 2012, Mr. Okada was removed from the board of directors of Wynn Las Vegas Capital Corp., a</w:t>
            </w:r>
          </w:p>
        </w:tc>
      </w:tr>
      <w:tr>
        <w:trPr>
          <w:trHeight w:val="41"/>
        </w:trPr>
        <w:tc>
          <w:tcPr>
            <w:tcW w:w="1980" w:type="dxa"/>
            <w:vAlign w:val="bottom"/>
            <w:gridSpan w:val="3"/>
          </w:tcPr>
          <w:p>
            <w:pPr>
              <w:spacing w:after="0"/>
              <w:rPr>
                <w:sz w:val="20"/>
                <w:szCs w:val="20"/>
                <w:color w:val="auto"/>
              </w:rPr>
            </w:pPr>
            <w:r>
              <w:rPr>
                <w:rFonts w:ascii="Arial" w:cs="Arial" w:eastAsia="Arial" w:hAnsi="Arial"/>
                <w:sz w:val="3"/>
                <w:szCs w:val="3"/>
                <w:color w:val="FFFFFF"/>
              </w:rPr>
              <w:t>wholly owned subsidiary of WRL.</w:t>
            </w:r>
          </w:p>
        </w:tc>
        <w:tc>
          <w:tcPr>
            <w:tcW w:w="8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60" w:type="dxa"/>
            <w:vAlign w:val="bottom"/>
          </w:tcPr>
          <w:p>
            <w:pPr>
              <w:spacing w:after="0"/>
              <w:rPr>
                <w:sz w:val="3"/>
                <w:szCs w:val="3"/>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Based on the board of directors of WRL’s fi nding of “unsuitability”, on 18 February 2012, WRL redeemed Aruze USA, Inc.’s 24,549,222 shares of WRL’ common stock. Following a fi nding of</w:t>
            </w:r>
          </w:p>
        </w:tc>
      </w:tr>
      <w:tr>
        <w:trPr>
          <w:trHeight w:val="41"/>
        </w:trPr>
        <w:tc>
          <w:tcPr>
            <w:tcW w:w="180" w:type="dxa"/>
            <w:vAlign w:val="bottom"/>
          </w:tcPr>
          <w:p>
            <w:pPr>
              <w:spacing w:after="0"/>
              <w:rPr>
                <w:sz w:val="3"/>
                <w:szCs w:val="3"/>
                <w:color w:val="auto"/>
              </w:rPr>
            </w:pPr>
          </w:p>
        </w:tc>
        <w:tc>
          <w:tcPr>
            <w:tcW w:w="2680" w:type="dxa"/>
            <w:vAlign w:val="bottom"/>
            <w:gridSpan w:val="3"/>
          </w:tcPr>
          <w:p>
            <w:pPr>
              <w:ind w:left="700"/>
              <w:spacing w:after="0"/>
              <w:rPr>
                <w:sz w:val="20"/>
                <w:szCs w:val="20"/>
                <w:color w:val="auto"/>
              </w:rPr>
            </w:pPr>
            <w:r>
              <w:rPr>
                <w:rFonts w:ascii="Arial" w:cs="Arial" w:eastAsia="Arial" w:hAnsi="Arial"/>
                <w:sz w:val="3"/>
                <w:szCs w:val="3"/>
                <w:color w:val="FFFFFF"/>
              </w:rPr>
              <w:t>WRL’s articles authorize redemption</w:t>
            </w:r>
          </w:p>
        </w:tc>
        <w:tc>
          <w:tcPr>
            <w:tcW w:w="8540" w:type="dxa"/>
            <w:vAlign w:val="bottom"/>
            <w:gridSpan w:val="2"/>
          </w:tcPr>
          <w:p>
            <w:pPr>
              <w:ind w:left="160"/>
              <w:spacing w:after="0"/>
              <w:rPr>
                <w:sz w:val="20"/>
                <w:szCs w:val="20"/>
                <w:color w:val="auto"/>
              </w:rPr>
            </w:pPr>
            <w:r>
              <w:rPr>
                <w:rFonts w:ascii="Arial" w:cs="Arial" w:eastAsia="Arial" w:hAnsi="Arial"/>
                <w:sz w:val="3"/>
                <w:szCs w:val="3"/>
                <w:color w:val="FFFFFF"/>
              </w:rPr>
              <w:t>“fair value” of the shares held by unsuitable persons. WRL engaged an independent fi nancial advisor to assist in the fair value calculation and concluded</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“unsuitability”,thatdiscountto the then-current trading price was appropriate because of, among other things, restrictions on most of the shares held by Arzue USA, Inc. under the terms of an existing stockholders agreement.</w:t>
            </w:r>
          </w:p>
        </w:tc>
      </w:tr>
      <w:tr>
        <w:trPr>
          <w:trHeight w:val="41"/>
        </w:trPr>
        <w:tc>
          <w:tcPr>
            <w:tcW w:w="2860" w:type="dxa"/>
            <w:vAlign w:val="bottom"/>
            <w:gridSpan w:val="4"/>
          </w:tcPr>
          <w:p>
            <w:pPr>
              <w:spacing w:after="0"/>
              <w:rPr>
                <w:sz w:val="20"/>
                <w:szCs w:val="20"/>
                <w:color w:val="auto"/>
              </w:rPr>
            </w:pPr>
            <w:r>
              <w:rPr>
                <w:rFonts w:ascii="Arial" w:cs="Arial" w:eastAsia="Arial" w:hAnsi="Arial"/>
                <w:sz w:val="3"/>
                <w:szCs w:val="3"/>
                <w:color w:val="FFFFFF"/>
              </w:rPr>
              <w:t>Pursuant to the articles of incorporation of WRL,</w:t>
            </w:r>
          </w:p>
        </w:tc>
        <w:tc>
          <w:tcPr>
            <w:tcW w:w="8540" w:type="dxa"/>
            <w:vAlign w:val="bottom"/>
            <w:gridSpan w:val="2"/>
          </w:tcPr>
          <w:p>
            <w:pPr>
              <w:spacing w:after="0"/>
              <w:rPr>
                <w:sz w:val="20"/>
                <w:szCs w:val="20"/>
                <w:color w:val="auto"/>
              </w:rPr>
            </w:pPr>
            <w:r>
              <w:rPr>
                <w:rFonts w:ascii="Arial" w:cs="Arial" w:eastAsia="Arial" w:hAnsi="Arial"/>
                <w:sz w:val="3"/>
                <w:szCs w:val="3"/>
                <w:color w:val="FFFFFF"/>
              </w:rPr>
              <w:t>18 February 2012, WRL issued a subordinated promissory note in redemption of all of the shares of WRL common stock held by Aruze USA, Inc. (the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“Redemption Price Promissory Note”). The Redemption Price Promissory Note has a principal amount of approximately US$1.9 billion (approximately HK$14.7 billion), matures   18 February 2022 and bears</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interest at the rate of 2% per annum, payable annually in arrears on each anniversary of the date of the Redemption Price Promissory Note. WRL may, in its sole and absolute discretion, at any time and from</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time to time, and without penalty or premium, prepay the whole or any portion of the principal or interest due under the Redemption Price Promissory Note. In no instance shall any payment obligation under the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Redemption Price Promissory Note be accelerated except in the sole and absolute discretion of WRL or as specifi cally mandated by law. The indebtedness evidenced by the Redemption Price Promissory Note</w:t>
            </w: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is and shall be</w:t>
            </w:r>
          </w:p>
        </w:tc>
        <w:tc>
          <w:tcPr>
            <w:tcW w:w="9900" w:type="dxa"/>
            <w:vAlign w:val="bottom"/>
            <w:gridSpan w:val="4"/>
          </w:tcPr>
          <w:p>
            <w:pPr>
              <w:ind w:left="40"/>
              <w:spacing w:after="0"/>
              <w:rPr>
                <w:sz w:val="20"/>
                <w:szCs w:val="20"/>
                <w:color w:val="auto"/>
              </w:rPr>
            </w:pPr>
            <w:r>
              <w:rPr>
                <w:rFonts w:ascii="Arial" w:cs="Arial" w:eastAsia="Arial" w:hAnsi="Arial"/>
                <w:sz w:val="3"/>
                <w:szCs w:val="3"/>
                <w:color w:val="FFFFFF"/>
              </w:rPr>
              <w:t>in right of payment, to the extent and in the manner provided in the Redemption Price Promissory Note, to the prior payment in full of all existing and future obligations of WRL or</w:t>
            </w:r>
          </w:p>
        </w:tc>
      </w:tr>
      <w:tr>
        <w:trPr>
          <w:trHeight w:val="41"/>
        </w:trPr>
        <w:tc>
          <w:tcPr>
            <w:tcW w:w="5340" w:type="dxa"/>
            <w:vAlign w:val="bottom"/>
            <w:gridSpan w:val="5"/>
          </w:tcPr>
          <w:p>
            <w:pPr>
              <w:spacing w:after="0"/>
              <w:rPr>
                <w:sz w:val="20"/>
                <w:szCs w:val="20"/>
                <w:color w:val="auto"/>
              </w:rPr>
            </w:pPr>
            <w:r>
              <w:rPr>
                <w:rFonts w:ascii="Arial" w:cs="Arial" w:eastAsia="Arial" w:hAnsi="Arial"/>
                <w:sz w:val="3"/>
                <w:szCs w:val="3"/>
                <w:color w:val="FFFFFF"/>
              </w:rPr>
              <w:t>any of its affi liatessubordinatedrespect of indebtedness for borrowed money of any kind or nature.</w:t>
            </w:r>
          </w:p>
        </w:tc>
        <w:tc>
          <w:tcPr>
            <w:tcW w:w="6060" w:type="dxa"/>
            <w:vAlign w:val="bottom"/>
          </w:tcPr>
          <w:p>
            <w:pPr>
              <w:spacing w:after="0"/>
              <w:rPr>
                <w:sz w:val="3"/>
                <w:szCs w:val="3"/>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On 19 February 2012, WRL fi led a complaint in the District Court of Clark County, Nevada against Mr. Okada, Aruze USA, Inc. and Universal Entertainment Corporation alleging breaches of fi duciary duty</w:t>
            </w:r>
          </w:p>
        </w:tc>
      </w:tr>
      <w:tr>
        <w:trPr>
          <w:trHeight w:val="41"/>
        </w:trPr>
        <w:tc>
          <w:tcPr>
            <w:tcW w:w="5340" w:type="dxa"/>
            <w:vAlign w:val="bottom"/>
            <w:gridSpan w:val="5"/>
          </w:tcPr>
          <w:p>
            <w:pPr>
              <w:spacing w:after="0"/>
              <w:rPr>
                <w:sz w:val="20"/>
                <w:szCs w:val="20"/>
                <w:color w:val="auto"/>
              </w:rPr>
            </w:pPr>
            <w:r>
              <w:rPr>
                <w:rFonts w:ascii="Arial" w:cs="Arial" w:eastAsia="Arial" w:hAnsi="Arial"/>
                <w:sz w:val="3"/>
                <w:szCs w:val="3"/>
                <w:color w:val="FFFFFF"/>
              </w:rPr>
              <w:t>and related claims. On 12 March 2012, Aruze USA, Inc. and Universal Entertainment</w:t>
            </w:r>
          </w:p>
        </w:tc>
        <w:tc>
          <w:tcPr>
            <w:tcW w:w="6060" w:type="dxa"/>
            <w:vAlign w:val="bottom"/>
          </w:tcPr>
          <w:p>
            <w:pPr>
              <w:ind w:left="20"/>
              <w:spacing w:after="0"/>
              <w:rPr>
                <w:sz w:val="20"/>
                <w:szCs w:val="20"/>
                <w:color w:val="auto"/>
              </w:rPr>
            </w:pPr>
            <w:r>
              <w:rPr>
                <w:rFonts w:ascii="Arial" w:cs="Arial" w:eastAsia="Arial" w:hAnsi="Arial"/>
                <w:sz w:val="3"/>
                <w:szCs w:val="3"/>
                <w:color w:val="FFFFFF"/>
              </w:rPr>
              <w:t>removed the action to the United States District Court for the District of Nevada. On that same date, Aruze</w:t>
            </w:r>
          </w:p>
        </w:tc>
      </w:tr>
      <w:tr>
        <w:trPr>
          <w:trHeight w:val="41"/>
        </w:trPr>
        <w:tc>
          <w:tcPr>
            <w:tcW w:w="5340" w:type="dxa"/>
            <w:vAlign w:val="bottom"/>
            <w:gridSpan w:val="5"/>
          </w:tcPr>
          <w:p>
            <w:pPr>
              <w:spacing w:after="0"/>
              <w:rPr>
                <w:sz w:val="20"/>
                <w:szCs w:val="20"/>
                <w:color w:val="auto"/>
              </w:rPr>
            </w:pPr>
            <w:r>
              <w:rPr>
                <w:rFonts w:ascii="Arial" w:cs="Arial" w:eastAsia="Arial" w:hAnsi="Arial"/>
                <w:sz w:val="3"/>
                <w:szCs w:val="3"/>
                <w:color w:val="FFFFFF"/>
              </w:rPr>
              <w:t>USA, Inc. and Universal Entertainment Corporation fi led an answer denying the claimsCorporationand</w:t>
            </w:r>
          </w:p>
        </w:tc>
        <w:tc>
          <w:tcPr>
            <w:tcW w:w="6060" w:type="dxa"/>
            <w:vAlign w:val="bottom"/>
          </w:tcPr>
          <w:p>
            <w:pPr>
              <w:spacing w:after="0"/>
              <w:rPr>
                <w:sz w:val="3"/>
                <w:szCs w:val="3"/>
                <w:color w:val="auto"/>
              </w:rPr>
            </w:pPr>
          </w:p>
        </w:tc>
      </w:tr>
      <w:tr>
        <w:trPr>
          <w:trHeight w:val="0"/>
        </w:trPr>
        <w:tc>
          <w:tcPr>
            <w:tcW w:w="1980" w:type="dxa"/>
            <w:vAlign w:val="bottom"/>
            <w:gridSpan w:val="3"/>
          </w:tcPr>
          <w:p>
            <w:pPr>
              <w:spacing w:after="0" w:line="80" w:lineRule="exact"/>
              <w:rPr>
                <w:sz w:val="20"/>
                <w:szCs w:val="20"/>
                <w:color w:val="auto"/>
              </w:rPr>
            </w:pPr>
            <w:r>
              <w:rPr>
                <w:rFonts w:ascii="Arial" w:cs="Arial" w:eastAsia="Arial" w:hAnsi="Arial"/>
                <w:sz w:val="9"/>
                <w:szCs w:val="9"/>
                <w:color w:val="FFFFFF"/>
              </w:rPr>
              <w:t>counterclaim that purports to assert</w:t>
            </w:r>
          </w:p>
        </w:tc>
        <w:tc>
          <w:tcPr>
            <w:tcW w:w="9420" w:type="dxa"/>
            <w:vAlign w:val="bottom"/>
            <w:gridSpan w:val="3"/>
          </w:tcPr>
          <w:p>
            <w:pPr>
              <w:ind w:left="360"/>
              <w:spacing w:after="0" w:line="80" w:lineRule="exact"/>
              <w:rPr>
                <w:sz w:val="20"/>
                <w:szCs w:val="20"/>
                <w:color w:val="auto"/>
              </w:rPr>
            </w:pPr>
            <w:r>
              <w:rPr>
                <w:rFonts w:ascii="Arial" w:cs="Arial" w:eastAsia="Arial" w:hAnsi="Arial"/>
                <w:sz w:val="9"/>
                <w:szCs w:val="9"/>
                <w:color w:val="FFFFFF"/>
              </w:rPr>
              <w:t>against WRL, each of the members of WRL’s board (other than Mr. Okada) and  senior executive of WRL. Among other relief, the counterclaim seeks a declaration</w:t>
            </w:r>
          </w:p>
        </w:tc>
      </w:tr>
    </w:tbl>
    <w:p>
      <w:pPr>
        <w:spacing w:after="0" w:line="180" w:lineRule="auto"/>
        <w:rPr>
          <w:sz w:val="20"/>
          <w:szCs w:val="20"/>
          <w:color w:val="auto"/>
        </w:rPr>
      </w:pPr>
      <w:r>
        <w:rPr>
          <w:rFonts w:ascii="Arial" w:cs="Arial" w:eastAsia="Arial" w:hAnsi="Arial"/>
          <w:sz w:val="14"/>
          <w:szCs w:val="14"/>
          <w:color w:val="FFFFFF"/>
        </w:rPr>
        <w:t>that the redemption of Aruze USA, Inc.’claimsshares was void, an injunction restoring Aruze USA, Inc.’s share ownership and damages in an unspecifi ed amount.</w:t>
      </w:r>
    </w:p>
    <w:p>
      <w:pPr>
        <w:sectPr>
          <w:pgSz w:w="11900" w:h="16838" w:orient="portrait"/>
          <w:cols w:equalWidth="0" w:num="1">
            <w:col w:w="11400"/>
          </w:cols>
          <w:pgMar w:left="240" w:top="1440" w:right="25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20"/>
                <w:szCs w:val="20"/>
                <w:color w:val="auto"/>
              </w:rPr>
            </w:pPr>
            <w:r>
              <w:rPr>
                <w:rFonts w:ascii="Arial" w:cs="Arial" w:eastAsia="Arial" w:hAnsi="Arial"/>
                <w:sz w:val="14"/>
                <w:szCs w:val="14"/>
                <w:color w:val="FFFFFF"/>
              </w:rPr>
              <w:t>Annual Report 2011 159</w:t>
            </w:r>
          </w:p>
        </w:tc>
        <w:tc>
          <w:tcPr>
            <w:tcW w:w="15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300" w:type="dxa"/>
            <w:vAlign w:val="bottom"/>
          </w:tcPr>
          <w:p>
            <w:pPr>
              <w:spacing w:after="0"/>
              <w:rPr>
                <w:sz w:val="20"/>
                <w:szCs w:val="20"/>
                <w:color w:val="auto"/>
              </w:rPr>
            </w:pPr>
            <w:r>
              <w:rPr>
                <w:rFonts w:ascii="Arial" w:cs="Arial" w:eastAsia="Arial" w:hAnsi="Arial"/>
                <w:sz w:val="3"/>
                <w:szCs w:val="3"/>
                <w:color w:val="FFFFFF"/>
              </w:rPr>
              <w:t>Financial Statements</w:t>
            </w:r>
          </w:p>
        </w:tc>
        <w:tc>
          <w:tcPr>
            <w:tcW w:w="15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0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5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line="108" w:lineRule="exact"/>
              <w:rPr>
                <w:sz w:val="20"/>
                <w:szCs w:val="20"/>
                <w:color w:val="auto"/>
              </w:rPr>
            </w:pPr>
            <w:r>
              <w:rPr>
                <w:rFonts w:ascii="Arial" w:cs="Arial" w:eastAsia="Arial" w:hAnsi="Arial"/>
                <w:sz w:val="12"/>
                <w:szCs w:val="12"/>
                <w:color w:val="FFFFFF"/>
              </w:rPr>
              <w:t>For the year ended 31 December 2011</w:t>
            </w:r>
          </w:p>
        </w:tc>
        <w:tc>
          <w:tcPr>
            <w:tcW w:w="15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300" w:type="dxa"/>
            <w:vAlign w:val="bottom"/>
          </w:tcPr>
          <w:p>
            <w:pPr>
              <w:spacing w:after="0"/>
              <w:rPr>
                <w:sz w:val="20"/>
                <w:szCs w:val="20"/>
                <w:color w:val="auto"/>
              </w:rPr>
            </w:pPr>
            <w:r>
              <w:rPr>
                <w:rFonts w:ascii="Arial" w:cs="Arial" w:eastAsia="Arial" w:hAnsi="Arial"/>
                <w:sz w:val="3"/>
                <w:szCs w:val="3"/>
                <w:color w:val="FFFFFF"/>
              </w:rPr>
              <w:t>29. EVENTS AFTER THE REPORTING PERIOD (continued)</w:t>
            </w:r>
          </w:p>
        </w:tc>
        <w:tc>
          <w:tcPr>
            <w:tcW w:w="158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Okada from the Board.</w:t>
            </w:r>
          </w:p>
        </w:tc>
        <w:tc>
          <w:tcPr>
            <w:tcW w:w="4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00" w:type="dxa"/>
            <w:vAlign w:val="bottom"/>
          </w:tcPr>
          <w:p>
            <w:pPr>
              <w:ind w:left="200"/>
              <w:spacing w:after="0"/>
              <w:rPr>
                <w:sz w:val="20"/>
                <w:szCs w:val="20"/>
                <w:color w:val="auto"/>
              </w:rPr>
            </w:pPr>
            <w:r>
              <w:rPr>
                <w:rFonts w:ascii="Arial" w:cs="Arial" w:eastAsia="Arial" w:hAnsi="Arial"/>
                <w:sz w:val="3"/>
                <w:szCs w:val="3"/>
                <w:color w:val="FFFFFF"/>
              </w:rPr>
              <w:t>24 February  012, the Board of Directors of the Company remov d Mr.</w:t>
            </w:r>
          </w:p>
        </w:tc>
        <w:tc>
          <w:tcPr>
            <w:tcW w:w="1580" w:type="dxa"/>
            <w:vAlign w:val="bottom"/>
            <w:vMerge w:val="continue"/>
          </w:tcPr>
          <w:p>
            <w:pPr>
              <w:spacing w:after="0"/>
              <w:rPr>
                <w:sz w:val="3"/>
                <w:szCs w:val="3"/>
                <w:color w:val="auto"/>
              </w:rPr>
            </w:pPr>
          </w:p>
        </w:tc>
        <w:tc>
          <w:tcPr>
            <w:tcW w:w="4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On 7 March 2012, WRL fi led with the SEC a preliminary proxy statement forKazuospecial meeting of stockholders of WRL to be held for the purpose of voting on a proposal to remove Mr. Okada as a director of</w:t>
            </w:r>
          </w:p>
        </w:tc>
        <w:tc>
          <w:tcPr>
            <w:tcW w:w="0" w:type="dxa"/>
            <w:vAlign w:val="bottom"/>
          </w:tcPr>
          <w:p>
            <w:pPr>
              <w:spacing w:after="0"/>
              <w:rPr>
                <w:sz w:val="1"/>
                <w:szCs w:val="1"/>
                <w:color w:val="auto"/>
              </w:rPr>
            </w:pPr>
          </w:p>
        </w:tc>
      </w:tr>
      <w:tr>
        <w:trPr>
          <w:trHeight w:val="81"/>
        </w:trPr>
        <w:tc>
          <w:tcPr>
            <w:tcW w:w="11380" w:type="dxa"/>
            <w:vAlign w:val="bottom"/>
            <w:gridSpan w:val="4"/>
          </w:tcPr>
          <w:p>
            <w:pPr>
              <w:spacing w:after="0" w:line="81" w:lineRule="exact"/>
              <w:rPr>
                <w:sz w:val="20"/>
                <w:szCs w:val="20"/>
                <w:color w:val="auto"/>
              </w:rPr>
            </w:pPr>
            <w:r>
              <w:rPr>
                <w:rFonts w:ascii="Arial" w:cs="Arial" w:eastAsia="Arial" w:hAnsi="Arial"/>
                <w:sz w:val="7"/>
                <w:szCs w:val="7"/>
                <w:color w:val="FFFFFF"/>
              </w:rPr>
              <w:t>WRL</w:t>
            </w:r>
            <w:r>
              <w:rPr>
                <w:rFonts w:ascii="Arial" w:cs="Arial" w:eastAsia="Arial" w:hAnsi="Arial"/>
                <w:sz w:val="9"/>
                <w:szCs w:val="9"/>
                <w:color w:val="FFFFFF"/>
                <w:vertAlign w:val="superscript"/>
              </w:rPr>
              <w:t>.</w:t>
            </w:r>
            <w:r>
              <w:rPr>
                <w:rFonts w:ascii="Arial" w:cs="Arial" w:eastAsia="Arial" w:hAnsi="Arial"/>
                <w:sz w:val="7"/>
                <w:szCs w:val="7"/>
                <w:color w:val="FFFFFF"/>
              </w:rPr>
              <w:t>has provided the Freeh Report to applicable regulators and intends to cooperate with any related investigation that such regulators may undertake. The conduct of Mr. Okada and his affi liates and any</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resulting  gulatory investigations could have adverse consequences to WRL and its subsidiaries. A fi nding by regulatory authorities that Mr. Okada violated the FCPA on property of WRL or its subsidiaries</w:t>
            </w:r>
          </w:p>
        </w:tc>
        <w:tc>
          <w:tcPr>
            <w:tcW w:w="0" w:type="dxa"/>
            <w:vAlign w:val="bottom"/>
          </w:tcPr>
          <w:p>
            <w:pPr>
              <w:spacing w:after="0"/>
              <w:rPr>
                <w:sz w:val="1"/>
                <w:szCs w:val="1"/>
                <w:color w:val="auto"/>
              </w:rPr>
            </w:pPr>
          </w:p>
        </w:tc>
      </w:tr>
      <w:tr>
        <w:trPr>
          <w:trHeight w:val="41"/>
        </w:trPr>
        <w:tc>
          <w:tcPr>
            <w:tcW w:w="10380" w:type="dxa"/>
            <w:vAlign w:val="bottom"/>
            <w:gridSpan w:val="3"/>
          </w:tcPr>
          <w:p>
            <w:pPr>
              <w:spacing w:after="0"/>
              <w:rPr>
                <w:sz w:val="20"/>
                <w:szCs w:val="20"/>
                <w:color w:val="auto"/>
              </w:rPr>
            </w:pPr>
            <w:r>
              <w:rPr>
                <w:rFonts w:ascii="Arial" w:cs="Arial" w:eastAsia="Arial" w:hAnsi="Arial"/>
                <w:sz w:val="3"/>
                <w:szCs w:val="3"/>
                <w:color w:val="FFFFFF"/>
              </w:rPr>
              <w:t>and/or otherwise involved WRL or its subsidiaries in criminal or civil violations could result in actions by regulatory authorities against WRL or its subsidiaries. Relatedly, regulators could</w:t>
            </w:r>
          </w:p>
        </w:tc>
        <w:tc>
          <w:tcPr>
            <w:tcW w:w="1000" w:type="dxa"/>
            <w:vAlign w:val="bottom"/>
          </w:tcPr>
          <w:p>
            <w:pPr>
              <w:ind w:left="220"/>
              <w:spacing w:after="0"/>
              <w:rPr>
                <w:sz w:val="20"/>
                <w:szCs w:val="20"/>
                <w:color w:val="auto"/>
              </w:rPr>
            </w:pPr>
            <w:r>
              <w:rPr>
                <w:rFonts w:ascii="Arial" w:cs="Arial" w:eastAsia="Arial" w:hAnsi="Arial"/>
                <w:sz w:val="3"/>
                <w:szCs w:val="3"/>
                <w:color w:val="FFFFFF"/>
              </w:rPr>
              <w:t>separate</w:t>
            </w:r>
          </w:p>
        </w:tc>
        <w:tc>
          <w:tcPr>
            <w:tcW w:w="0" w:type="dxa"/>
            <w:vAlign w:val="bottom"/>
          </w:tcPr>
          <w:p>
            <w:pPr>
              <w:spacing w:after="0"/>
              <w:rPr>
                <w:sz w:val="1"/>
                <w:szCs w:val="1"/>
                <w:color w:val="auto"/>
              </w:rPr>
            </w:pPr>
          </w:p>
        </w:tc>
      </w:tr>
      <w:tr>
        <w:trPr>
          <w:trHeight w:val="41"/>
        </w:trPr>
        <w:tc>
          <w:tcPr>
            <w:tcW w:w="5880" w:type="dxa"/>
            <w:vAlign w:val="bottom"/>
            <w:gridSpan w:val="2"/>
          </w:tcPr>
          <w:p>
            <w:pPr>
              <w:spacing w:after="0"/>
              <w:rPr>
                <w:sz w:val="20"/>
                <w:szCs w:val="20"/>
                <w:color w:val="auto"/>
              </w:rPr>
            </w:pPr>
            <w:r>
              <w:rPr>
                <w:rFonts w:ascii="Arial" w:cs="Arial" w:eastAsia="Arial" w:hAnsi="Arial"/>
                <w:sz w:val="3"/>
                <w:szCs w:val="3"/>
                <w:color w:val="FFFFFF"/>
              </w:rPr>
              <w:t>investigations into WRL’s and its subsidiaries’ compliance with applicable laws, including in response to</w:t>
            </w:r>
          </w:p>
        </w:tc>
        <w:tc>
          <w:tcPr>
            <w:tcW w:w="5500" w:type="dxa"/>
            <w:vAlign w:val="bottom"/>
            <w:gridSpan w:val="2"/>
          </w:tcPr>
          <w:p>
            <w:pPr>
              <w:ind w:left="340"/>
              <w:spacing w:after="0"/>
              <w:rPr>
                <w:sz w:val="20"/>
                <w:szCs w:val="20"/>
                <w:color w:val="auto"/>
              </w:rPr>
            </w:pPr>
            <w:r>
              <w:rPr>
                <w:rFonts w:ascii="Arial" w:cs="Arial" w:eastAsia="Arial" w:hAnsi="Arial"/>
                <w:sz w:val="3"/>
                <w:szCs w:val="3"/>
                <w:color w:val="FFFFFF"/>
              </w:rPr>
              <w:t>fi led by Mr. Okada suggesting improprieties in connection with Wynn Macau’pursue donation to the</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University of Macau and a related informal inquiry by the SEC into this donation. While WRL believes thatlitigationisin full compliance with all applicable laws, any such investigations could result in actions by</w:t>
            </w:r>
          </w:p>
        </w:tc>
        <w:tc>
          <w:tcPr>
            <w:tcW w:w="0" w:type="dxa"/>
            <w:vAlign w:val="bottom"/>
          </w:tcPr>
          <w:p>
            <w:pPr>
              <w:spacing w:after="0"/>
              <w:rPr>
                <w:sz w:val="1"/>
                <w:szCs w:val="1"/>
                <w:color w:val="auto"/>
              </w:rPr>
            </w:pPr>
          </w:p>
        </w:tc>
      </w:tr>
      <w:tr>
        <w:trPr>
          <w:trHeight w:val="41"/>
        </w:trPr>
        <w:tc>
          <w:tcPr>
            <w:tcW w:w="4300" w:type="dxa"/>
            <w:vAlign w:val="bottom"/>
          </w:tcPr>
          <w:p>
            <w:pPr>
              <w:spacing w:after="0"/>
              <w:rPr>
                <w:sz w:val="20"/>
                <w:szCs w:val="20"/>
                <w:color w:val="auto"/>
              </w:rPr>
            </w:pPr>
            <w:r>
              <w:rPr>
                <w:rFonts w:ascii="Arial" w:cs="Arial" w:eastAsia="Arial" w:hAnsi="Arial"/>
                <w:sz w:val="3"/>
                <w:szCs w:val="3"/>
                <w:color w:val="FFFFFF"/>
              </w:rPr>
              <w:t>regulators against WRL or its subsidiaries.</w:t>
            </w:r>
          </w:p>
        </w:tc>
        <w:tc>
          <w:tcPr>
            <w:tcW w:w="15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00" w:type="dxa"/>
            <w:vAlign w:val="bottom"/>
          </w:tcPr>
          <w:p>
            <w:pPr>
              <w:spacing w:after="0"/>
              <w:rPr>
                <w:sz w:val="20"/>
                <w:szCs w:val="20"/>
                <w:color w:val="auto"/>
              </w:rPr>
            </w:pPr>
            <w:r>
              <w:rPr>
                <w:rFonts w:ascii="Arial" w:cs="Arial" w:eastAsia="Arial" w:hAnsi="Arial"/>
                <w:sz w:val="3"/>
                <w:szCs w:val="3"/>
                <w:color w:val="FFFFFF"/>
              </w:rPr>
              <w:t>Litigation commenced by Mr. Okada and related matters</w:t>
            </w:r>
          </w:p>
        </w:tc>
        <w:tc>
          <w:tcPr>
            <w:tcW w:w="15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As previously disclosed in May 2011, the Company made a commitment to the University of Macau Development Foundation in support of the new Asia-Pacifi c Academy of Economics and Management. This</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contribution consists of  MOP200.0 million (equivalent to HK$194.2 million) payment made in May 2011 and  commitment for additional donations of MOP80.0 million (equivalent to HK$77.7 million) each</w:t>
            </w:r>
          </w:p>
        </w:tc>
        <w:tc>
          <w:tcPr>
            <w:tcW w:w="0" w:type="dxa"/>
            <w:vAlign w:val="bottom"/>
          </w:tcPr>
          <w:p>
            <w:pPr>
              <w:spacing w:after="0"/>
              <w:rPr>
                <w:sz w:val="1"/>
                <w:szCs w:val="1"/>
                <w:color w:val="auto"/>
              </w:rPr>
            </w:pPr>
          </w:p>
        </w:tc>
      </w:tr>
      <w:tr>
        <w:trPr>
          <w:trHeight w:val="0"/>
        </w:trPr>
        <w:tc>
          <w:tcPr>
            <w:tcW w:w="5880" w:type="dxa"/>
            <w:vAlign w:val="bottom"/>
            <w:gridSpan w:val="2"/>
          </w:tcPr>
          <w:p>
            <w:pPr>
              <w:spacing w:after="0" w:line="80" w:lineRule="exact"/>
              <w:rPr>
                <w:sz w:val="20"/>
                <w:szCs w:val="20"/>
                <w:color w:val="auto"/>
              </w:rPr>
            </w:pPr>
            <w:r>
              <w:rPr>
                <w:rFonts w:ascii="Arial" w:cs="Arial" w:eastAsia="Arial" w:hAnsi="Arial"/>
                <w:sz w:val="9"/>
                <w:szCs w:val="9"/>
                <w:color w:val="FFFFFF"/>
              </w:rPr>
              <w:t>year for the calendar years 2012 through 2022 inclusive. The pledge was consistent with WRL’ long-</w:t>
            </w:r>
          </w:p>
        </w:tc>
        <w:tc>
          <w:tcPr>
            <w:tcW w:w="550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practice of providing philanthropic support for deserving institutions in the markets in which it</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5"/>
          <w:szCs w:val="5"/>
          <w:color w:val="FFFFFF"/>
        </w:rPr>
        <w:t>operates. The pledge was made following an extensive analysis which concluded that the gift was madestandingaccordance with all applicable laws. The pledge was considered by the boards of directors of both WRL and the Company and approved by 15 of the 16 directors who serve on those boards. The sole dissenting vote was cast by Mr. Kazuo Okada whose stated objection was to the length of time over which the donation would occur, not its propriety.</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FFFFFF"/>
        </w:rPr>
        <w:t>Mr. Okada commenced litigation on 11 January 2012, in Nevada state court seeking to compel WRL to produce information relating to the donation to the University of Macau, among other things.</w:t>
      </w:r>
    </w:p>
    <w:p>
      <w:pPr>
        <w:sectPr>
          <w:pgSz w:w="11900" w:h="16838" w:orient="portrait"/>
          <w:cols w:equalWidth="0" w:num="1">
            <w:col w:w="11400"/>
          </w:cols>
          <w:pgMar w:left="240" w:top="1440" w:right="259"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sz w:val="20"/>
                <w:szCs w:val="20"/>
                <w:color w:val="auto"/>
              </w:rPr>
            </w:pPr>
            <w:r>
              <w:rPr>
                <w:rFonts w:ascii="Arial" w:cs="Arial" w:eastAsia="Arial" w:hAnsi="Arial"/>
                <w:sz w:val="14"/>
                <w:szCs w:val="14"/>
                <w:color w:val="FFFFFF"/>
              </w:rPr>
              <w:t>160 Wynn Macau, Limited</w:t>
            </w:r>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5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5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3860" w:type="dxa"/>
            <w:vAlign w:val="bottom"/>
            <w:gridSpan w:val="2"/>
          </w:tcPr>
          <w:p>
            <w:pPr>
              <w:spacing w:after="0" w:line="108" w:lineRule="exact"/>
              <w:rPr>
                <w:sz w:val="20"/>
                <w:szCs w:val="20"/>
                <w:color w:val="auto"/>
              </w:rPr>
            </w:pPr>
            <w:r>
              <w:rPr>
                <w:rFonts w:ascii="Arial" w:cs="Arial" w:eastAsia="Arial" w:hAnsi="Arial"/>
                <w:sz w:val="12"/>
                <w:szCs w:val="12"/>
                <w:color w:val="FFFFFF"/>
              </w:rPr>
              <w:t>For the year ended 31 December 2011</w:t>
            </w:r>
          </w:p>
        </w:tc>
        <w:tc>
          <w:tcPr>
            <w:tcW w:w="25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29.</w:t>
            </w:r>
          </w:p>
        </w:tc>
        <w:tc>
          <w:tcPr>
            <w:tcW w:w="3540" w:type="dxa"/>
            <w:vAlign w:val="bottom"/>
          </w:tcPr>
          <w:p>
            <w:pPr>
              <w:ind w:left="140"/>
              <w:spacing w:after="0"/>
              <w:rPr>
                <w:sz w:val="20"/>
                <w:szCs w:val="20"/>
                <w:color w:val="auto"/>
              </w:rPr>
            </w:pPr>
            <w:r>
              <w:rPr>
                <w:rFonts w:ascii="Arial" w:cs="Arial" w:eastAsia="Arial" w:hAnsi="Arial"/>
                <w:sz w:val="3"/>
                <w:szCs w:val="3"/>
                <w:color w:val="FFFFFF"/>
              </w:rPr>
              <w:t>EVENTS AFTER THE REPORTING PERIOD (continued)</w:t>
            </w:r>
          </w:p>
        </w:tc>
        <w:tc>
          <w:tcPr>
            <w:tcW w:w="2560" w:type="dxa"/>
            <w:vAlign w:val="bottom"/>
          </w:tcPr>
          <w:p>
            <w:pPr>
              <w:spacing w:after="0"/>
              <w:rPr>
                <w:sz w:val="3"/>
                <w:szCs w:val="3"/>
                <w:color w:val="auto"/>
              </w:rPr>
            </w:pPr>
          </w:p>
        </w:tc>
        <w:tc>
          <w:tcPr>
            <w:tcW w:w="4760" w:type="dxa"/>
            <w:vAlign w:val="bottom"/>
            <w:gridSpan w:val="2"/>
            <w:vMerge w:val="restart"/>
          </w:tcPr>
          <w:p>
            <w:pPr>
              <w:ind w:left="20"/>
              <w:spacing w:after="0" w:line="95" w:lineRule="exact"/>
              <w:rPr>
                <w:sz w:val="20"/>
                <w:szCs w:val="20"/>
                <w:color w:val="auto"/>
              </w:rPr>
            </w:pPr>
            <w:r>
              <w:rPr>
                <w:rFonts w:ascii="Arial" w:cs="Arial" w:eastAsia="Arial" w:hAnsi="Arial"/>
                <w:sz w:val="10"/>
                <w:szCs w:val="10"/>
                <w:color w:val="FFFFFF"/>
              </w:rPr>
              <w:t>SEC requesting that, in connection with an informal inquiry by the SEC, WRL preserve</w:t>
            </w:r>
          </w:p>
        </w:tc>
        <w:tc>
          <w:tcPr>
            <w:tcW w:w="0" w:type="dxa"/>
            <w:vAlign w:val="bottom"/>
          </w:tcPr>
          <w:p>
            <w:pPr>
              <w:spacing w:after="0"/>
              <w:rPr>
                <w:sz w:val="1"/>
                <w:szCs w:val="1"/>
                <w:color w:val="auto"/>
              </w:rPr>
            </w:pPr>
          </w:p>
        </w:tc>
      </w:tr>
      <w:tr>
        <w:trPr>
          <w:trHeight w:val="54"/>
        </w:trPr>
        <w:tc>
          <w:tcPr>
            <w:tcW w:w="6420" w:type="dxa"/>
            <w:vAlign w:val="bottom"/>
            <w:gridSpan w:val="3"/>
          </w:tcPr>
          <w:p>
            <w:pPr>
              <w:spacing w:after="0" w:line="54" w:lineRule="exact"/>
              <w:rPr>
                <w:sz w:val="20"/>
                <w:szCs w:val="20"/>
                <w:color w:val="auto"/>
              </w:rPr>
            </w:pPr>
            <w:r>
              <w:rPr>
                <w:rFonts w:ascii="Arial" w:cs="Arial" w:eastAsia="Arial" w:hAnsi="Arial"/>
                <w:sz w:val="6"/>
                <w:szCs w:val="6"/>
                <w:color w:val="FFFFFF"/>
              </w:rPr>
              <w:t>On 8 February 2012, following Mr. Okada’s lawsuit, WRL received a letter from the Salt Lake Regional Offi ce of</w:t>
            </w:r>
          </w:p>
        </w:tc>
        <w:tc>
          <w:tcPr>
            <w:tcW w:w="4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7700" w:type="dxa"/>
            <w:vAlign w:val="bottom"/>
            <w:gridSpan w:val="4"/>
          </w:tcPr>
          <w:p>
            <w:pPr>
              <w:spacing w:after="0"/>
              <w:rPr>
                <w:sz w:val="20"/>
                <w:szCs w:val="20"/>
                <w:color w:val="auto"/>
              </w:rPr>
            </w:pPr>
            <w:r>
              <w:rPr>
                <w:rFonts w:ascii="Arial" w:cs="Arial" w:eastAsia="Arial" w:hAnsi="Arial"/>
                <w:sz w:val="3"/>
                <w:szCs w:val="3"/>
                <w:color w:val="FFFFFF"/>
              </w:rPr>
              <w:t>information relating to, but not limited to, the donation to the University of Macau, any donations by WRL to any other educational</w:t>
            </w:r>
          </w:p>
        </w:tc>
        <w:tc>
          <w:tcPr>
            <w:tcW w:w="3480" w:type="dxa"/>
            <w:vAlign w:val="bottom"/>
          </w:tcPr>
          <w:p>
            <w:pPr>
              <w:ind w:left="20"/>
              <w:spacing w:after="0"/>
              <w:rPr>
                <w:sz w:val="20"/>
                <w:szCs w:val="20"/>
                <w:color w:val="auto"/>
              </w:rPr>
            </w:pPr>
            <w:r>
              <w:rPr>
                <w:rFonts w:ascii="Arial" w:cs="Arial" w:eastAsia="Arial" w:hAnsi="Arial"/>
                <w:sz w:val="3"/>
                <w:szCs w:val="3"/>
                <w:color w:val="FFFFFF"/>
              </w:rPr>
              <w:t>institutions, including the University of Macau Development</w:t>
            </w:r>
          </w:p>
        </w:tc>
        <w:tc>
          <w:tcPr>
            <w:tcW w:w="0" w:type="dxa"/>
            <w:vAlign w:val="bottom"/>
          </w:tcPr>
          <w:p>
            <w:pPr>
              <w:spacing w:after="0"/>
              <w:rPr>
                <w:sz w:val="1"/>
                <w:szCs w:val="1"/>
                <w:color w:val="auto"/>
              </w:rPr>
            </w:pPr>
          </w:p>
        </w:tc>
      </w:tr>
      <w:tr>
        <w:trPr>
          <w:trHeight w:val="0"/>
        </w:trPr>
        <w:tc>
          <w:tcPr>
            <w:tcW w:w="320" w:type="dxa"/>
            <w:vAlign w:val="bottom"/>
          </w:tcPr>
          <w:p>
            <w:pPr>
              <w:spacing w:after="0" w:line="20" w:lineRule="exact"/>
              <w:rPr>
                <w:sz w:val="1"/>
                <w:szCs w:val="1"/>
                <w:color w:val="auto"/>
              </w:rPr>
            </w:pPr>
          </w:p>
        </w:tc>
        <w:tc>
          <w:tcPr>
            <w:tcW w:w="3540" w:type="dxa"/>
            <w:vAlign w:val="bottom"/>
          </w:tcPr>
          <w:p>
            <w:pPr>
              <w:ind w:left="380"/>
              <w:spacing w:after="0" w:line="80" w:lineRule="exact"/>
              <w:rPr>
                <w:sz w:val="20"/>
                <w:szCs w:val="20"/>
                <w:color w:val="auto"/>
              </w:rPr>
            </w:pPr>
            <w:r>
              <w:rPr>
                <w:rFonts w:ascii="Arial" w:cs="Arial" w:eastAsia="Arial" w:hAnsi="Arial"/>
                <w:sz w:val="9"/>
                <w:szCs w:val="9"/>
                <w:color w:val="FFFFFF"/>
              </w:rPr>
              <w:t>and WRL’s casino or concession gaming licenses or</w:t>
            </w:r>
          </w:p>
        </w:tc>
        <w:tc>
          <w:tcPr>
            <w:tcW w:w="2560" w:type="dxa"/>
            <w:vAlign w:val="bottom"/>
          </w:tcPr>
          <w:p>
            <w:pPr>
              <w:ind w:left="180"/>
              <w:spacing w:after="0" w:line="80" w:lineRule="exact"/>
              <w:rPr>
                <w:sz w:val="20"/>
                <w:szCs w:val="20"/>
                <w:color w:val="auto"/>
              </w:rPr>
            </w:pPr>
            <w:r>
              <w:rPr>
                <w:rFonts w:ascii="Arial" w:cs="Arial" w:eastAsia="Arial" w:hAnsi="Arial"/>
                <w:sz w:val="9"/>
                <w:szCs w:val="9"/>
                <w:color w:val="FFFFFF"/>
              </w:rPr>
              <w:t>in Macau. WRL has informed the Salt Lake</w:t>
            </w:r>
          </w:p>
        </w:tc>
        <w:tc>
          <w:tcPr>
            <w:tcW w:w="1280" w:type="dxa"/>
            <w:vAlign w:val="bottom"/>
          </w:tcPr>
          <w:p>
            <w:pPr>
              <w:ind w:left="540"/>
              <w:spacing w:after="0" w:line="80" w:lineRule="exact"/>
              <w:rPr>
                <w:sz w:val="20"/>
                <w:szCs w:val="20"/>
                <w:color w:val="auto"/>
              </w:rPr>
            </w:pPr>
            <w:r>
              <w:rPr>
                <w:rFonts w:ascii="Arial" w:cs="Arial" w:eastAsia="Arial" w:hAnsi="Arial"/>
                <w:sz w:val="9"/>
                <w:szCs w:val="9"/>
                <w:color w:val="FFFFFF"/>
                <w:w w:val="92"/>
              </w:rPr>
              <w:t>Officharitablecethat</w:t>
            </w:r>
          </w:p>
        </w:tc>
        <w:tc>
          <w:tcPr>
            <w:tcW w:w="3480" w:type="dxa"/>
            <w:vAlign w:val="bottom"/>
          </w:tcPr>
          <w:p>
            <w:pPr>
              <w:ind w:left="20"/>
              <w:spacing w:after="0" w:line="80" w:lineRule="exact"/>
              <w:rPr>
                <w:sz w:val="20"/>
                <w:szCs w:val="20"/>
                <w:color w:val="auto"/>
              </w:rPr>
            </w:pPr>
            <w:r>
              <w:rPr>
                <w:rFonts w:ascii="Arial" w:cs="Arial" w:eastAsia="Arial" w:hAnsi="Arial"/>
                <w:sz w:val="9"/>
                <w:szCs w:val="9"/>
                <w:color w:val="FFFFFF"/>
              </w:rPr>
              <w:t>intends to fully comply with the SEC’ request.</w:t>
            </w:r>
          </w:p>
        </w:tc>
        <w:tc>
          <w:tcPr>
            <w:tcW w:w="0" w:type="dxa"/>
            <w:vAlign w:val="bottom"/>
          </w:tcPr>
          <w:p>
            <w:pPr>
              <w:spacing w:after="0" w:line="20" w:lineRule="exact"/>
              <w:rPr>
                <w:sz w:val="1"/>
                <w:szCs w:val="1"/>
                <w:color w:val="auto"/>
              </w:rPr>
            </w:pPr>
          </w:p>
        </w:tc>
      </w:tr>
    </w:tbl>
    <w:p>
      <w:pPr>
        <w:spacing w:after="0" w:line="217" w:lineRule="auto"/>
        <w:rPr>
          <w:sz w:val="20"/>
          <w:szCs w:val="20"/>
          <w:color w:val="auto"/>
        </w:rPr>
      </w:pPr>
      <w:r>
        <w:rPr>
          <w:rFonts w:ascii="Arial" w:cs="Arial" w:eastAsia="Arial" w:hAnsi="Arial"/>
          <w:sz w:val="2"/>
          <w:szCs w:val="2"/>
          <w:color w:val="FFFFFF"/>
        </w:rPr>
        <w:t>Foundation,Athearing on 9 February 2012, the Nevada state court stated that,renewalsasdirector of WRL, Mr. Okada had the right to makeRegionalreasonable inspection of WRL’s corporate books and records. Following the hearing, WRL released certain WRL documents to Mr. Okada for his inspection</w:t>
      </w:r>
      <w:r>
        <w:rPr>
          <w:rFonts w:ascii="Arial" w:cs="Arial" w:eastAsia="Arial" w:hAnsi="Arial"/>
          <w:sz w:val="4"/>
          <w:szCs w:val="4"/>
          <w:color w:val="FFFFFF"/>
          <w:vertAlign w:val="subscript"/>
        </w:rPr>
        <w:t>additional</w:t>
      </w:r>
      <w:r>
        <w:rPr>
          <w:rFonts w:ascii="Arial" w:cs="Arial" w:eastAsia="Arial" w:hAnsi="Arial"/>
          <w:sz w:val="2"/>
          <w:szCs w:val="2"/>
          <w:color w:val="FFFFFF"/>
        </w:rPr>
        <w:t>.Atsubsequent hearing on 8 March 2012, the court considered Mr. Okada’s request that WRL’s board make additional documents</w:t>
      </w:r>
    </w:p>
    <w:p>
      <w:pPr>
        <w:spacing w:after="0"/>
        <w:tabs>
          <w:tab w:leader="none" w:pos="4360" w:val="left"/>
        </w:tabs>
        <w:rPr>
          <w:sz w:val="20"/>
          <w:szCs w:val="20"/>
          <w:color w:val="auto"/>
        </w:rPr>
      </w:pPr>
      <w:r>
        <w:rPr>
          <w:rFonts w:ascii="Arial" w:cs="Arial" w:eastAsia="Arial" w:hAnsi="Arial"/>
          <w:sz w:val="14"/>
          <w:szCs w:val="14"/>
          <w:color w:val="FFFFFF"/>
        </w:rPr>
        <w:t>available to him, and ruled that Mr. Okada was entitled to inspect two</w:t>
      </w:r>
      <w:r>
        <w:rPr>
          <w:sz w:val="20"/>
          <w:szCs w:val="20"/>
          <w:color w:val="auto"/>
        </w:rPr>
        <w:tab/>
      </w:r>
      <w:r>
        <w:rPr>
          <w:rFonts w:ascii="Arial" w:cs="Arial" w:eastAsia="Arial" w:hAnsi="Arial"/>
          <w:sz w:val="12"/>
          <w:szCs w:val="12"/>
          <w:color w:val="FFFFFF"/>
        </w:rPr>
        <w:t>pages of WRL documents. WRL promptly complied with the court’s ruling.</w:t>
      </w:r>
    </w:p>
    <w:p>
      <w:pPr>
        <w:sectPr>
          <w:pgSz w:w="11900" w:h="16838" w:orient="portrait"/>
          <w:cols w:equalWidth="0" w:num="1">
            <w:col w:w="11360"/>
          </w:cols>
          <w:pgMar w:left="240" w:top="1440" w:right="29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FinancialAnnualReportSummary2011 161</w:t>
      </w:r>
    </w:p>
    <w:p>
      <w:pPr>
        <w:spacing w:after="0"/>
        <w:rPr>
          <w:sz w:val="20"/>
          <w:szCs w:val="20"/>
          <w:color w:val="auto"/>
        </w:rPr>
      </w:pPr>
      <w:r>
        <w:rPr>
          <w:rFonts w:ascii="Arial" w:cs="Arial" w:eastAsia="Arial" w:hAnsi="Arial"/>
          <w:sz w:val="3"/>
          <w:szCs w:val="3"/>
          <w:color w:val="FFFFFF"/>
        </w:rPr>
        <w:t>YearAsummaryended 31of Decemberthepublished results and assets and liabilities of the Group for the last fi ve years prepared on the basis as set out herein, is set forth below.</w:t>
      </w:r>
    </w:p>
    <w:p>
      <w:pPr>
        <w:jc w:val="right"/>
        <w:ind w:right="11000"/>
        <w:spacing w:after="0" w:line="194" w:lineRule="auto"/>
        <w:rPr>
          <w:sz w:val="20"/>
          <w:szCs w:val="20"/>
          <w:color w:val="auto"/>
        </w:rPr>
      </w:pPr>
      <w:r>
        <w:rPr>
          <w:rFonts w:ascii="Arial" w:cs="Arial" w:eastAsia="Arial" w:hAnsi="Arial"/>
          <w:sz w:val="5"/>
          <w:szCs w:val="5"/>
          <w:color w:val="FFFFFF"/>
        </w:rPr>
        <w:t>10</w:t>
      </w:r>
    </w:p>
    <w:p>
      <w:pPr>
        <w:spacing w:after="0" w:line="6" w:lineRule="exact"/>
        <w:rPr>
          <w:sz w:val="20"/>
          <w:szCs w:val="20"/>
          <w:color w:val="auto"/>
        </w:rPr>
      </w:pPr>
    </w:p>
    <w:p>
      <w:pPr>
        <w:jc w:val="right"/>
        <w:ind w:right="11000"/>
        <w:spacing w:after="0"/>
        <w:rPr>
          <w:sz w:val="20"/>
          <w:szCs w:val="20"/>
          <w:color w:val="auto"/>
        </w:rPr>
      </w:pPr>
      <w:r>
        <w:rPr>
          <w:rFonts w:ascii="Arial" w:cs="Arial" w:eastAsia="Arial" w:hAnsi="Arial"/>
          <w:sz w:val="3"/>
          <w:szCs w:val="3"/>
          <w:color w:val="FFFFFF"/>
        </w:rPr>
        <w:t>9</w:t>
      </w:r>
    </w:p>
    <w:p>
      <w:pPr>
        <w:spacing w:after="0" w:line="6" w:lineRule="exact"/>
        <w:rPr>
          <w:sz w:val="20"/>
          <w:szCs w:val="20"/>
          <w:color w:val="auto"/>
        </w:rPr>
      </w:pPr>
    </w:p>
    <w:p>
      <w:pPr>
        <w:jc w:val="right"/>
        <w:ind w:right="11000"/>
        <w:spacing w:after="0"/>
        <w:rPr>
          <w:sz w:val="20"/>
          <w:szCs w:val="20"/>
          <w:color w:val="auto"/>
        </w:rPr>
      </w:pPr>
      <w:r>
        <w:rPr>
          <w:rFonts w:ascii="Arial" w:cs="Arial" w:eastAsia="Arial" w:hAnsi="Arial"/>
          <w:sz w:val="3"/>
          <w:szCs w:val="3"/>
          <w:color w:val="FFFFFF"/>
        </w:rPr>
        <w:t>8</w:t>
      </w:r>
    </w:p>
    <w:p>
      <w:pPr>
        <w:spacing w:after="0" w:line="28" w:lineRule="exact"/>
        <w:rPr>
          <w:sz w:val="20"/>
          <w:szCs w:val="20"/>
          <w:color w:val="auto"/>
        </w:rPr>
      </w:pPr>
    </w:p>
    <w:p>
      <w:pPr>
        <w:jc w:val="right"/>
        <w:ind w:right="11000"/>
        <w:spacing w:after="0"/>
        <w:rPr>
          <w:sz w:val="20"/>
          <w:szCs w:val="20"/>
          <w:color w:val="auto"/>
        </w:rPr>
      </w:pPr>
      <w:r>
        <w:rPr>
          <w:rFonts w:ascii="Arial" w:cs="Arial" w:eastAsia="Arial" w:hAnsi="Arial"/>
          <w:sz w:val="12"/>
          <w:szCs w:val="12"/>
          <w:color w:val="FFFFFF"/>
        </w:rPr>
        <w:t>2007</w:t>
      </w:r>
    </w:p>
    <w:p>
      <w:pPr>
        <w:spacing w:after="0" w:line="204" w:lineRule="auto"/>
        <w:rPr>
          <w:sz w:val="20"/>
          <w:szCs w:val="20"/>
          <w:color w:val="auto"/>
        </w:rPr>
      </w:pPr>
      <w:r>
        <w:rPr>
          <w:rFonts w:ascii="Arial" w:cs="Arial" w:eastAsia="Arial" w:hAnsi="Arial"/>
          <w:sz w:val="12"/>
          <w:szCs w:val="12"/>
          <w:color w:val="FFFFFF"/>
        </w:rPr>
        <w:t>HK$</w:t>
      </w:r>
    </w:p>
    <w:p>
      <w:pPr>
        <w:spacing w:after="0" w:line="181" w:lineRule="auto"/>
        <w:rPr>
          <w:sz w:val="20"/>
          <w:szCs w:val="20"/>
          <w:color w:val="auto"/>
        </w:rPr>
      </w:pPr>
      <w:r>
        <w:rPr>
          <w:rFonts w:ascii="Arial" w:cs="Arial" w:eastAsia="Arial" w:hAnsi="Arial"/>
          <w:sz w:val="14"/>
          <w:szCs w:val="14"/>
          <w:color w:val="FFFFFF"/>
        </w:rPr>
        <w:t>(inResultsthousands)</w:t>
      </w:r>
    </w:p>
    <w:p>
      <w:pPr>
        <w:spacing w:after="0" w:line="213" w:lineRule="auto"/>
        <w:rPr>
          <w:sz w:val="20"/>
          <w:szCs w:val="20"/>
          <w:color w:val="auto"/>
        </w:rPr>
      </w:pPr>
      <w:r>
        <w:rPr>
          <w:rFonts w:ascii="Arial" w:cs="Arial" w:eastAsia="Arial" w:hAnsi="Arial"/>
          <w:sz w:val="2"/>
          <w:szCs w:val="2"/>
          <w:color w:val="FFFFFF"/>
        </w:rPr>
        <w:t>22Operating</w:t>
      </w:r>
      <w:r>
        <w:rPr>
          <w:rFonts w:ascii="Arial" w:cs="Arial" w:eastAsia="Arial" w:hAnsi="Arial"/>
          <w:sz w:val="4"/>
          <w:szCs w:val="4"/>
          <w:color w:val="FFFFFF"/>
          <w:vertAlign w:val="superscript"/>
        </w:rPr>
        <w:t>9</w:t>
      </w:r>
      <w:r>
        <w:rPr>
          <w:rFonts w:ascii="Arial" w:cs="Arial" w:eastAsia="Arial" w:hAnsi="Arial"/>
          <w:sz w:val="2"/>
          <w:szCs w:val="2"/>
          <w:color w:val="FFFFFF"/>
        </w:rPr>
        <w:t>438</w:t>
      </w:r>
      <w:r>
        <w:rPr>
          <w:rFonts w:ascii="Arial" w:cs="Arial" w:eastAsia="Arial" w:hAnsi="Arial"/>
          <w:sz w:val="4"/>
          <w:szCs w:val="4"/>
          <w:color w:val="FFFFFF"/>
          <w:vertAlign w:val="superscript"/>
        </w:rPr>
        <w:t>9092</w:t>
      </w:r>
      <w:r>
        <w:rPr>
          <w:rFonts w:ascii="Arial" w:cs="Arial" w:eastAsia="Arial" w:hAnsi="Arial"/>
          <w:sz w:val="2"/>
          <w:szCs w:val="2"/>
          <w:color w:val="FFFFFF"/>
        </w:rPr>
        <w:t>39revenues</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3"/>
          <w:szCs w:val="3"/>
          <w:color w:val="FFFFFF"/>
        </w:rPr>
        <w:t>076 900</w:t>
      </w:r>
    </w:p>
    <w:p>
      <w:pPr>
        <w:spacing w:after="0" w:line="6" w:lineRule="exact"/>
        <w:rPr>
          <w:sz w:val="20"/>
          <w:szCs w:val="20"/>
          <w:color w:val="auto"/>
        </w:rPr>
      </w:pPr>
    </w:p>
    <w:p>
      <w:pPr>
        <w:ind w:left="80"/>
        <w:spacing w:after="0"/>
        <w:rPr>
          <w:sz w:val="20"/>
          <w:szCs w:val="20"/>
          <w:color w:val="auto"/>
        </w:rPr>
      </w:pPr>
      <w:r>
        <w:rPr>
          <w:rFonts w:ascii="Arial" w:cs="Arial" w:eastAsia="Arial" w:hAnsi="Arial"/>
          <w:sz w:val="3"/>
          <w:szCs w:val="3"/>
          <w:color w:val="FFFFFF"/>
        </w:rPr>
        <w:t>4 710 576</w:t>
      </w:r>
    </w:p>
    <w:p>
      <w:pPr>
        <w:spacing w:after="0" w:line="187" w:lineRule="auto"/>
        <w:rPr>
          <w:sz w:val="20"/>
          <w:szCs w:val="20"/>
          <w:color w:val="auto"/>
        </w:rPr>
      </w:pPr>
      <w:r>
        <w:rPr>
          <w:rFonts w:ascii="Arial" w:cs="Arial" w:eastAsia="Arial" w:hAnsi="Arial"/>
          <w:sz w:val="9"/>
          <w:szCs w:val="9"/>
          <w:color w:val="FFFFFF"/>
        </w:rPr>
        <w:t>10,858,185</w:t>
      </w:r>
    </w:p>
    <w:p>
      <w:pPr>
        <w:spacing w:after="0"/>
        <w:rPr>
          <w:sz w:val="20"/>
          <w:szCs w:val="20"/>
          <w:color w:val="auto"/>
        </w:rPr>
      </w:pPr>
      <w:r>
        <w:rPr>
          <w:rFonts w:ascii="Arial" w:cs="Arial" w:eastAsia="Arial" w:hAnsi="Arial"/>
          <w:sz w:val="3"/>
          <w:szCs w:val="3"/>
          <w:color w:val="FFFFFF"/>
        </w:rPr>
        <w:t>Profit before tax</w:t>
      </w:r>
    </w:p>
    <w:p>
      <w:pPr>
        <w:spacing w:after="0" w:line="194" w:lineRule="auto"/>
        <w:rPr>
          <w:sz w:val="20"/>
          <w:szCs w:val="20"/>
          <w:color w:val="auto"/>
        </w:rPr>
      </w:pPr>
      <w:r>
        <w:rPr>
          <w:rFonts w:ascii="Arial" w:cs="Arial" w:eastAsia="Arial" w:hAnsi="Arial"/>
          <w:sz w:val="5"/>
          <w:szCs w:val="5"/>
          <w:color w:val="FFFFFF"/>
          <w:vertAlign w:val="superscript"/>
        </w:rPr>
        <w:t>5</w:t>
      </w:r>
      <w:r>
        <w:rPr>
          <w:rFonts w:ascii="Arial" w:cs="Arial" w:eastAsia="Arial" w:hAnsi="Arial"/>
          <w:sz w:val="3"/>
          <w:szCs w:val="3"/>
          <w:color w:val="FFFFFF"/>
        </w:rPr>
        <w:t xml:space="preserve">4 </w:t>
      </w:r>
      <w:r>
        <w:rPr>
          <w:rFonts w:ascii="Arial" w:cs="Arial" w:eastAsia="Arial" w:hAnsi="Arial"/>
          <w:sz w:val="5"/>
          <w:szCs w:val="5"/>
          <w:color w:val="FFFFFF"/>
          <w:vertAlign w:val="superscript"/>
        </w:rPr>
        <w:t>894</w:t>
      </w:r>
      <w:r>
        <w:rPr>
          <w:rFonts w:ascii="Arial" w:cs="Arial" w:eastAsia="Arial" w:hAnsi="Arial"/>
          <w:sz w:val="3"/>
          <w:szCs w:val="3"/>
          <w:color w:val="FFFFFF"/>
        </w:rPr>
        <w:t xml:space="preserve">466 </w:t>
      </w:r>
      <w:r>
        <w:rPr>
          <w:rFonts w:ascii="Arial" w:cs="Arial" w:eastAsia="Arial" w:hAnsi="Arial"/>
          <w:sz w:val="5"/>
          <w:szCs w:val="5"/>
          <w:color w:val="FFFFFF"/>
          <w:vertAlign w:val="superscript"/>
        </w:rPr>
        <w:t>245</w:t>
      </w:r>
      <w:r>
        <w:rPr>
          <w:rFonts w:ascii="Arial" w:cs="Arial" w:eastAsia="Arial" w:hAnsi="Arial"/>
          <w:sz w:val="3"/>
          <w:szCs w:val="3"/>
          <w:color w:val="FFFFFF"/>
        </w:rPr>
        <w:t>103</w:t>
      </w:r>
    </w:p>
    <w:p>
      <w:pPr>
        <w:spacing w:after="0" w:line="6" w:lineRule="exact"/>
        <w:rPr>
          <w:sz w:val="20"/>
          <w:szCs w:val="20"/>
          <w:color w:val="auto"/>
        </w:rPr>
      </w:pPr>
    </w:p>
    <w:p>
      <w:pPr>
        <w:spacing w:after="0"/>
        <w:rPr>
          <w:sz w:val="20"/>
          <w:szCs w:val="20"/>
          <w:color w:val="auto"/>
        </w:rPr>
      </w:pPr>
      <w:r>
        <w:rPr>
          <w:rFonts w:ascii="Arial" w:cs="Arial" w:eastAsia="Arial" w:hAnsi="Arial"/>
          <w:sz w:val="3"/>
          <w:szCs w:val="3"/>
          <w:color w:val="FFFFFF"/>
        </w:rPr>
        <w:t>2 074  36</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3"/>
          <w:szCs w:val="3"/>
          <w:color w:val="FFFFFF"/>
        </w:rPr>
        <w:t>982 280</w:t>
      </w:r>
    </w:p>
    <w:p>
      <w:pPr>
        <w:spacing w:after="0" w:line="187" w:lineRule="auto"/>
        <w:rPr>
          <w:sz w:val="20"/>
          <w:szCs w:val="20"/>
          <w:color w:val="auto"/>
        </w:rPr>
      </w:pPr>
      <w:r>
        <w:rPr>
          <w:rFonts w:ascii="Arial" w:cs="Arial" w:eastAsia="Arial" w:hAnsi="Arial"/>
          <w:sz w:val="9"/>
          <w:szCs w:val="9"/>
          <w:color w:val="FFFFFF"/>
        </w:rPr>
        <w:t>1,391,803</w:t>
      </w:r>
    </w:p>
    <w:p>
      <w:pPr>
        <w:spacing w:after="0"/>
        <w:rPr>
          <w:sz w:val="20"/>
          <w:szCs w:val="20"/>
          <w:color w:val="auto"/>
        </w:rPr>
      </w:pPr>
      <w:r>
        <w:rPr>
          <w:rFonts w:ascii="Arial" w:cs="Arial" w:eastAsia="Arial" w:hAnsi="Arial"/>
          <w:sz w:val="3"/>
          <w:szCs w:val="3"/>
          <w:color w:val="FFFFFF"/>
        </w:rPr>
        <w:t>Profit for the year</w:t>
      </w:r>
    </w:p>
    <w:p>
      <w:pPr>
        <w:jc w:val="right"/>
        <w:ind w:right="10740"/>
        <w:spacing w:after="0" w:line="194" w:lineRule="auto"/>
        <w:rPr>
          <w:sz w:val="20"/>
          <w:szCs w:val="20"/>
          <w:color w:val="auto"/>
        </w:rPr>
      </w:pPr>
      <w:r>
        <w:rPr>
          <w:rFonts w:ascii="Arial" w:cs="Arial" w:eastAsia="Arial" w:hAnsi="Arial"/>
          <w:sz w:val="5"/>
          <w:szCs w:val="5"/>
          <w:color w:val="FFFFFF"/>
          <w:vertAlign w:val="superscript"/>
        </w:rPr>
        <w:t>5</w:t>
      </w:r>
      <w:r>
        <w:rPr>
          <w:rFonts w:ascii="Arial" w:cs="Arial" w:eastAsia="Arial" w:hAnsi="Arial"/>
          <w:sz w:val="3"/>
          <w:szCs w:val="3"/>
          <w:color w:val="FFFFFF"/>
        </w:rPr>
        <w:t xml:space="preserve">4 </w:t>
      </w:r>
      <w:r>
        <w:rPr>
          <w:rFonts w:ascii="Arial" w:cs="Arial" w:eastAsia="Arial" w:hAnsi="Arial"/>
          <w:sz w:val="5"/>
          <w:szCs w:val="5"/>
          <w:color w:val="FFFFFF"/>
          <w:vertAlign w:val="superscript"/>
        </w:rPr>
        <w:t>9</w:t>
      </w:r>
      <w:r>
        <w:rPr>
          <w:rFonts w:ascii="Arial" w:cs="Arial" w:eastAsia="Arial" w:hAnsi="Arial"/>
          <w:sz w:val="3"/>
          <w:szCs w:val="3"/>
          <w:color w:val="FFFFFF"/>
        </w:rPr>
        <w:t>422</w:t>
      </w:r>
      <w:r>
        <w:rPr>
          <w:rFonts w:ascii="Arial" w:cs="Arial" w:eastAsia="Arial" w:hAnsi="Arial"/>
          <w:sz w:val="5"/>
          <w:szCs w:val="5"/>
          <w:color w:val="FFFFFF"/>
          <w:vertAlign w:val="superscript"/>
        </w:rPr>
        <w:t>1</w:t>
      </w:r>
      <w:r>
        <w:rPr>
          <w:rFonts w:ascii="Arial" w:cs="Arial" w:eastAsia="Arial" w:hAnsi="Arial"/>
          <w:sz w:val="3"/>
          <w:szCs w:val="3"/>
          <w:color w:val="FFFFFF"/>
        </w:rPr>
        <w:t xml:space="preserve"> 010</w:t>
      </w:r>
      <w:r>
        <w:rPr>
          <w:rFonts w:ascii="Arial" w:cs="Arial" w:eastAsia="Arial" w:hAnsi="Arial"/>
          <w:sz w:val="5"/>
          <w:szCs w:val="5"/>
          <w:color w:val="FFFFFF"/>
          <w:vertAlign w:val="superscript"/>
        </w:rPr>
        <w:t>3</w:t>
      </w:r>
    </w:p>
    <w:p>
      <w:pPr>
        <w:spacing w:after="0" w:line="6" w:lineRule="exact"/>
        <w:rPr>
          <w:sz w:val="20"/>
          <w:szCs w:val="20"/>
          <w:color w:val="auto"/>
        </w:rPr>
      </w:pPr>
    </w:p>
    <w:p>
      <w:pPr>
        <w:jc w:val="both"/>
        <w:ind w:left="180"/>
        <w:spacing w:after="0"/>
        <w:tabs>
          <w:tab w:leader="none" w:pos="460" w:val="left"/>
        </w:tabs>
        <w:rPr>
          <w:sz w:val="20"/>
          <w:szCs w:val="20"/>
          <w:color w:val="auto"/>
        </w:rPr>
      </w:pPr>
      <w:r>
        <w:rPr>
          <w:rFonts w:ascii="Arial" w:cs="Arial" w:eastAsia="Arial" w:hAnsi="Arial"/>
          <w:sz w:val="3"/>
          <w:szCs w:val="3"/>
          <w:color w:val="FFFFFF"/>
        </w:rPr>
        <w:t>68</w:t>
      </w:r>
      <w:r>
        <w:rPr>
          <w:sz w:val="20"/>
          <w:szCs w:val="20"/>
          <w:color w:val="auto"/>
        </w:rPr>
        <w:tab/>
      </w:r>
      <w:r>
        <w:rPr>
          <w:rFonts w:ascii="Arial" w:cs="Arial" w:eastAsia="Arial" w:hAnsi="Arial"/>
          <w:sz w:val="3"/>
          <w:szCs w:val="3"/>
          <w:color w:val="FFFFFF"/>
        </w:rPr>
        <w:t>7</w:t>
      </w:r>
    </w:p>
    <w:p>
      <w:pPr>
        <w:spacing w:after="0" w:line="6" w:lineRule="exact"/>
        <w:rPr>
          <w:sz w:val="20"/>
          <w:szCs w:val="20"/>
          <w:color w:val="auto"/>
        </w:rPr>
      </w:pPr>
    </w:p>
    <w:p>
      <w:pPr>
        <w:jc w:val="right"/>
        <w:ind w:right="10740"/>
        <w:spacing w:after="0"/>
        <w:rPr>
          <w:sz w:val="20"/>
          <w:szCs w:val="20"/>
          <w:color w:val="auto"/>
        </w:rPr>
      </w:pPr>
      <w:r>
        <w:rPr>
          <w:rFonts w:ascii="Arial" w:cs="Arial" w:eastAsia="Arial" w:hAnsi="Arial"/>
          <w:sz w:val="3"/>
          <w:szCs w:val="3"/>
          <w:color w:val="FFFFFF"/>
        </w:rPr>
        <w:t>2 039 644</w:t>
      </w:r>
    </w:p>
    <w:p>
      <w:pPr>
        <w:jc w:val="right"/>
        <w:ind w:right="10740"/>
        <w:spacing w:after="0" w:line="187" w:lineRule="auto"/>
        <w:rPr>
          <w:sz w:val="20"/>
          <w:szCs w:val="20"/>
          <w:color w:val="auto"/>
        </w:rPr>
      </w:pPr>
      <w:r>
        <w:rPr>
          <w:rFonts w:ascii="Arial" w:cs="Arial" w:eastAsia="Arial" w:hAnsi="Arial"/>
          <w:sz w:val="9"/>
          <w:szCs w:val="9"/>
          <w:color w:val="FFFFFF"/>
        </w:rPr>
        <w:t>1,374,736</w:t>
      </w:r>
    </w:p>
    <w:p>
      <w:pPr>
        <w:spacing w:after="0" w:line="181" w:lineRule="auto"/>
        <w:rPr>
          <w:sz w:val="20"/>
          <w:szCs w:val="20"/>
          <w:color w:val="auto"/>
        </w:rPr>
      </w:pPr>
      <w:r>
        <w:rPr>
          <w:rFonts w:ascii="Arial" w:cs="Arial" w:eastAsia="Arial" w:hAnsi="Arial"/>
          <w:sz w:val="14"/>
          <w:szCs w:val="14"/>
          <w:color w:val="FFFFFF"/>
        </w:rPr>
        <w:t>As10at 31 December</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3"/>
          <w:szCs w:val="3"/>
          <w:color w:val="FFFFFF"/>
        </w:rPr>
        <w:t>89</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FFFFFF"/>
        </w:rPr>
        <w:t>2007</w:t>
      </w:r>
    </w:p>
    <w:p>
      <w:pPr>
        <w:spacing w:after="0" w:line="197" w:lineRule="auto"/>
        <w:rPr>
          <w:sz w:val="20"/>
          <w:szCs w:val="20"/>
          <w:color w:val="auto"/>
        </w:rPr>
      </w:pPr>
      <w:r>
        <w:rPr>
          <w:rFonts w:ascii="Arial" w:cs="Arial" w:eastAsia="Arial" w:hAnsi="Arial"/>
          <w:sz w:val="10"/>
          <w:szCs w:val="10"/>
          <w:color w:val="FFFFFF"/>
        </w:rPr>
        <w:t>HK$</w:t>
      </w:r>
    </w:p>
    <w:p>
      <w:pPr>
        <w:spacing w:after="0" w:line="181" w:lineRule="auto"/>
        <w:rPr>
          <w:sz w:val="20"/>
          <w:szCs w:val="20"/>
          <w:color w:val="auto"/>
        </w:rPr>
      </w:pPr>
      <w:r>
        <w:rPr>
          <w:rFonts w:ascii="Arial" w:cs="Arial" w:eastAsia="Arial" w:hAnsi="Arial"/>
          <w:sz w:val="14"/>
          <w:szCs w:val="14"/>
          <w:color w:val="FFFFFF"/>
          <w:vertAlign w:val="superscript"/>
        </w:rPr>
        <w:t>(in</w:t>
      </w:r>
      <w:r>
        <w:rPr>
          <w:rFonts w:ascii="Arial" w:cs="Arial" w:eastAsia="Arial" w:hAnsi="Arial"/>
          <w:sz w:val="9"/>
          <w:szCs w:val="9"/>
          <w:color w:val="FFFFFF"/>
        </w:rPr>
        <w:t>Assetsthousands)liabilities</w:t>
      </w:r>
    </w:p>
    <w:p>
      <w:pPr>
        <w:spacing w:after="0" w:line="181" w:lineRule="auto"/>
        <w:rPr>
          <w:sz w:val="20"/>
          <w:szCs w:val="20"/>
          <w:color w:val="auto"/>
        </w:rPr>
      </w:pPr>
      <w:r>
        <w:rPr>
          <w:rFonts w:ascii="Arial" w:cs="Arial" w:eastAsia="Arial" w:hAnsi="Arial"/>
          <w:sz w:val="9"/>
          <w:szCs w:val="9"/>
          <w:color w:val="FFFFFF"/>
        </w:rPr>
        <w:t>Total</w:t>
      </w:r>
      <w:r>
        <w:rPr>
          <w:rFonts w:ascii="Arial" w:cs="Arial" w:eastAsia="Arial" w:hAnsi="Arial"/>
          <w:sz w:val="14"/>
          <w:szCs w:val="14"/>
          <w:color w:val="FFFFFF"/>
          <w:vertAlign w:val="superscript"/>
        </w:rPr>
        <w:t>7</w:t>
      </w:r>
      <w:r>
        <w:rPr>
          <w:rFonts w:ascii="Arial" w:cs="Arial" w:eastAsia="Arial" w:hAnsi="Arial"/>
          <w:sz w:val="14"/>
          <w:szCs w:val="14"/>
          <w:color w:val="FFFFFF"/>
          <w:vertAlign w:val="subscript"/>
        </w:rPr>
        <w:t>5,591,91</w:t>
      </w:r>
      <w:r>
        <w:rPr>
          <w:rFonts w:ascii="Arial" w:cs="Arial" w:eastAsia="Arial" w:hAnsi="Arial"/>
          <w:sz w:val="9"/>
          <w:szCs w:val="9"/>
          <w:color w:val="FFFFFF"/>
        </w:rPr>
        <w:t>4348assets</w:t>
      </w:r>
      <w:r>
        <w:rPr>
          <w:rFonts w:ascii="Arial" w:cs="Arial" w:eastAsia="Arial" w:hAnsi="Arial"/>
          <w:sz w:val="14"/>
          <w:szCs w:val="14"/>
          <w:color w:val="FFFFFF"/>
          <w:vertAlign w:val="superscript"/>
        </w:rPr>
        <w:t>949</w:t>
      </w:r>
      <w:r>
        <w:rPr>
          <w:rFonts w:ascii="Arial" w:cs="Arial" w:eastAsia="Arial" w:hAnsi="Arial"/>
          <w:sz w:val="14"/>
          <w:szCs w:val="14"/>
          <w:color w:val="FFFFFF"/>
          <w:vertAlign w:val="subscript"/>
        </w:rPr>
        <w:t>471</w:t>
      </w:r>
    </w:p>
    <w:p>
      <w:pPr>
        <w:spacing w:after="0" w:line="181" w:lineRule="auto"/>
        <w:rPr>
          <w:sz w:val="20"/>
          <w:szCs w:val="20"/>
          <w:color w:val="auto"/>
        </w:rPr>
      </w:pPr>
      <w:r>
        <w:rPr>
          <w:rFonts w:ascii="Arial" w:cs="Arial" w:eastAsia="Arial" w:hAnsi="Arial"/>
          <w:sz w:val="9"/>
          <w:szCs w:val="9"/>
          <w:color w:val="FFFFFF"/>
        </w:rPr>
        <w:t>13,553,245</w:t>
      </w:r>
      <w:r>
        <w:rPr>
          <w:rFonts w:ascii="Arial" w:cs="Arial" w:eastAsia="Arial" w:hAnsi="Arial"/>
          <w:sz w:val="14"/>
          <w:szCs w:val="14"/>
          <w:color w:val="FFFFFF"/>
          <w:vertAlign w:val="superscript"/>
        </w:rPr>
        <w:t>1,116,632</w:t>
      </w:r>
    </w:p>
    <w:p>
      <w:pPr>
        <w:spacing w:after="0" w:line="189" w:lineRule="auto"/>
        <w:rPr>
          <w:sz w:val="20"/>
          <w:szCs w:val="20"/>
          <w:color w:val="auto"/>
        </w:rPr>
      </w:pPr>
      <w:r>
        <w:rPr>
          <w:rFonts w:ascii="Arial" w:cs="Arial" w:eastAsia="Arial" w:hAnsi="Arial"/>
          <w:sz w:val="7"/>
          <w:szCs w:val="7"/>
          <w:color w:val="FFFFFF"/>
        </w:rPr>
        <w:t>Total0,051,382</w:t>
      </w:r>
      <w:r>
        <w:rPr>
          <w:rFonts w:ascii="Arial" w:cs="Arial" w:eastAsia="Arial" w:hAnsi="Arial"/>
          <w:sz w:val="9"/>
          <w:szCs w:val="9"/>
          <w:color w:val="FFFFFF"/>
          <w:vertAlign w:val="superscript"/>
        </w:rPr>
        <w:t>33</w:t>
      </w:r>
      <w:r>
        <w:rPr>
          <w:rFonts w:ascii="Arial" w:cs="Arial" w:eastAsia="Arial" w:hAnsi="Arial"/>
          <w:sz w:val="7"/>
          <w:szCs w:val="7"/>
          <w:color w:val="FFFFFF"/>
        </w:rPr>
        <w:t>liabilities</w:t>
      </w:r>
      <w:r>
        <w:rPr>
          <w:rFonts w:ascii="Arial" w:cs="Arial" w:eastAsia="Arial" w:hAnsi="Arial"/>
          <w:sz w:val="9"/>
          <w:szCs w:val="9"/>
          <w:color w:val="FFFFFF"/>
          <w:vertAlign w:val="superscript"/>
        </w:rPr>
        <w:t>506</w:t>
      </w:r>
    </w:p>
    <w:p>
      <w:pPr>
        <w:spacing w:after="0" w:line="188" w:lineRule="auto"/>
        <w:rPr>
          <w:sz w:val="20"/>
          <w:szCs w:val="20"/>
          <w:color w:val="auto"/>
        </w:rPr>
      </w:pPr>
      <w:r>
        <w:rPr>
          <w:rFonts w:ascii="Arial" w:cs="Arial" w:eastAsia="Arial" w:hAnsi="Arial"/>
          <w:sz w:val="7"/>
          <w:szCs w:val="7"/>
          <w:color w:val="FFFFFF"/>
        </w:rPr>
        <w:t>10,379,127</w:t>
      </w:r>
      <w:r>
        <w:rPr>
          <w:rFonts w:ascii="Arial" w:cs="Arial" w:eastAsia="Arial" w:hAnsi="Arial"/>
          <w:sz w:val="9"/>
          <w:szCs w:val="9"/>
          <w:color w:val="FFFFFF"/>
          <w:vertAlign w:val="superscript"/>
        </w:rPr>
        <w:t>1,820,945</w:t>
      </w:r>
    </w:p>
    <w:p>
      <w:pPr>
        <w:spacing w:after="0" w:line="181" w:lineRule="auto"/>
        <w:rPr>
          <w:sz w:val="20"/>
          <w:szCs w:val="20"/>
          <w:color w:val="auto"/>
        </w:rPr>
      </w:pPr>
      <w:r>
        <w:rPr>
          <w:rFonts w:ascii="Arial" w:cs="Arial" w:eastAsia="Arial" w:hAnsi="Arial"/>
          <w:sz w:val="14"/>
          <w:szCs w:val="14"/>
          <w:color w:val="FFFFFF"/>
        </w:rPr>
        <w:t>6,583,605Netassets</w:t>
      </w:r>
    </w:p>
    <w:p>
      <w:pPr>
        <w:spacing w:after="0" w:line="181" w:lineRule="auto"/>
        <w:rPr>
          <w:sz w:val="20"/>
          <w:szCs w:val="20"/>
          <w:color w:val="auto"/>
        </w:rPr>
      </w:pPr>
      <w:r>
        <w:rPr>
          <w:rFonts w:ascii="Arial" w:cs="Arial" w:eastAsia="Arial" w:hAnsi="Arial"/>
          <w:sz w:val="9"/>
          <w:szCs w:val="9"/>
          <w:color w:val="FFFFFF"/>
        </w:rPr>
        <w:t>3,770,9664297</w:t>
      </w:r>
      <w:r>
        <w:rPr>
          <w:rFonts w:ascii="Arial" w:cs="Arial" w:eastAsia="Arial" w:hAnsi="Arial"/>
          <w:sz w:val="14"/>
          <w:szCs w:val="14"/>
          <w:color w:val="FFFFFF"/>
          <w:vertAlign w:val="superscript"/>
        </w:rPr>
        <w:t>028</w:t>
      </w:r>
      <w:r>
        <w:rPr>
          <w:rFonts w:ascii="Arial" w:cs="Arial" w:eastAsia="Arial" w:hAnsi="Arial"/>
          <w:sz w:val="9"/>
          <w:szCs w:val="9"/>
          <w:color w:val="FFFFFF"/>
        </w:rPr>
        <w:t>089</w:t>
      </w:r>
      <w:r>
        <w:rPr>
          <w:rFonts w:ascii="Arial" w:cs="Arial" w:eastAsia="Arial" w:hAnsi="Arial"/>
          <w:sz w:val="14"/>
          <w:szCs w:val="14"/>
          <w:color w:val="FFFFFF"/>
          <w:vertAlign w:val="superscript"/>
        </w:rPr>
        <w:t>443</w:t>
      </w:r>
    </w:p>
    <w:p>
      <w:pPr>
        <w:spacing w:after="0"/>
        <w:rPr>
          <w:sz w:val="20"/>
          <w:szCs w:val="20"/>
          <w:color w:val="auto"/>
        </w:rPr>
      </w:pPr>
      <w:r>
        <w:rPr>
          <w:rFonts w:ascii="Arial" w:cs="Arial" w:eastAsia="Arial" w:hAnsi="Arial"/>
          <w:sz w:val="3"/>
          <w:szCs w:val="3"/>
          <w:color w:val="FFFFFF"/>
        </w:rPr>
        <w:t>6,969,640737,505</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The summary of the consolidated results of the Group for each of the two years ended 31 December 2007 and 2008, and of the assets and liabilities as at 31 December 2007 and 2008, have been extracted from </w:t>
      </w:r>
      <w:r>
        <w:rPr>
          <w:rFonts w:ascii="Arial" w:cs="Arial" w:eastAsia="Arial" w:hAnsi="Arial"/>
          <w:sz w:val="7"/>
          <w:szCs w:val="7"/>
          <w:color w:val="FFFFFF"/>
          <w:vertAlign w:val="superscript"/>
        </w:rPr>
        <w:t>the</w:t>
      </w:r>
      <w:r>
        <w:rPr>
          <w:rFonts w:ascii="Arial" w:cs="Arial" w:eastAsia="Arial" w:hAnsi="Arial"/>
          <w:sz w:val="6"/>
          <w:szCs w:val="6"/>
          <w:color w:val="FFFFFF"/>
        </w:rPr>
        <w:t xml:space="preserve"> IPO Prospectus. Such summary was prepared on a combined basis to indicate the results of the Group as if the current structure of the Group, at the time when the Company’s ordinary shares were listed 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3"/>
          <w:szCs w:val="3"/>
          <w:color w:val="FFFFFF"/>
        </w:rPr>
        <w:t>Hong Kong Stock Exchange, had been in</w:t>
      </w:r>
    </w:p>
    <w:p>
      <w:pPr>
        <w:spacing w:after="0" w:line="6" w:lineRule="exact"/>
        <w:rPr>
          <w:sz w:val="20"/>
          <w:szCs w:val="20"/>
          <w:color w:val="auto"/>
        </w:rPr>
      </w:pPr>
    </w:p>
    <w:p>
      <w:pPr>
        <w:ind w:right="580"/>
        <w:spacing w:after="0" w:line="211" w:lineRule="auto"/>
        <w:rPr>
          <w:sz w:val="20"/>
          <w:szCs w:val="20"/>
          <w:color w:val="auto"/>
        </w:rPr>
      </w:pPr>
      <w:r>
        <w:rPr>
          <w:rFonts w:ascii="Arial" w:cs="Arial" w:eastAsia="Arial" w:hAnsi="Arial"/>
          <w:sz w:val="8"/>
          <w:szCs w:val="8"/>
          <w:color w:val="FFFFFF"/>
        </w:rPr>
        <w:t>existence throughout these fi nancial years. The consolidated results of the Group for the years ended 31 December 2009, 2010 and 2011, and the consolidated assets and liabilities of the Group as at 31 December 2009, 2010 and 2011, are those set out in the audited fi nancial statements.</w:t>
      </w:r>
    </w:p>
    <w:p>
      <w:pPr>
        <w:spacing w:after="0"/>
        <w:rPr>
          <w:sz w:val="20"/>
          <w:szCs w:val="20"/>
          <w:color w:val="auto"/>
        </w:rPr>
      </w:pPr>
      <w:r>
        <w:rPr>
          <w:rFonts w:ascii="Arial" w:cs="Arial" w:eastAsia="Arial" w:hAnsi="Arial"/>
          <w:sz w:val="14"/>
          <w:szCs w:val="14"/>
          <w:color w:val="FFFFFF"/>
        </w:rPr>
        <w:t>The summary above does not form part of the audited fi nancial statements.</w:t>
      </w:r>
    </w:p>
    <w:p>
      <w:pPr>
        <w:sectPr>
          <w:pgSz w:w="11900" w:h="16838" w:orient="portrait"/>
          <w:cols w:equalWidth="0" w:num="1">
            <w:col w:w="11280"/>
          </w:cols>
          <w:pgMar w:left="240" w:top="1440" w:right="37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tcPr>
          <w:p>
            <w:pPr>
              <w:spacing w:after="0"/>
              <w:rPr>
                <w:sz w:val="20"/>
                <w:szCs w:val="20"/>
                <w:color w:val="auto"/>
              </w:rPr>
            </w:pPr>
            <w:r>
              <w:rPr>
                <w:rFonts w:ascii="Arial" w:cs="Arial" w:eastAsia="Arial" w:hAnsi="Arial"/>
                <w:sz w:val="14"/>
                <w:szCs w:val="14"/>
                <w:color w:val="FFFFFF"/>
                <w:w w:val="95"/>
              </w:rPr>
              <w:t>162 Wynn Macau, Limited</w:t>
            </w:r>
          </w:p>
        </w:tc>
        <w:tc>
          <w:tcPr>
            <w:tcW w:w="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80" w:type="dxa"/>
            <w:vAlign w:val="bottom"/>
          </w:tcPr>
          <w:p>
            <w:pPr>
              <w:spacing w:after="0"/>
              <w:rPr>
                <w:sz w:val="20"/>
                <w:szCs w:val="20"/>
                <w:color w:val="auto"/>
              </w:rPr>
            </w:pPr>
            <w:r>
              <w:rPr>
                <w:rFonts w:ascii="Arial" w:cs="Arial" w:eastAsia="Arial" w:hAnsi="Arial"/>
                <w:sz w:val="3"/>
                <w:szCs w:val="3"/>
                <w:color w:val="FFFFFF"/>
              </w:rPr>
              <w:t>Defi nitions</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80" w:type="dxa"/>
            <w:vAlign w:val="bottom"/>
            <w:gridSpan w:val="3"/>
          </w:tcPr>
          <w:p>
            <w:pPr>
              <w:ind w:left="60"/>
              <w:spacing w:after="0"/>
              <w:rPr>
                <w:sz w:val="20"/>
                <w:szCs w:val="20"/>
                <w:color w:val="auto"/>
              </w:rPr>
            </w:pPr>
            <w:r>
              <w:rPr>
                <w:rFonts w:ascii="Arial" w:cs="Arial" w:eastAsia="Arial" w:hAnsi="Arial"/>
                <w:sz w:val="3"/>
                <w:szCs w:val="3"/>
                <w:color w:val="FFFFFF"/>
              </w:rPr>
              <w:t>B ard of Di ectors” or “Board”</w:t>
            </w:r>
          </w:p>
        </w:tc>
        <w:tc>
          <w:tcPr>
            <w:tcW w:w="4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0" w:type="dxa"/>
            <w:vAlign w:val="bottom"/>
          </w:tcPr>
          <w:p>
            <w:pPr>
              <w:jc w:val="right"/>
              <w:ind w:right="338"/>
              <w:spacing w:after="0"/>
              <w:rPr>
                <w:sz w:val="20"/>
                <w:szCs w:val="20"/>
                <w:color w:val="auto"/>
              </w:rPr>
            </w:pPr>
            <w:r>
              <w:rPr>
                <w:rFonts w:ascii="Arial" w:cs="Arial" w:eastAsia="Arial" w:hAnsi="Arial"/>
                <w:sz w:val="3"/>
                <w:szCs w:val="3"/>
                <w:color w:val="FFFFFF"/>
              </w:rPr>
              <w:t>de on</w:t>
            </w:r>
          </w:p>
        </w:tc>
        <w:tc>
          <w:tcPr>
            <w:tcW w:w="5020" w:type="dxa"/>
            <w:vAlign w:val="bottom"/>
            <w:gridSpan w:val="3"/>
          </w:tcPr>
          <w:p>
            <w:pPr>
              <w:ind w:left="240"/>
              <w:spacing w:after="0"/>
              <w:rPr>
                <w:sz w:val="20"/>
                <w:szCs w:val="20"/>
                <w:color w:val="auto"/>
              </w:rPr>
            </w:pPr>
            <w:r>
              <w:rPr>
                <w:rFonts w:ascii="Arial" w:cs="Arial" w:eastAsia="Arial" w:hAnsi="Arial"/>
                <w:sz w:val="3"/>
                <w:szCs w:val="3"/>
                <w:color w:val="FFFFFF"/>
              </w:rPr>
              <w:t>Governance Practices” or “Code”</w:t>
            </w:r>
          </w:p>
        </w:tc>
        <w:tc>
          <w:tcPr>
            <w:tcW w:w="12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900" w:type="dxa"/>
            <w:vAlign w:val="bottom"/>
            <w:gridSpan w:val="4"/>
          </w:tcPr>
          <w:p>
            <w:pPr>
              <w:ind w:left="60"/>
              <w:spacing w:after="0"/>
              <w:rPr>
                <w:sz w:val="20"/>
                <w:szCs w:val="20"/>
                <w:color w:val="auto"/>
              </w:rPr>
            </w:pPr>
            <w:r>
              <w:rPr>
                <w:rFonts w:ascii="Arial" w:cs="Arial" w:eastAsia="Arial" w:hAnsi="Arial"/>
                <w:sz w:val="3"/>
                <w:szCs w:val="3"/>
                <w:color w:val="FFFFFF"/>
              </w:rPr>
              <w:t>Company”Corporate“our Company” “Concession Agreement” “Director(s)”</w:t>
            </w:r>
          </w:p>
        </w:tc>
        <w:tc>
          <w:tcPr>
            <w:tcW w:w="12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900" w:type="dxa"/>
            <w:vAlign w:val="bottom"/>
            <w:gridSpan w:val="4"/>
          </w:tcPr>
          <w:p>
            <w:pPr>
              <w:ind w:left="60"/>
              <w:spacing w:after="0"/>
              <w:rPr>
                <w:sz w:val="20"/>
                <w:szCs w:val="20"/>
                <w:color w:val="auto"/>
              </w:rPr>
            </w:pPr>
            <w:r>
              <w:rPr>
                <w:rFonts w:ascii="Arial" w:cs="Arial" w:eastAsia="Arial" w:hAnsi="Arial"/>
                <w:sz w:val="3"/>
                <w:szCs w:val="3"/>
                <w:color w:val="FFFFFF"/>
              </w:rPr>
              <w:t>Encore” or “Encore at Wynn Macau”</w:t>
            </w:r>
          </w:p>
        </w:tc>
        <w:tc>
          <w:tcPr>
            <w:tcW w:w="12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80" w:type="dxa"/>
            <w:vAlign w:val="bottom"/>
          </w:tcPr>
          <w:p>
            <w:pPr>
              <w:jc w:val="right"/>
              <w:ind w:right="338"/>
              <w:spacing w:after="0"/>
              <w:rPr>
                <w:sz w:val="20"/>
                <w:szCs w:val="20"/>
                <w:color w:val="auto"/>
              </w:rPr>
            </w:pPr>
            <w:r>
              <w:rPr>
                <w:rFonts w:ascii="Arial" w:cs="Arial" w:eastAsia="Arial" w:hAnsi="Arial"/>
                <w:sz w:val="3"/>
                <w:szCs w:val="3"/>
                <w:color w:val="FFFFFF"/>
              </w:rPr>
              <w:t>alaxy”</w:t>
            </w:r>
          </w:p>
        </w:tc>
        <w:tc>
          <w:tcPr>
            <w:tcW w:w="680" w:type="dxa"/>
            <w:vAlign w:val="bottom"/>
          </w:tcPr>
          <w:p>
            <w:pPr>
              <w:spacing w:after="0"/>
              <w:rPr>
                <w:sz w:val="3"/>
                <w:szCs w:val="3"/>
                <w:color w:val="auto"/>
              </w:rPr>
            </w:pPr>
          </w:p>
        </w:tc>
        <w:tc>
          <w:tcPr>
            <w:tcW w:w="4340" w:type="dxa"/>
            <w:vAlign w:val="bottom"/>
            <w:gridSpan w:val="2"/>
            <w:vMerge w:val="restart"/>
          </w:tcPr>
          <w:p>
            <w:pPr>
              <w:ind w:left="80"/>
              <w:spacing w:after="0" w:line="81" w:lineRule="exact"/>
              <w:rPr>
                <w:sz w:val="20"/>
                <w:szCs w:val="20"/>
                <w:color w:val="auto"/>
              </w:rPr>
            </w:pPr>
            <w:r>
              <w:rPr>
                <w:rFonts w:ascii="Arial" w:cs="Arial" w:eastAsia="Arial" w:hAnsi="Arial"/>
                <w:sz w:val="9"/>
                <w:szCs w:val="9"/>
                <w:color w:val="FFFFFF"/>
              </w:rPr>
              <w:t>“Group Reorganization” “HIBOR”</w:t>
            </w:r>
          </w:p>
        </w:tc>
        <w:tc>
          <w:tcPr>
            <w:tcW w:w="12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60" w:type="dxa"/>
            <w:vAlign w:val="bottom"/>
            <w:gridSpan w:val="2"/>
          </w:tcPr>
          <w:p>
            <w:pPr>
              <w:spacing w:after="0"/>
              <w:rPr>
                <w:sz w:val="20"/>
                <w:szCs w:val="20"/>
                <w:color w:val="auto"/>
              </w:rPr>
            </w:pPr>
            <w:r>
              <w:rPr>
                <w:rFonts w:ascii="Arial" w:cs="Arial" w:eastAsia="Arial" w:hAnsi="Arial"/>
                <w:sz w:val="3"/>
                <w:szCs w:val="3"/>
                <w:color w:val="FFFFFF"/>
              </w:rPr>
              <w:t>“Group,” “we,” “us” or</w:t>
            </w:r>
          </w:p>
        </w:tc>
        <w:tc>
          <w:tcPr>
            <w:tcW w:w="4340" w:type="dxa"/>
            <w:vAlign w:val="bottom"/>
            <w:gridSpan w:val="2"/>
            <w:vMerge w:val="continue"/>
          </w:tcPr>
          <w:p>
            <w:pPr>
              <w:spacing w:after="0"/>
              <w:rPr>
                <w:sz w:val="3"/>
                <w:szCs w:val="3"/>
                <w:color w:val="auto"/>
              </w:rPr>
            </w:pPr>
          </w:p>
        </w:tc>
        <w:tc>
          <w:tcPr>
            <w:tcW w:w="12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6"/>
          </w:tcPr>
          <w:p>
            <w:pPr>
              <w:ind w:left="200"/>
              <w:spacing w:after="0"/>
              <w:rPr>
                <w:sz w:val="20"/>
                <w:szCs w:val="20"/>
                <w:color w:val="auto"/>
              </w:rPr>
            </w:pPr>
            <w:r>
              <w:rPr>
                <w:rFonts w:ascii="Arial" w:cs="Arial" w:eastAsia="Arial" w:hAnsi="Arial"/>
                <w:sz w:val="3"/>
                <w:szCs w:val="3"/>
                <w:color w:val="FFFFFF"/>
              </w:rPr>
              <w:t>board of Directors of“our”Company, which unless stated otherwise, excludes Mr. Kazuo Okada who ceased to be a member of our Board on 24 February 2012</w:t>
            </w:r>
          </w:p>
        </w:tc>
        <w:tc>
          <w:tcPr>
            <w:tcW w:w="0" w:type="dxa"/>
            <w:vAlign w:val="bottom"/>
          </w:tcPr>
          <w:p>
            <w:pPr>
              <w:spacing w:after="0"/>
              <w:rPr>
                <w:sz w:val="1"/>
                <w:szCs w:val="1"/>
                <w:color w:val="auto"/>
              </w:rPr>
            </w:pPr>
          </w:p>
        </w:tc>
      </w:tr>
      <w:tr>
        <w:trPr>
          <w:trHeight w:val="41"/>
        </w:trPr>
        <w:tc>
          <w:tcPr>
            <w:tcW w:w="1560" w:type="dxa"/>
            <w:vAlign w:val="bottom"/>
            <w:gridSpan w:val="2"/>
          </w:tcPr>
          <w:p>
            <w:pPr>
              <w:spacing w:after="0"/>
              <w:rPr>
                <w:sz w:val="20"/>
                <w:szCs w:val="20"/>
                <w:color w:val="auto"/>
              </w:rPr>
            </w:pPr>
            <w:r>
              <w:rPr>
                <w:rFonts w:ascii="Arial" w:cs="Arial" w:eastAsia="Arial" w:hAnsi="Arial"/>
                <w:sz w:val="3"/>
                <w:szCs w:val="3"/>
                <w:color w:val="FFFFFF"/>
              </w:rPr>
              <w:t>the Code on Corporate</w:t>
            </w:r>
          </w:p>
        </w:tc>
        <w:tc>
          <w:tcPr>
            <w:tcW w:w="220" w:type="dxa"/>
            <w:vAlign w:val="bottom"/>
          </w:tcPr>
          <w:p>
            <w:pPr>
              <w:spacing w:after="0"/>
              <w:rPr>
                <w:sz w:val="3"/>
                <w:szCs w:val="3"/>
                <w:color w:val="auto"/>
              </w:rPr>
            </w:pPr>
          </w:p>
        </w:tc>
        <w:tc>
          <w:tcPr>
            <w:tcW w:w="4120" w:type="dxa"/>
            <w:vAlign w:val="bottom"/>
          </w:tcPr>
          <w:p>
            <w:pPr>
              <w:ind w:left="180"/>
              <w:spacing w:after="0"/>
              <w:rPr>
                <w:sz w:val="20"/>
                <w:szCs w:val="20"/>
                <w:color w:val="auto"/>
              </w:rPr>
            </w:pPr>
            <w:r>
              <w:rPr>
                <w:rFonts w:ascii="Arial" w:cs="Arial" w:eastAsia="Arial" w:hAnsi="Arial"/>
                <w:sz w:val="3"/>
                <w:szCs w:val="3"/>
                <w:color w:val="FFFFFF"/>
              </w:rPr>
              <w:t>Practices set out in Appendix 14 of the Listing Rules</w:t>
            </w:r>
          </w:p>
        </w:tc>
        <w:tc>
          <w:tcPr>
            <w:tcW w:w="128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6"/>
          </w:tcPr>
          <w:p>
            <w:pPr>
              <w:spacing w:after="0"/>
              <w:rPr>
                <w:sz w:val="20"/>
                <w:szCs w:val="20"/>
                <w:color w:val="auto"/>
              </w:rPr>
            </w:pPr>
            <w:r>
              <w:rPr>
                <w:rFonts w:ascii="Arial" w:cs="Arial" w:eastAsia="Arial" w:hAnsi="Arial"/>
                <w:sz w:val="3"/>
                <w:szCs w:val="3"/>
                <w:color w:val="FFFFFF"/>
              </w:rPr>
              <w:t>Wynn Macau, Limited, Governancecompanyincorporated on 4 September 2009 as an exempted company with limited liability under the laws of the Cayman Islands and an indirect subsidiary of Wynn Resorts, Limited</w:t>
            </w:r>
          </w:p>
        </w:tc>
        <w:tc>
          <w:tcPr>
            <w:tcW w:w="0" w:type="dxa"/>
            <w:vAlign w:val="bottom"/>
          </w:tcPr>
          <w:p>
            <w:pPr>
              <w:spacing w:after="0"/>
              <w:rPr>
                <w:sz w:val="1"/>
                <w:szCs w:val="1"/>
                <w:color w:val="auto"/>
              </w:rPr>
            </w:pPr>
          </w:p>
        </w:tc>
      </w:tr>
      <w:tr>
        <w:trPr>
          <w:trHeight w:val="41"/>
        </w:trPr>
        <w:tc>
          <w:tcPr>
            <w:tcW w:w="5900" w:type="dxa"/>
            <w:vAlign w:val="bottom"/>
            <w:gridSpan w:val="4"/>
          </w:tcPr>
          <w:p>
            <w:pPr>
              <w:ind w:left="200"/>
              <w:spacing w:after="0"/>
              <w:rPr>
                <w:sz w:val="20"/>
                <w:szCs w:val="20"/>
                <w:color w:val="auto"/>
              </w:rPr>
            </w:pPr>
            <w:r>
              <w:rPr>
                <w:rFonts w:ascii="Arial" w:cs="Arial" w:eastAsia="Arial" w:hAnsi="Arial"/>
                <w:sz w:val="3"/>
                <w:szCs w:val="3"/>
                <w:color w:val="FFFFFF"/>
              </w:rPr>
              <w:t>Concession Contract for the Operation of Games of Chance or Other Games in Casinos in the Macau</w:t>
            </w:r>
          </w:p>
        </w:tc>
        <w:tc>
          <w:tcPr>
            <w:tcW w:w="1280" w:type="dxa"/>
            <w:vAlign w:val="bottom"/>
          </w:tcPr>
          <w:p>
            <w:pPr>
              <w:ind w:left="240"/>
              <w:spacing w:after="0"/>
              <w:rPr>
                <w:sz w:val="20"/>
                <w:szCs w:val="20"/>
                <w:color w:val="auto"/>
              </w:rPr>
            </w:pPr>
            <w:r>
              <w:rPr>
                <w:rFonts w:ascii="Arial" w:cs="Arial" w:eastAsia="Arial" w:hAnsi="Arial"/>
                <w:sz w:val="3"/>
                <w:szCs w:val="3"/>
                <w:color w:val="FFFFFF"/>
              </w:rPr>
              <w:t>Administrative</w:t>
            </w:r>
          </w:p>
        </w:tc>
        <w:tc>
          <w:tcPr>
            <w:tcW w:w="4140" w:type="dxa"/>
            <w:vAlign w:val="bottom"/>
          </w:tcPr>
          <w:p>
            <w:pPr>
              <w:ind w:left="220"/>
              <w:spacing w:after="0"/>
              <w:rPr>
                <w:sz w:val="20"/>
                <w:szCs w:val="20"/>
                <w:color w:val="auto"/>
              </w:rPr>
            </w:pPr>
            <w:r>
              <w:rPr>
                <w:rFonts w:ascii="Arial" w:cs="Arial" w:eastAsia="Arial" w:hAnsi="Arial"/>
                <w:sz w:val="3"/>
                <w:szCs w:val="3"/>
                <w:color w:val="FFFFFF"/>
              </w:rPr>
              <w:t>entered into between WRM and the Macau government on 24 June 2002</w:t>
            </w:r>
          </w:p>
        </w:tc>
        <w:tc>
          <w:tcPr>
            <w:tcW w:w="0" w:type="dxa"/>
            <w:vAlign w:val="bottom"/>
          </w:tcPr>
          <w:p>
            <w:pPr>
              <w:spacing w:after="0"/>
              <w:rPr>
                <w:sz w:val="1"/>
                <w:szCs w:val="1"/>
                <w:color w:val="auto"/>
              </w:rPr>
            </w:pPr>
          </w:p>
        </w:tc>
      </w:tr>
      <w:tr>
        <w:trPr>
          <w:trHeight w:val="41"/>
        </w:trPr>
        <w:tc>
          <w:tcPr>
            <w:tcW w:w="11320" w:type="dxa"/>
            <w:vAlign w:val="bottom"/>
            <w:gridSpan w:val="6"/>
          </w:tcPr>
          <w:p>
            <w:pPr>
              <w:spacing w:after="0"/>
              <w:rPr>
                <w:sz w:val="20"/>
                <w:szCs w:val="20"/>
                <w:color w:val="auto"/>
              </w:rPr>
            </w:pPr>
            <w:r>
              <w:rPr>
                <w:rFonts w:ascii="Arial" w:cs="Arial" w:eastAsia="Arial" w:hAnsi="Arial"/>
                <w:sz w:val="3"/>
                <w:szCs w:val="3"/>
                <w:color w:val="FFFFFF"/>
              </w:rPr>
              <w:t>the d rector(s) of our Company which unless stated otherwise, excludes Mr. Kazuo Okada who ceased to Specialbemember of our BoardRegion24 February 2012</w:t>
            </w:r>
          </w:p>
        </w:tc>
        <w:tc>
          <w:tcPr>
            <w:tcW w:w="0" w:type="dxa"/>
            <w:vAlign w:val="bottom"/>
          </w:tcPr>
          <w:p>
            <w:pPr>
              <w:spacing w:after="0"/>
              <w:rPr>
                <w:sz w:val="1"/>
                <w:szCs w:val="1"/>
                <w:color w:val="auto"/>
              </w:rPr>
            </w:pPr>
          </w:p>
        </w:tc>
      </w:tr>
      <w:tr>
        <w:trPr>
          <w:trHeight w:val="41"/>
        </w:trPr>
        <w:tc>
          <w:tcPr>
            <w:tcW w:w="11320" w:type="dxa"/>
            <w:vAlign w:val="bottom"/>
            <w:gridSpan w:val="6"/>
          </w:tcPr>
          <w:p>
            <w:pPr>
              <w:ind w:left="100"/>
              <w:spacing w:after="0"/>
              <w:rPr>
                <w:sz w:val="20"/>
                <w:szCs w:val="20"/>
                <w:color w:val="auto"/>
              </w:rPr>
            </w:pPr>
            <w:r>
              <w:rPr>
                <w:rFonts w:ascii="Arial" w:cs="Arial" w:eastAsia="Arial" w:hAnsi="Arial"/>
                <w:sz w:val="3"/>
                <w:szCs w:val="3"/>
                <w:color w:val="FFFFFF"/>
              </w:rPr>
              <w:t>casino resort located in Macau, connected   and fully integrated with Wynn Macau, owned and operated directly by WRM, which opened on 21 April 2010.</w:t>
            </w:r>
          </w:p>
        </w:tc>
        <w:tc>
          <w:tcPr>
            <w:tcW w:w="0" w:type="dxa"/>
            <w:vAlign w:val="bottom"/>
          </w:tcPr>
          <w:p>
            <w:pPr>
              <w:spacing w:after="0"/>
              <w:rPr>
                <w:sz w:val="1"/>
                <w:szCs w:val="1"/>
                <w:color w:val="auto"/>
              </w:rPr>
            </w:pPr>
          </w:p>
        </w:tc>
      </w:tr>
      <w:tr>
        <w:trPr>
          <w:trHeight w:val="0"/>
        </w:trPr>
        <w:tc>
          <w:tcPr>
            <w:tcW w:w="1780" w:type="dxa"/>
            <w:vAlign w:val="bottom"/>
            <w:gridSpan w:val="3"/>
          </w:tcPr>
          <w:p>
            <w:pPr>
              <w:spacing w:after="0" w:line="80" w:lineRule="exact"/>
              <w:rPr>
                <w:sz w:val="20"/>
                <w:szCs w:val="20"/>
                <w:color w:val="auto"/>
              </w:rPr>
            </w:pPr>
            <w:r>
              <w:rPr>
                <w:rFonts w:ascii="Arial" w:cs="Arial" w:eastAsia="Arial" w:hAnsi="Arial"/>
                <w:sz w:val="9"/>
                <w:szCs w:val="9"/>
                <w:color w:val="FFFFFF"/>
              </w:rPr>
              <w:t>Galaxy Casino, S.A., one of the</w:t>
            </w:r>
          </w:p>
        </w:tc>
        <w:tc>
          <w:tcPr>
            <w:tcW w:w="4120" w:type="dxa"/>
            <w:vAlign w:val="bottom"/>
          </w:tcPr>
          <w:p>
            <w:pPr>
              <w:ind w:left="20"/>
              <w:spacing w:after="0" w:line="80" w:lineRule="exact"/>
              <w:rPr>
                <w:sz w:val="20"/>
                <w:szCs w:val="20"/>
                <w:color w:val="auto"/>
              </w:rPr>
            </w:pPr>
            <w:r>
              <w:rPr>
                <w:rFonts w:ascii="Arial" w:cs="Arial" w:eastAsia="Arial" w:hAnsi="Arial"/>
                <w:sz w:val="9"/>
                <w:szCs w:val="9"/>
                <w:color w:val="FFFFFF"/>
              </w:rPr>
              <w:t>ix gaming operators in Macau and one of the three concessionaires</w:t>
            </w:r>
          </w:p>
        </w:tc>
        <w:tc>
          <w:tcPr>
            <w:tcW w:w="1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198" w:lineRule="auto"/>
        <w:rPr>
          <w:sz w:val="20"/>
          <w:szCs w:val="20"/>
          <w:color w:val="auto"/>
        </w:rPr>
      </w:pPr>
      <w:r>
        <w:rPr>
          <w:rFonts w:ascii="Arial" w:cs="Arial" w:eastAsia="Arial" w:hAnsi="Arial"/>
          <w:sz w:val="7"/>
          <w:szCs w:val="7"/>
          <w:color w:val="FFFFFF"/>
        </w:rPr>
        <w:t xml:space="preserve">our </w:t>
      </w:r>
      <w:r>
        <w:rPr>
          <w:rFonts w:ascii="Arial" w:cs="Arial" w:eastAsia="Arial" w:hAnsi="Arial"/>
          <w:sz w:val="10"/>
          <w:szCs w:val="10"/>
          <w:color w:val="FFFFFF"/>
          <w:vertAlign w:val="superscript"/>
        </w:rPr>
        <w:t>reor</w:t>
      </w:r>
      <w:r>
        <w:rPr>
          <w:rFonts w:ascii="Arial" w:cs="Arial" w:eastAsia="Arial" w:hAnsi="Arial"/>
          <w:sz w:val="7"/>
          <w:szCs w:val="7"/>
          <w:color w:val="FFFFFF"/>
        </w:rPr>
        <w:t>Cmpany and its subsidiaries, or any of them, and the businesses carried on by such subsidiaries, except where the context makes it clear that the reference is only to the Company itself and not to the Group the ganization undertaken by the Group, as described in the section headed “History and Corporate Structure — IPO Reorganization” of the IPO Prospectus</w:t>
      </w:r>
    </w:p>
    <w:p>
      <w:pPr>
        <w:sectPr>
          <w:pgSz w:w="11900" w:h="16838" w:orient="portrait"/>
          <w:cols w:equalWidth="0" w:num="1">
            <w:col w:w="11360"/>
          </w:cols>
          <w:pgMar w:left="240" w:top="1440" w:right="29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DefiAnnualnitionsReport 2011 163</w:t>
      </w:r>
    </w:p>
    <w:p>
      <w:pPr>
        <w:ind w:left="160"/>
        <w:spacing w:after="0"/>
        <w:rPr>
          <w:sz w:val="20"/>
          <w:szCs w:val="20"/>
          <w:color w:val="auto"/>
        </w:rPr>
      </w:pPr>
      <w:r>
        <w:rPr>
          <w:rFonts w:ascii="Arial" w:cs="Arial" w:eastAsia="Arial" w:hAnsi="Arial"/>
          <w:sz w:val="3"/>
          <w:szCs w:val="3"/>
          <w:color w:val="FFFFFF"/>
        </w:rPr>
        <w:t>K$”</w:t>
      </w:r>
    </w:p>
    <w:p>
      <w:pPr>
        <w:ind w:left="60"/>
        <w:spacing w:after="0" w:line="194" w:lineRule="auto"/>
        <w:rPr>
          <w:sz w:val="20"/>
          <w:szCs w:val="20"/>
          <w:color w:val="auto"/>
        </w:rPr>
      </w:pPr>
      <w:r>
        <w:rPr>
          <w:rFonts w:ascii="Arial" w:cs="Arial" w:eastAsia="Arial" w:hAnsi="Arial"/>
          <w:sz w:val="3"/>
          <w:szCs w:val="3"/>
          <w:color w:val="FFFFFF"/>
        </w:rPr>
        <w:t>Hong Kong</w:t>
      </w:r>
      <w:r>
        <w:rPr>
          <w:rFonts w:ascii="Arial" w:cs="Arial" w:eastAsia="Arial" w:hAnsi="Arial"/>
          <w:sz w:val="5"/>
          <w:szCs w:val="5"/>
          <w:color w:val="FFFFFF"/>
          <w:vertAlign w:val="superscript"/>
        </w:rPr>
        <w:t>”</w:t>
      </w:r>
    </w:p>
    <w:p>
      <w:pPr>
        <w:ind w:left="160"/>
        <w:spacing w:after="0" w:line="211" w:lineRule="auto"/>
        <w:rPr>
          <w:sz w:val="20"/>
          <w:szCs w:val="20"/>
          <w:color w:val="auto"/>
        </w:rPr>
      </w:pPr>
      <w:r>
        <w:rPr>
          <w:rFonts w:ascii="Arial" w:cs="Arial" w:eastAsia="Arial" w:hAnsi="Arial"/>
          <w:sz w:val="4"/>
          <w:szCs w:val="4"/>
          <w:color w:val="FFFFFF"/>
          <w:vertAlign w:val="superscript"/>
        </w:rPr>
        <w:t>as</w:t>
      </w:r>
    </w:p>
    <w:p>
      <w:pPr>
        <w:ind w:left="160"/>
        <w:spacing w:after="0" w:line="188" w:lineRule="auto"/>
        <w:rPr>
          <w:sz w:val="20"/>
          <w:szCs w:val="20"/>
          <w:color w:val="auto"/>
        </w:rPr>
      </w:pPr>
      <w:r>
        <w:rPr>
          <w:rFonts w:ascii="Arial" w:cs="Arial" w:eastAsia="Arial" w:hAnsi="Arial"/>
          <w:sz w:val="9"/>
          <w:szCs w:val="9"/>
          <w:color w:val="FFFFFF"/>
          <w:vertAlign w:val="subscript"/>
        </w:rPr>
        <w:t>IBOR”</w:t>
      </w:r>
      <w:r>
        <w:rPr>
          <w:rFonts w:ascii="Arial" w:cs="Arial" w:eastAsia="Arial" w:hAnsi="Arial"/>
          <w:sz w:val="7"/>
          <w:szCs w:val="7"/>
          <w:color w:val="FFFFFF"/>
        </w:rPr>
        <w:t>Vegas Jet,StockLLC”Exchange” “IFRS” “IPO Prospectus”</w:t>
      </w:r>
    </w:p>
    <w:p>
      <w:pPr>
        <w:ind w:left="60"/>
        <w:spacing w:after="0" w:line="188" w:lineRule="auto"/>
        <w:rPr>
          <w:sz w:val="20"/>
          <w:szCs w:val="20"/>
          <w:color w:val="auto"/>
        </w:rPr>
      </w:pPr>
      <w:r>
        <w:rPr>
          <w:rFonts w:ascii="Arial" w:cs="Arial" w:eastAsia="Arial" w:hAnsi="Arial"/>
          <w:sz w:val="7"/>
          <w:szCs w:val="7"/>
          <w:color w:val="FFFFFF"/>
        </w:rPr>
        <w:t>Listing</w:t>
      </w:r>
      <w:r>
        <w:rPr>
          <w:rFonts w:ascii="Arial" w:cs="Arial" w:eastAsia="Arial" w:hAnsi="Arial"/>
          <w:sz w:val="9"/>
          <w:szCs w:val="9"/>
          <w:color w:val="FFFFFF"/>
          <w:vertAlign w:val="superscript"/>
        </w:rPr>
        <w:t>”</w:t>
      </w:r>
      <w:r>
        <w:rPr>
          <w:rFonts w:ascii="Arial" w:cs="Arial" w:eastAsia="Arial" w:hAnsi="Arial"/>
          <w:sz w:val="7"/>
          <w:szCs w:val="7"/>
          <w:color w:val="FFFFFF"/>
        </w:rPr>
        <w:t>Rules”</w:t>
      </w:r>
    </w:p>
    <w:p>
      <w:pPr>
        <w:spacing w:after="0" w:line="211" w:lineRule="auto"/>
        <w:rPr>
          <w:sz w:val="20"/>
          <w:szCs w:val="20"/>
          <w:color w:val="auto"/>
        </w:rPr>
      </w:pPr>
      <w:r>
        <w:rPr>
          <w:rFonts w:ascii="Arial" w:cs="Arial" w:eastAsia="Arial" w:hAnsi="Arial"/>
          <w:sz w:val="4"/>
          <w:szCs w:val="4"/>
          <w:color w:val="FFFFFF"/>
          <w:vertAlign w:val="superscript"/>
        </w:rPr>
        <w:t>“Macau</w:t>
      </w:r>
    </w:p>
    <w:p>
      <w:pPr>
        <w:ind w:left="460"/>
        <w:spacing w:after="0"/>
        <w:rPr>
          <w:sz w:val="20"/>
          <w:szCs w:val="20"/>
          <w:color w:val="auto"/>
        </w:rPr>
      </w:pPr>
      <w:r>
        <w:rPr>
          <w:rFonts w:ascii="Arial" w:cs="Arial" w:eastAsia="Arial" w:hAnsi="Arial"/>
          <w:sz w:val="3"/>
          <w:szCs w:val="3"/>
          <w:color w:val="FFFFFF"/>
        </w:rPr>
        <w:t>Operations”or“Macau Special“Melco AdministrativeCrown”“MGMRegion”Macau” “Model Code”</w:t>
      </w:r>
    </w:p>
    <w:p>
      <w:pPr>
        <w:spacing w:after="0" w:line="194" w:lineRule="auto"/>
        <w:rPr>
          <w:sz w:val="20"/>
          <w:szCs w:val="20"/>
          <w:color w:val="auto"/>
        </w:rPr>
      </w:pPr>
      <w:r>
        <w:rPr>
          <w:rFonts w:ascii="Arial" w:cs="Arial" w:eastAsia="Arial" w:hAnsi="Arial"/>
          <w:sz w:val="3"/>
          <w:szCs w:val="3"/>
          <w:color w:val="FFFFFF"/>
        </w:rPr>
        <w:t>Hong Kong</w:t>
      </w:r>
      <w:r>
        <w:rPr>
          <w:rFonts w:ascii="Arial" w:cs="Arial" w:eastAsia="Arial" w:hAnsi="Arial"/>
          <w:sz w:val="5"/>
          <w:szCs w:val="5"/>
          <w:color w:val="FFFFFF"/>
          <w:vertAlign w:val="subscript"/>
        </w:rPr>
        <w:t>Prospectus</w:t>
      </w:r>
      <w:r>
        <w:rPr>
          <w:rFonts w:ascii="Arial" w:cs="Arial" w:eastAsia="Arial" w:hAnsi="Arial"/>
          <w:sz w:val="3"/>
          <w:szCs w:val="3"/>
          <w:color w:val="FFFFFF"/>
        </w:rPr>
        <w:t>dollar, the lawful currency of Hong Kong the Hong Kong Special Administrative Region of the PRC The Stock Exchange of Hong Kong Limited International Financial Reporting Standards</w:t>
      </w:r>
    </w:p>
    <w:p>
      <w:pPr>
        <w:spacing w:after="0"/>
        <w:tabs>
          <w:tab w:leader="none" w:pos="1060" w:val="left"/>
        </w:tabs>
        <w:rPr>
          <w:sz w:val="20"/>
          <w:szCs w:val="20"/>
          <w:color w:val="auto"/>
        </w:rPr>
      </w:pPr>
      <w:r>
        <w:rPr>
          <w:rFonts w:ascii="Arial" w:cs="Arial" w:eastAsia="Arial" w:hAnsi="Arial"/>
          <w:sz w:val="3"/>
          <w:szCs w:val="3"/>
          <w:color w:val="FFFFFF"/>
        </w:rPr>
        <w:t>the IPO</w:t>
      </w:r>
      <w:r>
        <w:rPr>
          <w:sz w:val="20"/>
          <w:szCs w:val="20"/>
          <w:color w:val="auto"/>
        </w:rPr>
        <w:tab/>
      </w:r>
      <w:r>
        <w:rPr>
          <w:rFonts w:ascii="Arial" w:cs="Arial" w:eastAsia="Arial" w:hAnsi="Arial"/>
          <w:sz w:val="3"/>
          <w:szCs w:val="3"/>
          <w:color w:val="FFFFFF"/>
        </w:rPr>
        <w:t>of the Company published on 24 September 2009 in connection with the Listing</w:t>
      </w:r>
    </w:p>
    <w:p>
      <w:pPr>
        <w:spacing w:after="0" w:line="6" w:lineRule="exact"/>
        <w:rPr>
          <w:sz w:val="20"/>
          <w:szCs w:val="20"/>
          <w:color w:val="auto"/>
        </w:rPr>
      </w:pPr>
    </w:p>
    <w:p>
      <w:pPr>
        <w:ind w:left="460" w:right="2840" w:hanging="453"/>
        <w:spacing w:after="0" w:line="187" w:lineRule="auto"/>
        <w:rPr>
          <w:sz w:val="20"/>
          <w:szCs w:val="20"/>
          <w:color w:val="auto"/>
        </w:rPr>
      </w:pPr>
      <w:r>
        <w:rPr>
          <w:rFonts w:ascii="Arial" w:cs="Arial" w:eastAsia="Arial" w:hAnsi="Arial"/>
          <w:sz w:val="9"/>
          <w:szCs w:val="9"/>
          <w:color w:val="FFFFFF"/>
          <w:vertAlign w:val="subscript"/>
        </w:rPr>
        <w:t>London</w:t>
      </w:r>
      <w:r>
        <w:rPr>
          <w:rFonts w:ascii="Arial" w:cs="Arial" w:eastAsia="Arial" w:hAnsi="Arial"/>
          <w:sz w:val="7"/>
          <w:szCs w:val="7"/>
          <w:color w:val="FFFFFF"/>
        </w:rPr>
        <w:t>asVegas Jet, LLC, a company formed under the laws of the State of Nevada, United States and a wholly owned subsidiary of Wynn Resorts, Limited Interbank Offered Rate</w:t>
      </w:r>
    </w:p>
    <w:p>
      <w:pPr>
        <w:ind w:left="200"/>
        <w:spacing w:after="0" w:line="188" w:lineRule="auto"/>
        <w:rPr>
          <w:sz w:val="20"/>
          <w:szCs w:val="20"/>
          <w:color w:val="auto"/>
        </w:rPr>
      </w:pPr>
      <w:r>
        <w:rPr>
          <w:rFonts w:ascii="Arial" w:cs="Arial" w:eastAsia="Arial" w:hAnsi="Arial"/>
          <w:sz w:val="9"/>
          <w:szCs w:val="9"/>
          <w:color w:val="FFFFFF"/>
        </w:rPr>
        <w:t>initial listing of the Shares on the Main Board of the Hong Kong Stock Exchange on 9 October 2009</w:t>
      </w:r>
    </w:p>
    <w:p>
      <w:pPr>
        <w:spacing w:after="0" w:line="213" w:lineRule="auto"/>
        <w:rPr>
          <w:sz w:val="20"/>
          <w:szCs w:val="20"/>
          <w:color w:val="auto"/>
        </w:rPr>
      </w:pPr>
      <w:r>
        <w:rPr>
          <w:rFonts w:ascii="Arial" w:cs="Arial" w:eastAsia="Arial" w:hAnsi="Arial"/>
          <w:sz w:val="4"/>
          <w:szCs w:val="4"/>
          <w:color w:val="FFFFFF"/>
          <w:vertAlign w:val="superscript"/>
        </w:rPr>
        <w:t>the</w:t>
      </w:r>
      <w:r>
        <w:rPr>
          <w:rFonts w:ascii="Arial" w:cs="Arial" w:eastAsia="Arial" w:hAnsi="Arial"/>
          <w:sz w:val="2"/>
          <w:szCs w:val="2"/>
          <w:color w:val="FFFFFF"/>
        </w:rPr>
        <w:t xml:space="preserve"> MacauRulesGoverningSpecialAdministrativetheListingofRegionSecuritiesoftheon PRCtheHong Kong Stock Exchange (as amended from time to time)</w:t>
      </w:r>
    </w:p>
    <w:p>
      <w:pPr>
        <w:ind w:left="200"/>
        <w:spacing w:after="0"/>
        <w:rPr>
          <w:sz w:val="20"/>
          <w:szCs w:val="20"/>
          <w:color w:val="auto"/>
        </w:rPr>
      </w:pPr>
      <w:r>
        <w:rPr>
          <w:rFonts w:ascii="Arial" w:cs="Arial" w:eastAsia="Arial" w:hAnsi="Arial"/>
          <w:sz w:val="3"/>
          <w:szCs w:val="3"/>
          <w:color w:val="FFFFFF"/>
        </w:rPr>
        <w:t>fully integrated Wynn Macau and Encore at Wynn Macau resort</w:t>
      </w:r>
    </w:p>
    <w:p>
      <w:pPr>
        <w:spacing w:after="0" w:line="6" w:lineRule="exact"/>
        <w:rPr>
          <w:sz w:val="20"/>
          <w:szCs w:val="20"/>
          <w:color w:val="auto"/>
        </w:rPr>
      </w:pPr>
    </w:p>
    <w:p>
      <w:pPr>
        <w:ind w:left="760" w:right="4280" w:hanging="742"/>
        <w:spacing w:after="0"/>
        <w:rPr>
          <w:sz w:val="20"/>
          <w:szCs w:val="20"/>
          <w:color w:val="auto"/>
        </w:rPr>
      </w:pPr>
      <w:r>
        <w:rPr>
          <w:rFonts w:ascii="Arial" w:cs="Arial" w:eastAsia="Arial" w:hAnsi="Arial"/>
          <w:sz w:val="7"/>
          <w:szCs w:val="7"/>
          <w:color w:val="FFFFFF"/>
          <w:vertAlign w:val="superscript"/>
        </w:rPr>
        <w:t>MGM</w:t>
      </w:r>
      <w:r>
        <w:rPr>
          <w:rFonts w:ascii="Arial" w:cs="Arial" w:eastAsia="Arial" w:hAnsi="Arial"/>
          <w:sz w:val="6"/>
          <w:szCs w:val="6"/>
          <w:color w:val="FFFFFF"/>
        </w:rPr>
        <w:t xml:space="preserve">elco </w:t>
      </w:r>
      <w:r>
        <w:rPr>
          <w:rFonts w:ascii="Arial" w:cs="Arial" w:eastAsia="Arial" w:hAnsi="Arial"/>
          <w:sz w:val="7"/>
          <w:szCs w:val="7"/>
          <w:color w:val="FFFFFF"/>
          <w:vertAlign w:val="superscript"/>
        </w:rPr>
        <w:t>Grand</w:t>
      </w:r>
      <w:r>
        <w:rPr>
          <w:rFonts w:ascii="Arial" w:cs="Arial" w:eastAsia="Arial" w:hAnsi="Arial"/>
          <w:sz w:val="6"/>
          <w:szCs w:val="6"/>
          <w:color w:val="FFFFFF"/>
        </w:rPr>
        <w:t>Cown Gaming (Macau) Limited, one of the six gaming operators in Macau and one of the three sub-concessionaires Paradise Limited, one of the six gaming operators in Macau and one of the three sub-concessionaires</w:t>
      </w:r>
    </w:p>
    <w:p>
      <w:pPr>
        <w:spacing w:after="0"/>
        <w:rPr>
          <w:sz w:val="20"/>
          <w:szCs w:val="20"/>
          <w:color w:val="auto"/>
        </w:rPr>
      </w:pPr>
      <w:r>
        <w:rPr>
          <w:rFonts w:ascii="Arial" w:cs="Arial" w:eastAsia="Arial" w:hAnsi="Arial"/>
          <w:sz w:val="14"/>
          <w:szCs w:val="14"/>
          <w:color w:val="FFFFFF"/>
        </w:rPr>
        <w:t>the Model Code for Securities Transactions by Directors of Listed Issuers set out in Appendix 10 of the Listing Rules</w:t>
      </w:r>
    </w:p>
    <w:p>
      <w:pPr>
        <w:sectPr>
          <w:pgSz w:w="11900" w:h="16838" w:orient="portrait"/>
          <w:cols w:equalWidth="0" w:num="1">
            <w:col w:w="11000"/>
          </w:cols>
          <w:pgMar w:left="240" w:top="1440" w:right="659"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FFFFFF"/>
        </w:rPr>
        <w:t>164 Wynn Macau, Limited</w:t>
      </w:r>
    </w:p>
    <w:p>
      <w:pPr>
        <w:spacing w:after="0"/>
        <w:rPr>
          <w:sz w:val="20"/>
          <w:szCs w:val="20"/>
          <w:color w:val="auto"/>
        </w:rPr>
      </w:pPr>
      <w:r>
        <w:rPr>
          <w:rFonts w:ascii="Arial" w:cs="Arial" w:eastAsia="Arial" w:hAnsi="Arial"/>
          <w:sz w:val="3"/>
          <w:szCs w:val="3"/>
          <w:color w:val="FFFFFF"/>
        </w:rPr>
        <w:t>Defi nitions</w:t>
      </w:r>
    </w:p>
    <w:p>
      <w:pPr>
        <w:ind w:left="60"/>
        <w:spacing w:after="0" w:line="181" w:lineRule="auto"/>
        <w:rPr>
          <w:sz w:val="20"/>
          <w:szCs w:val="20"/>
          <w:color w:val="auto"/>
        </w:rPr>
      </w:pPr>
      <w:r>
        <w:rPr>
          <w:rFonts w:ascii="Arial" w:cs="Arial" w:eastAsia="Arial" w:hAnsi="Arial"/>
          <w:sz w:val="10"/>
          <w:szCs w:val="10"/>
          <w:color w:val="FFFFFF"/>
        </w:rPr>
        <w:t>MOP”Ofalofshoreor RMB”“pataca”</w:t>
      </w:r>
    </w:p>
    <w:p>
      <w:pPr>
        <w:ind w:left="340"/>
        <w:spacing w:after="0"/>
        <w:rPr>
          <w:sz w:val="20"/>
          <w:szCs w:val="20"/>
          <w:color w:val="auto"/>
        </w:rPr>
      </w:pPr>
      <w:r>
        <w:rPr>
          <w:rFonts w:ascii="Arial" w:cs="Arial" w:eastAsia="Arial" w:hAnsi="Arial"/>
          <w:sz w:val="3"/>
          <w:szCs w:val="3"/>
          <w:color w:val="FFFFFF"/>
        </w:rPr>
        <w:t>Real Estate Company Limited”</w:t>
      </w:r>
    </w:p>
    <w:p>
      <w:pPr>
        <w:ind w:left="60"/>
        <w:spacing w:after="0" w:line="181" w:lineRule="auto"/>
        <w:rPr>
          <w:sz w:val="20"/>
          <w:szCs w:val="20"/>
          <w:color w:val="auto"/>
        </w:rPr>
      </w:pPr>
      <w:r>
        <w:rPr>
          <w:rFonts w:ascii="Arial" w:cs="Arial" w:eastAsia="Arial" w:hAnsi="Arial"/>
          <w:sz w:val="10"/>
          <w:szCs w:val="10"/>
          <w:color w:val="FFFFFF"/>
        </w:rPr>
        <w:t>PRC”,RMB”ecurities“China” or “mainland China”</w:t>
      </w:r>
    </w:p>
    <w:p>
      <w:pPr>
        <w:ind w:left="140"/>
        <w:spacing w:after="0" w:line="188" w:lineRule="auto"/>
        <w:tabs>
          <w:tab w:leader="none" w:pos="620" w:val="left"/>
        </w:tabs>
        <w:rPr>
          <w:sz w:val="20"/>
          <w:szCs w:val="20"/>
          <w:color w:val="auto"/>
        </w:rPr>
      </w:pPr>
      <w:r>
        <w:rPr>
          <w:rFonts w:ascii="Arial" w:cs="Arial" w:eastAsia="Arial" w:hAnsi="Arial"/>
          <w:sz w:val="9"/>
          <w:szCs w:val="9"/>
          <w:color w:val="FFFFFF"/>
        </w:rPr>
        <w:t>FO”</w:t>
      </w:r>
      <w:r>
        <w:rPr>
          <w:sz w:val="20"/>
          <w:szCs w:val="20"/>
          <w:color w:val="auto"/>
        </w:rPr>
        <w:tab/>
      </w:r>
      <w:r>
        <w:rPr>
          <w:rFonts w:ascii="Arial" w:cs="Arial" w:eastAsia="Arial" w:hAnsi="Arial"/>
          <w:sz w:val="9"/>
          <w:szCs w:val="9"/>
          <w:color w:val="FFFFFF"/>
        </w:rPr>
        <w:t>and Exchange Commission” or “SEC”</w:t>
      </w:r>
    </w:p>
    <w:p>
      <w:pPr>
        <w:spacing w:after="0" w:line="181" w:lineRule="auto"/>
        <w:rPr>
          <w:sz w:val="20"/>
          <w:szCs w:val="20"/>
          <w:color w:val="auto"/>
        </w:rPr>
      </w:pPr>
      <w:r>
        <w:rPr>
          <w:rFonts w:ascii="Arial" w:cs="Arial" w:eastAsia="Arial" w:hAnsi="Arial"/>
          <w:sz w:val="14"/>
          <w:szCs w:val="14"/>
          <w:color w:val="FFFFFF"/>
        </w:rPr>
        <w:t>“USSJM”hareholders(s)”$”</w:t>
      </w:r>
    </w:p>
    <w:p>
      <w:pPr>
        <w:spacing w:after="0"/>
        <w:rPr>
          <w:sz w:val="20"/>
          <w:szCs w:val="20"/>
          <w:color w:val="auto"/>
        </w:rPr>
      </w:pPr>
      <w:r>
        <w:rPr>
          <w:rFonts w:ascii="Arial" w:cs="Arial" w:eastAsia="Arial" w:hAnsi="Arial"/>
          <w:sz w:val="10"/>
          <w:szCs w:val="10"/>
          <w:color w:val="FFFFFF"/>
        </w:rPr>
        <w:t>MacauRMBmaintainedpataca,theoutsidelawful currencymainland ofChina,Macauprimarily in Hong Kong where RMB trading is offi cially sanctioned and regulated, that is largely “convertible and transferable”. It is also known as CNH, which refers</w:t>
      </w:r>
    </w:p>
    <w:p>
      <w:pPr>
        <w:spacing w:after="0" w:line="7" w:lineRule="exact"/>
        <w:rPr>
          <w:sz w:val="20"/>
          <w:szCs w:val="20"/>
          <w:color w:val="auto"/>
        </w:rPr>
      </w:pPr>
    </w:p>
    <w:p>
      <w:pPr>
        <w:ind w:right="180"/>
        <w:spacing w:after="0"/>
        <w:rPr>
          <w:sz w:val="20"/>
          <w:szCs w:val="20"/>
          <w:color w:val="auto"/>
        </w:rPr>
      </w:pPr>
      <w:r>
        <w:rPr>
          <w:rFonts w:ascii="Arial" w:cs="Arial" w:eastAsia="Arial" w:hAnsi="Arial"/>
          <w:sz w:val="7"/>
          <w:szCs w:val="7"/>
          <w:color w:val="FFFFFF"/>
        </w:rPr>
        <w:t>PalotooffshoreRealEstateRMBCompanyprimarily Limited,tradedin aHonglimitedKongliability(hencecompanythe“H”)incorporated under the laws of Macau and an indirect wholly owned subsidiary of the Company, subject to a 10% social and voting interest and MOP1.00 economic interest held by Mr. Wong Chi Seng (a Macau resident) in WRM</w:t>
      </w:r>
    </w:p>
    <w:p>
      <w:pPr>
        <w:spacing w:after="0" w:line="41" w:lineRule="exact"/>
        <w:rPr>
          <w:sz w:val="20"/>
          <w:szCs w:val="20"/>
          <w:color w:val="auto"/>
        </w:rPr>
      </w:pPr>
    </w:p>
    <w:p>
      <w:pPr>
        <w:ind w:right="160"/>
        <w:spacing w:after="0"/>
        <w:rPr>
          <w:sz w:val="20"/>
          <w:szCs w:val="20"/>
          <w:color w:val="auto"/>
        </w:rPr>
      </w:pPr>
      <w:r>
        <w:rPr>
          <w:rFonts w:ascii="Arial" w:cs="Arial" w:eastAsia="Arial" w:hAnsi="Arial"/>
          <w:sz w:val="8"/>
          <w:szCs w:val="8"/>
          <w:color w:val="FFFFFF"/>
        </w:rPr>
        <w:t>Macau;thePeople’sthetermRepublic“Chinese”ofChinahas and,similarexceptmeaningwhere the context requires and only for the purpose of this annual report, references in this annual report to the PRC or China do not include Taiwan, Hong Kong or Renminbi, the lawful currency of PRC</w:t>
      </w:r>
    </w:p>
    <w:p>
      <w:pPr>
        <w:ind w:left="200"/>
        <w:spacing w:after="0" w:line="182" w:lineRule="auto"/>
        <w:rPr>
          <w:sz w:val="20"/>
          <w:szCs w:val="20"/>
          <w:color w:val="auto"/>
        </w:rPr>
      </w:pPr>
      <w:r>
        <w:rPr>
          <w:rFonts w:ascii="Arial" w:cs="Arial" w:eastAsia="Arial" w:hAnsi="Arial"/>
          <w:sz w:val="8"/>
          <w:szCs w:val="8"/>
          <w:color w:val="FFFFFF"/>
        </w:rPr>
        <w:t>U. . Securities and Exchange Commission</w:t>
      </w:r>
    </w:p>
    <w:p>
      <w:pPr>
        <w:spacing w:after="0" w:line="188" w:lineRule="auto"/>
        <w:rPr>
          <w:sz w:val="20"/>
          <w:szCs w:val="20"/>
          <w:color w:val="auto"/>
        </w:rPr>
      </w:pPr>
      <w:r>
        <w:rPr>
          <w:rFonts w:ascii="Arial" w:cs="Arial" w:eastAsia="Arial" w:hAnsi="Arial"/>
          <w:sz w:val="9"/>
          <w:szCs w:val="9"/>
          <w:color w:val="FFFFFF"/>
        </w:rPr>
        <w:t>ordinarytheSecuritiesshare(s)andwithFuturesanominalOrdinancevalue(ChapterofHK$0.001571ofeachthe LawsintheofshareHongcapitalKong)of our Company</w:t>
      </w:r>
    </w:p>
    <w:p>
      <w:pPr>
        <w:ind w:left="400" w:right="5200" w:hanging="400"/>
        <w:spacing w:after="0" w:line="190" w:lineRule="auto"/>
        <w:rPr>
          <w:sz w:val="20"/>
          <w:szCs w:val="20"/>
          <w:color w:val="auto"/>
        </w:rPr>
      </w:pPr>
      <w:r>
        <w:rPr>
          <w:rFonts w:ascii="Arial" w:cs="Arial" w:eastAsia="Arial" w:hAnsi="Arial"/>
          <w:sz w:val="11"/>
          <w:szCs w:val="11"/>
          <w:color w:val="FFFFFF"/>
        </w:rPr>
        <w:t>UnitedholdSocir(s)adeofdeShare(s)JogosdeofMacautheCompanyS.A.,onefromof thetimesixtogamingtime operators in Macau and one of the three concessionaires States dollars, the lawful currency of the United States</w:t>
      </w:r>
    </w:p>
    <w:p>
      <w:pPr>
        <w:sectPr>
          <w:pgSz w:w="11900" w:h="16838" w:orient="portrait"/>
          <w:cols w:equalWidth="0" w:num="1">
            <w:col w:w="11400"/>
          </w:cols>
          <w:pgMar w:left="240" w:top="1440" w:right="25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3"/>
          </w:tcPr>
          <w:p>
            <w:pPr>
              <w:spacing w:after="0"/>
              <w:rPr>
                <w:sz w:val="20"/>
                <w:szCs w:val="20"/>
                <w:color w:val="auto"/>
              </w:rPr>
            </w:pPr>
            <w:r>
              <w:rPr>
                <w:rFonts w:ascii="Arial" w:cs="Arial" w:eastAsia="Arial" w:hAnsi="Arial"/>
                <w:sz w:val="14"/>
                <w:szCs w:val="14"/>
                <w:color w:val="FFFFFF"/>
              </w:rPr>
              <w:t>Annual Report 2011 165</w:t>
            </w:r>
          </w:p>
        </w:tc>
        <w:tc>
          <w:tcPr>
            <w:tcW w:w="8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00" w:type="dxa"/>
            <w:vAlign w:val="bottom"/>
          </w:tcPr>
          <w:p>
            <w:pPr>
              <w:spacing w:after="0"/>
              <w:rPr>
                <w:sz w:val="20"/>
                <w:szCs w:val="20"/>
                <w:color w:val="auto"/>
              </w:rPr>
            </w:pPr>
            <w:r>
              <w:rPr>
                <w:rFonts w:ascii="Arial" w:cs="Arial" w:eastAsia="Arial" w:hAnsi="Arial"/>
                <w:sz w:val="3"/>
                <w:szCs w:val="3"/>
                <w:color w:val="FFFFFF"/>
              </w:rPr>
              <w:t>Defi nitions</w:t>
            </w: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420" w:type="dxa"/>
            <w:vAlign w:val="bottom"/>
            <w:gridSpan w:val="3"/>
          </w:tcPr>
          <w:p>
            <w:pPr>
              <w:ind w:left="60"/>
              <w:spacing w:after="0" w:line="81" w:lineRule="exact"/>
              <w:rPr>
                <w:sz w:val="20"/>
                <w:szCs w:val="20"/>
                <w:color w:val="auto"/>
              </w:rPr>
            </w:pPr>
            <w:r>
              <w:rPr>
                <w:rFonts w:ascii="Arial" w:cs="Arial" w:eastAsia="Arial" w:hAnsi="Arial"/>
                <w:sz w:val="7"/>
                <w:szCs w:val="7"/>
                <w:color w:val="FFFFFF"/>
              </w:rPr>
              <w:t xml:space="preserve">US GAAP” “Venet an Macau” </w:t>
            </w:r>
            <w:r>
              <w:rPr>
                <w:rFonts w:ascii="Arial" w:cs="Arial" w:eastAsia="Arial" w:hAnsi="Arial"/>
                <w:sz w:val="9"/>
                <w:szCs w:val="9"/>
                <w:color w:val="FFFFFF"/>
                <w:vertAlign w:val="subscript"/>
              </w:rPr>
              <w:t>“WIML”</w:t>
            </w:r>
          </w:p>
        </w:tc>
        <w:tc>
          <w:tcPr>
            <w:tcW w:w="8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420" w:type="dxa"/>
            <w:vAlign w:val="bottom"/>
            <w:gridSpan w:val="3"/>
          </w:tcPr>
          <w:p>
            <w:pPr>
              <w:ind w:left="200"/>
              <w:spacing w:after="0"/>
              <w:rPr>
                <w:sz w:val="20"/>
                <w:szCs w:val="20"/>
                <w:color w:val="auto"/>
              </w:rPr>
            </w:pPr>
            <w:r>
              <w:rPr>
                <w:rFonts w:ascii="Arial" w:cs="Arial" w:eastAsia="Arial" w:hAnsi="Arial"/>
                <w:sz w:val="3"/>
                <w:szCs w:val="3"/>
                <w:color w:val="FFFFFF"/>
              </w:rPr>
              <w:t>M Cayman Holdings Limited II”</w:t>
            </w:r>
          </w:p>
        </w:tc>
        <w:tc>
          <w:tcPr>
            <w:tcW w:w="8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3"/>
          </w:tcPr>
          <w:p>
            <w:pPr>
              <w:ind w:left="180"/>
              <w:spacing w:after="0"/>
              <w:rPr>
                <w:sz w:val="20"/>
                <w:szCs w:val="20"/>
                <w:color w:val="auto"/>
              </w:rPr>
            </w:pPr>
            <w:r>
              <w:rPr>
                <w:rFonts w:ascii="Arial" w:cs="Arial" w:eastAsia="Arial" w:hAnsi="Arial"/>
                <w:sz w:val="3"/>
                <w:szCs w:val="3"/>
                <w:color w:val="FFFFFF"/>
              </w:rPr>
              <w:t>orldwide Wynn” “WRL Group” “WRM”</w:t>
            </w:r>
          </w:p>
        </w:tc>
        <w:tc>
          <w:tcPr>
            <w:tcW w:w="8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“WRM Shareholder</w:t>
            </w:r>
          </w:p>
        </w:tc>
        <w:tc>
          <w:tcPr>
            <w:tcW w:w="1220" w:type="dxa"/>
            <w:vAlign w:val="bottom"/>
          </w:tcPr>
          <w:p>
            <w:pPr>
              <w:spacing w:after="0"/>
              <w:rPr>
                <w:sz w:val="3"/>
                <w:szCs w:val="3"/>
                <w:color w:val="auto"/>
              </w:rPr>
            </w:pPr>
          </w:p>
        </w:tc>
        <w:tc>
          <w:tcPr>
            <w:tcW w:w="8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Dividend Tax Agreement”</w:t>
            </w:r>
          </w:p>
        </w:tc>
        <w:tc>
          <w:tcPr>
            <w:tcW w:w="8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00" w:type="dxa"/>
            <w:vAlign w:val="bottom"/>
          </w:tcPr>
          <w:p>
            <w:pPr>
              <w:spacing w:after="0"/>
              <w:rPr>
                <w:sz w:val="20"/>
                <w:szCs w:val="20"/>
                <w:color w:val="auto"/>
              </w:rPr>
            </w:pPr>
            <w:r>
              <w:rPr>
                <w:rFonts w:ascii="Arial" w:cs="Arial" w:eastAsia="Arial" w:hAnsi="Arial"/>
                <w:sz w:val="3"/>
                <w:szCs w:val="3"/>
                <w:color w:val="FFFFFF"/>
              </w:rPr>
              <w:t>the Generally</w:t>
            </w:r>
          </w:p>
        </w:tc>
        <w:tc>
          <w:tcPr>
            <w:tcW w:w="300" w:type="dxa"/>
            <w:vAlign w:val="bottom"/>
          </w:tcPr>
          <w:p>
            <w:pPr>
              <w:spacing w:after="0"/>
              <w:rPr>
                <w:sz w:val="3"/>
                <w:szCs w:val="3"/>
                <w:color w:val="auto"/>
              </w:rPr>
            </w:pPr>
          </w:p>
        </w:tc>
        <w:tc>
          <w:tcPr>
            <w:tcW w:w="10020" w:type="dxa"/>
            <w:vAlign w:val="bottom"/>
            <w:gridSpan w:val="2"/>
          </w:tcPr>
          <w:p>
            <w:pPr>
              <w:ind w:left="100"/>
              <w:spacing w:after="0"/>
              <w:rPr>
                <w:sz w:val="20"/>
                <w:szCs w:val="20"/>
                <w:color w:val="auto"/>
              </w:rPr>
            </w:pPr>
            <w:r>
              <w:rPr>
                <w:rFonts w:ascii="Arial" w:cs="Arial" w:eastAsia="Arial" w:hAnsi="Arial"/>
                <w:sz w:val="3"/>
                <w:szCs w:val="3"/>
                <w:color w:val="FFFFFF"/>
              </w:rPr>
              <w:t>Accounting Principles of the United States</w:t>
            </w:r>
          </w:p>
        </w:tc>
        <w:tc>
          <w:tcPr>
            <w:tcW w:w="0" w:type="dxa"/>
            <w:vAlign w:val="bottom"/>
          </w:tcPr>
          <w:p>
            <w:pPr>
              <w:spacing w:after="0"/>
              <w:rPr>
                <w:sz w:val="1"/>
                <w:szCs w:val="1"/>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Venetian MacauAcceptedS..one of the six</w:t>
            </w:r>
          </w:p>
        </w:tc>
        <w:tc>
          <w:tcPr>
            <w:tcW w:w="8800" w:type="dxa"/>
            <w:vAlign w:val="bottom"/>
          </w:tcPr>
          <w:p>
            <w:pPr>
              <w:spacing w:after="0"/>
              <w:rPr>
                <w:sz w:val="20"/>
                <w:szCs w:val="20"/>
                <w:color w:val="auto"/>
              </w:rPr>
            </w:pPr>
            <w:r>
              <w:rPr>
                <w:rFonts w:ascii="Arial" w:cs="Arial" w:eastAsia="Arial" w:hAnsi="Arial"/>
                <w:sz w:val="3"/>
                <w:szCs w:val="3"/>
                <w:color w:val="FFFFFF"/>
              </w:rPr>
              <w:t>operators   Macau and one of the three sub-</w:t>
            </w:r>
          </w:p>
        </w:tc>
        <w:tc>
          <w:tcPr>
            <w:tcW w:w="0" w:type="dxa"/>
            <w:vAlign w:val="bottom"/>
          </w:tcPr>
          <w:p>
            <w:pPr>
              <w:spacing w:after="0"/>
              <w:rPr>
                <w:sz w:val="1"/>
                <w:szCs w:val="1"/>
                <w:color w:val="auto"/>
              </w:rPr>
            </w:pPr>
          </w:p>
        </w:tc>
      </w:tr>
      <w:tr>
        <w:trPr>
          <w:trHeight w:val="41"/>
        </w:trPr>
        <w:tc>
          <w:tcPr>
            <w:tcW w:w="11220" w:type="dxa"/>
            <w:vAlign w:val="bottom"/>
            <w:gridSpan w:val="4"/>
          </w:tcPr>
          <w:p>
            <w:pPr>
              <w:ind w:left="120"/>
              <w:spacing w:after="0"/>
              <w:rPr>
                <w:sz w:val="20"/>
                <w:szCs w:val="20"/>
                <w:color w:val="auto"/>
              </w:rPr>
            </w:pPr>
            <w:r>
              <w:rPr>
                <w:rFonts w:ascii="Arial" w:cs="Arial" w:eastAsia="Arial" w:hAnsi="Arial"/>
                <w:sz w:val="3"/>
                <w:szCs w:val="3"/>
                <w:color w:val="FFFFFF"/>
              </w:rPr>
              <w:t>ynn International Marketing, Ltd., gamingcompany incorporated under the laws of Isle of Manconcessionairesandwholly owned subsidiary of Wynn Resorts, Limited</w:t>
            </w:r>
          </w:p>
        </w:tc>
        <w:tc>
          <w:tcPr>
            <w:tcW w:w="0" w:type="dxa"/>
            <w:vAlign w:val="bottom"/>
          </w:tcPr>
          <w:p>
            <w:pPr>
              <w:spacing w:after="0"/>
              <w:rPr>
                <w:sz w:val="1"/>
                <w:szCs w:val="1"/>
                <w:color w:val="auto"/>
              </w:rPr>
            </w:pPr>
          </w:p>
        </w:tc>
      </w:tr>
      <w:tr>
        <w:trPr>
          <w:trHeight w:val="41"/>
        </w:trPr>
        <w:tc>
          <w:tcPr>
            <w:tcW w:w="11220" w:type="dxa"/>
            <w:vAlign w:val="bottom"/>
            <w:gridSpan w:val="4"/>
          </w:tcPr>
          <w:p>
            <w:pPr>
              <w:spacing w:after="0"/>
              <w:rPr>
                <w:sz w:val="20"/>
                <w:szCs w:val="20"/>
                <w:color w:val="auto"/>
              </w:rPr>
            </w:pPr>
            <w:r>
              <w:rPr>
                <w:rFonts w:ascii="Arial" w:cs="Arial" w:eastAsia="Arial" w:hAnsi="Arial"/>
                <w:sz w:val="3"/>
                <w:szCs w:val="3"/>
                <w:color w:val="FFFFFF"/>
              </w:rPr>
              <w:t>WM Cayman Holdings Limited I, a company incorporated on 7 July 2009 as an exempted company with limited liability under the laws of the Cayman Islands and a wholly owned subsidiary of Wynn Group</w:t>
            </w:r>
          </w:p>
        </w:tc>
        <w:tc>
          <w:tcPr>
            <w:tcW w:w="0" w:type="dxa"/>
            <w:vAlign w:val="bottom"/>
          </w:tcPr>
          <w:p>
            <w:pPr>
              <w:spacing w:after="0"/>
              <w:rPr>
                <w:sz w:val="1"/>
                <w:szCs w:val="1"/>
                <w:color w:val="auto"/>
              </w:rPr>
            </w:pPr>
          </w:p>
        </w:tc>
      </w:tr>
      <w:tr>
        <w:trPr>
          <w:trHeight w:val="41"/>
        </w:trPr>
        <w:tc>
          <w:tcPr>
            <w:tcW w:w="900" w:type="dxa"/>
            <w:vAlign w:val="bottom"/>
          </w:tcPr>
          <w:p>
            <w:pPr>
              <w:spacing w:after="0"/>
              <w:rPr>
                <w:sz w:val="20"/>
                <w:szCs w:val="20"/>
                <w:color w:val="auto"/>
              </w:rPr>
            </w:pPr>
            <w:r>
              <w:rPr>
                <w:rFonts w:ascii="Arial" w:cs="Arial" w:eastAsia="Arial" w:hAnsi="Arial"/>
                <w:sz w:val="3"/>
                <w:szCs w:val="3"/>
                <w:color w:val="FFFFFF"/>
              </w:rPr>
              <w:t>Asia, Inc.</w:t>
            </w: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20" w:type="dxa"/>
            <w:vAlign w:val="bottom"/>
            <w:gridSpan w:val="4"/>
          </w:tcPr>
          <w:p>
            <w:pPr>
              <w:spacing w:after="0"/>
              <w:rPr>
                <w:sz w:val="20"/>
                <w:szCs w:val="20"/>
                <w:color w:val="auto"/>
              </w:rPr>
            </w:pPr>
            <w:r>
              <w:rPr>
                <w:rFonts w:ascii="Arial" w:cs="Arial" w:eastAsia="Arial" w:hAnsi="Arial"/>
                <w:sz w:val="3"/>
                <w:szCs w:val="3"/>
                <w:color w:val="FFFFFF"/>
              </w:rPr>
              <w:t>WM Cayman Holdings Limited II, a company incorporated on 8 September 2009 as an exempted company with limited liability under the laws of the Cayman Islands and a wholly owned subsidiary of the</w:t>
            </w:r>
          </w:p>
        </w:tc>
        <w:tc>
          <w:tcPr>
            <w:tcW w:w="0" w:type="dxa"/>
            <w:vAlign w:val="bottom"/>
          </w:tcPr>
          <w:p>
            <w:pPr>
              <w:spacing w:after="0"/>
              <w:rPr>
                <w:sz w:val="1"/>
                <w:szCs w:val="1"/>
                <w:color w:val="auto"/>
              </w:rPr>
            </w:pPr>
          </w:p>
        </w:tc>
      </w:tr>
      <w:tr>
        <w:trPr>
          <w:trHeight w:val="41"/>
        </w:trPr>
        <w:tc>
          <w:tcPr>
            <w:tcW w:w="900" w:type="dxa"/>
            <w:vAlign w:val="bottom"/>
          </w:tcPr>
          <w:p>
            <w:pPr>
              <w:spacing w:after="0"/>
              <w:rPr>
                <w:sz w:val="20"/>
                <w:szCs w:val="20"/>
                <w:color w:val="auto"/>
              </w:rPr>
            </w:pPr>
            <w:r>
              <w:rPr>
                <w:rFonts w:ascii="Arial" w:cs="Arial" w:eastAsia="Arial" w:hAnsi="Arial"/>
                <w:sz w:val="3"/>
                <w:szCs w:val="3"/>
                <w:color w:val="FFFFFF"/>
              </w:rPr>
              <w:t>Company</w:t>
            </w:r>
          </w:p>
        </w:tc>
        <w:tc>
          <w:tcPr>
            <w:tcW w:w="10320" w:type="dxa"/>
            <w:vAlign w:val="bottom"/>
            <w:gridSpan w:val="3"/>
            <w:vMerge w:val="restart"/>
          </w:tcPr>
          <w:p>
            <w:pPr>
              <w:ind w:left="120"/>
              <w:spacing w:after="0"/>
              <w:rPr>
                <w:sz w:val="20"/>
                <w:szCs w:val="20"/>
                <w:color w:val="auto"/>
              </w:rPr>
            </w:pPr>
            <w:r>
              <w:rPr>
                <w:rFonts w:ascii="Arial" w:cs="Arial" w:eastAsia="Arial" w:hAnsi="Arial"/>
                <w:sz w:val="3"/>
                <w:szCs w:val="3"/>
                <w:color w:val="FFFFFF"/>
              </w:rPr>
              <w:t>LLC,  company formed under the laws of the State of Nevada, United States and a wholly owned subsidiary of Wynn Resorts, Limited</w:t>
            </w:r>
          </w:p>
        </w:tc>
        <w:tc>
          <w:tcPr>
            <w:tcW w:w="0" w:type="dxa"/>
            <w:vAlign w:val="bottom"/>
          </w:tcPr>
          <w:p>
            <w:pPr>
              <w:spacing w:after="0"/>
              <w:rPr>
                <w:sz w:val="1"/>
                <w:szCs w:val="1"/>
                <w:color w:val="auto"/>
              </w:rPr>
            </w:pPr>
          </w:p>
        </w:tc>
      </w:tr>
      <w:tr>
        <w:trPr>
          <w:trHeight w:val="0"/>
        </w:trPr>
        <w:tc>
          <w:tcPr>
            <w:tcW w:w="900" w:type="dxa"/>
            <w:vAlign w:val="bottom"/>
          </w:tcPr>
          <w:p>
            <w:pPr>
              <w:ind w:left="120"/>
              <w:spacing w:after="0" w:line="80" w:lineRule="exact"/>
              <w:rPr>
                <w:sz w:val="20"/>
                <w:szCs w:val="20"/>
                <w:color w:val="auto"/>
              </w:rPr>
            </w:pPr>
            <w:r>
              <w:rPr>
                <w:rFonts w:ascii="Arial" w:cs="Arial" w:eastAsia="Arial" w:hAnsi="Arial"/>
                <w:sz w:val="9"/>
                <w:szCs w:val="9"/>
                <w:color w:val="FFFFFF"/>
              </w:rPr>
              <w:t>orldwide W</w:t>
            </w:r>
          </w:p>
        </w:tc>
        <w:tc>
          <w:tcPr>
            <w:tcW w:w="10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bscript"/>
        </w:rPr>
        <w:t>Wynn Resorts</w:t>
      </w:r>
      <w:r>
        <w:rPr>
          <w:rFonts w:ascii="Arial" w:cs="Arial" w:eastAsia="Arial" w:hAnsi="Arial"/>
          <w:sz w:val="1"/>
          <w:szCs w:val="1"/>
          <w:color w:val="FFFFFF"/>
        </w:rPr>
        <w:t>ynn,Limited and its subsidiaries (other than the Group)</w:t>
      </w:r>
    </w:p>
    <w:p>
      <w:pPr>
        <w:ind w:left="800"/>
        <w:spacing w:after="0"/>
        <w:rPr>
          <w:sz w:val="20"/>
          <w:szCs w:val="20"/>
          <w:color w:val="auto"/>
        </w:rPr>
      </w:pPr>
      <w:r>
        <w:rPr>
          <w:rFonts w:ascii="Arial" w:cs="Arial" w:eastAsia="Arial" w:hAnsi="Arial"/>
          <w:sz w:val="3"/>
          <w:szCs w:val="3"/>
          <w:color w:val="FFFFFF"/>
        </w:rPr>
        <w:t>(Macau) S.A., a company incorporated under the laws of Macau and a wholly-owned subsidiary of the Company</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FFFFFF"/>
        </w:rPr>
        <w:t>the agreement, entered into during June 2009 and July 2011, each for a term of fi ve years between WRM and the Macau Special Administrative Region, effective retroactively to 2006, that provide for an annual payment to the Macau Special Administrative Region of MOP7.2 million in years 2006 through 2010 and MOP15.5 million in years 2011 through 2015 in lieu of Complementary Tax otherwise due by WRM shareholders on dividend distributions to them from gaming profi ts earned in those years.</w:t>
      </w:r>
    </w:p>
    <w:p>
      <w:pPr>
        <w:sectPr>
          <w:pgSz w:w="11900" w:h="16838" w:orient="portrait"/>
          <w:cols w:equalWidth="0" w:num="1">
            <w:col w:w="11400"/>
          </w:cols>
          <w:pgMar w:left="240" w:top="1440" w:right="259"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166 Wynn Macau, Limited</w:t>
      </w:r>
    </w:p>
    <w:p>
      <w:pPr>
        <w:spacing w:after="0" w:line="187" w:lineRule="auto"/>
        <w:rPr>
          <w:sz w:val="20"/>
          <w:szCs w:val="20"/>
          <w:color w:val="auto"/>
        </w:rPr>
      </w:pPr>
      <w:r>
        <w:rPr>
          <w:rFonts w:ascii="Arial" w:cs="Arial" w:eastAsia="Arial" w:hAnsi="Arial"/>
          <w:sz w:val="9"/>
          <w:szCs w:val="9"/>
          <w:color w:val="FFFFFF"/>
        </w:rPr>
        <w:t>Defi nitionsDesign &amp; Development” “Wynn Group Asia, Inc.” “Wynn Macau” “Wynn Macau Credit Facilities” “Wynn Resorts Holdings, LLC”</w:t>
      </w:r>
    </w:p>
    <w:p>
      <w:pPr>
        <w:ind w:left="860"/>
        <w:spacing w:after="0"/>
        <w:rPr>
          <w:sz w:val="20"/>
          <w:szCs w:val="20"/>
          <w:color w:val="auto"/>
        </w:rPr>
      </w:pPr>
      <w:r>
        <w:rPr>
          <w:rFonts w:ascii="Arial" w:cs="Arial" w:eastAsia="Arial" w:hAnsi="Arial"/>
          <w:sz w:val="3"/>
          <w:szCs w:val="3"/>
          <w:color w:val="FFFFFF"/>
        </w:rPr>
        <w:t>International, Ltd.</w:t>
      </w:r>
    </w:p>
    <w:p>
      <w:pPr>
        <w:spacing w:after="0" w:line="181" w:lineRule="auto"/>
        <w:rPr>
          <w:sz w:val="20"/>
          <w:szCs w:val="20"/>
          <w:color w:val="auto"/>
        </w:rPr>
      </w:pPr>
      <w:r>
        <w:rPr>
          <w:rFonts w:ascii="Arial" w:cs="Arial" w:eastAsia="Arial" w:hAnsi="Arial"/>
          <w:sz w:val="10"/>
          <w:szCs w:val="10"/>
          <w:color w:val="FFFFFF"/>
        </w:rPr>
        <w:t>Wynn“WynnDesignResorts,&amp; Limited”Development,or“WRL”LLC, a company formed under the laws of the State of Nevada, United States and a wholly owned subsidiary of Wynn Resorts, Limited</w:t>
      </w:r>
    </w:p>
    <w:p>
      <w:pPr>
        <w:ind w:left="360"/>
        <w:spacing w:after="0"/>
        <w:tabs>
          <w:tab w:leader="none" w:pos="1400" w:val="left"/>
        </w:tabs>
        <w:rPr>
          <w:sz w:val="20"/>
          <w:szCs w:val="20"/>
          <w:color w:val="auto"/>
        </w:rPr>
      </w:pPr>
      <w:r>
        <w:rPr>
          <w:rFonts w:ascii="Arial" w:cs="Arial" w:eastAsia="Arial" w:hAnsi="Arial"/>
          <w:sz w:val="3"/>
          <w:szCs w:val="3"/>
          <w:color w:val="FFFFFF"/>
        </w:rPr>
        <w:t>Group Asia, Inc.</w:t>
      </w:r>
      <w:r>
        <w:rPr>
          <w:sz w:val="20"/>
          <w:szCs w:val="20"/>
          <w:color w:val="auto"/>
        </w:rPr>
        <w:tab/>
      </w:r>
      <w:r>
        <w:rPr>
          <w:rFonts w:ascii="Arial" w:cs="Arial" w:eastAsia="Arial" w:hAnsi="Arial"/>
          <w:sz w:val="3"/>
          <w:szCs w:val="3"/>
          <w:color w:val="FFFFFF"/>
        </w:rPr>
        <w:t>company formed under the laws of the State of Nevada, United States and a wholly owned subsidiary of Wynn Resorts, Limited</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together,acasino hoteltheHKresort$4.3locatedbillion in(equivalent)Macau,ownedfully-andfundedoperatedseniordirectlytermloanby WRM,facilitieswhichand theopenedHK$on7.86billionSeptember(equivalent)2006,andseniorwhererevolvingappropriate,creditthefacilitiestermalsoextendedincludesto WRMEncoreandatWynnassubsequentlyMacau amended</w:t>
      </w:r>
    </w:p>
    <w:p>
      <w:pPr>
        <w:spacing w:after="0" w:line="1" w:lineRule="exact"/>
        <w:rPr>
          <w:sz w:val="20"/>
          <w:szCs w:val="20"/>
          <w:color w:val="auto"/>
        </w:rPr>
      </w:pPr>
    </w:p>
    <w:p>
      <w:pPr>
        <w:ind w:left="8280"/>
        <w:spacing w:after="0"/>
        <w:rPr>
          <w:sz w:val="20"/>
          <w:szCs w:val="20"/>
          <w:color w:val="auto"/>
        </w:rPr>
      </w:pPr>
      <w:r>
        <w:rPr>
          <w:rFonts w:ascii="Arial" w:cs="Arial" w:eastAsia="Arial" w:hAnsi="Arial"/>
          <w:sz w:val="1"/>
          <w:szCs w:val="1"/>
          <w:color w:val="FFFFFF"/>
        </w:rPr>
        <w:t>from time to time,Holdings,pursuantLLC,to whicha WM CaymanformedunderHoldingsthelawsLimitedoftheII Stateisthe ofhighestNevada,levelUnitedobligor, guarantorandwhollyandchargor.owned subsidiary of Wynn Resorts, Limited</w:t>
      </w:r>
    </w:p>
    <w:p>
      <w:pPr>
        <w:spacing w:after="0" w:line="187" w:lineRule="auto"/>
        <w:rPr>
          <w:sz w:val="20"/>
          <w:szCs w:val="20"/>
          <w:color w:val="auto"/>
        </w:rPr>
      </w:pPr>
      <w:r>
        <w:rPr>
          <w:rFonts w:ascii="Arial" w:cs="Arial" w:eastAsia="Arial" w:hAnsi="Arial"/>
          <w:sz w:val="9"/>
          <w:szCs w:val="9"/>
          <w:color w:val="FFFFFF"/>
          <w:vertAlign w:val="subscript"/>
        </w:rPr>
        <w:t>Wynn Resorts,International,</w:t>
      </w:r>
      <w:r>
        <w:rPr>
          <w:rFonts w:ascii="Arial" w:cs="Arial" w:eastAsia="Arial" w:hAnsi="Arial"/>
          <w:sz w:val="7"/>
          <w:szCs w:val="7"/>
          <w:color w:val="FFFFFF"/>
        </w:rPr>
        <w:t xml:space="preserve"> Ltd.,company incorporated under the laws of the Isle of Man and Stateswholly owned subsidiary of the Company</w:t>
      </w:r>
    </w:p>
    <w:p>
      <w:pPr>
        <w:ind w:left="840"/>
        <w:spacing w:after="0"/>
        <w:tabs>
          <w:tab w:leader="none" w:pos="1400" w:val="left"/>
        </w:tabs>
        <w:rPr>
          <w:sz w:val="20"/>
          <w:szCs w:val="20"/>
          <w:color w:val="auto"/>
        </w:rPr>
      </w:pPr>
      <w:r>
        <w:rPr>
          <w:rFonts w:ascii="Arial" w:cs="Arial" w:eastAsia="Arial" w:hAnsi="Arial"/>
          <w:sz w:val="14"/>
          <w:szCs w:val="14"/>
          <w:color w:val="FFFFFF"/>
        </w:rPr>
        <w:t>Limited,</w:t>
      </w:r>
      <w:r>
        <w:rPr>
          <w:sz w:val="20"/>
          <w:szCs w:val="20"/>
          <w:color w:val="auto"/>
        </w:rPr>
        <w:tab/>
      </w:r>
      <w:r>
        <w:rPr>
          <w:rFonts w:ascii="Arial" w:cs="Arial" w:eastAsia="Arial" w:hAnsi="Arial"/>
          <w:sz w:val="12"/>
          <w:szCs w:val="12"/>
          <w:color w:val="FFFFFF"/>
        </w:rPr>
        <w:t>company formed under the laws of the State of Nevada, United States, our controlling shareholder (as defi ned in the Listing Rules)</w:t>
      </w:r>
    </w:p>
    <w:p>
      <w:pPr>
        <w:sectPr>
          <w:pgSz w:w="11900" w:h="16838" w:orient="portrait"/>
          <w:cols w:equalWidth="0" w:num="1">
            <w:col w:w="10720"/>
          </w:cols>
          <w:pgMar w:left="240" w:top="1440" w:right="939"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4"/>
          </w:tcPr>
          <w:p>
            <w:pPr>
              <w:spacing w:after="0"/>
              <w:rPr>
                <w:sz w:val="20"/>
                <w:szCs w:val="20"/>
                <w:color w:val="auto"/>
              </w:rPr>
            </w:pPr>
            <w:r>
              <w:rPr>
                <w:rFonts w:ascii="Arial" w:cs="Arial" w:eastAsia="Arial" w:hAnsi="Arial"/>
                <w:sz w:val="14"/>
                <w:szCs w:val="14"/>
                <w:color w:val="FFFFFF"/>
              </w:rPr>
              <w:t>Annual Report 2011 167</w:t>
            </w:r>
          </w:p>
        </w:tc>
        <w:tc>
          <w:tcPr>
            <w:tcW w:w="128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Glossary</w:t>
            </w: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6"/>
          </w:tcPr>
          <w:p>
            <w:pPr>
              <w:ind w:left="60"/>
              <w:spacing w:after="0"/>
              <w:rPr>
                <w:sz w:val="20"/>
                <w:szCs w:val="20"/>
                <w:color w:val="auto"/>
              </w:rPr>
            </w:pPr>
            <w:r>
              <w:rPr>
                <w:rFonts w:ascii="Arial" w:cs="Arial" w:eastAsia="Arial" w:hAnsi="Arial"/>
                <w:sz w:val="3"/>
                <w:szCs w:val="3"/>
                <w:color w:val="FFFFFF"/>
              </w:rPr>
              <w:t>Adjusted Average Daily Rate” “Adjusted REVPAR” “average daily rate” or “ADR” “casino revenue” “chip(s)”</w:t>
            </w:r>
          </w:p>
        </w:tc>
        <w:tc>
          <w:tcPr>
            <w:tcW w:w="0" w:type="dxa"/>
            <w:vAlign w:val="bottom"/>
          </w:tcPr>
          <w:p>
            <w:pPr>
              <w:spacing w:after="0"/>
              <w:rPr>
                <w:sz w:val="1"/>
                <w:szCs w:val="1"/>
                <w:color w:val="auto"/>
              </w:rPr>
            </w:pPr>
          </w:p>
        </w:tc>
      </w:tr>
      <w:tr>
        <w:trPr>
          <w:trHeight w:val="41"/>
        </w:trPr>
        <w:tc>
          <w:tcPr>
            <w:tcW w:w="1940" w:type="dxa"/>
            <w:vAlign w:val="bottom"/>
            <w:gridSpan w:val="4"/>
          </w:tcPr>
          <w:p>
            <w:pPr>
              <w:ind w:left="140"/>
              <w:spacing w:after="0"/>
              <w:rPr>
                <w:sz w:val="20"/>
                <w:szCs w:val="20"/>
                <w:color w:val="auto"/>
              </w:rPr>
            </w:pPr>
            <w:r>
              <w:rPr>
                <w:rFonts w:ascii="Arial" w:cs="Arial" w:eastAsia="Arial" w:hAnsi="Arial"/>
                <w:sz w:val="3"/>
                <w:szCs w:val="3"/>
                <w:color w:val="FFFFFF"/>
              </w:rPr>
              <w:t>aily gross win per gaming table”</w:t>
            </w:r>
          </w:p>
        </w:tc>
        <w:tc>
          <w:tcPr>
            <w:tcW w:w="1280" w:type="dxa"/>
            <w:vAlign w:val="bottom"/>
          </w:tcPr>
          <w:p>
            <w:pPr>
              <w:spacing w:after="0"/>
              <w:rPr>
                <w:sz w:val="3"/>
                <w:szCs w:val="3"/>
                <w:color w:val="auto"/>
              </w:rPr>
            </w:pPr>
          </w:p>
        </w:tc>
        <w:tc>
          <w:tcPr>
            <w:tcW w:w="8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20" w:type="dxa"/>
            <w:vAlign w:val="bottom"/>
            <w:gridSpan w:val="2"/>
          </w:tcPr>
          <w:p>
            <w:pPr>
              <w:ind w:left="60"/>
              <w:spacing w:after="0" w:line="81" w:lineRule="exact"/>
              <w:rPr>
                <w:sz w:val="20"/>
                <w:szCs w:val="20"/>
                <w:color w:val="auto"/>
              </w:rPr>
            </w:pPr>
            <w:r>
              <w:rPr>
                <w:rFonts w:ascii="Arial" w:cs="Arial" w:eastAsia="Arial" w:hAnsi="Arial"/>
                <w:sz w:val="7"/>
                <w:szCs w:val="7"/>
                <w:color w:val="FFFFFF"/>
              </w:rPr>
              <w:t>drop</w:t>
            </w:r>
            <w:r>
              <w:rPr>
                <w:rFonts w:ascii="Arial" w:cs="Arial" w:eastAsia="Arial" w:hAnsi="Arial"/>
                <w:sz w:val="9"/>
                <w:szCs w:val="9"/>
                <w:color w:val="FFFFFF"/>
                <w:vertAlign w:val="superscript"/>
              </w:rPr>
              <w:t>”</w:t>
            </w:r>
            <w:r>
              <w:rPr>
                <w:rFonts w:ascii="Arial" w:cs="Arial" w:eastAsia="Arial" w:hAnsi="Arial"/>
                <w:sz w:val="7"/>
                <w:szCs w:val="7"/>
                <w:color w:val="FFFFFF"/>
              </w:rPr>
              <w:t>box”</w:t>
            </w: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940" w:type="dxa"/>
            <w:vAlign w:val="bottom"/>
            <w:gridSpan w:val="4"/>
          </w:tcPr>
          <w:p>
            <w:pPr>
              <w:ind w:left="140"/>
              <w:spacing w:after="0"/>
              <w:rPr>
                <w:sz w:val="20"/>
                <w:szCs w:val="20"/>
                <w:color w:val="auto"/>
              </w:rPr>
            </w:pPr>
            <w:r>
              <w:rPr>
                <w:rFonts w:ascii="Arial" w:cs="Arial" w:eastAsia="Arial" w:hAnsi="Arial"/>
                <w:sz w:val="3"/>
                <w:szCs w:val="3"/>
                <w:color w:val="FFFFFF"/>
              </w:rPr>
              <w:t>aming promoters”</w:t>
            </w:r>
          </w:p>
        </w:tc>
        <w:tc>
          <w:tcPr>
            <w:tcW w:w="1280" w:type="dxa"/>
            <w:vAlign w:val="bottom"/>
          </w:tcPr>
          <w:p>
            <w:pPr>
              <w:spacing w:after="0"/>
              <w:rPr>
                <w:sz w:val="3"/>
                <w:szCs w:val="3"/>
                <w:color w:val="auto"/>
              </w:rPr>
            </w:pPr>
          </w:p>
        </w:tc>
        <w:tc>
          <w:tcPr>
            <w:tcW w:w="8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3040" w:type="dxa"/>
            <w:vAlign w:val="bottom"/>
            <w:gridSpan w:val="4"/>
          </w:tcPr>
          <w:p>
            <w:pPr>
              <w:ind w:left="200"/>
              <w:spacing w:after="0"/>
              <w:rPr>
                <w:sz w:val="20"/>
                <w:szCs w:val="20"/>
                <w:color w:val="auto"/>
              </w:rPr>
            </w:pPr>
            <w:r>
              <w:rPr>
                <w:rFonts w:ascii="Arial" w:cs="Arial" w:eastAsia="Arial" w:hAnsi="Arial"/>
                <w:sz w:val="3"/>
                <w:szCs w:val="3"/>
                <w:color w:val="FFFFFF"/>
              </w:rPr>
              <w:t>gaming revenue” or “gross gaming win”</w:t>
            </w:r>
          </w:p>
        </w:tc>
        <w:tc>
          <w:tcPr>
            <w:tcW w:w="8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4"/>
          </w:tcPr>
          <w:p>
            <w:pPr>
              <w:spacing w:after="0"/>
              <w:rPr>
                <w:sz w:val="20"/>
                <w:szCs w:val="20"/>
                <w:color w:val="auto"/>
              </w:rPr>
            </w:pPr>
            <w:r>
              <w:rPr>
                <w:rFonts w:ascii="Arial" w:cs="Arial" w:eastAsia="Arial" w:hAnsi="Arial"/>
                <w:sz w:val="3"/>
                <w:szCs w:val="3"/>
                <w:color w:val="FFFFFF"/>
              </w:rPr>
              <w:t>“gross slot win”</w:t>
            </w:r>
          </w:p>
        </w:tc>
        <w:tc>
          <w:tcPr>
            <w:tcW w:w="1280" w:type="dxa"/>
            <w:vAlign w:val="bottom"/>
          </w:tcPr>
          <w:p>
            <w:pPr>
              <w:spacing w:after="0"/>
              <w:rPr>
                <w:sz w:val="3"/>
                <w:szCs w:val="3"/>
                <w:color w:val="auto"/>
              </w:rPr>
            </w:pPr>
          </w:p>
        </w:tc>
        <w:tc>
          <w:tcPr>
            <w:tcW w:w="8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6"/>
          </w:tcPr>
          <w:p>
            <w:pPr>
              <w:spacing w:after="0"/>
              <w:rPr>
                <w:sz w:val="20"/>
                <w:szCs w:val="20"/>
                <w:color w:val="auto"/>
              </w:rPr>
            </w:pPr>
            <w:r>
              <w:rPr>
                <w:rFonts w:ascii="Arial" w:cs="Arial" w:eastAsia="Arial" w:hAnsi="Arial"/>
                <w:sz w:val="3"/>
                <w:szCs w:val="3"/>
                <w:color w:val="FFFFFF"/>
              </w:rPr>
              <w:t>ADR calculated based on room revenues plus associated promotional allowances</w:t>
            </w:r>
          </w:p>
        </w:tc>
        <w:tc>
          <w:tcPr>
            <w:tcW w:w="0" w:type="dxa"/>
            <w:vAlign w:val="bottom"/>
          </w:tcPr>
          <w:p>
            <w:pPr>
              <w:spacing w:after="0"/>
              <w:rPr>
                <w:sz w:val="1"/>
                <w:szCs w:val="1"/>
                <w:color w:val="auto"/>
              </w:rPr>
            </w:pPr>
          </w:p>
        </w:tc>
      </w:tr>
      <w:tr>
        <w:trPr>
          <w:trHeight w:val="41"/>
        </w:trPr>
        <w:tc>
          <w:tcPr>
            <w:tcW w:w="11340" w:type="dxa"/>
            <w:vAlign w:val="bottom"/>
            <w:gridSpan w:val="6"/>
          </w:tcPr>
          <w:p>
            <w:pPr>
              <w:spacing w:after="0"/>
              <w:rPr>
                <w:sz w:val="20"/>
                <w:szCs w:val="20"/>
                <w:color w:val="auto"/>
              </w:rPr>
            </w:pPr>
            <w:r>
              <w:rPr>
                <w:rFonts w:ascii="Arial" w:cs="Arial" w:eastAsia="Arial" w:hAnsi="Arial"/>
                <w:sz w:val="3"/>
                <w:szCs w:val="3"/>
                <w:color w:val="FFFFFF"/>
              </w:rPr>
              <w:t>REVPAR calculated based on room revenues plus associated promotional allowances</w:t>
            </w:r>
          </w:p>
        </w:tc>
        <w:tc>
          <w:tcPr>
            <w:tcW w:w="0" w:type="dxa"/>
            <w:vAlign w:val="bottom"/>
          </w:tcPr>
          <w:p>
            <w:pPr>
              <w:spacing w:after="0"/>
              <w:rPr>
                <w:sz w:val="1"/>
                <w:szCs w:val="1"/>
                <w:color w:val="auto"/>
              </w:rPr>
            </w:pPr>
          </w:p>
        </w:tc>
      </w:tr>
      <w:tr>
        <w:trPr>
          <w:trHeight w:val="41"/>
        </w:trPr>
        <w:tc>
          <w:tcPr>
            <w:tcW w:w="11340" w:type="dxa"/>
            <w:vAlign w:val="bottom"/>
            <w:gridSpan w:val="6"/>
          </w:tcPr>
          <w:p>
            <w:pPr>
              <w:spacing w:after="0"/>
              <w:rPr>
                <w:sz w:val="20"/>
                <w:szCs w:val="20"/>
                <w:color w:val="auto"/>
              </w:rPr>
            </w:pPr>
            <w:r>
              <w:rPr>
                <w:rFonts w:ascii="Arial" w:cs="Arial" w:eastAsia="Arial" w:hAnsi="Arial"/>
                <w:sz w:val="3"/>
                <w:szCs w:val="3"/>
                <w:color w:val="FFFFFF"/>
              </w:rPr>
              <w:t>the amount calculated by dividing total room revenues (less service charges, if any) by total rooms occupied</w:t>
            </w:r>
          </w:p>
        </w:tc>
        <w:tc>
          <w:tcPr>
            <w:tcW w:w="0" w:type="dxa"/>
            <w:vAlign w:val="bottom"/>
          </w:tcPr>
          <w:p>
            <w:pPr>
              <w:spacing w:after="0"/>
              <w:rPr>
                <w:sz w:val="1"/>
                <w:szCs w:val="1"/>
                <w:color w:val="auto"/>
              </w:rPr>
            </w:pPr>
          </w:p>
        </w:tc>
      </w:tr>
      <w:tr>
        <w:trPr>
          <w:trHeight w:val="41"/>
        </w:trPr>
        <w:tc>
          <w:tcPr>
            <w:tcW w:w="760" w:type="dxa"/>
            <w:vAlign w:val="bottom"/>
            <w:gridSpan w:val="3"/>
          </w:tcPr>
          <w:p>
            <w:pPr>
              <w:spacing w:after="0"/>
              <w:rPr>
                <w:sz w:val="20"/>
                <w:szCs w:val="20"/>
                <w:color w:val="auto"/>
              </w:rPr>
            </w:pPr>
            <w:r>
              <w:rPr>
                <w:rFonts w:ascii="Arial" w:cs="Arial" w:eastAsia="Arial" w:hAnsi="Arial"/>
                <w:sz w:val="3"/>
                <w:szCs w:val="3"/>
                <w:color w:val="FFFFFF"/>
              </w:rPr>
              <w:t>revenue from</w:t>
            </w:r>
          </w:p>
        </w:tc>
        <w:tc>
          <w:tcPr>
            <w:tcW w:w="10580" w:type="dxa"/>
            <w:vAlign w:val="bottom"/>
            <w:gridSpan w:val="3"/>
          </w:tcPr>
          <w:p>
            <w:pPr>
              <w:ind w:left="380"/>
              <w:spacing w:after="0"/>
              <w:rPr>
                <w:sz w:val="20"/>
                <w:szCs w:val="20"/>
                <w:color w:val="auto"/>
              </w:rPr>
            </w:pPr>
            <w:r>
              <w:rPr>
                <w:rFonts w:ascii="Arial" w:cs="Arial" w:eastAsia="Arial" w:hAnsi="Arial"/>
                <w:sz w:val="3"/>
                <w:szCs w:val="3"/>
                <w:color w:val="FFFFFF"/>
              </w:rPr>
              <w:t>gaming activities (gross table games win and gross slot win), calculated net of  portion of commissions and discounts and in accordance with IFRS</w:t>
            </w:r>
          </w:p>
        </w:tc>
        <w:tc>
          <w:tcPr>
            <w:tcW w:w="0" w:type="dxa"/>
            <w:vAlign w:val="bottom"/>
          </w:tcPr>
          <w:p>
            <w:pPr>
              <w:spacing w:after="0"/>
              <w:rPr>
                <w:sz w:val="1"/>
                <w:szCs w:val="1"/>
                <w:color w:val="auto"/>
              </w:rPr>
            </w:pPr>
          </w:p>
        </w:tc>
      </w:tr>
      <w:tr>
        <w:trPr>
          <w:trHeight w:val="41"/>
        </w:trPr>
        <w:tc>
          <w:tcPr>
            <w:tcW w:w="11340" w:type="dxa"/>
            <w:vAlign w:val="bottom"/>
            <w:gridSpan w:val="6"/>
          </w:tcPr>
          <w:p>
            <w:pPr>
              <w:spacing w:after="0"/>
              <w:rPr>
                <w:sz w:val="20"/>
                <w:szCs w:val="20"/>
                <w:color w:val="auto"/>
              </w:rPr>
            </w:pPr>
            <w:r>
              <w:rPr>
                <w:rFonts w:ascii="Arial" w:cs="Arial" w:eastAsia="Arial" w:hAnsi="Arial"/>
                <w:sz w:val="3"/>
                <w:szCs w:val="3"/>
                <w:color w:val="FFFFFF"/>
              </w:rPr>
              <w:t>a token; usuallycasinothe form of plastic disc(s) or plaque(s) issued by a casino to customers in exchange for cash or credit, which must be used (in lieu of cash) to place bets on gaming tables</w:t>
            </w:r>
          </w:p>
        </w:tc>
        <w:tc>
          <w:tcPr>
            <w:tcW w:w="0" w:type="dxa"/>
            <w:vAlign w:val="bottom"/>
          </w:tcPr>
          <w:p>
            <w:pPr>
              <w:spacing w:after="0"/>
              <w:rPr>
                <w:sz w:val="1"/>
                <w:szCs w:val="1"/>
                <w:color w:val="auto"/>
              </w:rPr>
            </w:pPr>
          </w:p>
        </w:tc>
      </w:tr>
      <w:tr>
        <w:trPr>
          <w:trHeight w:val="41"/>
        </w:trPr>
        <w:tc>
          <w:tcPr>
            <w:tcW w:w="3220" w:type="dxa"/>
            <w:vAlign w:val="bottom"/>
            <w:gridSpan w:val="5"/>
          </w:tcPr>
          <w:p>
            <w:pPr>
              <w:spacing w:after="0"/>
              <w:rPr>
                <w:sz w:val="20"/>
                <w:szCs w:val="20"/>
                <w:color w:val="auto"/>
              </w:rPr>
            </w:pPr>
            <w:r>
              <w:rPr>
                <w:rFonts w:ascii="Arial" w:cs="Arial" w:eastAsia="Arial" w:hAnsi="Arial"/>
                <w:sz w:val="3"/>
                <w:szCs w:val="3"/>
                <w:color w:val="FFFFFF"/>
              </w:rPr>
              <w:t>gross gaming win for table games divided by number of</w:t>
            </w:r>
          </w:p>
        </w:tc>
        <w:tc>
          <w:tcPr>
            <w:tcW w:w="8120" w:type="dxa"/>
            <w:vAlign w:val="bottom"/>
          </w:tcPr>
          <w:p>
            <w:pPr>
              <w:ind w:left="200"/>
              <w:spacing w:after="0"/>
              <w:rPr>
                <w:sz w:val="20"/>
                <w:szCs w:val="20"/>
                <w:color w:val="auto"/>
              </w:rPr>
            </w:pPr>
            <w:r>
              <w:rPr>
                <w:rFonts w:ascii="Arial" w:cs="Arial" w:eastAsia="Arial" w:hAnsi="Arial"/>
                <w:sz w:val="3"/>
                <w:szCs w:val="3"/>
                <w:color w:val="FFFFFF"/>
              </w:rPr>
              <w:t>divided by the number of days in the applicable period</w:t>
            </w:r>
          </w:p>
        </w:tc>
        <w:tc>
          <w:tcPr>
            <w:tcW w:w="0" w:type="dxa"/>
            <w:vAlign w:val="bottom"/>
          </w:tcPr>
          <w:p>
            <w:pPr>
              <w:spacing w:after="0"/>
              <w:rPr>
                <w:sz w:val="1"/>
                <w:szCs w:val="1"/>
                <w:color w:val="auto"/>
              </w:rPr>
            </w:pPr>
          </w:p>
        </w:tc>
      </w:tr>
      <w:tr>
        <w:trPr>
          <w:trHeight w:val="41"/>
        </w:trPr>
        <w:tc>
          <w:tcPr>
            <w:tcW w:w="1940" w:type="dxa"/>
            <w:vAlign w:val="bottom"/>
            <w:gridSpan w:val="4"/>
          </w:tcPr>
          <w:p>
            <w:pPr>
              <w:spacing w:after="0"/>
              <w:rPr>
                <w:sz w:val="20"/>
                <w:szCs w:val="20"/>
                <w:color w:val="auto"/>
              </w:rPr>
            </w:pPr>
            <w:r>
              <w:rPr>
                <w:rFonts w:ascii="Arial" w:cs="Arial" w:eastAsia="Arial" w:hAnsi="Arial"/>
                <w:sz w:val="3"/>
                <w:szCs w:val="3"/>
                <w:color w:val="FFFFFF"/>
              </w:rPr>
              <w:t>the amount of cash and</w:t>
            </w:r>
          </w:p>
        </w:tc>
        <w:tc>
          <w:tcPr>
            <w:tcW w:w="9400" w:type="dxa"/>
            <w:vAlign w:val="bottom"/>
            <w:gridSpan w:val="2"/>
          </w:tcPr>
          <w:p>
            <w:pPr>
              <w:ind w:left="40"/>
              <w:spacing w:after="0"/>
              <w:rPr>
                <w:sz w:val="20"/>
                <w:szCs w:val="20"/>
                <w:color w:val="auto"/>
              </w:rPr>
            </w:pPr>
            <w:r>
              <w:rPr>
                <w:rFonts w:ascii="Arial" w:cs="Arial" w:eastAsia="Arial" w:hAnsi="Arial"/>
                <w:sz w:val="3"/>
                <w:szCs w:val="3"/>
                <w:color w:val="FFFFFF"/>
              </w:rPr>
              <w:t>coupons deposited intablesgaming table’ drop box</w:t>
            </w:r>
          </w:p>
        </w:tc>
        <w:tc>
          <w:tcPr>
            <w:tcW w:w="0" w:type="dxa"/>
            <w:vAlign w:val="bottom"/>
          </w:tcPr>
          <w:p>
            <w:pPr>
              <w:spacing w:after="0"/>
              <w:rPr>
                <w:sz w:val="1"/>
                <w:szCs w:val="1"/>
                <w:color w:val="auto"/>
              </w:rPr>
            </w:pPr>
          </w:p>
        </w:tc>
      </w:tr>
      <w:tr>
        <w:trPr>
          <w:trHeight w:val="41"/>
        </w:trPr>
        <w:tc>
          <w:tcPr>
            <w:tcW w:w="11340" w:type="dxa"/>
            <w:vAlign w:val="bottom"/>
            <w:gridSpan w:val="6"/>
          </w:tcPr>
          <w:p>
            <w:pPr>
              <w:ind w:left="100"/>
              <w:spacing w:after="0"/>
              <w:rPr>
                <w:sz w:val="20"/>
                <w:szCs w:val="20"/>
                <w:color w:val="auto"/>
              </w:rPr>
            </w:pPr>
            <w:r>
              <w:rPr>
                <w:rFonts w:ascii="Arial" w:cs="Arial" w:eastAsia="Arial" w:hAnsi="Arial"/>
                <w:sz w:val="3"/>
                <w:szCs w:val="3"/>
                <w:color w:val="FFFFFF"/>
              </w:rPr>
              <w:t>box or container that servespromotionalasrepository for cash and promotional coupons</w:t>
            </w: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individuals</w:t>
            </w:r>
          </w:p>
        </w:tc>
        <w:tc>
          <w:tcPr>
            <w:tcW w:w="140" w:type="dxa"/>
            <w:vAlign w:val="bottom"/>
          </w:tcPr>
          <w:p>
            <w:pPr>
              <w:spacing w:after="0"/>
              <w:rPr>
                <w:sz w:val="3"/>
                <w:szCs w:val="3"/>
                <w:color w:val="auto"/>
              </w:rPr>
            </w:pPr>
          </w:p>
        </w:tc>
        <w:tc>
          <w:tcPr>
            <w:tcW w:w="10580" w:type="dxa"/>
            <w:vAlign w:val="bottom"/>
            <w:gridSpan w:val="3"/>
          </w:tcPr>
          <w:p>
            <w:pPr>
              <w:ind w:left="20"/>
              <w:spacing w:after="0"/>
              <w:rPr>
                <w:sz w:val="20"/>
                <w:szCs w:val="20"/>
                <w:color w:val="auto"/>
              </w:rPr>
            </w:pPr>
            <w:r>
              <w:rPr>
                <w:rFonts w:ascii="Arial" w:cs="Arial" w:eastAsia="Arial" w:hAnsi="Arial"/>
                <w:sz w:val="3"/>
                <w:szCs w:val="3"/>
                <w:color w:val="FFFFFF"/>
              </w:rPr>
              <w:t>companies licensed by and registered with the Mac u government to promote games of fortune and chance or other casino games to patrons, through the arrangement of certain services, including</w:t>
            </w:r>
          </w:p>
        </w:tc>
        <w:tc>
          <w:tcPr>
            <w:tcW w:w="0" w:type="dxa"/>
            <w:vAlign w:val="bottom"/>
          </w:tcPr>
          <w:p>
            <w:pPr>
              <w:spacing w:after="0"/>
              <w:rPr>
                <w:sz w:val="1"/>
                <w:szCs w:val="1"/>
                <w:color w:val="auto"/>
              </w:rPr>
            </w:pPr>
          </w:p>
        </w:tc>
      </w:tr>
      <w:tr>
        <w:trPr>
          <w:trHeight w:val="41"/>
        </w:trPr>
        <w:tc>
          <w:tcPr>
            <w:tcW w:w="11340" w:type="dxa"/>
            <w:vAlign w:val="bottom"/>
            <w:gridSpan w:val="6"/>
          </w:tcPr>
          <w:p>
            <w:pPr>
              <w:ind w:left="40"/>
              <w:spacing w:after="0"/>
              <w:rPr>
                <w:sz w:val="20"/>
                <w:szCs w:val="20"/>
                <w:color w:val="auto"/>
              </w:rPr>
            </w:pPr>
            <w:r>
              <w:rPr>
                <w:rFonts w:ascii="Arial" w:cs="Arial" w:eastAsia="Arial" w:hAnsi="Arial"/>
                <w:sz w:val="3"/>
                <w:szCs w:val="3"/>
                <w:color w:val="FFFFFF"/>
              </w:rPr>
              <w:t>ransportation, accommodation, dining and entertainment, whose activity is regulated by Macau Administrative Regulation no. 6/2002</w:t>
            </w:r>
          </w:p>
        </w:tc>
        <w:tc>
          <w:tcPr>
            <w:tcW w:w="0" w:type="dxa"/>
            <w:vAlign w:val="bottom"/>
          </w:tcPr>
          <w:p>
            <w:pPr>
              <w:spacing w:after="0"/>
              <w:rPr>
                <w:sz w:val="1"/>
                <w:szCs w:val="1"/>
                <w:color w:val="auto"/>
              </w:rPr>
            </w:pPr>
          </w:p>
        </w:tc>
      </w:tr>
      <w:tr>
        <w:trPr>
          <w:trHeight w:val="41"/>
        </w:trPr>
        <w:tc>
          <w:tcPr>
            <w:tcW w:w="180" w:type="dxa"/>
            <w:vAlign w:val="bottom"/>
            <w:vMerge w:val="restart"/>
          </w:tcPr>
          <w:p>
            <w:pPr>
              <w:spacing w:after="0" w:line="81" w:lineRule="exact"/>
              <w:rPr>
                <w:sz w:val="20"/>
                <w:szCs w:val="20"/>
                <w:color w:val="auto"/>
              </w:rPr>
            </w:pPr>
            <w:r>
              <w:rPr>
                <w:rFonts w:ascii="Arial" w:cs="Arial" w:eastAsia="Arial" w:hAnsi="Arial"/>
                <w:sz w:val="9"/>
                <w:szCs w:val="9"/>
                <w:color w:val="FFFFFF"/>
              </w:rPr>
              <w:t>the</w:t>
            </w:r>
          </w:p>
        </w:tc>
        <w:tc>
          <w:tcPr>
            <w:tcW w:w="11160" w:type="dxa"/>
            <w:vAlign w:val="bottom"/>
            <w:gridSpan w:val="5"/>
          </w:tcPr>
          <w:p>
            <w:pPr>
              <w:ind w:left="20"/>
              <w:spacing w:after="0"/>
              <w:rPr>
                <w:sz w:val="20"/>
                <w:szCs w:val="20"/>
                <w:color w:val="auto"/>
              </w:rPr>
            </w:pPr>
            <w:r>
              <w:rPr>
                <w:rFonts w:ascii="Arial" w:cs="Arial" w:eastAsia="Arial" w:hAnsi="Arial"/>
                <w:sz w:val="3"/>
                <w:szCs w:val="3"/>
                <w:color w:val="FFFFFF"/>
              </w:rPr>
              <w:t>total win generated by all casino gaming activities combined, calculated before deduction of commissions and discounts</w:t>
            </w:r>
          </w:p>
        </w:tc>
        <w:tc>
          <w:tcPr>
            <w:tcW w:w="0" w:type="dxa"/>
            <w:vAlign w:val="bottom"/>
          </w:tcPr>
          <w:p>
            <w:pPr>
              <w:spacing w:after="0"/>
              <w:rPr>
                <w:sz w:val="1"/>
                <w:szCs w:val="1"/>
                <w:color w:val="auto"/>
              </w:rPr>
            </w:pPr>
          </w:p>
        </w:tc>
      </w:tr>
      <w:tr>
        <w:trPr>
          <w:trHeight w:val="41"/>
        </w:trPr>
        <w:tc>
          <w:tcPr>
            <w:tcW w:w="1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0720" w:type="dxa"/>
            <w:vAlign w:val="bottom"/>
            <w:gridSpan w:val="4"/>
          </w:tcPr>
          <w:p>
            <w:pPr>
              <w:ind w:left="20"/>
              <w:spacing w:after="0"/>
              <w:rPr>
                <w:sz w:val="20"/>
                <w:szCs w:val="20"/>
                <w:color w:val="auto"/>
              </w:rPr>
            </w:pPr>
            <w:r>
              <w:rPr>
                <w:rFonts w:ascii="Arial" w:cs="Arial" w:eastAsia="Arial" w:hAnsi="Arial"/>
                <w:sz w:val="3"/>
                <w:szCs w:val="3"/>
                <w:color w:val="FFFFFF"/>
              </w:rPr>
              <w:t>of handle (representing the total amount wagered) that is retained as winnings. We record this amount and gross table games win as casino revenue after deduction of progressive jackpot liabilities</w:t>
            </w:r>
          </w:p>
        </w:tc>
        <w:tc>
          <w:tcPr>
            <w:tcW w:w="0" w:type="dxa"/>
            <w:vAlign w:val="bottom"/>
          </w:tcPr>
          <w:p>
            <w:pPr>
              <w:spacing w:after="0"/>
              <w:rPr>
                <w:sz w:val="1"/>
                <w:szCs w:val="1"/>
                <w:color w:val="auto"/>
              </w:rPr>
            </w:pPr>
          </w:p>
        </w:tc>
      </w:tr>
      <w:tr>
        <w:trPr>
          <w:trHeight w:val="213"/>
        </w:trPr>
        <w:tc>
          <w:tcPr>
            <w:tcW w:w="3220" w:type="dxa"/>
            <w:vAlign w:val="bottom"/>
            <w:gridSpan w:val="5"/>
          </w:tcPr>
          <w:p>
            <w:pPr>
              <w:spacing w:after="0"/>
              <w:rPr>
                <w:sz w:val="20"/>
                <w:szCs w:val="20"/>
                <w:color w:val="auto"/>
              </w:rPr>
            </w:pPr>
            <w:r>
              <w:rPr>
                <w:rFonts w:ascii="Arial" w:cs="Arial" w:eastAsia="Arial" w:hAnsi="Arial"/>
                <w:sz w:val="14"/>
                <w:szCs w:val="14"/>
                <w:color w:val="FFFFFF"/>
              </w:rPr>
              <w:t>and amountportion of commissions and discounts</w:t>
            </w:r>
          </w:p>
        </w:tc>
        <w:tc>
          <w:tcPr>
            <w:tcW w:w="8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440" w:right="319" w:bottom="1440"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20"/>
                <w:szCs w:val="20"/>
                <w:color w:val="auto"/>
              </w:rPr>
            </w:pPr>
            <w:r>
              <w:rPr>
                <w:rFonts w:ascii="Arial" w:cs="Arial" w:eastAsia="Arial" w:hAnsi="Arial"/>
                <w:sz w:val="14"/>
                <w:szCs w:val="14"/>
                <w:color w:val="FFFFFF"/>
              </w:rPr>
              <w:t>168 Wynn Macau, Limited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460" w:type="dxa"/>
            <w:vAlign w:val="bottom"/>
          </w:tcPr>
          <w:p>
            <w:pPr>
              <w:spacing w:after="0"/>
              <w:rPr>
                <w:sz w:val="20"/>
                <w:szCs w:val="20"/>
                <w:color w:val="auto"/>
              </w:rPr>
            </w:pPr>
            <w:r>
              <w:rPr>
                <w:rFonts w:ascii="Arial" w:cs="Arial" w:eastAsia="Arial" w:hAnsi="Arial"/>
                <w:sz w:val="3"/>
                <w:szCs w:val="3"/>
                <w:color w:val="FFFFFF"/>
              </w:rPr>
              <w:t>Glossary</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60" w:type="dxa"/>
            <w:vAlign w:val="bottom"/>
          </w:tcPr>
          <w:p>
            <w:pPr>
              <w:ind w:left="60"/>
              <w:spacing w:after="0"/>
              <w:rPr>
                <w:sz w:val="20"/>
                <w:szCs w:val="20"/>
                <w:color w:val="auto"/>
              </w:rPr>
            </w:pPr>
            <w:r>
              <w:rPr>
                <w:rFonts w:ascii="Arial" w:cs="Arial" w:eastAsia="Arial" w:hAnsi="Arial"/>
                <w:sz w:val="3"/>
                <w:szCs w:val="3"/>
                <w:color w:val="FFFFFF"/>
              </w:rPr>
              <w:t>gross table games win” “In-house VIP Program” “promotional allowance” “REVPAR” “Rolling Chip”</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60" w:type="dxa"/>
            <w:vAlign w:val="bottom"/>
          </w:tcPr>
          <w:p>
            <w:pPr>
              <w:ind w:left="60"/>
              <w:spacing w:after="0"/>
              <w:rPr>
                <w:sz w:val="20"/>
                <w:szCs w:val="20"/>
                <w:color w:val="auto"/>
              </w:rPr>
            </w:pPr>
            <w:r>
              <w:rPr>
                <w:rFonts w:ascii="Arial" w:cs="Arial" w:eastAsia="Arial" w:hAnsi="Arial"/>
                <w:sz w:val="3"/>
                <w:szCs w:val="3"/>
                <w:color w:val="FFFFFF"/>
              </w:rPr>
              <w:t>turnover”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60" w:type="dxa"/>
            <w:vAlign w:val="bottom"/>
          </w:tcPr>
          <w:p>
            <w:pPr>
              <w:ind w:left="320"/>
              <w:spacing w:after="0"/>
              <w:rPr>
                <w:sz w:val="20"/>
                <w:szCs w:val="20"/>
                <w:color w:val="auto"/>
              </w:rPr>
            </w:pPr>
            <w:r>
              <w:rPr>
                <w:rFonts w:ascii="Arial" w:cs="Arial" w:eastAsia="Arial" w:hAnsi="Arial"/>
                <w:sz w:val="3"/>
                <w:szCs w:val="3"/>
                <w:color w:val="FFFFFF"/>
              </w:rPr>
              <w:t>client” or “VIP player”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60" w:type="dxa"/>
            <w:vAlign w:val="bottom"/>
          </w:tcPr>
          <w:p>
            <w:pPr>
              <w:spacing w:after="0"/>
              <w:rPr>
                <w:sz w:val="20"/>
                <w:szCs w:val="20"/>
                <w:color w:val="auto"/>
              </w:rPr>
            </w:pPr>
            <w:r>
              <w:rPr>
                <w:rFonts w:ascii="Arial" w:cs="Arial" w:eastAsia="Arial" w:hAnsi="Arial"/>
                <w:sz w:val="3"/>
                <w:szCs w:val="3"/>
                <w:color w:val="FFFFFF"/>
              </w:rPr>
              <w:t>“VIP table games turnover”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the amount of drop (in our general casino segment) or turnover (in our VIP casino segment) that is retained as winnings. We record this amount and gross slot win as casino revenue after deduction of a portion</w:t>
            </w:r>
          </w:p>
        </w:tc>
        <w:tc>
          <w:tcPr>
            <w:tcW w:w="0" w:type="dxa"/>
            <w:vAlign w:val="bottom"/>
          </w:tcPr>
          <w:p>
            <w:pPr>
              <w:spacing w:after="0"/>
              <w:rPr>
                <w:sz w:val="1"/>
                <w:szCs w:val="1"/>
                <w:color w:val="auto"/>
              </w:rPr>
            </w:pPr>
          </w:p>
        </w:tc>
      </w:tr>
      <w:tr>
        <w:trPr>
          <w:trHeight w:val="41"/>
        </w:trPr>
        <w:tc>
          <w:tcPr>
            <w:tcW w:w="9460" w:type="dxa"/>
            <w:vAlign w:val="bottom"/>
          </w:tcPr>
          <w:p>
            <w:pPr>
              <w:spacing w:after="0"/>
              <w:rPr>
                <w:sz w:val="20"/>
                <w:szCs w:val="20"/>
                <w:color w:val="auto"/>
              </w:rPr>
            </w:pPr>
            <w:r>
              <w:rPr>
                <w:rFonts w:ascii="Arial" w:cs="Arial" w:eastAsia="Arial" w:hAnsi="Arial"/>
                <w:sz w:val="3"/>
                <w:szCs w:val="3"/>
                <w:color w:val="FFFFFF"/>
              </w:rPr>
              <w:t>of commissions and discounts</w:t>
            </w:r>
          </w:p>
        </w:tc>
        <w:tc>
          <w:tcPr>
            <w:tcW w:w="1820" w:type="dxa"/>
            <w:vAlign w:val="bottom"/>
            <w:vMerge w:val="restart"/>
          </w:tcPr>
          <w:p>
            <w:pPr>
              <w:ind w:left="240"/>
              <w:spacing w:after="0"/>
              <w:rPr>
                <w:sz w:val="20"/>
                <w:szCs w:val="20"/>
                <w:color w:val="auto"/>
              </w:rPr>
            </w:pPr>
            <w:r>
              <w:rPr>
                <w:rFonts w:ascii="Arial" w:cs="Arial" w:eastAsia="Arial" w:hAnsi="Arial"/>
                <w:sz w:val="3"/>
                <w:szCs w:val="3"/>
                <w:color w:val="FFFFFF"/>
              </w:rPr>
              <w:t>are invited to qualify for</w:t>
            </w:r>
          </w:p>
        </w:tc>
        <w:tc>
          <w:tcPr>
            <w:tcW w:w="0" w:type="dxa"/>
            <w:vAlign w:val="bottom"/>
          </w:tcPr>
          <w:p>
            <w:pPr>
              <w:spacing w:after="0"/>
              <w:rPr>
                <w:sz w:val="1"/>
                <w:szCs w:val="1"/>
                <w:color w:val="auto"/>
              </w:rPr>
            </w:pPr>
          </w:p>
        </w:tc>
      </w:tr>
      <w:tr>
        <w:trPr>
          <w:trHeight w:val="0"/>
        </w:trPr>
        <w:tc>
          <w:tcPr>
            <w:tcW w:w="9460" w:type="dxa"/>
            <w:vAlign w:val="bottom"/>
          </w:tcPr>
          <w:p>
            <w:pPr>
              <w:spacing w:after="0" w:line="80" w:lineRule="exact"/>
              <w:rPr>
                <w:sz w:val="20"/>
                <w:szCs w:val="20"/>
                <w:color w:val="auto"/>
              </w:rPr>
            </w:pPr>
            <w:r>
              <w:rPr>
                <w:rFonts w:ascii="Arial" w:cs="Arial" w:eastAsia="Arial" w:hAnsi="Arial"/>
                <w:sz w:val="9"/>
                <w:szCs w:val="9"/>
                <w:color w:val="FFFFFF"/>
              </w:rPr>
              <w:t>an internal marketing program wherein we directly market our casino resorts to gaming clients, including to high-end or premium players in the greater Asia region. These</w:t>
            </w:r>
          </w:p>
        </w:tc>
        <w:tc>
          <w:tcPr>
            <w:tcW w:w="1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340" w:hanging="340"/>
        <w:spacing w:after="0" w:line="217" w:lineRule="auto"/>
        <w:rPr>
          <w:sz w:val="20"/>
          <w:szCs w:val="20"/>
          <w:color w:val="auto"/>
        </w:rPr>
      </w:pPr>
      <w:r>
        <w:rPr>
          <w:rFonts w:ascii="Arial" w:cs="Arial" w:eastAsia="Arial" w:hAnsi="Arial"/>
          <w:sz w:val="4"/>
          <w:szCs w:val="4"/>
          <w:color w:val="FFFFFF"/>
          <w:vertAlign w:val="superscript"/>
        </w:rPr>
        <w:t>based</w:t>
      </w:r>
      <w:r>
        <w:rPr>
          <w:rFonts w:ascii="Arial" w:cs="Arial" w:eastAsia="Arial" w:hAnsi="Arial"/>
          <w:sz w:val="2"/>
          <w:szCs w:val="2"/>
          <w:color w:val="FFFFFF"/>
        </w:rPr>
        <w:t xml:space="preserve">vriety of gaming rebate programs whereby they earn cash commissions and room, food and beverage and other complimentary allowances based on their turnover level. Wplayersoften extend credit to these players upon knowledge of the players, their fi nancial background and payment </w:t>
      </w:r>
      <w:r>
        <w:rPr>
          <w:rFonts w:ascii="Arial" w:cs="Arial" w:eastAsia="Arial" w:hAnsi="Arial"/>
          <w:sz w:val="4"/>
          <w:szCs w:val="4"/>
          <w:color w:val="FFFFFF"/>
          <w:vertAlign w:val="subscript"/>
        </w:rPr>
        <w:t>history</w:t>
      </w:r>
    </w:p>
    <w:p>
      <w:pPr>
        <w:ind w:left="200" w:right="4240" w:hanging="198"/>
        <w:spacing w:after="0" w:line="187" w:lineRule="auto"/>
        <w:rPr>
          <w:sz w:val="20"/>
          <w:szCs w:val="20"/>
          <w:color w:val="auto"/>
        </w:rPr>
      </w:pPr>
      <w:r>
        <w:rPr>
          <w:rFonts w:ascii="Arial" w:cs="Arial" w:eastAsia="Arial" w:hAnsi="Arial"/>
          <w:sz w:val="27"/>
          <w:szCs w:val="27"/>
          <w:color w:val="FFFFFF"/>
          <w:vertAlign w:val="superscript"/>
        </w:rPr>
        <w:t>the</w:t>
      </w:r>
      <w:r>
        <w:rPr>
          <w:rFonts w:ascii="Arial" w:cs="Arial" w:eastAsia="Arial" w:hAnsi="Arial"/>
          <w:sz w:val="14"/>
          <w:szCs w:val="14"/>
          <w:color w:val="FFFFFF"/>
        </w:rPr>
        <w:t xml:space="preserve"> retail value of rooms, food and beverage and retail and other services furnished</w:t>
      </w:r>
      <w:r>
        <w:rPr>
          <w:sz w:val="20"/>
          <w:szCs w:val="20"/>
          <w:color w:val="auto"/>
        </w:rPr>
        <w:t xml:space="preserve"> </w:t>
      </w:r>
      <w:r>
        <w:rPr>
          <w:rFonts w:ascii="Arial" w:cs="Arial" w:eastAsia="Arial" w:hAnsi="Arial"/>
          <w:sz w:val="9"/>
          <w:szCs w:val="9"/>
          <w:color w:val="FFFFFF"/>
        </w:rPr>
        <w:t>guests (typically VIP clients) without charge amount calculated by dividing total room revenues (less service charges, if any) by total rooms available</w:t>
      </w:r>
    </w:p>
    <w:p>
      <w:pPr>
        <w:ind w:right="140"/>
        <w:spacing w:after="0" w:line="187" w:lineRule="auto"/>
        <w:rPr>
          <w:sz w:val="20"/>
          <w:szCs w:val="20"/>
          <w:color w:val="auto"/>
        </w:rPr>
      </w:pPr>
      <w:r>
        <w:rPr>
          <w:rFonts w:ascii="Arial" w:cs="Arial" w:eastAsia="Arial" w:hAnsi="Arial"/>
          <w:sz w:val="9"/>
          <w:szCs w:val="9"/>
          <w:color w:val="FFFFFF"/>
        </w:rPr>
        <w:t>physically identifi able chip that is used to track VIP wagering volume for purposes of calculating commissions and other allowances payable to gaming promoters and Wynn Macau’s individual VIP players the sum of all losing Rolling Chip wagers within the VIP program</w:t>
      </w:r>
    </w:p>
    <w:p>
      <w:pPr>
        <w:ind w:right="3860"/>
        <w:spacing w:after="0" w:line="190" w:lineRule="auto"/>
        <w:rPr>
          <w:sz w:val="20"/>
          <w:szCs w:val="20"/>
          <w:color w:val="auto"/>
        </w:rPr>
      </w:pPr>
      <w:r>
        <w:rPr>
          <w:rFonts w:ascii="Arial" w:cs="Arial" w:eastAsia="Arial" w:hAnsi="Arial"/>
          <w:sz w:val="11"/>
          <w:szCs w:val="11"/>
          <w:color w:val="FFFFFF"/>
        </w:rPr>
        <w:t>client, patron or players who participates in Wynn Macau’s In-house VIP Program or in the VIP program of any of our gaming promoters turnover resulting from VIP table games only</w:t>
      </w:r>
    </w:p>
    <w:p>
      <w:pPr>
        <w:sectPr>
          <w:pgSz w:w="11900" w:h="16838" w:orient="portrait"/>
          <w:cols w:equalWidth="0" w:num="1">
            <w:col w:w="11300"/>
          </w:cols>
          <w:pgMar w:left="240" w:top="1440" w:right="35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FFFFF"/>
        </w:rPr>
        <w:t>Wynn Macau, Limited Rua Cidade de Sintra, NAPE, Macau (853) 2888-9966 www.wynnmacau.com</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4"/>
      <w:numFmt w:val="bullet"/>
      <w:start w:val="1"/>
    </w:lvl>
  </w:abstractNum>
  <w:abstractNum w:abstractNumId="3">
    <w:nsid w:val="625558EC"/>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2019-12-09T16:04:55Z</dcterms:created>
  <dcterms:modified xsi:type="dcterms:W3CDTF">2019-12-09T16:04:55Z</dcterms:modified>
</cp:coreProperties>
</file>