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MADDOX MATT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08/26/2010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6"/>
        <w:spacing w:after="0"/>
        <w:rPr>
          <w:sz w:val="20"/>
          <w:szCs w:val="20"/>
          <w:color w:val="auto"/>
        </w:rPr>
      </w:pPr>
      <w:r>
        <w:rPr>
          <w:rFonts w:ascii="Arial" w:cs="Arial" w:eastAsia="Arial" w:hAnsi="Arial"/>
          <w:sz w:val="17"/>
          <w:szCs w:val="17"/>
          <w:color w:val="0000FF"/>
        </w:rPr>
        <w:t>CFO, Treasurer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jc w:val="center"/>
              <w:ind w:left="487"/>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40" w:type="dxa"/>
            <w:vAlign w:val="bottom"/>
            <w:gridSpan w:val="3"/>
          </w:tcPr>
          <w:p>
            <w:pPr>
              <w:jc w:val="center"/>
              <w:ind w:left="487"/>
              <w:spacing w:after="0"/>
              <w:rPr>
                <w:sz w:val="20"/>
                <w:szCs w:val="20"/>
                <w:color w:val="auto"/>
              </w:rPr>
            </w:pPr>
            <w:r>
              <w:rPr>
                <w:rFonts w:ascii="Arial" w:cs="Arial" w:eastAsia="Arial" w:hAnsi="Arial"/>
                <w:sz w:val="17"/>
                <w:szCs w:val="17"/>
                <w:color w:val="0000FF"/>
                <w:w w:val="93"/>
              </w:rPr>
              <w:t>08/26/2010</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47.12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110,000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4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3"/>
              </w:rPr>
              <w:t>08/26/2010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12,850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83.1424</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97,150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4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3"/>
              </w:rPr>
              <w:t>08/26/2010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16,650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83.8429</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80,500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40" w:type="dxa"/>
            <w:vAlign w:val="bottom"/>
            <w:gridSpan w:val="3"/>
          </w:tcPr>
          <w:p>
            <w:pPr>
              <w:jc w:val="center"/>
              <w:ind w:left="487"/>
              <w:spacing w:after="0"/>
              <w:rPr>
                <w:sz w:val="20"/>
                <w:szCs w:val="20"/>
                <w:color w:val="auto"/>
              </w:rPr>
            </w:pPr>
            <w:r>
              <w:rPr>
                <w:rFonts w:ascii="Arial" w:cs="Arial" w:eastAsia="Arial" w:hAnsi="Arial"/>
                <w:sz w:val="17"/>
                <w:szCs w:val="17"/>
                <w:color w:val="0000FF"/>
                <w:w w:val="93"/>
              </w:rPr>
              <w:t>08/26/2010</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60" w:type="dxa"/>
            <w:vAlign w:val="bottom"/>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86.63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80,000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47.12</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08/26/2010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w w:val="95"/>
              </w:rPr>
              <w:t>30,000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05/06/2019</w:t>
            </w: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30,000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9"/>
              </w:rPr>
              <w:t>270,000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$0.01</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$82.51 and $83.50. The reporting person, upon request by the staff of the SEC, Wynn Resorts, Limited or any security holder of Wynn Resorts, Limited,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$83.54 and $84.12. The reporting person, upon request by the staff of the SEC, Wynn Resorts, Limited or any security holder of Wynn Resorts, Limited,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300,000 options vest 10% per year on each anniversary of the date of grant (May 6, 2009); provided, that if the reporting person ceases to be an employee of the Company, any options that are unvested at such time will be forfeited.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Kimmarie Sinatra, attorney-  </w:t>
      </w:r>
      <w:r>
        <w:rPr>
          <w:rFonts w:ascii="Arial" w:cs="Arial" w:eastAsia="Arial" w:hAnsi="Arial"/>
          <w:sz w:val="34"/>
          <w:szCs w:val="34"/>
          <w:color w:val="0000FF"/>
          <w:vertAlign w:val="subscript"/>
        </w:rPr>
        <w:t>08/27/2010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77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Matt Maddox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078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886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2019-12-18T01:43:22Z</dcterms:created>
  <dcterms:modified xsi:type="dcterms:W3CDTF">2019-12-18T01:43:22Z</dcterms:modified>
</cp:coreProperties>
</file>