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9" w:lineRule="exact"/>
        <w:rPr>
          <w:sz w:val="24"/>
          <w:szCs w:val="24"/>
          <w:color w:val="auto"/>
        </w:rPr>
      </w:pPr>
    </w:p>
    <w:p>
      <w:pPr>
        <w:ind w:left="440" w:right="2400" w:hanging="432"/>
        <w:spacing w:after="0" w:line="344" w:lineRule="auto"/>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2010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440"/>
        <w:spacing w:after="0"/>
        <w:tabs>
          <w:tab w:leader="none" w:pos="2880" w:val="left"/>
        </w:tabs>
        <w:rPr>
          <w:sz w:val="20"/>
          <w:szCs w:val="20"/>
          <w:color w:val="auto"/>
        </w:rPr>
      </w:pPr>
      <w:r>
        <w:rPr>
          <w:rFonts w:ascii="Times New Roman" w:cs="Times New Roman" w:eastAsia="Times New Roman" w:hAnsi="Times New Roman"/>
          <w:sz w:val="18"/>
          <w:szCs w:val="18"/>
          <w:b w:val="1"/>
          <w:bCs w:val="1"/>
          <w:color w:val="auto"/>
        </w:rPr>
        <w:t>For the transition period</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000-50028</w:t>
      </w:r>
    </w:p>
    <w:p>
      <w:pPr>
        <w:spacing w:after="0" w:line="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WYNN RESORTS, LIMITED</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8"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840" w:type="dxa"/>
            <w:vAlign w:val="bottom"/>
            <w:gridSpan w:val="2"/>
          </w:tcPr>
          <w:p>
            <w:pPr>
              <w:jc w:val="center"/>
              <w:ind w:right="612"/>
              <w:spacing w:after="0"/>
              <w:rPr>
                <w:sz w:val="20"/>
                <w:szCs w:val="20"/>
                <w:color w:val="auto"/>
              </w:rPr>
            </w:pPr>
            <w:r>
              <w:rPr>
                <w:rFonts w:ascii="Times New Roman" w:cs="Times New Roman" w:eastAsia="Times New Roman" w:hAnsi="Times New Roman"/>
                <w:sz w:val="18"/>
                <w:szCs w:val="18"/>
                <w:b w:val="1"/>
                <w:bCs w:val="1"/>
                <w:color w:val="auto"/>
                <w:w w:val="98"/>
              </w:rPr>
              <w:t>N</w:t>
            </w:r>
            <w:r>
              <w:rPr>
                <w:rFonts w:ascii="Times New Roman" w:cs="Times New Roman" w:eastAsia="Times New Roman" w:hAnsi="Times New Roman"/>
                <w:sz w:val="14"/>
                <w:szCs w:val="14"/>
                <w:b w:val="1"/>
                <w:bCs w:val="1"/>
                <w:color w:val="auto"/>
                <w:w w:val="98"/>
              </w:rPr>
              <w:t>EVADA</w:t>
            </w:r>
          </w:p>
        </w:tc>
        <w:tc>
          <w:tcPr>
            <w:tcW w:w="5340" w:type="dxa"/>
            <w:vAlign w:val="bottom"/>
            <w:gridSpan w:val="3"/>
          </w:tcPr>
          <w:p>
            <w:pPr>
              <w:jc w:val="center"/>
              <w:ind w:left="3900"/>
              <w:spacing w:after="0"/>
              <w:rPr>
                <w:sz w:val="20"/>
                <w:szCs w:val="20"/>
                <w:color w:val="auto"/>
              </w:rPr>
            </w:pPr>
            <w:r>
              <w:rPr>
                <w:rFonts w:ascii="Times New Roman" w:cs="Times New Roman" w:eastAsia="Times New Roman" w:hAnsi="Times New Roman"/>
                <w:sz w:val="18"/>
                <w:szCs w:val="18"/>
                <w:b w:val="1"/>
                <w:bCs w:val="1"/>
                <w:color w:val="auto"/>
                <w:w w:val="96"/>
              </w:rPr>
              <w:t>46-0484987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720" w:type="dxa"/>
            <w:vAlign w:val="bottom"/>
            <w:gridSpan w:val="3"/>
          </w:tcPr>
          <w:p>
            <w:pPr>
              <w:jc w:val="center"/>
              <w:ind w:left="1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260" w:type="dxa"/>
            <w:vAlign w:val="bottom"/>
          </w:tcPr>
          <w:p>
            <w:pPr>
              <w:spacing w:after="0"/>
              <w:rPr>
                <w:sz w:val="12"/>
                <w:szCs w:val="12"/>
                <w:color w:val="auto"/>
              </w:rPr>
            </w:pPr>
          </w:p>
        </w:tc>
        <w:tc>
          <w:tcPr>
            <w:tcW w:w="2080" w:type="dxa"/>
            <w:vAlign w:val="bottom"/>
            <w:gridSpan w:val="2"/>
          </w:tcPr>
          <w:p>
            <w:pPr>
              <w:jc w:val="center"/>
              <w:ind w:left="647"/>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720" w:type="dxa"/>
            <w:vAlign w:val="bottom"/>
            <w:gridSpan w:val="3"/>
          </w:tcPr>
          <w:p>
            <w:pPr>
              <w:jc w:val="center"/>
              <w:ind w:left="1100"/>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3260" w:type="dxa"/>
            <w:vAlign w:val="bottom"/>
          </w:tcPr>
          <w:p>
            <w:pPr>
              <w:spacing w:after="0"/>
              <w:rPr>
                <w:sz w:val="15"/>
                <w:szCs w:val="15"/>
                <w:color w:val="auto"/>
              </w:rPr>
            </w:pPr>
          </w:p>
        </w:tc>
        <w:tc>
          <w:tcPr>
            <w:tcW w:w="2080" w:type="dxa"/>
            <w:vAlign w:val="bottom"/>
            <w:gridSpan w:val="2"/>
          </w:tcPr>
          <w:p>
            <w:pPr>
              <w:jc w:val="center"/>
              <w:ind w:left="627"/>
              <w:spacing w:after="0"/>
              <w:rPr>
                <w:sz w:val="20"/>
                <w:szCs w:val="20"/>
                <w:color w:val="auto"/>
              </w:rPr>
            </w:pPr>
            <w:r>
              <w:rPr>
                <w:rFonts w:ascii="Times New Roman" w:cs="Times New Roman" w:eastAsia="Times New Roman" w:hAnsi="Times New Roman"/>
                <w:sz w:val="14"/>
                <w:szCs w:val="14"/>
                <w:b w:val="1"/>
                <w:bCs w:val="1"/>
                <w:color w:val="auto"/>
                <w:w w:val="96"/>
              </w:rPr>
              <w:t>Identification Number)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360" w:type="dxa"/>
            <w:vAlign w:val="bottom"/>
            <w:gridSpan w:val="3"/>
          </w:tcPr>
          <w:p>
            <w:pPr>
              <w:jc w:val="center"/>
              <w:ind w:right="60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 - Las Vegas, Nevada 89109</w:t>
            </w: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60" w:type="dxa"/>
            <w:vAlign w:val="bottom"/>
            <w:gridSpan w:val="2"/>
          </w:tcPr>
          <w:p>
            <w:pPr>
              <w:jc w:val="center"/>
              <w:ind w:right="1327"/>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 (Zip Code)</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18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1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60" w:type="dxa"/>
            <w:vAlign w:val="bottom"/>
            <w:gridSpan w:val="2"/>
          </w:tcPr>
          <w:p>
            <w:pPr>
              <w:jc w:val="center"/>
              <w:ind w:right="1327"/>
              <w:spacing w:after="0"/>
              <w:rPr>
                <w:sz w:val="20"/>
                <w:szCs w:val="20"/>
                <w:color w:val="auto"/>
              </w:rPr>
            </w:pPr>
            <w:r>
              <w:rPr>
                <w:rFonts w:ascii="Times New Roman" w:cs="Times New Roman" w:eastAsia="Times New Roman" w:hAnsi="Times New Roman"/>
                <w:sz w:val="14"/>
                <w:szCs w:val="14"/>
                <w:b w:val="1"/>
                <w:bCs w:val="1"/>
                <w:color w:val="auto"/>
                <w:w w:val="96"/>
              </w:rPr>
              <w:t>(Registrant’s telephone number, including area code)</w:t>
            </w: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gridSpan w:val="3"/>
          </w:tcPr>
          <w:p>
            <w:pPr>
              <w:jc w:val="center"/>
              <w:ind w:right="627"/>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12(b) of the Act:</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880" w:type="dxa"/>
            <w:vAlign w:val="bottom"/>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w w:val="78"/>
              </w:rPr>
              <w:t>Common</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7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c>
          <w:tcPr>
            <w:tcW w:w="0" w:type="dxa"/>
            <w:vAlign w:val="bottom"/>
          </w:tcPr>
          <w:p>
            <w:pPr>
              <w:spacing w:after="0"/>
              <w:rPr>
                <w:sz w:val="1"/>
                <w:szCs w:val="1"/>
                <w:color w:val="auto"/>
              </w:rPr>
            </w:pPr>
          </w:p>
        </w:tc>
      </w:tr>
      <w:tr>
        <w:trPr>
          <w:trHeight w:val="224"/>
        </w:trPr>
        <w:tc>
          <w:tcPr>
            <w:tcW w:w="1880" w:type="dxa"/>
            <w:vAlign w:val="bottom"/>
            <w:vMerge w:val="continue"/>
          </w:tcPr>
          <w:p>
            <w:pPr>
              <w:spacing w:after="0"/>
              <w:rPr>
                <w:sz w:val="19"/>
                <w:szCs w:val="19"/>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Stock, $.01 par value</w:t>
            </w:r>
          </w:p>
        </w:tc>
        <w:tc>
          <w:tcPr>
            <w:tcW w:w="3260" w:type="dxa"/>
            <w:vAlign w:val="bottom"/>
          </w:tcPr>
          <w:p>
            <w:pPr>
              <w:spacing w:after="0"/>
              <w:rPr>
                <w:sz w:val="19"/>
                <w:szCs w:val="19"/>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Nasdaq Global Select Market</w:t>
            </w:r>
          </w:p>
        </w:tc>
        <w:tc>
          <w:tcPr>
            <w:tcW w:w="0" w:type="dxa"/>
            <w:vAlign w:val="bottom"/>
          </w:tcPr>
          <w:p>
            <w:pPr>
              <w:spacing w:after="0"/>
              <w:rPr>
                <w:sz w:val="1"/>
                <w:szCs w:val="1"/>
                <w:color w:val="auto"/>
              </w:rPr>
            </w:pPr>
          </w:p>
        </w:tc>
      </w:tr>
      <w:tr>
        <w:trPr>
          <w:trHeight w:val="281"/>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60" w:type="dxa"/>
            <w:vAlign w:val="bottom"/>
            <w:gridSpan w:val="3"/>
          </w:tcPr>
          <w:p>
            <w:pPr>
              <w:jc w:val="center"/>
              <w:ind w:right="607"/>
              <w:spacing w:after="0"/>
              <w:rPr>
                <w:sz w:val="20"/>
                <w:szCs w:val="20"/>
                <w:color w:val="auto"/>
              </w:rPr>
            </w:pPr>
            <w:r>
              <w:rPr>
                <w:rFonts w:ascii="Times New Roman" w:cs="Times New Roman" w:eastAsia="Times New Roman" w:hAnsi="Times New Roman"/>
                <w:sz w:val="18"/>
                <w:szCs w:val="18"/>
                <w:b w:val="1"/>
                <w:bCs w:val="1"/>
                <w:color w:val="auto"/>
                <w:w w:val="97"/>
              </w:rPr>
              <w:t>Securities registered pursuant to Section 12(g) of the Act:</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60" w:type="dxa"/>
            <w:vAlign w:val="bottom"/>
            <w:gridSpan w:val="2"/>
          </w:tcPr>
          <w:p>
            <w:pPr>
              <w:jc w:val="center"/>
              <w:ind w:right="1327"/>
              <w:spacing w:after="0"/>
              <w:rPr>
                <w:sz w:val="20"/>
                <w:szCs w:val="20"/>
                <w:color w:val="auto"/>
              </w:rPr>
            </w:pPr>
            <w:r>
              <w:rPr>
                <w:rFonts w:ascii="Times New Roman" w:cs="Times New Roman" w:eastAsia="Times New Roman" w:hAnsi="Times New Roman"/>
                <w:sz w:val="18"/>
                <w:szCs w:val="18"/>
                <w:b w:val="1"/>
                <w:bCs w:val="1"/>
                <w:color w:val="auto"/>
                <w:w w:val="94"/>
              </w:rPr>
              <w:t>None</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8"/>
              </w:rPr>
              <w:t>Indicate by check mark if the registrant is a well-known seasoned issuer, as defined in Rule 405 of the Securities Act.</w:t>
            </w:r>
          </w:p>
        </w:tc>
        <w:tc>
          <w:tcPr>
            <w:tcW w:w="6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7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7"/>
        </w:trPr>
        <w:tc>
          <w:tcPr>
            <w:tcW w:w="838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7"/>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4"/>
              </w:rPr>
              <w:t xml:space="preserve">Yes </w:t>
            </w:r>
            <w:r>
              <w:rPr>
                <w:rFonts w:ascii="MS PGothic" w:cs="MS PGothic" w:eastAsia="MS PGothic" w:hAnsi="MS PGothic"/>
                <w:sz w:val="18"/>
                <w:szCs w:val="18"/>
                <w:color w:val="auto"/>
                <w:w w:val="94"/>
              </w:rPr>
              <w:t>☐</w:t>
            </w:r>
          </w:p>
        </w:tc>
        <w:tc>
          <w:tcPr>
            <w:tcW w:w="7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34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342"/>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320" w:firstLine="342"/>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26" w:right="239" w:bottom="1440" w:gutter="0" w:footer="0" w:header="0"/>
        </w:sectPr>
      </w:pP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580"/>
            <w:col w:w="5780" w:space="720"/>
            <w:col w:w="1880" w:space="720"/>
            <w:col w:w="160"/>
          </w:cols>
          <w:pgMar w:left="240" w:top="226" w:right="2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500" w:space="660"/>
            <w:col w:w="5780" w:space="720"/>
            <w:col w:w="1920" w:space="680"/>
            <w:col w:w="160"/>
          </w:cols>
          <w:pgMar w:left="240" w:top="226" w:right="239" w:bottom="1440"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8320" w:space="160"/>
            <w:col w:w="260" w:space="80"/>
            <w:col w:w="160" w:space="180"/>
            <w:col w:w="220" w:space="80"/>
            <w:col w:w="1960"/>
          </w:cols>
          <w:pgMar w:left="240" w:top="226" w:right="239" w:bottom="1440" w:gutter="0" w:footer="0" w:header="0"/>
          <w:type w:val="continuous"/>
        </w:sectPr>
      </w:pPr>
    </w:p>
    <w:p>
      <w:pPr>
        <w:ind w:right="460" w:firstLine="342"/>
        <w:spacing w:after="0" w:line="275"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stock held by non-affiliates based on the closing price as reported on the NASDAQ Global Select Market on June 30, 2010 was approximately $5.8 billion.</w:t>
      </w:r>
    </w:p>
    <w:p>
      <w:pPr>
        <w:spacing w:after="0" w:line="3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February 15, 2011, 124,620,408 shares of the registrant’s Common Stock, $.01 par value, were outstanding.</w:t>
      </w:r>
    </w:p>
    <w:p>
      <w:pPr>
        <w:spacing w:after="0" w:line="90" w:lineRule="exact"/>
        <w:rPr>
          <w:sz w:val="24"/>
          <w:szCs w:val="24"/>
          <w:color w:val="auto"/>
        </w:rPr>
      </w:pPr>
    </w:p>
    <w:p>
      <w:pPr>
        <w:ind w:right="280" w:firstLine="342"/>
        <w:spacing w:after="0" w:line="275" w:lineRule="auto"/>
        <w:rPr>
          <w:sz w:val="20"/>
          <w:szCs w:val="20"/>
          <w:color w:val="auto"/>
        </w:rPr>
      </w:pPr>
      <w:r>
        <w:rPr>
          <w:rFonts w:ascii="Times New Roman" w:cs="Times New Roman" w:eastAsia="Times New Roman" w:hAnsi="Times New Roman"/>
          <w:sz w:val="18"/>
          <w:szCs w:val="18"/>
          <w:color w:val="auto"/>
        </w:rPr>
        <w:t>Portions of the registrant’s Proxy Statement for its 2011 Annual Meeting of Stockholders to be filed not later than 120 days after the end of the fiscal year covered by this report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440" w:type="dxa"/>
            <w:vAlign w:val="bottom"/>
            <w:gridSpan w:val="3"/>
          </w:tcPr>
          <w:p>
            <w:pPr>
              <w:jc w:val="right"/>
              <w:ind w:right="457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80"/>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gridSpan w:val="3"/>
          </w:tcPr>
          <w:p>
            <w:pPr>
              <w:jc w:val="right"/>
              <w:ind w:right="5052"/>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w:t>
              </w:r>
            </w:hyperlink>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w:anchor="page3">
              <w:r>
                <w:rPr>
                  <w:rFonts w:ascii="Times New Roman" w:cs="Times New Roman" w:eastAsia="Times New Roman" w:hAnsi="Times New Roman"/>
                  <w:sz w:val="18"/>
                  <w:szCs w:val="18"/>
                  <w:color w:val="0000EE"/>
                  <w:w w:val="96"/>
                </w:rPr>
                <w:t>Business</w:t>
              </w:r>
            </w:hyperlink>
          </w:p>
        </w:tc>
        <w:tc>
          <w:tcPr>
            <w:tcW w:w="2240" w:type="dxa"/>
            <w:vAlign w:val="bottom"/>
            <w:gridSpan w:val="6"/>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5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Risk Factors</w:t>
              </w:r>
            </w:hyperlink>
          </w:p>
        </w:tc>
        <w:tc>
          <w:tcPr>
            <w:tcW w:w="1980" w:type="dxa"/>
            <w:vAlign w:val="bottom"/>
            <w:gridSpan w:val="4"/>
          </w:tcPr>
          <w:p>
            <w:pPr>
              <w:spacing w:after="0"/>
              <w:rPr>
                <w:sz w:val="17"/>
                <w:szCs w:val="17"/>
                <w:color w:val="auto"/>
              </w:rPr>
            </w:pPr>
          </w:p>
        </w:tc>
        <w:tc>
          <w:tcPr>
            <w:tcW w:w="7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880" w:type="dxa"/>
            <w:vAlign w:val="bottom"/>
            <w:gridSpan w:val="7"/>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Unresolved Staff Comments</w:t>
              </w:r>
            </w:hyperlink>
          </w:p>
        </w:tc>
        <w:tc>
          <w:tcPr>
            <w:tcW w:w="7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Properties</w:t>
              </w:r>
            </w:hyperlink>
          </w:p>
        </w:tc>
        <w:tc>
          <w:tcPr>
            <w:tcW w:w="1280" w:type="dxa"/>
            <w:vAlign w:val="bottom"/>
            <w:tcBorders>
              <w:top w:val="single" w:sz="8" w:color="0000EE"/>
            </w:tcBorders>
            <w:gridSpan w:val="4"/>
          </w:tcPr>
          <w:p>
            <w:pPr>
              <w:spacing w:after="0"/>
              <w:rPr>
                <w:sz w:val="17"/>
                <w:szCs w:val="17"/>
                <w:color w:val="auto"/>
              </w:rPr>
            </w:pPr>
          </w:p>
        </w:tc>
        <w:tc>
          <w:tcPr>
            <w:tcW w:w="880" w:type="dxa"/>
            <w:vAlign w:val="bottom"/>
          </w:tcPr>
          <w:p>
            <w:pPr>
              <w:spacing w:after="0"/>
              <w:rPr>
                <w:sz w:val="17"/>
                <w:szCs w:val="17"/>
                <w:color w:val="auto"/>
              </w:rPr>
            </w:pPr>
          </w:p>
        </w:tc>
        <w:tc>
          <w:tcPr>
            <w:tcW w:w="7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880" w:type="dxa"/>
            <w:vAlign w:val="bottom"/>
            <w:gridSpan w:val="7"/>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7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20"/>
        </w:trPr>
        <w:tc>
          <w:tcPr>
            <w:tcW w:w="100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40" w:type="dxa"/>
            <w:vAlign w:val="bottom"/>
            <w:gridSpan w:val="3"/>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6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32">
              <w:r>
                <w:rPr>
                  <w:rFonts w:ascii="Times New Roman" w:cs="Times New Roman" w:eastAsia="Times New Roman" w:hAnsi="Times New Roman"/>
                  <w:sz w:val="18"/>
                  <w:szCs w:val="18"/>
                  <w:color w:val="0000EE"/>
                  <w:w w:val="97"/>
                </w:rPr>
                <w:t>Removed and Reserved</w:t>
              </w:r>
            </w:hyperlink>
          </w:p>
        </w:tc>
        <w:tc>
          <w:tcPr>
            <w:tcW w:w="1200" w:type="dxa"/>
            <w:vAlign w:val="bottom"/>
            <w:gridSpan w:val="2"/>
          </w:tcPr>
          <w:p>
            <w:pPr>
              <w:spacing w:after="0"/>
              <w:rPr>
                <w:sz w:val="17"/>
                <w:szCs w:val="17"/>
                <w:color w:val="auto"/>
              </w:rPr>
            </w:pPr>
          </w:p>
        </w:tc>
        <w:tc>
          <w:tcPr>
            <w:tcW w:w="74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1"/>
              </w:rPr>
            </w:pPr>
            <w:hyperlink w:anchor="page33">
              <w:r>
                <w:rPr>
                  <w:rFonts w:ascii="Times New Roman" w:cs="Times New Roman" w:eastAsia="Times New Roman" w:hAnsi="Times New Roman"/>
                  <w:sz w:val="18"/>
                  <w:szCs w:val="18"/>
                  <w:b w:val="1"/>
                  <w:bCs w:val="1"/>
                  <w:color w:val="0000EE"/>
                  <w:w w:val="91"/>
                </w:rPr>
                <w:t>PART II</w:t>
              </w:r>
            </w:hyperlink>
          </w:p>
        </w:tc>
        <w:tc>
          <w:tcPr>
            <w:tcW w:w="3760" w:type="dxa"/>
            <w:vAlign w:val="bottom"/>
            <w:gridSpan w:val="4"/>
          </w:tcPr>
          <w:p>
            <w:pPr>
              <w:spacing w:after="0"/>
              <w:rPr>
                <w:sz w:val="17"/>
                <w:szCs w:val="17"/>
                <w:color w:val="auto"/>
              </w:rPr>
            </w:pPr>
          </w:p>
        </w:tc>
        <w:tc>
          <w:tcPr>
            <w:tcW w:w="134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980" w:type="dxa"/>
            <w:vAlign w:val="bottom"/>
            <w:gridSpan w:val="11"/>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35">
              <w:r>
                <w:rPr>
                  <w:rFonts w:ascii="Times New Roman" w:cs="Times New Roman" w:eastAsia="Times New Roman" w:hAnsi="Times New Roman"/>
                  <w:sz w:val="18"/>
                  <w:szCs w:val="18"/>
                  <w:color w:val="0000EE"/>
                  <w:w w:val="97"/>
                </w:rPr>
                <w:t>Selected Financial Data</w:t>
              </w:r>
            </w:hyperlink>
          </w:p>
        </w:tc>
        <w:tc>
          <w:tcPr>
            <w:tcW w:w="6200" w:type="dxa"/>
            <w:vAlign w:val="bottom"/>
            <w:tcBorders>
              <w:top w:val="single" w:sz="8" w:color="0000EE"/>
            </w:tcBorders>
            <w:gridSpan w:val="8"/>
          </w:tcPr>
          <w:p>
            <w:pPr>
              <w:spacing w:after="0"/>
              <w:rPr>
                <w:sz w:val="17"/>
                <w:szCs w:val="17"/>
                <w:color w:val="auto"/>
              </w:rPr>
            </w:pPr>
          </w:p>
        </w:tc>
        <w:tc>
          <w:tcPr>
            <w:tcW w:w="110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8980" w:type="dxa"/>
            <w:vAlign w:val="bottom"/>
            <w:gridSpan w:val="11"/>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2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2680" w:type="dxa"/>
            <w:vAlign w:val="bottom"/>
            <w:gridSpan w:val="3"/>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65">
              <w:r>
                <w:rPr>
                  <w:rFonts w:ascii="Times New Roman" w:cs="Times New Roman" w:eastAsia="Times New Roman" w:hAnsi="Times New Roman"/>
                  <w:sz w:val="18"/>
                  <w:szCs w:val="18"/>
                  <w:color w:val="0000EE"/>
                  <w:w w:val="97"/>
                </w:rPr>
                <w:t>Financial Statements and Supplementary Data</w:t>
              </w:r>
            </w:hyperlink>
          </w:p>
        </w:tc>
        <w:tc>
          <w:tcPr>
            <w:tcW w:w="5720" w:type="dxa"/>
            <w:vAlign w:val="bottom"/>
            <w:gridSpan w:val="7"/>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105">
              <w:r>
                <w:rPr>
                  <w:rFonts w:ascii="Times New Roman" w:cs="Times New Roman" w:eastAsia="Times New Roman" w:hAnsi="Times New Roman"/>
                  <w:sz w:val="18"/>
                  <w:szCs w:val="18"/>
                  <w:color w:val="0000EE"/>
                  <w:w w:val="97"/>
                </w:rPr>
                <w:t>Changes in and Disagreements With Accountants on Accounting and Financial Disclosure</w:t>
              </w:r>
            </w:hyperlink>
          </w:p>
        </w:tc>
        <w:tc>
          <w:tcPr>
            <w:tcW w:w="2620" w:type="dxa"/>
            <w:vAlign w:val="bottom"/>
            <w:gridSpan w:val="2"/>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05">
              <w:r>
                <w:rPr>
                  <w:rFonts w:ascii="Times New Roman" w:cs="Times New Roman" w:eastAsia="Times New Roman" w:hAnsi="Times New Roman"/>
                  <w:sz w:val="18"/>
                  <w:szCs w:val="18"/>
                  <w:color w:val="0000EE"/>
                  <w:w w:val="97"/>
                </w:rPr>
                <w:t>Controls and Procedures</w:t>
              </w:r>
            </w:hyperlink>
          </w:p>
        </w:tc>
        <w:tc>
          <w:tcPr>
            <w:tcW w:w="7240" w:type="dxa"/>
            <w:vAlign w:val="bottom"/>
            <w:gridSpan w:val="8"/>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980" w:type="dxa"/>
            <w:vAlign w:val="bottom"/>
            <w:gridSpan w:val="11"/>
          </w:tcPr>
          <w:p>
            <w:pPr>
              <w:spacing w:after="0" w:line="196" w:lineRule="exact"/>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Other Information</w:t>
              </w:r>
            </w:hyperlink>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100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60" w:type="dxa"/>
            <w:vAlign w:val="bottom"/>
            <w:gridSpan w:val="4"/>
          </w:tcPr>
          <w:p>
            <w:pPr>
              <w:spacing w:after="0"/>
              <w:rPr>
                <w:rFonts w:ascii="Times New Roman" w:cs="Times New Roman" w:eastAsia="Times New Roman" w:hAnsi="Times New Roman"/>
                <w:sz w:val="18"/>
                <w:szCs w:val="18"/>
                <w:b w:val="1"/>
                <w:bCs w:val="1"/>
                <w:color w:val="0000EE"/>
              </w:rPr>
            </w:pPr>
            <w:hyperlink w:anchor="page106">
              <w:r>
                <w:rPr>
                  <w:rFonts w:ascii="Times New Roman" w:cs="Times New Roman" w:eastAsia="Times New Roman" w:hAnsi="Times New Roman"/>
                  <w:sz w:val="18"/>
                  <w:szCs w:val="18"/>
                  <w:b w:val="1"/>
                  <w:bCs w:val="1"/>
                  <w:color w:val="0000EE"/>
                </w:rPr>
                <w:t>PART III</w:t>
              </w:r>
            </w:hyperlink>
          </w:p>
        </w:tc>
        <w:tc>
          <w:tcPr>
            <w:tcW w:w="1720" w:type="dxa"/>
            <w:vAlign w:val="bottom"/>
          </w:tcPr>
          <w:p>
            <w:pPr>
              <w:spacing w:after="0"/>
              <w:rPr>
                <w:sz w:val="17"/>
                <w:szCs w:val="17"/>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540" w:type="dxa"/>
            <w:vAlign w:val="bottom"/>
            <w:gridSpan w:val="4"/>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Directors, Executive Officers and Corporate Governance</w:t>
              </w:r>
            </w:hyperlink>
          </w:p>
        </w:tc>
        <w:tc>
          <w:tcPr>
            <w:tcW w:w="700" w:type="dxa"/>
            <w:vAlign w:val="bottom"/>
            <w:tcBorders>
              <w:top w:val="single" w:sz="8" w:color="0000EE"/>
            </w:tcBorders>
          </w:tcPr>
          <w:p>
            <w:pPr>
              <w:spacing w:after="0"/>
              <w:rPr>
                <w:sz w:val="17"/>
                <w:szCs w:val="17"/>
                <w:color w:val="auto"/>
              </w:rPr>
            </w:pPr>
          </w:p>
        </w:tc>
        <w:tc>
          <w:tcPr>
            <w:tcW w:w="3360" w:type="dxa"/>
            <w:vAlign w:val="bottom"/>
            <w:gridSpan w:val="3"/>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0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Executive Compensation</w:t>
              </w:r>
            </w:hyperlink>
          </w:p>
        </w:tc>
        <w:tc>
          <w:tcPr>
            <w:tcW w:w="4600" w:type="dxa"/>
            <w:vAlign w:val="bottom"/>
            <w:gridSpan w:val="5"/>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600" w:type="dxa"/>
            <w:vAlign w:val="bottom"/>
            <w:gridSpan w:val="8"/>
          </w:tcPr>
          <w:p>
            <w:pPr>
              <w:spacing w:after="0" w:line="196" w:lineRule="exact"/>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1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1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Certain Relationships and Related Transactions, and Director Independence</w:t>
              </w:r>
            </w:hyperlink>
          </w:p>
        </w:tc>
        <w:tc>
          <w:tcPr>
            <w:tcW w:w="1480" w:type="dxa"/>
            <w:vAlign w:val="bottom"/>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2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107">
              <w:r>
                <w:rPr>
                  <w:rFonts w:ascii="Times New Roman" w:cs="Times New Roman" w:eastAsia="Times New Roman" w:hAnsi="Times New Roman"/>
                  <w:sz w:val="18"/>
                  <w:szCs w:val="18"/>
                  <w:color w:val="0000EE"/>
                  <w:w w:val="97"/>
                </w:rPr>
                <w:t>Principal Accountant Fees and Services</w:t>
              </w:r>
            </w:hyperlink>
          </w:p>
        </w:tc>
        <w:tc>
          <w:tcPr>
            <w:tcW w:w="2520" w:type="dxa"/>
            <w:vAlign w:val="bottom"/>
            <w:tcBorders>
              <w:top w:val="single" w:sz="8" w:color="0000EE"/>
            </w:tcBorders>
            <w:gridSpan w:val="4"/>
          </w:tcPr>
          <w:p>
            <w:pPr>
              <w:spacing w:after="0"/>
              <w:rPr>
                <w:sz w:val="17"/>
                <w:szCs w:val="17"/>
                <w:color w:val="auto"/>
              </w:rPr>
            </w:pPr>
          </w:p>
        </w:tc>
        <w:tc>
          <w:tcPr>
            <w:tcW w:w="3280" w:type="dxa"/>
            <w:vAlign w:val="bottom"/>
            <w:gridSpan w:val="2"/>
          </w:tcPr>
          <w:p>
            <w:pPr>
              <w:spacing w:after="0"/>
              <w:rPr>
                <w:sz w:val="17"/>
                <w:szCs w:val="17"/>
                <w:color w:val="auto"/>
              </w:rPr>
            </w:pPr>
          </w:p>
        </w:tc>
        <w:tc>
          <w:tcPr>
            <w:tcW w:w="1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780" w:type="dxa"/>
            <w:vAlign w:val="bottom"/>
            <w:gridSpan w:val="2"/>
          </w:tcPr>
          <w:p>
            <w:pPr>
              <w:jc w:val="right"/>
              <w:ind w:right="4992"/>
              <w:spacing w:after="0"/>
              <w:rPr>
                <w:rFonts w:ascii="Times New Roman" w:cs="Times New Roman" w:eastAsia="Times New Roman" w:hAnsi="Times New Roman"/>
                <w:sz w:val="18"/>
                <w:szCs w:val="18"/>
                <w:b w:val="1"/>
                <w:bCs w:val="1"/>
                <w:color w:val="0000EE"/>
                <w:w w:val="92"/>
              </w:rPr>
            </w:pPr>
            <w:hyperlink w:anchor="page108">
              <w:r>
                <w:rPr>
                  <w:rFonts w:ascii="Times New Roman" w:cs="Times New Roman" w:eastAsia="Times New Roman" w:hAnsi="Times New Roman"/>
                  <w:sz w:val="18"/>
                  <w:szCs w:val="18"/>
                  <w:b w:val="1"/>
                  <w:bCs w:val="1"/>
                  <w:color w:val="0000EE"/>
                  <w:w w:val="92"/>
                </w:rPr>
                <w:t>PART IV</w:t>
              </w:r>
            </w:hyperlink>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660" w:type="dxa"/>
            <w:vAlign w:val="bottom"/>
            <w:gridSpan w:val="3"/>
          </w:tcPr>
          <w:p>
            <w:pPr>
              <w:ind w:left="120"/>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Exhibits and Financial Statement Schedules</w:t>
              </w:r>
            </w:hyperlink>
          </w:p>
        </w:tc>
        <w:tc>
          <w:tcPr>
            <w:tcW w:w="700" w:type="dxa"/>
            <w:vAlign w:val="bottom"/>
            <w:tcBorders>
              <w:top w:val="single" w:sz="8" w:color="0000EE"/>
            </w:tcBorders>
          </w:tcPr>
          <w:p>
            <w:pPr>
              <w:spacing w:after="0"/>
              <w:rPr>
                <w:sz w:val="17"/>
                <w:szCs w:val="17"/>
                <w:color w:val="auto"/>
              </w:rPr>
            </w:pPr>
          </w:p>
        </w:tc>
        <w:tc>
          <w:tcPr>
            <w:tcW w:w="5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880" w:type="dxa"/>
            <w:vAlign w:val="bottom"/>
            <w:gridSpan w:val="2"/>
          </w:tcPr>
          <w:p>
            <w:pPr>
              <w:spacing w:after="0" w:line="196" w:lineRule="exact"/>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Signatures</w:t>
              </w:r>
            </w:hyperlink>
          </w:p>
        </w:tc>
        <w:tc>
          <w:tcPr>
            <w:tcW w:w="120" w:type="dxa"/>
            <w:vAlign w:val="bottom"/>
          </w:tcPr>
          <w:p>
            <w:pPr>
              <w:spacing w:after="0"/>
              <w:rPr>
                <w:sz w:val="17"/>
                <w:szCs w:val="17"/>
                <w:color w:val="auto"/>
              </w:rPr>
            </w:pPr>
          </w:p>
        </w:tc>
        <w:tc>
          <w:tcPr>
            <w:tcW w:w="3080" w:type="dxa"/>
            <w:vAlign w:val="bottom"/>
            <w:tcBorders>
              <w:top w:val="single" w:sz="8" w:color="0000EE"/>
            </w:tcBorders>
          </w:tcPr>
          <w:p>
            <w:pPr>
              <w:spacing w:after="0"/>
              <w:rPr>
                <w:sz w:val="17"/>
                <w:szCs w:val="17"/>
                <w:color w:val="auto"/>
              </w:rPr>
            </w:pPr>
          </w:p>
        </w:tc>
        <w:tc>
          <w:tcPr>
            <w:tcW w:w="1460" w:type="dxa"/>
            <w:vAlign w:val="bottom"/>
          </w:tcPr>
          <w:p>
            <w:pPr>
              <w:spacing w:after="0"/>
              <w:rPr>
                <w:sz w:val="17"/>
                <w:szCs w:val="17"/>
                <w:color w:val="auto"/>
              </w:rPr>
            </w:pPr>
          </w:p>
        </w:tc>
        <w:tc>
          <w:tcPr>
            <w:tcW w:w="5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383"/>
        </w:trPr>
        <w:tc>
          <w:tcPr>
            <w:tcW w:w="7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0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2</w:t>
            </w:r>
          </w:p>
        </w:tc>
        <w:tc>
          <w:tcPr>
            <w:tcW w:w="508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Wynn Resorts, Limited, a Nevada corporation, was formed in June 2002, is led by Chairman and Chief Executive Officer, Stephen A. Wynn, and is a leading developer, owner and operator of destination casino resorts. We own and operate two destination casino resorts. In Las Vegas, Nevada, we own and operate “Wynn Las Vegas,” on the “Strip” and “Encore at Wynn Las Vegas” which is located adjacent to Wynn Las Vegas. In the Macau Special Administrative Region of the People’s Republic of China (“Macau”) we own and operate “Wynn Macau” and “Encore at Wynn Macau.” We present our results based on the following two segments: Wynn Las Vegas (which includes Encore at Wynn Las Vegas) and Wynn Macau (which includes Encore at Wynn Macau). For more information on the financial results for our segments, see Item 8 “Financial Statements”, Note 17 “Segment Information.”</w:t>
      </w:r>
    </w:p>
    <w:p>
      <w:pPr>
        <w:spacing w:after="0" w:line="139"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Unless the context otherwise requires, all references herein to “Wynn Resorts,” the “Company,” “we,” “us” or “our,” or similar terms, refer to Wynn Resorts, Limited and its consolidated subsidiaries.</w:t>
      </w:r>
    </w:p>
    <w:p>
      <w:pPr>
        <w:spacing w:after="0" w:line="120" w:lineRule="exact"/>
        <w:rPr>
          <w:sz w:val="20"/>
          <w:szCs w:val="20"/>
          <w:color w:val="auto"/>
        </w:rPr>
      </w:pPr>
    </w:p>
    <w:p>
      <w:pPr>
        <w:ind w:right="40" w:firstLine="456"/>
        <w:spacing w:after="0" w:line="293" w:lineRule="auto"/>
        <w:rPr>
          <w:sz w:val="20"/>
          <w:szCs w:val="20"/>
          <w:color w:val="auto"/>
        </w:rPr>
      </w:pPr>
      <w:r>
        <w:rPr>
          <w:rFonts w:ascii="Times New Roman" w:cs="Times New Roman" w:eastAsia="Times New Roman" w:hAnsi="Times New Roman"/>
          <w:sz w:val="16"/>
          <w:szCs w:val="16"/>
          <w:color w:val="auto"/>
        </w:rPr>
        <w:t xml:space="preserve">Wynn Resorts files annual reports on Form 10-K, quarterly reports on Form 10-Q, current reports on Form 8-K and amendments of such reports with the Securities and Exchange Commission (“SEC”). Any document Wynn Resorts files may be inspected, without charge, at the SEC’s public reference room at 100 F Street, N.E. Washington, D.C. 20549 or at the SEC’s internet site address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 xml:space="preserve">. Information related to the operation of the SEC’s public reference room may be obtained by calling the SEC at 1-800-SEC-0330. In addition, through our own internet address at </w:t>
      </w:r>
      <w:r>
        <w:rPr>
          <w:rFonts w:ascii="Times New Roman" w:cs="Times New Roman" w:eastAsia="Times New Roman" w:hAnsi="Times New Roman"/>
          <w:sz w:val="16"/>
          <w:szCs w:val="16"/>
          <w:u w:val="single" w:color="auto"/>
          <w:color w:val="auto"/>
        </w:rPr>
        <w:t>www.wynnresorts.com</w:t>
      </w:r>
      <w:r>
        <w:rPr>
          <w:rFonts w:ascii="Times New Roman" w:cs="Times New Roman" w:eastAsia="Times New Roman" w:hAnsi="Times New Roman"/>
          <w:sz w:val="16"/>
          <w:szCs w:val="16"/>
          <w:color w:val="auto"/>
        </w:rPr>
        <w:t>, Wynn Resorts provides a hyperlink to a third-party SEC filing website which posts these filings as soon as reasonably practicable, where they can be reviewed without charge. The information found on our website is not a part of this Annual Report on Form 10-K or any other report we file or furnish to the SEC.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Resorts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Las Vegas</w:t>
      </w:r>
    </w:p>
    <w:p>
      <w:pPr>
        <w:spacing w:after="0" w:line="94"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Wynn Las Vegas opened on April 28, 2005. We believe that our resort offers exceptional accommodations, amenities and service with 2,716 rooms and suites, including 36 fairway villas and 6 private-entry villas for our premium guests. For the fifth year in a row, The Tower Suites at Wynn Las Vegas has received both the Forbes five-star and AAA five-diamond distinctions for 2011. The Spa at Wynn Las Vegas earned five-star recognition from Forbes for the third year in a row. The Spa at Wynn Las Vegas and the Spa at Encore are two of the only three spas in Las Vegas to be recognized with the Forbes five-star award.</w:t>
      </w:r>
    </w:p>
    <w:p>
      <w:pPr>
        <w:spacing w:after="0" w:line="103" w:lineRule="exact"/>
        <w:rPr>
          <w:sz w:val="20"/>
          <w:szCs w:val="20"/>
          <w:color w:val="auto"/>
        </w:rPr>
      </w:pPr>
    </w:p>
    <w:p>
      <w:pPr>
        <w:ind w:right="80" w:firstLine="456"/>
        <w:spacing w:after="0" w:line="293" w:lineRule="auto"/>
        <w:rPr>
          <w:sz w:val="20"/>
          <w:szCs w:val="20"/>
          <w:color w:val="auto"/>
        </w:rPr>
      </w:pPr>
      <w:r>
        <w:rPr>
          <w:rFonts w:ascii="Times New Roman" w:cs="Times New Roman" w:eastAsia="Times New Roman" w:hAnsi="Times New Roman"/>
          <w:sz w:val="16"/>
          <w:szCs w:val="16"/>
          <w:color w:val="auto"/>
        </w:rPr>
        <w:t>The approximately 110,000 square foot casino features 147 table games, a baccarat salon, private VIP gaming rooms, a poker room, 1,842 slot machines, and a race and sports book. The resort’s 22 food and beverage outlets feature five fine dining restaurants, including restaurants helmed by award winning chefs. Wynn Las Vegas also offers two nightclubs, a spa and salon, a Ferrari and Maserati automobile dealership, wedding chapels, an 18-hole golf course, approximately 223,000 square feet of meeting space and an approximately 74,000 square foot retail promenade featuring boutiques from Alexander McQueen, Brioni, Cartier, Chanel, Dior, Graff, Louis Vuitton, Manolo Blahnik, Oscar de la Renta and Vertu. Wynn Las Vegas also has a showroom which features “Le Rêve,” a water-based theatrical production. We believe that the unique experience of Wynn Las Vegas drives the significant visitation experienced since opening.</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Encore at Wynn Las Vegas</w:t>
      </w:r>
    </w:p>
    <w:p>
      <w:pPr>
        <w:spacing w:after="0" w:line="9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Encore at Wynn Las Vegas opened on December 22, 2008. This resort is located immediately adjacent to and is connected to Wynn Las Vegas and features a 2,034 all-suite hotel as well as an approximately 76,000 square foot casino with 95 table games, a sky casino, a baccarat salon, private VIP gaming rooms and 778 slot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machines. For the second year in a row, The Encore Tower Suites has received both the Forbes five-star and AAA five-diamond awards for 2011. The Spa at Encore also earned five-star recognition from Forbes. The resort’s 13 food and beverage outlets include five restaurants, many of which feature award winning chefs. Encore at Wynn Las Vegas also offers a beach club, two nightclubs, a spa and salon, approximately 60,000 square feet of meeting space and approximately 27,000 square feet of upscale retail outlets featuring boutiques from Hermes, Chanel and others. Encore at Wynn Las Vegas also has a showroom which features Garth Brooks and other headliner entertainment acts.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Macau</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Wynn Macau opened on September 6, 2006. Wynn Macau currently features approximately 595 hotel rooms and suites, 410 table games, 935 slot machines and a poker room in approximately 222,000 square feet of casino gaming space, including a sky casino, six restaurants, a spa and salon, lounges, meeting facilities and approximately 48,000 square feet of retail space featuring boutiques from Bvlgari, Chanel, Dior, Dunhill, Fendi, Ferrari, Giorgio Armani, Gucci, Hermes, Hugo Boss, Louis Vuitton, Miu Miu, Piaget, Prada, Rolex, Tiffany, Tudor, Van Cleef &amp; Arpels, Versace, Vertu, Zegna and others. For the third year in a row, Wynn Macau and The Spa at Wynn Macau received the Forbes five-star distinction. Wynn Macau includes a show in its rotunda featuring a Chinese zodiac-inspired ceiling and interchangeable gold “prosperity tree” and “dragon of fortune” attractions.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Encore at Wynn Macau</w:t>
      </w:r>
    </w:p>
    <w:p>
      <w:pPr>
        <w:spacing w:after="0" w:line="94"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Encore at Wynn Macau opened on April 21, 2010. This resort is located immediately adjacent to and is connected with Wynn Macau and features 410 luxury suites and four villas, as well as approximately 34,000 square feet of casino gaming space, including a sky casino, containing 60 table games and 80 slot machines, two restaurants, a luxury spa and additional retail space featuring Chanel, Piaget and Cartier.</w:t>
      </w:r>
    </w:p>
    <w:p>
      <w:pPr>
        <w:spacing w:after="0" w:line="13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See Item 7 of Part II, “Management’s Discussion and Analysis of Financial Condition and Results of Operations—Results of Operations” for information about our net revenues.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and Development Opportunities</w:t>
      </w:r>
    </w:p>
    <w:p>
      <w:pPr>
        <w:spacing w:after="0" w:line="92" w:lineRule="exact"/>
        <w:rPr>
          <w:sz w:val="20"/>
          <w:szCs w:val="20"/>
          <w:color w:val="auto"/>
        </w:rPr>
      </w:pPr>
    </w:p>
    <w:p>
      <w:pPr>
        <w:ind w:right="20" w:firstLine="456"/>
        <w:spacing w:after="0" w:line="310" w:lineRule="auto"/>
        <w:rPr>
          <w:sz w:val="20"/>
          <w:szCs w:val="20"/>
          <w:color w:val="auto"/>
        </w:rPr>
      </w:pPr>
      <w:r>
        <w:rPr>
          <w:rFonts w:ascii="Times New Roman" w:cs="Times New Roman" w:eastAsia="Times New Roman" w:hAnsi="Times New Roman"/>
          <w:sz w:val="16"/>
          <w:szCs w:val="16"/>
          <w:color w:val="auto"/>
        </w:rPr>
        <w:t>In July 2010, we commenced a project to refurbish and upgrade the rooms and suites at Wynn Las Vegas. The total project budget is approximately $83 million. The room remodel was completed in January 2011 and the suite remodel is expected to be completed early in the second quarter of 2011. As a part of this project, we are temporarily removing floors from service at Wynn Las Vegas which reduces our total number of rooms available during the construction period.</w:t>
      </w:r>
    </w:p>
    <w:p>
      <w:pPr>
        <w:spacing w:after="0" w:line="97"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In the ordinary course of our business, in response to market developments and customer preferences, we have made and continue to make certain enhancements and refinements to our resort complexes.</w:t>
      </w:r>
    </w:p>
    <w:p>
      <w:pPr>
        <w:spacing w:after="0" w:line="120"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Approximately 142 acres of land adjacent to Wynn Las Vegas and Encore at Wynn Las Vegas is currently improved with a golf course. While we may develop this property in the future, due to the current economic environment and certain restrictions in our credit facilities, we have no immediate plans to do so.</w:t>
      </w:r>
    </w:p>
    <w:p>
      <w:pPr>
        <w:spacing w:after="0" w:line="74"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We have applied to the government of Macau for a land concession for approximately 52 acres on Cotai and are awaiting final governmental approval of this concession. No construction timeline or budget has yet been developed.</w:t>
      </w:r>
    </w:p>
    <w:p>
      <w:pPr>
        <w:spacing w:after="0" w:line="120" w:lineRule="exact"/>
        <w:rPr>
          <w:sz w:val="20"/>
          <w:szCs w:val="20"/>
          <w:color w:val="auto"/>
        </w:rPr>
      </w:pPr>
    </w:p>
    <w:p>
      <w:pPr>
        <w:jc w:val="center"/>
        <w:ind w:left="440" w:right="260"/>
        <w:spacing w:after="0" w:line="447" w:lineRule="auto"/>
        <w:rPr>
          <w:sz w:val="20"/>
          <w:szCs w:val="20"/>
          <w:color w:val="auto"/>
        </w:rPr>
      </w:pPr>
      <w:r>
        <w:rPr>
          <w:rFonts w:ascii="Times New Roman" w:cs="Times New Roman" w:eastAsia="Times New Roman" w:hAnsi="Times New Roman"/>
          <w:sz w:val="18"/>
          <w:szCs w:val="18"/>
          <w:color w:val="auto"/>
        </w:rPr>
        <w:t>We continually seek out new opportunities for additional gaming or related businesses, in Las Vegas, other markets in the United States, and worldwide. 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92" w:lineRule="exact"/>
        <w:rPr>
          <w:sz w:val="20"/>
          <w:szCs w:val="20"/>
          <w:color w:val="auto"/>
        </w:rPr>
      </w:pPr>
    </w:p>
    <w:p>
      <w:pPr>
        <w:ind w:right="260" w:firstLine="456"/>
        <w:spacing w:after="0" w:line="310" w:lineRule="auto"/>
        <w:rPr>
          <w:sz w:val="20"/>
          <w:szCs w:val="20"/>
          <w:color w:val="auto"/>
        </w:rPr>
      </w:pPr>
      <w:r>
        <w:rPr>
          <w:rFonts w:ascii="Times New Roman" w:cs="Times New Roman" w:eastAsia="Times New Roman" w:hAnsi="Times New Roman"/>
          <w:sz w:val="16"/>
          <w:szCs w:val="16"/>
          <w:color w:val="auto"/>
        </w:rPr>
        <w:t>We believe that Steve Wynn is the preeminent designer, developer and operator of destination casino resorts and has developed brand name status. Mr. Wynn’s involvement with our casino resorts provides a distinct advantage over other gaming enterprises. We integrate luxurious surroundings, distinctive entertainment and superior amenities, including fine dining and premium retail offerings, to create resorts that appeal to a variety of customers.</w:t>
      </w:r>
    </w:p>
    <w:p>
      <w:pPr>
        <w:spacing w:after="0" w:line="9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resorts were designed and built to provide a premium experience. Wynn Las Vegas, Encore at Wynn Las Vegas, Wynn Macau and Encore at Wynn Macau are positioned as full-service luxury resorts and casinos in the leisure, convention and tour and travel industries. We market these resorts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resorts through various media channels, including television, radio, newspapers, magazines, the internet, direct mail and billboards.</w:t>
      </w:r>
    </w:p>
    <w:p>
      <w:pPr>
        <w:spacing w:after="0" w:line="139"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Mr. Wynn and his team bring significant experience in designing, developing and operating casino resorts. The senior executive team has an average of approximately 25 years of experience in the hotel and gaming industries. We also have an approximately 90-person design, development and construction subsidiary, the senior management of which has significant experience in all major construction disciplines.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Las Vegas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Las Vegas is the largest gaming market in the United States. The casino/hotel industry in Las Vegas is highly competitive and, prior to the recent economic conditions and interruption in projects under development, had undergone a period of exceptional growth, particularly with the addition of projects targeting the premium customer. Wynn Las Vegas and Encore at Wynn Las Vegas are located on the Las Vegas Strip and compete with other high-quality resorts and hotel casinos on the Strip, those in downtown Las Vegas, as well as a large number of hotels in and near Las Vegas. Many competing properties draw a significant number of visitors and directly compete with our operations. We seek to differentiate Wynn Las Vegas and Encore at Wynn Las Vegas from other major Las Vegas resorts by concentrating on our fundamental elements of design, atmosphere, personal service and luxury.</w:t>
      </w:r>
    </w:p>
    <w:p>
      <w:pPr>
        <w:spacing w:after="0" w:line="13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Wynn Las Vegas and Encore at Wynn Las Vegas also compete, to some extent, with other hotel/casino facilities in Nevada and Atlantic City, riverboat gaming facilities in other states, casino facilities on Native American lands, casino resorts throughout Asia, and elsewhere in the world, as well as state lotteries and other forms of gaming. In addition, the legalization of casino gaming in or near metropolitan areas from which we attract customers could have a negative effect on our business. New or renovated casinos in Asia, including two new resorts in Singapore and our resort in Macau, could draw Asian gaming customers away from Las Vegas.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Macau</w:t>
      </w:r>
    </w:p>
    <w:p>
      <w:pPr>
        <w:spacing w:after="0" w:line="94"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Macau, which was a Portuguese colony for approximately 450 years, was transferred from Portuguese to Chinese political control in December 1999. Macau is governed as a special administrative region of China and is located approximately 37 miles southwest of, and less than one hour away via ferry from, Hong Kong. Macau, which has been a casino destination for more than 40 years, consists principally of a peninsula on mainland China, and two neighboring islands, Taipa and Coloane. We believe that Macau is located in one of the world’s largest concentrations of potential gaming customers. According to Macau Statistical Information, casinos in Macau generated approximately $23.5 billion in gaming revenue in 2010, an approximately 58% increase over the approximately $15 billion generated in 2009, making Macau the largest gaming market in the world.</w:t>
      </w:r>
    </w:p>
    <w:p>
      <w:pPr>
        <w:spacing w:after="0" w:line="1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40"/>
          </w:cols>
          <w:pgMar w:left="240" w:top="455" w:right="3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Macau’s gaming market is primarily dependent on tourists. The Macau market has experienced tremendous growth in capacity in the last few years. As of December 31, 2010, there were 20,091 hotel rooms and 4,791 table games in Macau, compared to 12,978 hotel rooms and 2,762 table games as of December 31, 2006.</w:t>
      </w:r>
    </w:p>
    <w:p>
      <w:pPr>
        <w:spacing w:after="0" w:line="132"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Gaming customers traveling to Macau have typically come from nearby destinations in Asia including Hong Kong, mainland China, Taiwan, South Korea and Japan. According to the Macau Statistics and Census Service Monthly Bulletin of Statistics, approximately 88% of the tourists who visited Macau in 2010 came from mainland China, Hong Kong and Taiwan. Macau completed construction of an international airport in 1995, which accommodates large commercial aircraft and provides direct air service to major cities in Asia, including Beijing, Shanghai, Jakarta, Taipei, Manila, Singapore and Bangkok. Travel to Macau by citizens of mainland China requires a visa. Government officials have, on occasion, exercised their authority to adjust the visa policy and may do so in the future.</w:t>
      </w:r>
    </w:p>
    <w:p>
      <w:pPr>
        <w:spacing w:after="0" w:line="10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Prior to 2002, gaming in Macau was permitted as a government-sanctioned monopoly concession awarded to a single concessionaire. However, the government of Macau liberalized the gaming industry in 2002 by granting concessions to operate casinos to three concessionaires (including Wynn Macau), who in turn were permitted, subject to the approval of the government of Macau, to each grant one sub-concession to other gaming operators. There is no limit to the number of casinos each concessionaire is permitted to operate, but each facility is subject to government approval. Currently, there are 33 operating casinos in Macau.</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2002, the other two concessions were granted to Sociedade de Jogos de Macau (“SJM”) and Galaxy Entertainment Group Limited (“Galaxy”). SJM, which is controlled by the family of Stanley Ho, operates 20 of the 33 existing casinos, including the Hotel Lisboa and The Grand Lisboa. SJM is a Hong Kong Stock Exchange listed company. In September 2009, SJM opened L’ Arc Macau Casino/Hotel which is adjacent to Wynn Macau. In December 2009, SJM opened the Casino Oceanus which is adjacent to the Macau ferry terminal. In addition, an affiliate of SJM owns one of three water ferry services and the helicopter shuttle service that links Macau to Hong Kong.</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Galaxy, a Hong Kong Stock Exchange listed company, was also awarded a casino concession in June 2002. Galaxy opened the Waldo Hotel/Casino on the Macau peninsula in 2004, the Grand Waldo Cotai in the summer of 2006, and Galaxy Star World hotel casino immediately adjacent to Wynn Macau in October 2006. In addition, Galaxy is currently constructing a resort on Cotai, which is expected to open in 2011.</w:t>
      </w:r>
    </w:p>
    <w:p>
      <w:pPr>
        <w:spacing w:after="0" w:line="13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Las Vegas Sands Corp., the owner and operator of The Venetian and The Palazzo resorts in Las Vegas and a former partner of Galaxy, entered into a sub-concession agreement with Galaxy in 2002 which allows it to independently develop and operate casinos in Macau. The Sands Macao opened in 2004. The Venetian Macao Resort Hotel, the largest casino resort in Macau, opened in August 2007. In August 2008, an affiliate of Las Vegas Sands Corp. opened the Four Seasons Hotel Macau which includes serviced apartment units, adjacent to the Venetian Macao. In addition, an affiliate of Las Vegas Sands Corp. has also proposed a masterplan for other large developments in Cotai, some of which are scheduled to open in 2011, that would include additional hotel properties as well as serviced apartment units and additional retail and related space. In late 2009, Las Vegas Sands Corp. completed the initial public offering of Sands China, Ltd. on the Hong Kong Stock Exchange.</w:t>
      </w:r>
    </w:p>
    <w:p>
      <w:pPr>
        <w:spacing w:after="0" w:line="14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 joint venture consisting of Melco, a Hong Kong Stock Exchange listed company, and Crown, Ltd., an Australian company, is currently operating the Altira, which opened in May 2007, and the City of Dreams, a large resort in Cotai, which opened in June 2009. This joint venture operates its properties under a subconcession purchased from us in 2006.</w:t>
      </w:r>
    </w:p>
    <w:p>
      <w:pPr>
        <w:spacing w:after="0" w:line="13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In December 2007, a joint venture of MGM MIRAGE and Pansy Ho Chiu-king (Stanley Ho’s daughter) opened the MGM Grand Macau, a resort on the Macau peninsula adjacent to Wynn Macau. The MGM Grand Macau is operated pursuant to a subconcession granted to the joint venture by SJM.</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Our casino concession agreement allows the government to grant additional concessions for the operation of casinos commencing April 1, 2009. If the government of Macau awards additional concessions or permits additional sub-concessionaires, Wynn Macau will face increased competition from casino operators in Macau.</w:t>
      </w:r>
    </w:p>
    <w:p>
      <w:pPr>
        <w:spacing w:after="0" w:line="132" w:lineRule="exact"/>
        <w:rPr>
          <w:sz w:val="20"/>
          <w:szCs w:val="20"/>
          <w:color w:val="auto"/>
        </w:rPr>
      </w:pPr>
    </w:p>
    <w:p>
      <w:pPr>
        <w:ind w:right="120" w:firstLine="456"/>
        <w:spacing w:after="0" w:line="310" w:lineRule="auto"/>
        <w:rPr>
          <w:sz w:val="20"/>
          <w:szCs w:val="20"/>
          <w:color w:val="auto"/>
        </w:rPr>
      </w:pPr>
      <w:r>
        <w:rPr>
          <w:rFonts w:ascii="Times New Roman" w:cs="Times New Roman" w:eastAsia="Times New Roman" w:hAnsi="Times New Roman"/>
          <w:sz w:val="16"/>
          <w:szCs w:val="16"/>
          <w:color w:val="auto"/>
        </w:rPr>
        <w:t>Wynn Macau also faces competition from casinos located in other areas of Asia, such as Genting Highlands Resort, a major gaming and resort destination located outside of Kuala Lumpur, Malaysia, and casinos in Singapore and the Philippines. Wynn Macau also encounters competition from other major gaming centers located around the world, including Australia and Las Vegas, cruise ships in Asia that offer gaming and other casinos throughout Asia.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Data</w:t>
      </w:r>
    </w:p>
    <w:p>
      <w:pPr>
        <w:spacing w:after="0" w:line="9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Geographic data are reported in Note 17 to the consolidated financial statements. Additional financial data about our geographic operations is provided in Item 7 “Management’s Discussion of Analysis of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Licensing</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are ever prohibited from operating one of our gaming facilities, we would, to the extent permitted by law, seek to recover our investment by selling the property affected, but we cannot assure you that we could recover full value.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Nevada</w:t>
      </w:r>
    </w:p>
    <w:p>
      <w:pPr>
        <w:spacing w:after="0" w:line="90" w:lineRule="exact"/>
        <w:rPr>
          <w:sz w:val="20"/>
          <w:szCs w:val="20"/>
          <w:color w:val="auto"/>
        </w:rPr>
      </w:pPr>
    </w:p>
    <w:p>
      <w:pPr>
        <w:ind w:right="380" w:firstLine="45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Introduction. </w:t>
      </w:r>
      <w:r>
        <w:rPr>
          <w:rFonts w:ascii="Times New Roman" w:cs="Times New Roman" w:eastAsia="Times New Roman" w:hAnsi="Times New Roman"/>
          <w:sz w:val="18"/>
          <w:szCs w:val="18"/>
          <w:color w:val="auto"/>
        </w:rPr>
        <w:t>The ownership and operation of casino gaming facilities in the State of Nevada are subject to the Nevada Gaming Control Act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regulations made under the Act, as well as to various local ordinances. Wynn Las Vegas’ operations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29" w:lineRule="exact"/>
        <w:rPr>
          <w:sz w:val="20"/>
          <w:szCs w:val="20"/>
          <w:color w:val="auto"/>
        </w:rPr>
      </w:pPr>
    </w:p>
    <w:p>
      <w:pPr>
        <w:ind w:right="28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Policy Concerns of Gaming Laws. </w:t>
      </w:r>
      <w:r>
        <w:rPr>
          <w:rFonts w:ascii="Times New Roman" w:cs="Times New Roman" w:eastAsia="Times New Roman" w:hAnsi="Times New Roman"/>
          <w:sz w:val="18"/>
          <w:szCs w:val="18"/>
          <w:color w:val="auto"/>
        </w:rPr>
        <w:t>The laws, regulations and supervisory procedures of the Nevada Gaming Authorities are based upon declarations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policy. Such public policy concerns include, among other things:</w:t>
      </w:r>
    </w:p>
    <w:p>
      <w:pPr>
        <w:spacing w:after="0" w:line="34"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unsavory or unsuitable persons from being directly or indirectly involved with gaming at any time or in any capacity;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responsible accounting practices and procedures;</w:t>
      </w:r>
    </w:p>
    <w:p>
      <w:pPr>
        <w:spacing w:after="0" w:line="90" w:lineRule="exact"/>
        <w:rPr>
          <w:rFonts w:ascii="Times New Roman" w:cs="Times New Roman" w:eastAsia="Times New Roman" w:hAnsi="Times New Roman"/>
          <w:sz w:val="18"/>
          <w:szCs w:val="18"/>
          <w:color w:val="auto"/>
        </w:rPr>
      </w:pPr>
    </w:p>
    <w:p>
      <w:pPr>
        <w:ind w:left="900" w:right="160" w:hanging="325"/>
        <w:spacing w:after="0" w:line="334" w:lineRule="auto"/>
        <w:tabs>
          <w:tab w:leader="none" w:pos="9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preventing cheating and fraudulent practices;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 source of state and local revenue through taxation and licensing fees.</w:t>
      </w:r>
    </w:p>
    <w:p>
      <w:pPr>
        <w:spacing w:after="0" w:line="17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Changes in applicable laws, regulations and procedures could have significant negative effects on our Las Vegas gaming operations and our financial condition and results of operations.</w:t>
      </w:r>
    </w:p>
    <w:p>
      <w:pPr>
        <w:spacing w:after="0" w:line="116" w:lineRule="exact"/>
        <w:rPr>
          <w:sz w:val="20"/>
          <w:szCs w:val="20"/>
          <w:color w:val="auto"/>
        </w:rPr>
      </w:pPr>
    </w:p>
    <w:p>
      <w:pPr>
        <w:ind w:right="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Owner and Operator Licensing Requirements. </w:t>
      </w:r>
      <w:r>
        <w:rPr>
          <w:rFonts w:ascii="Times New Roman" w:cs="Times New Roman" w:eastAsia="Times New Roman" w:hAnsi="Times New Roman"/>
          <w:sz w:val="18"/>
          <w:szCs w:val="18"/>
          <w:color w:val="auto"/>
        </w:rPr>
        <w:t>Our subsidiary, Wynn Las Vegas, LLC, as the owner and operator of Wynn Las Vegas and Encore at Wynn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Las Vegas, has been approved by the Nevada Gaming</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8"/>
          <w:szCs w:val="18"/>
          <w:color w:val="auto"/>
        </w:rPr>
        <w:t>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1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Registration Requirements. </w:t>
      </w:r>
      <w:r>
        <w:rPr>
          <w:rFonts w:ascii="Times New Roman" w:cs="Times New Roman" w:eastAsia="Times New Roman" w:hAnsi="Times New Roman"/>
          <w:sz w:val="18"/>
          <w:szCs w:val="18"/>
          <w:color w:val="auto"/>
        </w:rPr>
        <w:t>Wynn Resorts was found suitable by the Nevada Gaming Commission to own the equity interests of Wynn Resorts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Holdings, LLC (“Wynn Resorts Holdings”), a wholly-owned 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First Mortgage Notes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39"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28" w:lineRule="exact"/>
        <w:rPr>
          <w:sz w:val="20"/>
          <w:szCs w:val="20"/>
          <w:color w:val="auto"/>
        </w:rPr>
      </w:pPr>
    </w:p>
    <w:p>
      <w:pPr>
        <w:ind w:right="40" w:firstLine="456"/>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Individual Licensing Requirements. </w:t>
      </w:r>
      <w:r>
        <w:rPr>
          <w:rFonts w:ascii="Times New Roman" w:cs="Times New Roman" w:eastAsia="Times New Roman" w:hAnsi="Times New Roman"/>
          <w:sz w:val="16"/>
          <w:szCs w:val="16"/>
          <w:color w:val="auto"/>
        </w:rPr>
        <w:t>No person may become a stockholder or member of, or receive any percentage of the profits of, an intermediary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of Securities Owned By an Unsuitable Person. </w:t>
      </w:r>
      <w:r>
        <w:rPr>
          <w:rFonts w:ascii="Times New Roman" w:cs="Times New Roman" w:eastAsia="Times New Roman" w:hAnsi="Times New Roman"/>
          <w:sz w:val="18"/>
          <w:szCs w:val="18"/>
          <w:color w:val="auto"/>
        </w:rPr>
        <w:t>Wynn Resorts’ articles of incorporation provide that, to the extent a gaming authority makes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of unsuitability or to the extent deemed necessary or advisable by the 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 directors to be the fair value of the securities to be redeemed. If Wynn Resorts determines the redemption price, the redemption price will be capped at the closing price of the shares on the principal national securities exchange on which the shares are listed on the trading day before the redemption notice is given. If the shares are not listed on a national securities exchange, the redemption price will be capped at the closing sale price of the shares as quoted on The NASDAQ Global Select Market or if the closing price is not reported, the mean between the bid and asked prices, as quoted by any other generally recognized reporting system. Wynn</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color w:val="auto"/>
        </w:rPr>
        <w:t>Resorts’ right of redemption is not exclusive of any other rights that it may have or later acquire under any agreement, its bylaws or otherwise. The redemption price may be paid in cash, by promissory note, or both, as required, and pursuant to the terms established by, the applicable Gaming Authority and, if not, as Wynn Resorts elects.</w:t>
      </w:r>
    </w:p>
    <w:p>
      <w:pPr>
        <w:spacing w:after="0" w:line="12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Violating Gaming Laws. </w:t>
      </w:r>
      <w:r>
        <w:rPr>
          <w:rFonts w:ascii="Times New Roman" w:cs="Times New Roman" w:eastAsia="Times New Roman" w:hAnsi="Times New Roman"/>
          <w:sz w:val="18"/>
          <w:szCs w:val="18"/>
          <w:color w:val="auto"/>
        </w:rPr>
        <w:t>If the Nevada Gaming Commission determines that we have violated the Nevada Gaming Control Act or any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Encore at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3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Voting or Nonvoting Securities Holders. </w:t>
      </w:r>
      <w:r>
        <w:rPr>
          <w:rFonts w:ascii="Times New Roman" w:cs="Times New Roman" w:eastAsia="Times New Roman" w:hAnsi="Times New Roman"/>
          <w:sz w:val="18"/>
          <w:szCs w:val="18"/>
          <w:color w:val="auto"/>
        </w:rPr>
        <w:t>Regardless of the number of shares held, any beneficial owner of Wynn Resorts’ voting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38" w:lineRule="exact"/>
        <w:rPr>
          <w:sz w:val="20"/>
          <w:szCs w:val="20"/>
          <w:color w:val="auto"/>
        </w:rPr>
      </w:pPr>
    </w:p>
    <w:p>
      <w:pPr>
        <w:ind w:firstLine="456"/>
        <w:spacing w:after="0" w:line="286" w:lineRule="auto"/>
        <w:rPr>
          <w:sz w:val="20"/>
          <w:szCs w:val="20"/>
          <w:color w:val="auto"/>
        </w:rPr>
      </w:pPr>
      <w:r>
        <w:rPr>
          <w:rFonts w:ascii="Times New Roman" w:cs="Times New Roman" w:eastAsia="Times New Roman" w:hAnsi="Times New Roman"/>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256"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on all matters voted on by stockholders or interest holders;</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financial and other inquiries of management of the type normally made by securities analysts for informational purposes and not to cause a change in management, policies or operations;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activities that the Nevada Gaming Commission may determine to be consistent with such investment intent.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articles of incorporation of Wynn Resorts include provisions intended to assist its implementation of the above restrictions.</w:t>
      </w:r>
    </w:p>
    <w:p>
      <w:pPr>
        <w:spacing w:after="0" w:line="17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3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Consequences of Being Found Unsuitable. </w:t>
      </w:r>
      <w:r>
        <w:rPr>
          <w:rFonts w:ascii="Times New Roman" w:cs="Times New Roman" w:eastAsia="Times New Roman" w:hAnsi="Times New Roman"/>
          <w:sz w:val="18"/>
          <w:szCs w:val="18"/>
          <w:color w:val="auto"/>
        </w:rPr>
        <w:t>Any person who fails or refuses to apply for a finding of suitability or a license within 30 days after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58" w:lineRule="exact"/>
        <w:rPr>
          <w:sz w:val="20"/>
          <w:szCs w:val="20"/>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that person any dividend or interest upon any voting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that person to exercise, directly or indirectly, any voting right held by that person relating to Wynn Resorts;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remuneration in any form to that person for services rendered or otherwise; or,</w:t>
      </w:r>
    </w:p>
    <w:p>
      <w:pPr>
        <w:spacing w:after="0" w:line="90" w:lineRule="exact"/>
        <w:rPr>
          <w:rFonts w:ascii="Times New Roman" w:cs="Times New Roman" w:eastAsia="Times New Roman" w:hAnsi="Times New Roman"/>
          <w:sz w:val="18"/>
          <w:szCs w:val="18"/>
          <w:color w:val="auto"/>
        </w:rPr>
      </w:pPr>
    </w:p>
    <w:p>
      <w:pPr>
        <w:ind w:left="900" w:right="260" w:hanging="325"/>
        <w:spacing w:after="0" w:line="27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6"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Gaming Laws Relating to Debt Securities Ownership. </w:t>
      </w:r>
      <w:r>
        <w:rPr>
          <w:rFonts w:ascii="Times New Roman" w:cs="Times New Roman" w:eastAsia="Times New Roman" w:hAnsi="Times New Roman"/>
          <w:sz w:val="18"/>
          <w:szCs w:val="18"/>
          <w:color w:val="auto"/>
        </w:rPr>
        <w:t>The Nevada Gaming Commission may, in its discretion, require the owner of any debt or similar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57"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to the unsuitable person any dividend, interest or any distribution whatsoever;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any voting right by the unsuitable person in connection with the securities;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the unsuitable person remuneration in any form;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any payment to the unsuitable person by way of principal, redemption, conversion, exchange, liquidation or similar transaction.</w:t>
      </w:r>
    </w:p>
    <w:p>
      <w:pPr>
        <w:spacing w:after="0" w:line="167" w:lineRule="exact"/>
        <w:rPr>
          <w:sz w:val="20"/>
          <w:szCs w:val="20"/>
          <w:color w:val="auto"/>
        </w:rPr>
      </w:pPr>
    </w:p>
    <w:p>
      <w:pPr>
        <w:ind w:right="8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Public Offerings. </w:t>
      </w:r>
      <w:r>
        <w:rPr>
          <w:rFonts w:ascii="Times New Roman" w:cs="Times New Roman" w:eastAsia="Times New Roman" w:hAnsi="Times New Roman"/>
          <w:sz w:val="18"/>
          <w:szCs w:val="18"/>
          <w:color w:val="auto"/>
        </w:rPr>
        <w:t>We may not make a public offering without the prior approval of the Nevada Gaming Commission if the proceeds from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are intended to be used to construct, acquire or finance gaming facilities in Nevada, or to retire or extend obligations incurred for those purposes or for similar</w:t>
      </w:r>
    </w:p>
    <w:p>
      <w:pPr>
        <w:spacing w:after="0" w:line="1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transactions. On March 19, 2009, the Nevada Gaming Commission granted us and Wynn Las Vegas, LLC prior approval, subject to certain conditions, to make public offerings for a period of two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35"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Approval of Changes in Control. </w:t>
      </w:r>
      <w:r>
        <w:rPr>
          <w:rFonts w:ascii="Times New Roman" w:cs="Times New Roman" w:eastAsia="Times New Roman" w:hAnsi="Times New Roman"/>
          <w:sz w:val="18"/>
          <w:szCs w:val="18"/>
          <w:color w:val="auto"/>
        </w:rPr>
        <w:t>A registered company must obtain the prior approval of the Nevada Gaming Commission with respect to a change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2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2" w:lineRule="exact"/>
        <w:rPr>
          <w:sz w:val="20"/>
          <w:szCs w:val="20"/>
          <w:color w:val="auto"/>
        </w:rPr>
      </w:pPr>
    </w:p>
    <w:p>
      <w:pPr>
        <w:ind w:right="240" w:firstLine="45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Approval of Defensive Tactics. </w:t>
      </w:r>
      <w:r>
        <w:rPr>
          <w:rFonts w:ascii="Times New Roman" w:cs="Times New Roman" w:eastAsia="Times New Roman" w:hAnsi="Times New Roman"/>
          <w:sz w:val="16"/>
          <w:szCs w:val="16"/>
          <w:color w:val="auto"/>
        </w:rPr>
        <w:t>The Nevada legislature has declared that some corporate acquisitions opposed by management, repurchases of voting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23"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the financial stability of corporate gaming licensees and their affiliated companies;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the beneficial aspects of conducting business in the corporate form;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a neutral environment for the orderly governance of corporate affairs.</w:t>
      </w:r>
    </w:p>
    <w:p>
      <w:pPr>
        <w:spacing w:after="0" w:line="171"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2" w:lineRule="exact"/>
        <w:rPr>
          <w:sz w:val="20"/>
          <w:szCs w:val="20"/>
          <w:color w:val="auto"/>
        </w:rPr>
      </w:pPr>
    </w:p>
    <w:p>
      <w:pPr>
        <w:ind w:right="140" w:firstLine="4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Fees and Taxes. </w:t>
      </w:r>
      <w:r>
        <w:rPr>
          <w:rFonts w:ascii="Times New Roman" w:cs="Times New Roman" w:eastAsia="Times New Roman" w:hAnsi="Times New Roman"/>
          <w:sz w:val="18"/>
          <w:szCs w:val="18"/>
          <w:color w:val="auto"/>
        </w:rPr>
        <w:t>License fees and taxes, computed in various ways depending on the type of gaming or activity involved, are payable to the State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48"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gross revenue received;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gaming devices operated;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table games operated.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live entertainment tax also is imposed on admission charges and sales of food, beverages and merchandise where live entertainment is furnished.</w:t>
      </w:r>
    </w:p>
    <w:p>
      <w:pPr>
        <w:spacing w:after="0" w:line="167" w:lineRule="exact"/>
        <w:rPr>
          <w:sz w:val="20"/>
          <w:szCs w:val="20"/>
          <w:color w:val="auto"/>
        </w:rPr>
      </w:pPr>
    </w:p>
    <w:p>
      <w:pPr>
        <w:ind w:right="1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Gaming Investigations. </w:t>
      </w:r>
      <w:r>
        <w:rPr>
          <w:rFonts w:ascii="Times New Roman" w:cs="Times New Roman" w:eastAsia="Times New Roman" w:hAnsi="Times New Roman"/>
          <w:sz w:val="18"/>
          <w:szCs w:val="18"/>
          <w:color w:val="auto"/>
        </w:rPr>
        <w:t>Any person who is licensed, required to be licensed, registered, required to be registered in Nevada, or is under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with such persons (collectively, “licensees”), and who</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58"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knowingly violates any laws of the foreign jurisdiction pertaining to the foreign gaming operation;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conduct the foreign gaming operation in accordance with the standards of honesty and integrity required of Nevada gaming operations;</w:t>
      </w:r>
    </w:p>
    <w:p>
      <w:pPr>
        <w:spacing w:after="0" w:line="90" w:lineRule="exact"/>
        <w:rPr>
          <w:rFonts w:ascii="Times New Roman" w:cs="Times New Roman" w:eastAsia="Times New Roman" w:hAnsi="Times New Roman"/>
          <w:sz w:val="18"/>
          <w:szCs w:val="18"/>
          <w:color w:val="auto"/>
        </w:rPr>
      </w:pPr>
    </w:p>
    <w:p>
      <w:pPr>
        <w:ind w:left="900" w:right="240" w:hanging="325"/>
        <w:spacing w:after="0" w:line="334" w:lineRule="auto"/>
        <w:tabs>
          <w:tab w:leader="none" w:pos="9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activities or enters into associations that are harmful to the State of Nevada or its ability to collect gaming taxes and fees; or,</w:t>
      </w:r>
    </w:p>
    <w:p>
      <w:pPr>
        <w:spacing w:after="0" w:line="90" w:lineRule="exact"/>
        <w:rPr>
          <w:rFonts w:ascii="Times New Roman" w:cs="Times New Roman" w:eastAsia="Times New Roman" w:hAnsi="Times New Roman"/>
          <w:sz w:val="18"/>
          <w:szCs w:val="18"/>
          <w:color w:val="auto"/>
        </w:rPr>
      </w:pPr>
    </w:p>
    <w:p>
      <w:pPr>
        <w:ind w:left="900" w:right="140" w:hanging="325"/>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employs, contracts with or associates with a person in the foreign operation who has been denied a license or finding of suitability in Nevada on the ground of unsuitability.</w:t>
      </w:r>
    </w:p>
    <w:p>
      <w:pPr>
        <w:spacing w:after="0" w:line="11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Licenses for Conduct of Gaming and Sale of Alcoholic Beverages. </w:t>
      </w:r>
      <w:r>
        <w:rPr>
          <w:rFonts w:ascii="Times New Roman" w:cs="Times New Roman" w:eastAsia="Times New Roman" w:hAnsi="Times New Roman"/>
          <w:sz w:val="18"/>
          <w:szCs w:val="18"/>
          <w:color w:val="auto"/>
        </w:rPr>
        <w:t>The conduct of gaming activities and the service and sale of alcoholic beverages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Wynn Las Vegas and Encore at Wynn Las Vegas are subject to licensing, control and regulation by the Clark County Liquor and Gaming Licensing Board, which has granted Wynn Las Vegas, LLC licenses for such purposes. In addition to approving Wynn Las Vegas, LLC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Macau</w:t>
      </w:r>
    </w:p>
    <w:p>
      <w:pPr>
        <w:spacing w:after="0" w:line="90"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As a casino concessionaire, Wynn Macau, S.A. is subject to the regulatory control of the Government of Macau. The government has adopted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Laws and Administrative Regulations governing the operation of casinos in Macau. Only concessionaires or subconcessionaires are permitted to operate casinos. Subconcessions may be awarded subject to the approval of the Macau government and, each concessionaire has issued one subconcession. Each concessionaire was required to enter into a concession agreement with the Macau government which, together with the Laws and Administrative Regulations, forms the framework for the regulation of the activities of the concessionaire.</w:t>
      </w:r>
    </w:p>
    <w:p>
      <w:pPr>
        <w:spacing w:after="0" w:line="13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Laws and Administrative Regulations, concessionaires are subject to suitability requirements relating to background, associations and reputation, as are stockholders of 5% or more of a concessionaire’s equity securities, officers, directors and key employees. The same requirements apply to any entity engaged by a concessionaire to manage casino operations. Concessionaires are required to satisfy minimum capitalization requirements, demonstrate and maintain adequate financial capacity to operate the concession and submit to continuous monitoring of their casino operations by the Macau government. Concessionaires also are subject to periodic financial reporting requirements and reporting obligations with respect to, among other things, certain contracts, financing activities and transactions with directors, financiers and key employees. Transfers or the encumbering of interests in concessionaires must be reported to the Macau government and are ineffective without government approval.</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0" w:firstLine="456"/>
        <w:spacing w:after="0" w:line="310" w:lineRule="auto"/>
        <w:rPr>
          <w:sz w:val="20"/>
          <w:szCs w:val="20"/>
          <w:color w:val="auto"/>
        </w:rPr>
      </w:pPr>
      <w:r>
        <w:rPr>
          <w:rFonts w:ascii="Times New Roman" w:cs="Times New Roman" w:eastAsia="Times New Roman" w:hAnsi="Times New Roman"/>
          <w:sz w:val="16"/>
          <w:szCs w:val="16"/>
          <w:color w:val="auto"/>
        </w:rPr>
        <w:t>Each concessionaire is required to engage an executive director who must be a permanent resident of Macau and the holder of at least 10% of the capital stock of the concessionaire. The appointment of the executive director and of any successor is ineffective without the approval of the Macau government. All contracts placing the management of a concessionaire’s casino operations with a third party also are ineffective without the approval of the Macau government.</w:t>
      </w:r>
    </w:p>
    <w:p>
      <w:pPr>
        <w:spacing w:after="0" w:line="97"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Concessionaires are subject to a special gaming tax of 35% of gross gaming revenue, and must also make an annual contribution of up to 4% of gross gaming revenue for the promotion of public interests, social security, infrastructure and tourism. Concessionaires are obligated to withhold, according to the rate in effect as set by the government, from any commissions paid to games promoters. Such withholding rate may be adjusted from time to time.</w:t>
      </w:r>
    </w:p>
    <w:p>
      <w:pPr>
        <w:spacing w:after="0" w:line="132" w:lineRule="exact"/>
        <w:rPr>
          <w:sz w:val="20"/>
          <w:szCs w:val="20"/>
          <w:color w:val="auto"/>
        </w:rPr>
      </w:pPr>
    </w:p>
    <w:p>
      <w:pPr>
        <w:ind w:right="180" w:firstLine="456"/>
        <w:spacing w:after="0" w:line="253" w:lineRule="auto"/>
        <w:rPr>
          <w:sz w:val="20"/>
          <w:szCs w:val="20"/>
          <w:color w:val="auto"/>
        </w:rPr>
      </w:pPr>
      <w:r>
        <w:rPr>
          <w:rFonts w:ascii="Times New Roman" w:cs="Times New Roman" w:eastAsia="Times New Roman" w:hAnsi="Times New Roman"/>
          <w:sz w:val="18"/>
          <w:szCs w:val="18"/>
          <w:color w:val="auto"/>
        </w:rPr>
        <w:t>A games promoter, also known as a junket representative, is a person who, for the purpose of promoting casino gaming activity, arranges customer transportation and accommodations, and provides credit in their sole discretion, food and beverage services and entertainment in exchange for commissions or other compensation from a concessionaire. Macau law provides that games promoters must be licensed by the Macau government in order to do business with and receive compensation from concessionaires. For a license to be obtained, direct and indirect owners of 5% or more of a games promoter (regardless of its corporate form or sole proprietor status), its directors and its key employees must be found suitable. Applicants are required to pay the cost of license investigations, and are required to maintain suitability standards during the period of licensure. The term of a games promoters license is one calendar year, and licenses can be renewed for additional periods upon the submission of renewal applications. Natural person junket representative licensees are subject to a suitability verification process every three years and business entity licensees are subject to the same requirement every six years. The DICJ has recently implemented certain instructions, which have the force of law, relating to commissions paid to and by games promoters. Such instructions also impose certain financial reporting and audit requirements on games promoters.</w:t>
      </w:r>
    </w:p>
    <w:p>
      <w:pPr>
        <w:spacing w:after="0" w:line="14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Under Macau law, licensed games promoters must identify outside contractors who assist them in their promotion activities. These contractors are subject to approval of the Macau government. Changes in the management structure of business entity games promoters licensees must be reported to the Macau government and any transfer or the encumbering of interests in such licensees is ineffective without prior government approval. To conduct gaming promotion activities licensees must be registered with one or more concessionaires and must have written contracts with such concessionaires, copies of which must be submitted to the Macau government.</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Macau law further provides that concessionaires are jointly responsible with their games promoters for the activities of such representatives and their directors and contractors in the concessionaires’ casinos, and for their compliance with applicable laws and regulations. Concessionaires must submit annual lists of their games promoters for the following year, and must update such lists on a quarterly basis. The Macau government may designate a maximum number of games promoters and specify the number of games promoters a concessionaire is permitted to engage. Concessionaires are subject to periodic reporting requirements with respect to commissions paid to their games promoters representatives and are required to oversee their activities and report instances of unlawful activity.</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government of Macau may assume temporary custody and control over the operation of a concession in certain circumstances. During any such period, the costs of operations must be borne by the concessionaire. The government of Macau also may redeem a concession starting at an established date after the entering into effect of a concession. The government of Macau also may terminate a concession for cause, including, without limitation, failure of the concessionaire to fulfill its obligations under law or the concession contract.</w:t>
      </w:r>
    </w:p>
    <w:p>
      <w:pPr>
        <w:spacing w:after="0" w:line="132" w:lineRule="exact"/>
        <w:rPr>
          <w:sz w:val="20"/>
          <w:szCs w:val="20"/>
          <w:color w:val="auto"/>
        </w:rPr>
      </w:pPr>
    </w:p>
    <w:p>
      <w:pPr>
        <w:ind w:right="2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Concession Agreement. </w:t>
      </w:r>
      <w:r>
        <w:rPr>
          <w:rFonts w:ascii="Times New Roman" w:cs="Times New Roman" w:eastAsia="Times New Roman" w:hAnsi="Times New Roman"/>
          <w:sz w:val="18"/>
          <w:szCs w:val="18"/>
          <w:color w:val="auto"/>
        </w:rPr>
        <w:t>The concession agreement between Wynn Macau S.A. and the Macau government required Wynn Macau, S.A. to construct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one or more casino gaming properties in Macau, including,</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at a minimum, one full-service casino resort by the end of December 2006, and to invest not less than a total of 4 billion patacas (approximately US$500 million) in Macau-related projects by June 2009. This obligation was satisfied upon the opening of Wynn Macau in 2006.</w:t>
      </w:r>
    </w:p>
    <w:p>
      <w:pPr>
        <w:spacing w:after="0" w:line="120" w:lineRule="exact"/>
        <w:rPr>
          <w:sz w:val="20"/>
          <w:szCs w:val="20"/>
          <w:color w:val="auto"/>
        </w:rPr>
      </w:pPr>
    </w:p>
    <w:p>
      <w:pPr>
        <w:ind w:right="60" w:firstLine="456"/>
        <w:spacing w:after="0" w:line="289" w:lineRule="auto"/>
        <w:rPr>
          <w:sz w:val="20"/>
          <w:szCs w:val="20"/>
          <w:color w:val="auto"/>
        </w:rPr>
      </w:pPr>
      <w:r>
        <w:rPr>
          <w:rFonts w:ascii="Times New Roman" w:cs="Times New Roman" w:eastAsia="Times New Roman" w:hAnsi="Times New Roman"/>
          <w:sz w:val="16"/>
          <w:szCs w:val="16"/>
          <w:color w:val="auto"/>
        </w:rPr>
        <w:t>Wynn Macau, S.A. was also obligated to obtain, and did obtain, a 700 million pataca (approximately US$87 million) bank guarantee from Banco National Ultramarino, S.A. (“BNU”) that was effective until March 31, 2007. The amount of this guarantee was reduced to 300 million patacas (approximately</w:t>
      </w:r>
    </w:p>
    <w:p>
      <w:pPr>
        <w:spacing w:after="0" w:line="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US$37 million) for the period from April 1, 2007 until 180 days after the end of the term of the concession agreement. This guarantee, which is for the benefit of the Macau government, assures Wynn Macau, S.A.’s performance under the casino concession agreement, including the payment of premiums, fines and indemnity for any material failure to perform the concession agreement. Wynn Macau, S.A. is obligated, upon demand by BNU, to promptly repay any claim made on the guarantee by the Macau government. BNU is currently paid an annual fee by Wynn Macau, S.A. for the guarantee not to exceed 5.2 million patacas (approximately US$0.7 million).</w:t>
      </w:r>
    </w:p>
    <w:p>
      <w:pPr>
        <w:spacing w:after="0" w:line="139"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government of Macau may redeem the concession beginning on June 24, 2017, and in such event Wynn Macau, S.A. will be entitled to fair compensation or indemnity. The amount of such compensation or indemnity will be determined based on the amount of revenue generated during the tax year prior to the redemption multiplied for the remaining years under the concession.</w:t>
      </w:r>
    </w:p>
    <w:p>
      <w:pPr>
        <w:spacing w:after="0" w:line="132" w:lineRule="exact"/>
        <w:rPr>
          <w:sz w:val="20"/>
          <w:szCs w:val="20"/>
          <w:color w:val="auto"/>
        </w:rPr>
      </w:pPr>
    </w:p>
    <w:p>
      <w:pPr>
        <w:ind w:firstLine="456"/>
        <w:spacing w:after="0" w:line="334" w:lineRule="auto"/>
        <w:rPr>
          <w:sz w:val="20"/>
          <w:szCs w:val="20"/>
          <w:color w:val="auto"/>
        </w:rPr>
      </w:pPr>
      <w:r>
        <w:rPr>
          <w:rFonts w:ascii="Times New Roman" w:cs="Times New Roman" w:eastAsia="Times New Roman" w:hAnsi="Times New Roman"/>
          <w:sz w:val="16"/>
          <w:szCs w:val="16"/>
          <w:color w:val="auto"/>
        </w:rPr>
        <w:t>The government of Macau may unilaterally rescind the concession if Wynn Macau, S.A. fails to fulfill its fundamental obligations under the concession agreement. The concession agreement expressly provides that the government of Macau may unilaterally rescind the concession agreement if Wynn Macau, S.A.:</w:t>
      </w:r>
    </w:p>
    <w:p>
      <w:pPr>
        <w:spacing w:after="0" w:line="1" w:lineRule="exact"/>
        <w:rPr>
          <w:sz w:val="20"/>
          <w:szCs w:val="20"/>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unauthorized games or activities that are excluded from its corporate purpose;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abandons or suspends gaming operations in Macau for more than seven consecutive days (or more than 14 days in a civil year) without justification;</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payment of taxes, premiums, contributions or other required amounts;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government inspections or supervision;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fails to observe its obligations under the concession system;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maintain bank guarantees or bonds satisfactory to the government;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subject of bankruptcy proceedings or becomes insolvent;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serious fraudulent activity, damaging to the public interest;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repeatedly and seriously violates applicable gaming laws.</w:t>
      </w:r>
    </w:p>
    <w:p>
      <w:pPr>
        <w:spacing w:after="0" w:line="171" w:lineRule="exact"/>
        <w:rPr>
          <w:sz w:val="20"/>
          <w:szCs w:val="20"/>
          <w:color w:val="auto"/>
        </w:rPr>
      </w:pPr>
    </w:p>
    <w:p>
      <w:pPr>
        <w:ind w:right="200" w:firstLine="456"/>
        <w:spacing w:after="0" w:line="301" w:lineRule="auto"/>
        <w:rPr>
          <w:sz w:val="20"/>
          <w:szCs w:val="20"/>
          <w:color w:val="auto"/>
        </w:rPr>
      </w:pPr>
      <w:r>
        <w:rPr>
          <w:rFonts w:ascii="Times New Roman" w:cs="Times New Roman" w:eastAsia="Times New Roman" w:hAnsi="Times New Roman"/>
          <w:sz w:val="16"/>
          <w:szCs w:val="16"/>
          <w:color w:val="auto"/>
        </w:rPr>
        <w:t>If the government of Macau unilaterally rescinds the concession agreement for one of the reasons stated above, Wynn Macau, S.A. will be required to compensate the government in accordance with applicable law, and the areas defined as casino under Macau law and all of the gaming equipment pertaining to the gaming operations of Wynn Macau will be transferred to the government without compensation. In addition, the government of Macau may, in the public interest, unilaterally terminate the concession at any time, in which case Wynn Macau, S.A. would be entitled to reasonable compensation.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9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We may experience fluctuations in revenues and cash flows from month to month, however, we do not believe that our business is materially impacted by seasonality.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2010, we had a total of 16,405 full-time equivalent employees (including 9,405 in Las Vegas and 7,000 in Macau).</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During 2006, we entered into a ten year collective bargaining agreement with the Culinary and Bartenders Union local that covers approximately 5,600 employees at Wynn Las Vegas and Encore at Wynn Las Vegas. We also entered into a ten year collective bargaining agreement with the Transportation Workers Union in November 2010, which covers the table games dealers at Wynn Las Vegas. Certain other unions may seek to organize the workers at Wynn Las Vegas and Encore at Wynn Las Vegas. Unionization, pressure to unionize or other forms of collective bargaining could increase our labor costs.</w:t>
      </w:r>
    </w:p>
    <w:p>
      <w:pPr>
        <w:spacing w:after="0" w:line="10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success of our operations in Macau will be affected by our success in retaining our employees. Wynn Macau and Encore at Wynn Macau compete with the large number of casino resort developments in Macau for limited qualified employees. We seek employees from other countries to adequately staff our Macau resorts and policies announced publicly by the Macau government have affected our ability to import labor in certain job classifications. We are coordinating with the Macau labor and immigration authorities to ensure our labor demand is satisfied, but cannot be certain that we will be able to recruit and retain a sufficient number of qualified employees for our Macau operations or that we will be able to obtain required work permits for those employees.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Among our most important marks are our trademarks and service marks that use the name “WYNN.” Wynn Resorts has filed applications with the U.S. Patent and Trademark Office (“PTO”) to register a variety of the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w:t>
      </w:r>
    </w:p>
    <w:p>
      <w:pPr>
        <w:spacing w:after="0" w:line="136"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Wynn Resorts has been successful in demonstrating to the PTO such secondary meaning for the Wynn name in certain of the applications based upon factors including Mr. Wynn’s prominence as a resort developer.</w:t>
      </w:r>
    </w:p>
    <w:p>
      <w:pPr>
        <w:spacing w:after="0" w:line="136" w:lineRule="exact"/>
        <w:rPr>
          <w:sz w:val="20"/>
          <w:szCs w:val="20"/>
          <w:color w:val="auto"/>
        </w:rPr>
      </w:pPr>
    </w:p>
    <w:p>
      <w:pPr>
        <w:ind w:right="480" w:firstLine="456"/>
        <w:spacing w:after="0" w:line="339" w:lineRule="auto"/>
        <w:rPr>
          <w:sz w:val="20"/>
          <w:szCs w:val="20"/>
          <w:color w:val="auto"/>
        </w:rPr>
      </w:pPr>
      <w:r>
        <w:rPr>
          <w:rFonts w:ascii="Times New Roman" w:cs="Times New Roman" w:eastAsia="Times New Roman" w:hAnsi="Times New Roman"/>
          <w:sz w:val="16"/>
          <w:szCs w:val="16"/>
          <w:color w:val="auto"/>
        </w:rPr>
        <w:t>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74"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We have also filed applications with various foreign patent and trademark registries, including in Macau, China, Singapore, Hong Kong, Taiwan, Japan, certain European countries and various other jurisdictions throughout the world to register a variety of WYNN-related trademarks and service marks in connection with a variety of goods and services. These marks include many of the same marks filed with the United States Patent and Trademark Office and include “WYNN MACAU,” “WYNN LAS VEGAS” and “ENCORE.” Some of the applications are based upon ongoing use and others are based upon a bona fide intent to use the marks.</w:t>
      </w:r>
    </w:p>
    <w:p>
      <w:pPr>
        <w:spacing w:after="0" w:line="13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recognize that our intellectual property assets, including the word and logo version of “WYNN,” are among our most valuable assets. As a result, and in connection with expansion of our resorts and gaming activities outside the United States, we have undertaken a program to register our trademarks and other intellectual property rights in relevant jurisdictions. We have retained counsel and intend to take all steps necessary to protect our intellectual property rights against unauthorized use throughout the world.</w:t>
      </w:r>
    </w:p>
    <w:p>
      <w:pPr>
        <w:spacing w:after="0" w:line="13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On August 6, 2004, we entered into agreements with Mr. Wynn that confirm and clarify our rights to use the “Wynn” name and Mr. Wynn’s persona in connection with our casino resorts. Under a Surname Rights Agreement, Mr. Wynn has acknowledged our exclusive, fully paid-up, perpetual, worldwide right to use, and to own and register trademarks and service marks incorporating, the “Wynn” name for casino resorts and related businesses, together with the right to sublicense the name and marks to our affiliates. Under a Rights of Publicity License, Mr. Wynn has granted us the exclusive, royalty-free, worldwide right to use his full name, persona and related rights of publicity for casino resorts and related businesses, together with the ability to sublicense the persona and publicity rights to our affiliates, until October 24, 2017.</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We have also registered various domain names including, but not limited to, </w:t>
      </w:r>
      <w:r>
        <w:rPr>
          <w:rFonts w:ascii="Times New Roman" w:cs="Times New Roman" w:eastAsia="Times New Roman" w:hAnsi="Times New Roman"/>
          <w:sz w:val="18"/>
          <w:szCs w:val="18"/>
          <w:u w:val="single" w:color="auto"/>
          <w:color w:val="auto"/>
        </w:rPr>
        <w:t>www.wynnlasvegas.com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www.wynnmacau.com</w:t>
      </w: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www.wynnmacaulimited.com</w:t>
      </w:r>
      <w:r>
        <w:rPr>
          <w:rFonts w:ascii="Times New Roman" w:cs="Times New Roman" w:eastAsia="Times New Roman" w:hAnsi="Times New Roman"/>
          <w:sz w:val="16"/>
          <w:szCs w:val="16"/>
          <w:color w:val="auto"/>
        </w:rPr>
        <w:t xml:space="preserve">, www.encorelasvegas.com and </w:t>
      </w:r>
      <w:r>
        <w:rPr>
          <w:rFonts w:ascii="Times New Roman" w:cs="Times New Roman" w:eastAsia="Times New Roman" w:hAnsi="Times New Roman"/>
          <w:sz w:val="16"/>
          <w:szCs w:val="16"/>
          <w:u w:val="single" w:color="auto"/>
          <w:color w:val="auto"/>
        </w:rPr>
        <w:t>www.wynnresorts.com</w:t>
      </w:r>
      <w:r>
        <w:rPr>
          <w:rFonts w:ascii="Times New Roman" w:cs="Times New Roman" w:eastAsia="Times New Roman" w:hAnsi="Times New Roman"/>
          <w:sz w:val="16"/>
          <w:szCs w:val="16"/>
          <w:color w:val="auto"/>
        </w:rPr>
        <w:t>, with various domain registrars around the world depending on the domain.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domain registrations extend to various foreign countries such as “.com.cn” and “.com.hk.” We pursue domain related infringement on a case by case basis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depending on the infringing domain in question. The information found on these websites is not a part of this Annual Report on Form 10-K or any other report we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or furnish to the SEC.</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those set forth in Item 1A (“Risk Factors”) as well as the following:</w:t>
      </w:r>
    </w:p>
    <w:p>
      <w:pPr>
        <w:spacing w:after="0" w:line="62"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tourism and trends reflecting current domestic and international economic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weakness in world-wide credit and financial markets globally and from governmental intervention in the financial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global macroeconomic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levels of travel, leisure and consumer spending;</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high unemployment;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rates and average daily room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precedent to funding under the agreements governing the disbursement of the proceeds of borrowings under our credit facilities;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compliance with all provisions in our credit agreements;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casino/hotel and resort industries and actions taken by our competitors in reaction to adverse economic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 foreign locations such as Macau (including the risks associated with developing gaming regulatory frameworks);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conditions on visitation by citizens of mainland China to Macau;</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 and construction activities of competitors;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Stephen A. Wynn and existing management;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resorts and locations for all of our cash flow;</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service (including sensitivity to fluctuations in interest rates);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or state tax laws or the administration of such laws;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state law regarding water rights;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laws regarding healthcare;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gaming laws or regulations (including the legalization of gaming in certain jurisdictions);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approvals under applicable jurisdictional laws and regulations (including gaming laws and regulations);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that an outbreak of an infectious disease or the impact of a natural disaster may have on the travel and leisure industry;</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consequences of the wars in Iraq and Afghanistan and other military conflicts in the Middle East and any future security alerts and/or terrorist attacks;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future legal proceedings.</w:t>
      </w:r>
    </w:p>
    <w:p>
      <w:pPr>
        <w:spacing w:after="0" w:line="171" w:lineRule="exact"/>
        <w:rPr>
          <w:sz w:val="20"/>
          <w:szCs w:val="20"/>
          <w:color w:val="auto"/>
        </w:rPr>
      </w:pPr>
    </w:p>
    <w:p>
      <w:pPr>
        <w:jc w:val="both"/>
        <w:ind w:firstLine="456"/>
        <w:spacing w:after="0" w:line="310" w:lineRule="auto"/>
        <w:rPr>
          <w:sz w:val="20"/>
          <w:szCs w:val="20"/>
          <w:color w:val="auto"/>
        </w:rPr>
      </w:pPr>
      <w:r>
        <w:rPr>
          <w:rFonts w:ascii="Times New Roman" w:cs="Times New Roman" w:eastAsia="Times New Roman" w:hAnsi="Times New Roman"/>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455" w:right="2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Substantial Indebtedness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b w:val="1"/>
          <w:bCs w:val="1"/>
          <w:i w:val="1"/>
          <w:iCs w:val="1"/>
          <w:color w:val="auto"/>
        </w:rPr>
        <w:t>We are highly leveraged and future cash flow may not be sufficient for us to meet our obligations, and we might have difficulty obtaining more financing.</w:t>
      </w:r>
    </w:p>
    <w:p>
      <w:pPr>
        <w:spacing w:after="0" w:line="117"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We have a substantial amount of consolidated debt in relation to our equity. As of December 31, 2010, we had total outstanding debt of approximately $3.3 billion. In addition, our Wynn Las Vegas credit agreement permits us to incur additional indebtedness in the future and the Wynn Macau credit facilities permit us to incur additional indebtedness if certain conditions are met. Our substantial indebtedness could have important consequences. For example:</w:t>
      </w:r>
    </w:p>
    <w:p>
      <w:pPr>
        <w:spacing w:after="0" w:line="51" w:lineRule="exact"/>
        <w:rPr>
          <w:sz w:val="20"/>
          <w:szCs w:val="20"/>
          <w:color w:val="auto"/>
        </w:rPr>
      </w:pPr>
    </w:p>
    <w:p>
      <w:pPr>
        <w:ind w:left="900" w:right="40" w:hanging="325"/>
        <w:spacing w:after="0" w:line="334"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spacing w:after="0" w:line="1" w:lineRule="exact"/>
        <w:rPr>
          <w:rFonts w:ascii="Times New Roman" w:cs="Times New Roman" w:eastAsia="Times New Roman" w:hAnsi="Times New Roman"/>
          <w:sz w:val="16"/>
          <w:szCs w:val="16"/>
          <w:color w:val="auto"/>
        </w:rPr>
      </w:pPr>
    </w:p>
    <w:p>
      <w:pPr>
        <w:ind w:left="1480" w:hanging="446"/>
        <w:spacing w:after="0"/>
        <w:tabs>
          <w:tab w:leader="none" w:pos="1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repossess and foreclose upon the assets that serve as collateral;</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judicial foreclosure against us; and</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petition a court to appoint a receiver for us or for substantially all of our assets.</w:t>
      </w:r>
    </w:p>
    <w:p>
      <w:pPr>
        <w:spacing w:after="0" w:line="90" w:lineRule="exact"/>
        <w:rPr>
          <w:rFonts w:ascii="Times New Roman" w:cs="Times New Roman" w:eastAsia="Times New Roman" w:hAnsi="Times New Roman"/>
          <w:sz w:val="18"/>
          <w:szCs w:val="18"/>
          <w:color w:val="auto"/>
        </w:rPr>
      </w:pPr>
    </w:p>
    <w:p>
      <w:pPr>
        <w:ind w:left="900" w:right="240" w:hanging="325"/>
        <w:spacing w:after="0" w:line="310"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required to use a substantial portion of our cash flow from the operations of Wynn Las Vegas and Encore at Wynn Las Vegas to service and amortize our Wynn Las Vegas indebtedness, which will reduce the amount of available cash, if any, to fund working capital, other capital expenditures and other general corporate purposes, and may give us greater exposure to the current adverse economic and industry conditions;</w:t>
      </w:r>
    </w:p>
    <w:p>
      <w:pPr>
        <w:spacing w:after="0" w:line="16" w:lineRule="exact"/>
        <w:rPr>
          <w:rFonts w:ascii="Times New Roman" w:cs="Times New Roman" w:eastAsia="Times New Roman" w:hAnsi="Times New Roman"/>
          <w:sz w:val="16"/>
          <w:szCs w:val="16"/>
          <w:color w:val="auto"/>
        </w:rPr>
      </w:pPr>
    </w:p>
    <w:p>
      <w:pPr>
        <w:ind w:left="900" w:right="60" w:hanging="325"/>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decreased revenues from our operations attributable to decreases in consumer spending levels and high unemployment due to the adverse economic and industry conditions, and could fail to generate sufficient cash to fund our liquidity needs and/or fail to satisfy the financial and other restrictive covenants to which we are subject to under our existing indebtedness. We cannot provide assurance that our business will generate sufficient cash flow from operations or that future borrowings will be available to us in an amount sufficient to enable us to pay our indebtedness or to fund our other liquidity needs;</w:t>
      </w:r>
    </w:p>
    <w:p>
      <w:pPr>
        <w:spacing w:after="0" w:line="57" w:lineRule="exact"/>
        <w:rPr>
          <w:rFonts w:ascii="Times New Roman" w:cs="Times New Roman" w:eastAsia="Times New Roman" w:hAnsi="Times New Roman"/>
          <w:sz w:val="18"/>
          <w:szCs w:val="18"/>
          <w:color w:val="auto"/>
        </w:rPr>
      </w:pPr>
    </w:p>
    <w:p>
      <w:pPr>
        <w:ind w:left="900" w:right="340" w:hanging="325"/>
        <w:spacing w:after="0" w:line="334" w:lineRule="auto"/>
        <w:tabs>
          <w:tab w:leader="none" w:pos="9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dependent on certain amounts of cash flow from Wynn Macau and Encore at Wynn Macau to service Wynn Macau’s indebtedness, which reduces the available cash flow to fund working capital, other capital expenditures and other general corporate purposes at Wynn Macau;</w:t>
      </w:r>
    </w:p>
    <w:p>
      <w:pPr>
        <w:spacing w:after="0" w:line="1" w:lineRule="exact"/>
        <w:rPr>
          <w:rFonts w:ascii="Times New Roman" w:cs="Times New Roman" w:eastAsia="Times New Roman" w:hAnsi="Times New Roman"/>
          <w:sz w:val="16"/>
          <w:szCs w:val="16"/>
          <w:color w:val="auto"/>
        </w:rPr>
      </w:pPr>
    </w:p>
    <w:p>
      <w:pPr>
        <w:ind w:left="900" w:right="28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a limited ability to respond to changing business and economic conditions and to withstand competitive pressures, which may affect our financial condition;</w:t>
      </w:r>
    </w:p>
    <w:p>
      <w:pPr>
        <w:spacing w:after="0" w:line="38" w:lineRule="exact"/>
        <w:rPr>
          <w:rFonts w:ascii="Times New Roman" w:cs="Times New Roman" w:eastAsia="Times New Roman" w:hAnsi="Times New Roman"/>
          <w:sz w:val="18"/>
          <w:szCs w:val="18"/>
          <w:color w:val="auto"/>
        </w:rPr>
      </w:pPr>
    </w:p>
    <w:p>
      <w:pPr>
        <w:ind w:left="900" w:right="50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additional financing, if needed, to satisfy working capital requirements or pay for other capital expenditures, debt service or other obligations;</w:t>
      </w:r>
    </w:p>
    <w:p>
      <w:pPr>
        <w:spacing w:after="0" w:line="38"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 hedge a certain amount of our debt under our credit facilities, rates with respect to a portion of the interest we pay will fluctuate with market rates and, accordingly, our interest expense will increase if market interest rates increase; and</w:t>
      </w:r>
    </w:p>
    <w:p>
      <w:pPr>
        <w:spacing w:after="0" w:line="38"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our debts generally as they become due, unsecured creditors that we fail to pay may initiate involuntary bankruptcy proceedings against us, subject to the requirements of the United States Bankruptcy Code, and such bankruptcy proceedings will delay or impact the repayment of our secured debt.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540" w:firstLine="456"/>
        <w:spacing w:after="0" w:line="339" w:lineRule="auto"/>
        <w:rPr>
          <w:sz w:val="20"/>
          <w:szCs w:val="20"/>
          <w:color w:val="auto"/>
        </w:rPr>
      </w:pPr>
      <w:r>
        <w:rPr>
          <w:rFonts w:ascii="Times New Roman" w:cs="Times New Roman" w:eastAsia="Times New Roman" w:hAnsi="Times New Roman"/>
          <w:sz w:val="16"/>
          <w:szCs w:val="16"/>
          <w:color w:val="auto"/>
        </w:rPr>
        <w:t>Under the terms of the documents governing our debt facilities, we may, subject to certain limitations, be permitted to incur additional indebtedness, including secured senior and subordinated indebtedness. If we incur additional indebtedness, the risks described above will be exacerbated.</w:t>
      </w:r>
    </w:p>
    <w:p>
      <w:pPr>
        <w:spacing w:after="0" w:line="152" w:lineRule="exact"/>
        <w:rPr>
          <w:sz w:val="20"/>
          <w:szCs w:val="20"/>
          <w:color w:val="auto"/>
        </w:rPr>
      </w:pPr>
    </w:p>
    <w:p>
      <w:pPr>
        <w:ind w:left="240" w:right="6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debt facilities contain certain financial covenants and other covenants that restrict our ability to engage in certain transactions and may impair our ability to respond to changing business and economic conditions.</w:t>
      </w:r>
    </w:p>
    <w:p>
      <w:pPr>
        <w:spacing w:after="0" w:line="34" w:lineRule="exact"/>
        <w:rPr>
          <w:sz w:val="20"/>
          <w:szCs w:val="20"/>
          <w:color w:val="auto"/>
        </w:rPr>
      </w:pPr>
    </w:p>
    <w:p>
      <w:pPr>
        <w:jc w:val="both"/>
        <w:ind w:firstLine="456"/>
        <w:spacing w:after="0" w:line="301" w:lineRule="auto"/>
        <w:rPr>
          <w:sz w:val="20"/>
          <w:szCs w:val="20"/>
          <w:color w:val="auto"/>
        </w:rPr>
      </w:pPr>
      <w:r>
        <w:rPr>
          <w:rFonts w:ascii="Times New Roman" w:cs="Times New Roman" w:eastAsia="Times New Roman" w:hAnsi="Times New Roman"/>
          <w:sz w:val="16"/>
          <w:szCs w:val="16"/>
          <w:color w:val="auto"/>
        </w:rPr>
        <w:t>Our debt facilities require us to satisfy various financial covenants, which include requirements for minimum interest coverage ratios (currently required for both Wynn Macau and Wynn Las Vegas credit facilities) and leverage ratios pertaining to total debt to earnings before interest, tax, depreciation and amortization (currently required for our Wynn Macau credit facility). If our operations fail to generate adequate cash flow, we may violate those covenants causing a default in our agreements. Future indebtedness or other contracts could contain covenants more restrictive than those contained in our existing debt facilities.</w:t>
      </w:r>
    </w:p>
    <w:p>
      <w:pPr>
        <w:spacing w:after="0" w:line="103"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ability to comply with the terms of our outstanding facilities may be affected by general economic conditions, industry conditions and other events, some of which may be beyond our control. As a result, we may not be able to maintain compliance with these covenants. Our failure to comply with the terms of our debt facilities, including failure as a result of events beyond our control, could result in an event of default, which would materially and adversely affect our operating results and our financial condition or result in our lenders taking action to enforce their security interests in our various assets.</w:t>
      </w:r>
    </w:p>
    <w:p>
      <w:pPr>
        <w:spacing w:after="0" w:line="136"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The agreements governing our debt facilities also contain restrictions on our ability to engage in certain transactions and may limit our ability to respond to changing business and economic conditions. The debt facilities impose operating and financial restrictions on us and our restricted subsidiaries, including, among other things, limitations on the ability to:</w:t>
      </w:r>
    </w:p>
    <w:p>
      <w:pPr>
        <w:spacing w:after="0" w:line="51"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repurchase equity;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stock of, or member’s interests in, subsidiaries;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businesses;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otherwise dispose of assets;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disqualified stock;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and other payment restrictions affecting subsidiaries;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and unrestricted subsidiaries.</w:t>
      </w:r>
    </w:p>
    <w:p>
      <w:pPr>
        <w:spacing w:after="0" w:line="171"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If Wynn Macau and Encore at Wynn Macau were to cease to produce cash flow sufficient to service its indebtedness or otherwise become unable to make certain payments or dividends to us which we in turn could use to service our indebtedness, our ability to service the indebtedness of Wynn Macau or Wynn Las Vegas, LLC could be negatively impacted.</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subsidiaries’ indebtedness is secured by a substantial portion of their assets.</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Subject to applicable laws, including gaming laws, and certain agreed upon exceptions, our subsidiaries’ debt is secured by liens on substantially all of the assets of our subsidiaries. In the event of a default by any of our subsidiaries under their financing documents, or if certain of our subsidiaries experience insolvency, liquidation, dissolution or reorganization, the holders of our subsidiaries’ secured debt instruments would first be entitled to payment from their collateral security, and only then would holders of our subsidiaries’ unsecured debt be entitled to payment from their remaining assets.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loss of Stephen A. Wynn could significantly harm our business.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ability to maintain our competitive position is dependent to a large degree on the efforts, skills and reputation of Stephen A. Wynn, the Chairman of the Board, Chief Executive Officer and one of the principal stockholders of Wynn Resorts. Mr. Wynn’s employment agreement expires in October 2020. However, we cannot assure you that Mr. Wynn will remain with Wynn Resorts, Limited. If we lose the services of Mr. Wynn, or if he is unable to devote sufficient attention to our operations for any other reason, our business may be significantly impaired.</w:t>
      </w:r>
    </w:p>
    <w:p>
      <w:pPr>
        <w:spacing w:after="0" w:line="213" w:lineRule="exact"/>
        <w:rPr>
          <w:sz w:val="20"/>
          <w:szCs w:val="20"/>
          <w:color w:val="auto"/>
        </w:rPr>
      </w:pPr>
    </w:p>
    <w:p>
      <w:pPr>
        <w:ind w:left="240" w:right="3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Continued weakness in the United States economic conditions may adversely affect consumer and corporate spending and tourism trends, resulting in additional deterioration in our business.</w:t>
      </w:r>
    </w:p>
    <w:p>
      <w:pPr>
        <w:spacing w:after="0" w:line="3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Discretionary consumer spending has been adversely affected by continued economic weakness in the U.S. Consumers are traveling less and spending less when they do travel. Likewise, corporate spending on conventions and business development is being significantly curtailed as businesses cut their budgets. Since our business model relies on significant expenditure on luxury and discretionary items, continuation or deepening of the crisis will further adversely affect our operations.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There may be excess room supply particularly in the luxury segment in Las Vegas.</w:t>
      </w:r>
    </w:p>
    <w:p>
      <w:pPr>
        <w:spacing w:after="0" w:line="94"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There have been large additions to the room supply in Las Vegas since December 2009. Even after the economy begins to recover, there may be excess supply, particularly in the luxury segment.</w:t>
      </w:r>
    </w:p>
    <w:p>
      <w:pPr>
        <w:spacing w:after="0" w:line="197" w:lineRule="exact"/>
        <w:rPr>
          <w:sz w:val="20"/>
          <w:szCs w:val="20"/>
          <w:color w:val="auto"/>
        </w:rPr>
      </w:pPr>
    </w:p>
    <w:p>
      <w:pPr>
        <w:ind w:left="240"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entirely dependent on a limited number of resorts for all of our cash flow, which subjects us to greater risks than a gaming company with more operating properties.</w:t>
      </w:r>
    </w:p>
    <w:p>
      <w:pPr>
        <w:spacing w:after="0" w:line="34"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We are entirely dependent upon our resorts in Las Vegas and Macau for all of our cash flow. As a result, we are subject to a greater degree of risk than a gaming company with more operating properties. The risks to which we have a greater degree of exposure include the following:</w:t>
      </w:r>
    </w:p>
    <w:p>
      <w:pPr>
        <w:spacing w:after="0" w:line="39"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economic and competitive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and state governmental laws and regulations, including gaming laws and regulations;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number of visitors to Las Vegas or Macau;</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gaming and non-gaming activities at our resorts ;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an infectious disease such as H1N1 or the avian flu.</w:t>
      </w:r>
    </w:p>
    <w:p>
      <w:pPr>
        <w:spacing w:after="0" w:line="171"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Any of the factors outlined above could negatively affect our ability to generate sufficient cash flow to make payments or maintain our covenants with respect to our debt.</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casino, hotel, convention and other facilities face intense competition.</w:t>
      </w:r>
    </w:p>
    <w:p>
      <w:pPr>
        <w:spacing w:after="0" w:line="92"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i w:val="1"/>
          <w:iCs w:val="1"/>
          <w:u w:val="single" w:color="auto"/>
          <w:color w:val="auto"/>
        </w:rPr>
        <w:t>Competition for Wynn Las Vegas and Encore at Wynn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casino/hotel industry is highly competitive and additional developments have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opened in Las Vegas. Resorts located on or near the Las Vegas Strip compete with other Las Vegas Strip hotels and with other hotel casinos in Las Vegas on the basis of overall atmosphere, range of amenities, level of service, price, location, entertainment, theme and size, among other factors.</w:t>
      </w:r>
    </w:p>
    <w:p>
      <w:pPr>
        <w:spacing w:after="0" w:line="129"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Wynn Las Vegas and Encore at Wynn Las Vegas also compete with other hotel/casino facilities in other cities, riverboat gaming facilities in other states, casino facilities on Native American lands and elsewhere in the world, state lotteries and other forms of gaming.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Wynn Las Vegas and Encore at Wynn Las Vegas.</w:t>
      </w:r>
    </w:p>
    <w:p>
      <w:pPr>
        <w:spacing w:after="0" w:line="137" w:lineRule="exact"/>
        <w:rPr>
          <w:sz w:val="20"/>
          <w:szCs w:val="20"/>
          <w:color w:val="auto"/>
        </w:rPr>
      </w:pPr>
    </w:p>
    <w:p>
      <w:pPr>
        <w:ind w:right="180"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Competition for Wynn Macau and Encore at Wynn Macau</w:t>
      </w:r>
      <w:r>
        <w:rPr>
          <w:rFonts w:ascii="Times New Roman" w:cs="Times New Roman" w:eastAsia="Times New Roman" w:hAnsi="Times New Roman"/>
          <w:sz w:val="18"/>
          <w:szCs w:val="18"/>
          <w:color w:val="auto"/>
        </w:rPr>
        <w:t>. Currently there are 33 operating casinos in Macau. We hold a concession under one of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gaming concessions and three sub-concessions authorized by the Macau government to operate casinos in Macau. The Macau government has had the ability to grant additional gaming concessions since April 2009. If the Macau government were to allow additional competitors to operate in Macau through the grant of additional concessions or subconcessions, we would face additional competition, which could have a material adverse effect on our financial condition and results of operations.</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Macau resort complex also faces competition from casinos located in other areas of Asia, such as Genting Highlands Resort, a major gaming and resort destination located outside of Kuala Lumpur, Malaysia, and casinos in Singapore and the Philippines. We also encounter competition from other major gaming centers located around the world, including Australia and Las Vegas, cruise ships in Asia that offer gaming, and other casinos throughout Asia. Further, if current efforts to legalize gaming in other Asian countries are successful, our Wynn Macau resort will face additional regional competition.</w:t>
      </w:r>
    </w:p>
    <w:p>
      <w:pPr>
        <w:spacing w:after="0" w:line="213" w:lineRule="exact"/>
        <w:rPr>
          <w:sz w:val="20"/>
          <w:szCs w:val="20"/>
          <w:color w:val="auto"/>
        </w:rPr>
      </w:pPr>
    </w:p>
    <w:p>
      <w:pPr>
        <w:ind w:left="240"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32"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significant portion of our table games revenue at our resorts is attributable to the play of a limited number of international customers. The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 reduction in the play of the most significant of these customers could have a substantial negative effect on our future operating results. A downturn in economic conditions in the countries in which these customers reside could cause a further reduction in the frequency of visits by and revenue generated from these customers.</w:t>
      </w:r>
    </w:p>
    <w:p>
      <w:pPr>
        <w:spacing w:after="0" w:line="135" w:lineRule="exact"/>
        <w:rPr>
          <w:sz w:val="20"/>
          <w:szCs w:val="20"/>
          <w:color w:val="auto"/>
        </w:rPr>
      </w:pPr>
    </w:p>
    <w:p>
      <w:pPr>
        <w:ind w:right="140" w:firstLine="456"/>
        <w:spacing w:after="0" w:line="301" w:lineRule="auto"/>
        <w:rPr>
          <w:sz w:val="20"/>
          <w:szCs w:val="20"/>
          <w:color w:val="auto"/>
        </w:rPr>
      </w:pPr>
      <w:r>
        <w:rPr>
          <w:rFonts w:ascii="Times New Roman" w:cs="Times New Roman" w:eastAsia="Times New Roman" w:hAnsi="Times New Roman"/>
          <w:sz w:val="16"/>
          <w:szCs w:val="16"/>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1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Wynn Las Vegas and Encore at Wynn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gaming debts evidenced by a credit instrument, including what is commonly referred to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“marker,” are enforceable 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them. Recent dramatic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38" w:lineRule="exact"/>
        <w:rPr>
          <w:sz w:val="20"/>
          <w:szCs w:val="20"/>
          <w:color w:val="auto"/>
        </w:rPr>
      </w:pPr>
    </w:p>
    <w:p>
      <w:pPr>
        <w:ind w:firstLine="456"/>
        <w:spacing w:after="0" w:line="297" w:lineRule="auto"/>
        <w:rPr>
          <w:sz w:val="20"/>
          <w:szCs w:val="20"/>
          <w:color w:val="auto"/>
        </w:rPr>
      </w:pPr>
      <w:r>
        <w:rPr>
          <w:rFonts w:ascii="Times New Roman" w:cs="Times New Roman" w:eastAsia="Times New Roman" w:hAnsi="Times New Roman"/>
          <w:sz w:val="16"/>
          <w:szCs w:val="16"/>
          <w:i w:val="1"/>
          <w:iCs w:val="1"/>
          <w:u w:val="single" w:color="auto"/>
          <w:color w:val="auto"/>
        </w:rPr>
        <w:t>Wynn Macau and Encore at Wynn Macau.</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Although the law in Macau permits casino operators to extend credit to gaming customers, Wynn Macau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 be able to collect all of its gaming receivables from its credit players. We expect that Wynn Macau will be able to enforce these obligations only in a limited number of jurisdictions, including Macau. To the extent our gaming customers are visitors from other jurisdictions, we may not have access to a forum in which it will be able to collect all of its gaming receivables because, among other reasons, courts of many jurisdictions do not enforce gaming debts and we may encounter forums that will refuse to enforce such debts. Our inability to collect gaming debts could have a significant negative impact on our operating results.</w:t>
      </w:r>
    </w:p>
    <w:p>
      <w:pPr>
        <w:spacing w:after="0" w:line="106"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Currently, the gaming tax in Macau is calculated as a percentage of gross gaming revenue. However, unlike Nevada, the gross gaming revenue calculation in Macau does not include deductions for uncollectible gaming debts. As a result, if we extend credit to our customers in Macau and are unable to collect on the related receivables from them, we remain obligated to pay taxes on our winnings from these customers.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particularly sensitive to reductions in discretionary consumer and corporate spending as a result of downturns in the economy.</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Consumer demand for hotel/casino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factors such as perceived or actual general economic conditions, high unemployment, the housing foreclosure crisis, perceived or actual changes in disposable consumer income and wealth, the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216" w:lineRule="exact"/>
        <w:rPr>
          <w:sz w:val="20"/>
          <w:szCs w:val="20"/>
          <w:color w:val="auto"/>
        </w:rPr>
      </w:pPr>
    </w:p>
    <w:p>
      <w:pPr>
        <w:ind w:left="240"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state and local regulation, and licensing and gaming authorities have significant control over our operations, which could have a negative effect on our business.</w:t>
      </w:r>
    </w:p>
    <w:p>
      <w:pPr>
        <w:spacing w:after="0" w:line="32" w:lineRule="exact"/>
        <w:rPr>
          <w:sz w:val="20"/>
          <w:szCs w:val="20"/>
          <w:color w:val="auto"/>
        </w:rPr>
      </w:pPr>
    </w:p>
    <w:p>
      <w:pPr>
        <w:ind w:right="100" w:firstLine="456"/>
        <w:spacing w:after="0" w:line="293" w:lineRule="auto"/>
        <w:rPr>
          <w:sz w:val="20"/>
          <w:szCs w:val="20"/>
          <w:color w:val="auto"/>
        </w:rPr>
      </w:pPr>
      <w:r>
        <w:rPr>
          <w:rFonts w:ascii="Times New Roman" w:cs="Times New Roman" w:eastAsia="Times New Roman" w:hAnsi="Times New Roman"/>
          <w:sz w:val="16"/>
          <w:szCs w:val="16"/>
          <w:i w:val="1"/>
          <w:iCs w:val="1"/>
          <w:u w:val="single" w:color="auto"/>
          <w:color w:val="auto"/>
        </w:rPr>
        <w:t>General.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operations of our resorts are contingent upon our obtaining and maintaining all necessary licenses, permits, approvals, registrations, findings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on April 28, 2005, and Encore at Wynn Las Vegas on December 22, 2008. We are subject to ongoing regulation to maintain their operations. We opened Wynn Macau on September 6, 2006 and Encore at Wynn Macau on April 21, 2010, and are subject to ongoing regulation to maintain their operations.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both"/>
        <w:ind w:right="260" w:firstLine="456"/>
        <w:spacing w:after="0" w:line="264" w:lineRule="auto"/>
        <w:rPr>
          <w:sz w:val="20"/>
          <w:szCs w:val="20"/>
          <w:color w:val="auto"/>
        </w:rPr>
      </w:pPr>
      <w:r>
        <w:rPr>
          <w:rFonts w:ascii="Times New Roman" w:cs="Times New Roman" w:eastAsia="Times New Roman" w:hAnsi="Times New Roman"/>
          <w:sz w:val="18"/>
          <w:szCs w:val="18"/>
          <w:i w:val="1"/>
          <w:iCs w:val="1"/>
          <w:u w:val="single" w:color="auto"/>
          <w:color w:val="auto"/>
        </w:rPr>
        <w:t>Wynn Las Vegas and Encore at Wynn Las Vegas.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Nevada Gaming Commission may, in its discretion, require the holder of any debt or securities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to file applications, be investigated and be found suitable to own Wynn Resorts’ securities if it has reason to believe that the security ownership would be inconsistent with the declared policies of the State of Nevada.</w:t>
      </w:r>
    </w:p>
    <w:p>
      <w:pPr>
        <w:spacing w:after="0" w:line="129" w:lineRule="exact"/>
        <w:rPr>
          <w:sz w:val="20"/>
          <w:szCs w:val="20"/>
          <w:color w:val="auto"/>
        </w:rPr>
      </w:pPr>
    </w:p>
    <w:p>
      <w:pPr>
        <w:ind w:right="140" w:firstLine="456"/>
        <w:spacing w:after="0" w:line="293" w:lineRule="auto"/>
        <w:rPr>
          <w:sz w:val="20"/>
          <w:szCs w:val="20"/>
          <w:color w:val="auto"/>
        </w:rPr>
      </w:pPr>
      <w:r>
        <w:rPr>
          <w:rFonts w:ascii="Times New Roman" w:cs="Times New Roman" w:eastAsia="Times New Roman" w:hAnsi="Times New Roman"/>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1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3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Wynn Macau and Encore at Wynn Macau.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Wynn Macau’s operations are subject to unique risks, including risks related to Macau’s regulatory framework.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Macau, we have developed certain operating procedures which are different from those used in United States casinos. Failure to adhere to the regulatory and gaming environment in Macau could result in the revocation of Wynn Macau, S.A.’s concession or otherwise negatively affect its operations in Macau. Moreover, we would be subject to the risk that U.S. regulators could determine that Macau’s gaming regulatory framework has not developed in a way that would permit us to conduct operations in Macau in a manner consistent with the way in which we intend, or the Nevada gaming authorities require us, to conduct our operations in the United States.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taxation by various governments and agencies. The rate of taxation could change.</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are subject to tax by various governments and agencies, both in the United States (at the federal, state and local levels) and in Macau. Various legislative actions or the failure to renew our agreement with the Macau government with respect to dividends could change the rates of taxation or the company’s ability to claim foreign tax credits.</w:t>
      </w:r>
    </w:p>
    <w:p>
      <w:pPr>
        <w:spacing w:after="0" w:line="132"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If enacted into law, certain provisions of the Administration’s 2012 Budget Proposal could impact the Company’s ability to claim U.S. foreign tax credits for Macau gaming taxes paid after 2011. Increases in taxation could adversely affect our results.</w:t>
      </w:r>
    </w:p>
    <w:p>
      <w:pPr>
        <w:spacing w:after="0" w:line="197" w:lineRule="exact"/>
        <w:rPr>
          <w:sz w:val="20"/>
          <w:szCs w:val="20"/>
          <w:color w:val="auto"/>
        </w:rPr>
      </w:pPr>
    </w:p>
    <w:p>
      <w:pPr>
        <w:ind w:left="240" w:right="3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Terrorism and the uncertainty of military conflicts, natural disasters and contagious diseases, as well as other factors affecting discretionary consumer spending, may harm our operating results.</w:t>
      </w:r>
    </w:p>
    <w:p>
      <w:pPr>
        <w:spacing w:after="0" w:line="3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strength and profitability of our business depends on consumer demand for hotel casino resorts in general and for the type of luxury amenities our resorts offer. Changes in consumer preferences or discretionary consumer spending could harm our business. The terrorist attacks of September 11, 2001, other terrorist activities in the United States and elsewhere, military conflicts in Iraq, Afghanistan and in the Middle East, outbreaks of infectious disease and pandemics, and natural disasters such as hurricanes, tsunamis and earthquakes, among other things, have had negative impacts on travel and leisure expenditures. We cannot predict the extent to which similar events and conditions may continue to affect us in the future. An extended period of reduced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discretionary spending and/or disruptions or declines in airline travel and business conventions could significantly harm our operations. In particular, because our business relies heavily upon high-end customers, particularly international customers, factors resulting in a decreased propensity to travel internationally could have a negative impact on our operations.</w:t>
      </w:r>
    </w:p>
    <w:p>
      <w:pPr>
        <w:spacing w:after="0" w:line="132"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In addition, other factors affecting travel and discretionary consumer spending, including general economic conditions, disposable consumer income, high unemployment, and reduced consumer confidence in the economy, may negatively impact our business. Negative changes in any factors affecting discretionary spending could reduce customer demand for the products and services we offer, thus imposing practical limits on pricing and harming our operations.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cover all possible losses that we could suffer, and our insurance costs may increase.</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The terrorist attacks of September 11, 2001 have substantially affected the availability of insurance coverage for certain types of damages or occurrences. We currently have insurance coverage for terrorist acts included in our commercial property insurance policy with respect to Wynn Las Vegas and Encore at Wynn Las Vegas, not to exceed $1.5 billion. Wynn Macau and Encore at Wynn Macau have separate terrorist insurance coverage for up to $800 million per occurrence for losses that could result from these acts. However, these types of acts could expose us to losses that exceed our coverage and could have a significant negative impact on our operations.</w:t>
      </w:r>
    </w:p>
    <w:p>
      <w:pPr>
        <w:spacing w:after="0" w:line="139"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increase, we may not be able to maintain the insurance coverage we currently have or otherwise be able to maintain adequate insurance protection.</w:t>
      </w:r>
    </w:p>
    <w:p>
      <w:pPr>
        <w:spacing w:after="0" w:line="180" w:lineRule="exact"/>
        <w:rPr>
          <w:sz w:val="20"/>
          <w:szCs w:val="20"/>
          <w:color w:val="auto"/>
        </w:rPr>
      </w:pPr>
    </w:p>
    <w:p>
      <w:pPr>
        <w:ind w:left="240"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a third party successfully challenges our ownership of, or right to use, the Wynn-related service marks, our business or results of operations could be harmed.</w:t>
      </w:r>
    </w:p>
    <w:p>
      <w:pPr>
        <w:spacing w:after="0" w:line="3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have filed applications with the PTO and with various foreign patent and trademark registries including registries in Macau, China, Hong Kong, Singapore, Taiwan, Japan, certain European countries and various other jurisdictions throughout the world, to register a variety of WYNN-related trademarks and service marks in connection with a variety of goods and services. These marks include “WYNN RESORTS,” “WYNN DESIGN AND DEVELOPMENT,” “WYNN LAS VEGAS,” “ENCORE” and “WYNN MACAU.” Some of the applications are based upon ongoing use and others are based upon a bona fide intent to use the marks in the future.</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 common element of most of these marks is the use of the surname “WYNN.” As a general rule, a surname (or the portion of a mark primarily constituting a surname) is not eligible for registration unless the surname has acquired “secondary meaning.” To date, we have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36"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Even if we are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intellectual property assets, especially the logo version of “Wynn,” are among our most valuable assets.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a third party asserts other forms of intellectual property claims against us, our business or results of operations could be adversely affected.</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largest stockholders are able to exert significant control over our operations and future direction.</w:t>
      </w:r>
    </w:p>
    <w:p>
      <w:pPr>
        <w:spacing w:after="0" w:line="94"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Mr. Wynn, Elaine P. Wynn, and Aruze USA, Inc., together own approximately 35.6%, of our outstanding common stock. As a result, Mr. Wynn, Elaine P. Wynn, and Aruze USA, Inc., to the extent they vote their shares in a similar manner, may be able to exert significant control over all matters requiring our stockholders’ approval, including the approval of significant corporate transactions.</w:t>
      </w:r>
    </w:p>
    <w:p>
      <w:pPr>
        <w:spacing w:after="0" w:line="13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November 2006, Mr. Wynn, and Aruze USA, Inc., entered into a stockholders’ agreement. On January 6, 2010, the agreement was amended and restated to, among other things, recognize Mr. Wynn’s transfer of 11,076,709 shares to Elaine P. Wynn. Pursuant to the amended and restated stockholders agreement, Elaine P. Wynn became party to the agreement in connection with her ownership of 11,076,709 shares of the Company’s common stock. Under the amended and restated stockholders’ agreement, Mr. Wynn, Elaine P. Wynn, and Aruze USA, Inc., have agreed to vote their shares of our common stock for a slate of directors supported by Mr. Wynn. As a result of this voting arrangement, Mr. Wynn, as a practical matter, controls the slate of directors to be elected to our board of directors. In addition, with stated exceptions, the agreement requires the written consent of the other parties prior to any party selling any shares of Wynn Resorts that it owns.</w:t>
      </w:r>
    </w:p>
    <w:p>
      <w:pPr>
        <w:spacing w:after="0" w:line="14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In November 2006, the Board of Wynn Resorts approved an amendment of its bylaws that exempts future acquisitions of shares of Wynn Resorts’ common stock by either Mr. Wynn or Aruze USA, Inc. from Nevada’s acquisition of controlling interest statutes.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either Mr. Wynn or Aruze USA, Inc. or their respective affiliates may acquire ownership of outstanding voting shares of Wynn Resorts permitting them to exercise more than one-third but less than a majority, or a majority or more, of all of the voting power of the corporation in the election of directors, without requiring a resolution of the stockholders of the corporation granting voting rights in the control shares acquired.</w:t>
      </w:r>
    </w:p>
    <w:p>
      <w:pPr>
        <w:spacing w:after="0" w:line="218" w:lineRule="exact"/>
        <w:rPr>
          <w:sz w:val="20"/>
          <w:szCs w:val="20"/>
          <w:color w:val="auto"/>
        </w:rPr>
      </w:pPr>
    </w:p>
    <w:p>
      <w:pPr>
        <w:ind w:left="240" w:right="8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4"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We have incurred costs to comply with environmental requirements, such as those relating to discharges into the air, water and land, the handling and disposal of solid and hazardous waste and the cleanup of properties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3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Any violation of the Foreign Corrupt Practices Act or applicable Anti-Money Laundering Regulation could have a negative impact on us.</w:t>
      </w:r>
    </w:p>
    <w:p>
      <w:pPr>
        <w:spacing w:after="0" w:line="94"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A significant portion of our revenue is derived from operations outside the United States, which exposes the Company to complex foreign and U.S. regulations inherent in doing business cross-border and in each of the countries in which it transacts business. We are subject to regulations imposed by the Foreign Corrupt Practices Act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to the FCPA. Internal control policies and procedures and employee training and compliance programs that we have implemented to deter prohibited practices may not be effective in prohibiting our employees, contractors or agents from violating or circumventing our policies and the law. If our employees or agents fail to comply with applicable laws or Company policies governing our international operations, the Company may face investigations, prosecutions and other legal proceedings and actions which could result in civil penalties, administrative remedies and criminal sanctions. Any determination that we have violated the FCPA could have a material adverse effect on our financial condition. Compliance with international and U.S. laws and regulations that apply to our international operations increases our cost of doing business in foreign jurisdictions. We also deal with significant amounts of cash in our operations and are subject to various reporting and anti-money laundering regulations. Any violation of anti-money laundering laws or regulations by any of our resorts could have a negative effect on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Wynn Macau</w:t>
      </w:r>
    </w:p>
    <w:p>
      <w:pPr>
        <w:spacing w:after="0" w:line="88" w:lineRule="exact"/>
        <w:rPr>
          <w:sz w:val="20"/>
          <w:szCs w:val="20"/>
          <w:color w:val="auto"/>
        </w:rPr>
      </w:pPr>
    </w:p>
    <w:p>
      <w:pPr>
        <w:ind w:left="240" w:right="1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Revenues from our Macau gaming operations will end if we cannot secure an extension of our concession in 2022 or if the Macau government exercises its redemption right in 2017.</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concession agreement expires in June 2022. Unless our concession is extended, in June 2022, all of our gaming operations and related equipment located in defined areas of our casino in Macau will be automatically transferred to the Macau government without compensation to us and we will cease to generate any revenues from these operations. Beginning in June 2017, the Macau government may redeem the concession agreement by providing us at least one year’s prior notice. In the event the Macau government exercises this redemption right, we are entitled to fair compensation or indemnity. The amount of such compensation or indemnity will be determined based on the amount of revenue generated during the tax year prior to the redemption multiplied for the remaining years under the concession. We cannot assure you that we will be able to renew or extend our concession agreement on terms favorable to us or at all. We also cannot assure you that if our concession is redeemed, the compensation paid will be adequate to compensate us for the loss of future revenues.</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60"/>
          </w:cols>
          <w:pgMar w:left="240" w:top="455" w:right="29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Visitation to Macau may decline due to economic disruptions in mainland China as well as increased restrictions on visitations to Macau from citizens of mainland China.</w:t>
      </w:r>
    </w:p>
    <w:p>
      <w:pPr>
        <w:spacing w:after="0" w:line="3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 significant number of our gaming customers at Wynn Macau come from mainland China. Any economic disruption in China could disrupt the number of patrons visiting our property or the amount they may be willing to spend. In addition, any travel restrictions imposed by China could disrupt the number of visitors from mainland China to our property. It is not known when, or if, policies similar to those implemented in 2009 restricting visitation by mainland Chinese citizens to Macau and Hong Kong, will be put in place and visa policies may be adjusted, without notice, in the future.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compete for limited labor resources in Macau and Macau government policies may also affect our ability to employ imported labor.</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success of our operations in Macau will be affected by our success in retaining our employees. We compete with a large number of casino resorts in Macau for a limited number of qualified employees. We have to seek employees from other countries to adequately staff our resort and policies announced by the Macau government have affected our ability to import labor in certain job classifications. We coordinate with the Macau labor and immigration authorities to ensure our labor demand is satisfied, but cannot be certain that we will be able to recruit and retain a sufficient number of qualified employees for our operations or that we will be able to obtain required work permits for those employees.</w:t>
      </w:r>
    </w:p>
    <w:p>
      <w:pPr>
        <w:spacing w:after="0" w:line="216" w:lineRule="exact"/>
        <w:rPr>
          <w:sz w:val="20"/>
          <w:szCs w:val="20"/>
          <w:color w:val="auto"/>
        </w:rPr>
      </w:pPr>
    </w:p>
    <w:p>
      <w:pPr>
        <w:ind w:left="240"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upon games promoters for a significant portion of our gaming revenue. If we are unable to maintain, or develop additional, successful relationships with reputable games promoters, our ability to maintain or grow our gaming revenues could be adversely affected. Increased competition may result in increased pressure on commission rates.</w:t>
      </w:r>
    </w:p>
    <w:p>
      <w:pPr>
        <w:spacing w:after="0" w:line="4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 significant portion of our gaming revenue is generated by clientele of our games promoters. With the rise in gaming in Macau, the competition for services provided by games promoters has increased. We anticipate that this competition will further intensify as additional casinos are expected to open in Macau in the near future. While we believe that we currently maintain good relations with our existing games promoters, there can be no assurance that we will be able to continue to maintain these relationships. If we are unable to maintain, or develop additional, successful relationships with reputable games promoters, or lose a significant number of our games promoters to our competitors, our ability to maintain or grow our gaming revenues will be adversely affected and we will have to seek alternative ways of developing relationships with VIP customers. In addition, if our games promoters are unable to develop or maintain relationships with our VIP customers, our ability to maintain or grow our gaming revenues will be hampered.</w:t>
      </w:r>
    </w:p>
    <w:p>
      <w:pPr>
        <w:spacing w:after="0" w:line="14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Certain games promoters have significant leverage and bargaining strength in negotiating operational agreements with casino operators. This leverage could result in games promoters negotiating changes to our operational agreements, including higher commissions, or the loss of business to a competitor or the loss of certain relationships with games promoters. While we have not had to adjust our compensation arrangements with games promoters thus far, we are aware of increased commission rates paid by other casino operators to games promoters in the Macau market. If we need to increase our commission rates, our results of operations could be adversely affected.</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August 2009, the Macau government published, in its official gazette, certain guidelines with respect to caps on the commission rates payable to gaming promoters that became effective December 1, 2009. Further changes or tightening of caps may occur and if the Macau government were to implement caps on commission rates payable to gaming promoters that causes us to pay them effectively less than the level we currently pay, gaming promoters may have less incentive to bring travelers to casinos in Macau, including our resort, or may cease operations, and our business, financial condition and results of operations could be materially and adversely affected.</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91" w:lineRule="auto"/>
        <w:rPr>
          <w:sz w:val="20"/>
          <w:szCs w:val="20"/>
          <w:color w:val="auto"/>
        </w:rPr>
      </w:pPr>
      <w:r>
        <w:rPr>
          <w:rFonts w:ascii="Times New Roman" w:cs="Times New Roman" w:eastAsia="Times New Roman" w:hAnsi="Times New Roman"/>
          <w:sz w:val="16"/>
          <w:szCs w:val="16"/>
          <w:color w:val="auto"/>
        </w:rPr>
        <w:t>The reputations of the games promoters we deal with are important to our own reputation and to our ability to operate in compliance with our concession and Macau gaming laws. While we endeavor, through contractual protections and otherwise, to ensure that our games promoters comply with the high standards of probity and integrity under Macau gaming laws, we cannot assure you that our games promoters will always comply with these high standards. In addition, if we enter into a business relationship with a games promoter whose probity is in doubt, this may be considered by regulators or investors to reflect negatively on our own probity. If any of our games promoters violate the Macau gaming laws while on our premises, the Macau government may, in its discretion, take enforcement action against us, the games promoter, or each concurrently, and we may be sanctioned and our reputation could be harmed. If our games promoters are unable to maintain required standards of probity and integrity, we may face consequences from gaming regulators with authority over our operations.</w:t>
      </w:r>
    </w:p>
    <w:p>
      <w:pPr>
        <w:spacing w:after="0" w:line="1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financial resources of our games promoters may be insufficient to allow them to continue doing business at our resort.</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games promoters may encounter decreased liquidity, for a variety of reasons, limiting their ability to grant credit to their patrons and thereby decreasing gaming volume at Wynn Macau and Encore at Wynn Macau. Furthermore, credit already extended by our games promoters to their patrons may become increasingly difficult for them to collect. This inability to grant credit and collect amounts due can negatively affect our games promoters’ operations, and as a result, our results of operations could be adversely impacted.</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Macau and Encore at Wynn Macau may be affected by adverse political and economic conditions.</w:t>
      </w:r>
    </w:p>
    <w:p>
      <w:pPr>
        <w:spacing w:after="0" w:line="94" w:lineRule="exact"/>
        <w:rPr>
          <w:sz w:val="20"/>
          <w:szCs w:val="20"/>
          <w:color w:val="auto"/>
        </w:rPr>
      </w:pPr>
    </w:p>
    <w:p>
      <w:pPr>
        <w:ind w:right="520" w:firstLine="456"/>
        <w:spacing w:after="0" w:line="256" w:lineRule="auto"/>
        <w:rPr>
          <w:sz w:val="20"/>
          <w:szCs w:val="20"/>
          <w:color w:val="auto"/>
        </w:rPr>
      </w:pPr>
      <w:r>
        <w:rPr>
          <w:rFonts w:ascii="Times New Roman" w:cs="Times New Roman" w:eastAsia="Times New Roman" w:hAnsi="Times New Roman"/>
          <w:sz w:val="18"/>
          <w:szCs w:val="18"/>
          <w:color w:val="auto"/>
        </w:rPr>
        <w:t>The success of Wynn Macau and Encore at Wynn Macau will depend on political and economic conditions in Macau and mainland China. In December 1999, after approximately 450 years of Portuguese control, Portugal returned Macau to Chinese administration. The People’s Republic of China established Macau as a special administrative region. As a result of this change in control, Macau’s legislative, regulatory, legal, economic and cultural institutions are in a period of transition. We cannot predict how these systems and cultural institutions will develop, or how developments would affect the business of Wynn Macau.</w:t>
      </w:r>
    </w:p>
    <w:p>
      <w:pPr>
        <w:spacing w:after="0" w:line="13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Our operations are subject to significant political, economic and social risks inherent in doing business in an emerging market. For example, fiscal decline and civil, domestic or international unrest in Macau, China or the surrounding region could significantly harm our business, not only by reducing customer demand for casino resorts, but also by increasing the risk of imposition of taxes and exchange controls or other governmental restrictions that might impede its ability to repatriate funds.</w:t>
      </w:r>
    </w:p>
    <w:p>
      <w:pPr>
        <w:spacing w:after="0" w:line="136"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In December 2009, Fernando Chui Sai On was inaugurated as the second Chief Executive of Macau. Dr. Chui’s government is formulating new policies to further the development of Macau. Certain of these policies could affect the gaming industry.</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Macau may not have an adequate transportation infrastructure to accommodate the demand from future development.</w:t>
      </w:r>
    </w:p>
    <w:p>
      <w:pPr>
        <w:spacing w:after="0" w:line="9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Because of additional casino projects which are under construction and to be developed in the future, the ferry and helicopter services which provide transportation between Macau and Hong Kong may need to be expanded to accommodate the increased visitation of Macau. If transportation facilities to and from Macau are inadequate to meet the demands of an increased volume of gaming customers visiting Macau, the desirability of Macau as a gaming destination, as well as the results of operations of Wynn Macau and Encore at Wynn Macau, could be negatively impacted.</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Extreme weather conditions may have an adverse impact on Wynn Macau and Encore at Wynn Macau.</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Macau’s subtropical climate and location on the South China Sea are subject to extreme weather conditions including typhoons and heavy rainstorms.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Unfavorable weather conditions could negatively affect the profitability of our resort complex and prevent or discourage guests from traveling to Macau.</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right="36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can terminate our concession under certain circumstances without compensation to us, which would have a material adverse effect on our operations and financial condition.</w:t>
      </w:r>
    </w:p>
    <w:p>
      <w:pPr>
        <w:spacing w:after="0" w:line="34"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Macau government has the right to unilaterally terminate our concession in the event of our material non-compliance with the basic obligations under the concession and applicable Macau laws. The concession agreement expressly provides that the government of Macau may unilaterally rescind the concession agreement if Wynn Macau, S.A.:</w:t>
      </w:r>
    </w:p>
    <w:p>
      <w:pPr>
        <w:spacing w:after="0" w:line="51"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unauthorized games or activities that are excluded from its corporate purpose;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suspends gaming operations in Macau for more than seven consecutive days (or more than 14 days in a civil year) without justification;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in payment of taxes, premiums, contributions or other required amounts;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comply with government inspections or supervision;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systematically fails to observe its obligations under the concession system;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maintain bank guarantees or bonds satisfactory to the government;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subject of bankruptcy proceedings or becomes insolvent;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serious fraudulent activity, damaging to the public interest;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repeatedly violates applicable gaming laws.</w:t>
      </w:r>
    </w:p>
    <w:p>
      <w:pPr>
        <w:spacing w:after="0" w:line="17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the government of Macau unilaterally rescinds the concession agreement, Wynn Macau, S.A. will be required to compensate the government in accordance with applicable law, and the areas defined as casino space under Macau law and all of the gaming equipment pertaining to our gaming operations will be transferred to the government without compensation. The loss of our concession would prohibit us from conducting gaming operations in Macau, which would have a material adverse effect on our operations and financial condition.</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and officers are also directors of Wynn Macau, Limited.</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October 2009, Wynn Macau, Limited, an indirect wholly-owned subsidiary of Wynn Resorts and the developer, owner and operator of Wynn Macau, listed its ordinary shares of common stock on The Stock Exchange of Hong Kong Limited. Wynn Macau, Limited sold through an initial public offering, 1,437,500,000 shares (27.7%) of this subsidiary’s common stock. As a result of Wynn Macau, Limited having stockholders who are not affiliated with us, we and certain of our officers and directors who also serve as officers and/or directors of Wynn Macau, Limited may have conflicting fiduciary obligations to our stockholders and to the minority stockholders of Wynn Macau, Limited. Decisions that could have different implications for Wynn Resorts and Wynn Macau, Limited, including contractual arrangements that we have entered into or may in the future enter into with Wynn Macau, Limited, may give rise to the appearance of a potential conflict of interest.</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Certain Nevada gaming laws apply to Wynn Macau’s gaming activities and associations.</w:t>
      </w:r>
    </w:p>
    <w:p>
      <w:pPr>
        <w:spacing w:after="0" w:line="94"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Certain Nevada gaming laws also apply to gaming activities and associations in jurisdictions outside the State of Nevada. With respect to our Wynn Macau operations, we and our subsidiaries that must be licensed to conduct gaming operations in Nevada are required to comply with certain reporting requirements concerning gaming activities and associations in Macau conducted by our Macau-related subsidiaries. We and our licensed Nevada subsidiaries also will be subject to disciplinary action by the Nevada Gaming Commission if our Macau-related subsidiaries:</w:t>
      </w:r>
    </w:p>
    <w:p>
      <w:pPr>
        <w:spacing w:after="0" w:line="55" w:lineRule="exact"/>
        <w:rPr>
          <w:sz w:val="20"/>
          <w:szCs w:val="20"/>
          <w:color w:val="auto"/>
        </w:rPr>
      </w:pPr>
    </w:p>
    <w:p>
      <w:pPr>
        <w:ind w:left="5620" w:right="5000" w:hanging="5045"/>
        <w:spacing w:after="0" w:line="483" w:lineRule="auto"/>
        <w:tabs>
          <w:tab w:leader="none" w:pos="893"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knowingly violate any Macau laws relating to their Macau gaming operations; 29</w:t>
      </w:r>
    </w:p>
    <w:p>
      <w:pPr>
        <w:sectPr>
          <w:pgSz w:w="11900" w:h="16838" w:orient="portrait"/>
          <w:cols w:equalWidth="0" w:num="1">
            <w:col w:w="11400"/>
          </w:cols>
          <w:pgMar w:left="240" w:top="45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conduct Wynn Macau’s operations in accordance with the standards of honesty and integrity required of Nevada gaming operations;</w:t>
      </w:r>
    </w:p>
    <w:p>
      <w:pPr>
        <w:spacing w:after="0" w:line="90" w:lineRule="exact"/>
        <w:rPr>
          <w:rFonts w:ascii="Times New Roman" w:cs="Times New Roman" w:eastAsia="Times New Roman" w:hAnsi="Times New Roman"/>
          <w:sz w:val="18"/>
          <w:szCs w:val="18"/>
          <w:color w:val="auto"/>
        </w:rPr>
      </w:pPr>
    </w:p>
    <w:p>
      <w:pPr>
        <w:ind w:left="900" w:right="240" w:hanging="325"/>
        <w:spacing w:after="0" w:line="334" w:lineRule="auto"/>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engage in any activity or enter into any association that is unsuitable for us because it poses an unreasonable threat to the control of gaming in Nevada, reflects or tends to reflect discredit or disrepute upon the State of Nevada or gaming in Nevada, or is contrary to Nevada gaming policies;</w:t>
      </w:r>
    </w:p>
    <w:p>
      <w:pPr>
        <w:spacing w:after="0" w:line="1"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activity or enter into any association that interferes with the ability of the State of Nevada to collect gaming taxes and fees; or,</w:t>
      </w:r>
    </w:p>
    <w:p>
      <w:pPr>
        <w:spacing w:after="0" w:line="90" w:lineRule="exact"/>
        <w:rPr>
          <w:rFonts w:ascii="Times New Roman" w:cs="Times New Roman" w:eastAsia="Times New Roman" w:hAnsi="Times New Roman"/>
          <w:sz w:val="18"/>
          <w:szCs w:val="18"/>
          <w:color w:val="auto"/>
        </w:rPr>
      </w:pPr>
    </w:p>
    <w:p>
      <w:pPr>
        <w:ind w:left="900" w:right="560" w:hanging="325"/>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20"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Such disciplinary action could include suspension, conditioning, limitation or revocation of the registration, licenses or approvals held by us and our licensed Nevada subsidiaries, including Wynn Las Vegas, LLC, and the imposition of substantial fines.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if the Nevada State Gaming Control Board determines that any actual or intended activities or associations of our Macau-related subsidiaries may be prohibited pursuant to one or more of the standards described above, the Nevada State Gaming Control Board can require us and our licensed Nevada subsidiaries to file an application with the Nevada Gaming Commission for a finding of suitability of the activity or association. If the Nevada Gaming Commission finds that the activity or association in Macau is unsuitable or prohibited, our Macau-related subsidiaries will either be required to terminate the activity or association, or will be prohibited from undertaking the activity or association. Consequently, should the Nevada Gaming Commission find that our Macau-related subsidiary’s gaming activities or associations in Macau are unsuitable, those subsidiaries may be prohibited from undertaking their planned gaming activities or associations in Macau, or be required to divest their investment in Macau, possibly on unfavorable terms.</w:t>
      </w:r>
    </w:p>
    <w:p>
      <w:pPr>
        <w:spacing w:after="0" w:line="218" w:lineRule="exact"/>
        <w:rPr>
          <w:sz w:val="20"/>
          <w:szCs w:val="20"/>
          <w:color w:val="auto"/>
        </w:rPr>
      </w:pPr>
    </w:p>
    <w:p>
      <w:pPr>
        <w:ind w:left="240" w:right="1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Unfavorable changes in currency exchange rates may increase Wynn Macau’s obligations under the concession agreement and cause fluctuations in the value of our investment in Macau.</w:t>
      </w:r>
    </w:p>
    <w:p>
      <w:pPr>
        <w:spacing w:after="0" w:line="3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We cannot assure you that the Hong Kong dollar and the Macau pataca will continue to be linked to the U.S. dollar, which may result in severe fluctuations in the exchange rate for these currencies. We also cannot assure you that the current rate of exchange fixed by the applicable monetary authorities for these currencies will remain at the same level.</w:t>
      </w:r>
    </w:p>
    <w:p>
      <w:pPr>
        <w:spacing w:after="0" w:line="132" w:lineRule="exact"/>
        <w:rPr>
          <w:sz w:val="20"/>
          <w:szCs w:val="20"/>
          <w:color w:val="auto"/>
        </w:rPr>
      </w:pPr>
    </w:p>
    <w:p>
      <w:pPr>
        <w:ind w:right="40" w:firstLine="456"/>
        <w:spacing w:after="0" w:line="296" w:lineRule="auto"/>
        <w:rPr>
          <w:sz w:val="20"/>
          <w:szCs w:val="20"/>
          <w:color w:val="auto"/>
        </w:rPr>
      </w:pPr>
      <w:r>
        <w:rPr>
          <w:rFonts w:ascii="Times New Roman" w:cs="Times New Roman" w:eastAsia="Times New Roman" w:hAnsi="Times New Roman"/>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we operate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our results of operations, financial condition and ability to service its debt.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controls and currency export restrictions could negatively impact Wynn Macau.</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Currency exchange controls and restrictions on the export of currency by certain countries may negatively impact the success of Wynn Macau. For example, there are currently existing currency exchange controls and restrictions on the export of the renminbi, the currency of China. Restrictions on the export of the renminbi may impede the flow of gaming customers from China to Macau, inhibit the growth of gaming in Macau and negatively impact Wynn Macau’s gaming operations.</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Land</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currently own approximately 240 acres of land on or near the Las Vegas Strip consisting of approximately 75 acres at the northeast corner of the intersection of Las Vegas Boulevard and Sands Avenue on which Wynn Las Vegas and Encore at Wynn Las Vegas are located, the approximately 142-acre golf course behind Wynn Las Vegas, approximately 5 acres adjacent to the golf course on which an office building is located, and approximately 18 acres located across from the Wynn Las Vegas site at Koval Lane and Sands Avenue, a portion of which is improved with an employee parking garage. Our Las Vegas property, with limited exceptions, is encumbered by a first priority security interest in favor of our lenders under our first mortgage notes and our Wynn Las Vegas bank credit facilities.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Las Vegas Water Rights</w:t>
      </w:r>
    </w:p>
    <w:p>
      <w:pPr>
        <w:spacing w:after="0" w:line="92" w:lineRule="exact"/>
        <w:rPr>
          <w:sz w:val="20"/>
          <w:szCs w:val="20"/>
          <w:color w:val="auto"/>
        </w:rPr>
      </w:pPr>
    </w:p>
    <w:p>
      <w:pPr>
        <w:ind w:right="400" w:firstLine="456"/>
        <w:spacing w:after="0" w:line="310" w:lineRule="auto"/>
        <w:rPr>
          <w:sz w:val="20"/>
          <w:szCs w:val="20"/>
          <w:color w:val="auto"/>
        </w:rPr>
      </w:pPr>
      <w:r>
        <w:rPr>
          <w:rFonts w:ascii="Times New Roman" w:cs="Times New Roman" w:eastAsia="Times New Roman" w:hAnsi="Times New Roman"/>
          <w:sz w:val="16"/>
          <w:szCs w:val="16"/>
          <w:color w:val="auto"/>
        </w:rPr>
        <w:t>We own approximately 834 acre-feet of permitted and certificated water rights, which we currently use to irrigate the golf course. We also own approximately 151.5 acre-feet of permitted and certificated water rights for commercial use. There are significant cost savings and conservation benefits associated with using water supplied pursuant to our water rights. We anticipate using our water rights to support future development of the golf course land.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Macau Land Concessions</w:t>
      </w:r>
    </w:p>
    <w:p>
      <w:pPr>
        <w:spacing w:after="0" w:line="92"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The government of Macau owns most of the land in Macau. In most cases, private interests in real property located in Macau are obtained through long-term leases and other grants of rights to use land from the government. In July 2004, our subsidiary, Wynn Macau, S.A., entered into a land concession contract under which Wynn Macau, S.A. leases from the Macau government an approximately 16-acre parcel of land in downtown Macau’s inner harbor area where Wynn Macau is located. The term of the land concession contract is 25 years from July 2004, and it may be renewed with government approval for successive periods. Wynn Macau, S.A. paid a land concession premium of approximately 319.4 million patacas (approximately US $40 million) for this land concession.</w:t>
      </w:r>
    </w:p>
    <w:p>
      <w:pPr>
        <w:spacing w:after="0" w:line="108"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2009, the Company and the Macau government agreed to modify this land concession as a result of the development of Encore at Wynn Macau and the additional square footage that was added as a result of such development. In November 2009, the Company made an additional one-time land premium payment of approximately 113.4 million patacas (approximately US $14.2 million). Annual rent of approximately 4.2 million patacas (approximately US $525,000) is being paid in accordance with the land concession contract.</w:t>
      </w:r>
    </w:p>
    <w:p>
      <w:pPr>
        <w:spacing w:after="0" w:line="136"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In addition, we have applied to the government of Macau for a land concession for approximately 52 acres on Cotai for future development and are awaiting final approval. No construction timeline or budget has yet been developed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2"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matters see Note 16 to our Consolidated Financial Statements in this Annual Report on Form 10-K.</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REMOVED AND RESERVED</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455" w:right="2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left="1040" w:right="340" w:hanging="1025"/>
        <w:spacing w:after="0" w:line="27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9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“WYNN.” The following table sets forth the high and low sale prices for the indicated periods, as reported by the NASDAQ Global Select Market.</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6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Low</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2010</w:t>
            </w:r>
          </w:p>
        </w:tc>
        <w:tc>
          <w:tcPr>
            <w:tcW w:w="2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110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color w:val="auto"/>
              </w:rPr>
              <w:t>$59.70</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w:t>
            </w:r>
          </w:p>
        </w:tc>
        <w:tc>
          <w:tcPr>
            <w:tcW w:w="1100" w:type="dxa"/>
            <w:vAlign w:val="bottom"/>
            <w:gridSpan w:val="2"/>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10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117.50</w:t>
            </w:r>
          </w:p>
        </w:tc>
        <w:tc>
          <w:tcPr>
            <w:tcW w:w="1100" w:type="dxa"/>
            <w:vAlign w:val="bottom"/>
            <w:gridSpan w:val="2"/>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shd w:val="clear" w:color="auto" w:fill="CCEEFF"/>
          </w:tcPr>
          <w:p>
            <w:pPr>
              <w:spacing w:after="0"/>
              <w:rPr>
                <w:sz w:val="18"/>
                <w:szCs w:val="18"/>
                <w:color w:val="auto"/>
              </w:rPr>
            </w:pPr>
          </w:p>
        </w:tc>
      </w:tr>
      <w:tr>
        <w:trPr>
          <w:trHeight w:val="3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2009</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First Quarter</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100" w:type="dxa"/>
            <w:vAlign w:val="bottom"/>
            <w:gridSpan w:val="2"/>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Second Quarter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10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Third Quarter</w:t>
            </w:r>
          </w:p>
        </w:tc>
        <w:tc>
          <w:tcPr>
            <w:tcW w:w="2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1100" w:type="dxa"/>
            <w:vAlign w:val="bottom"/>
            <w:gridSpan w:val="2"/>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shd w:val="clear" w:color="auto" w:fill="CCEEFF"/>
          </w:tcPr>
          <w:p>
            <w:pPr>
              <w:spacing w:after="0"/>
              <w:rPr>
                <w:sz w:val="18"/>
                <w:szCs w:val="18"/>
                <w:color w:val="auto"/>
              </w:rPr>
            </w:pPr>
          </w:p>
        </w:tc>
      </w:tr>
      <w:tr>
        <w:trPr>
          <w:trHeight w:val="228"/>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Fourth Quarter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10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tcPr>
          <w:p>
            <w:pPr>
              <w:spacing w:after="0"/>
              <w:rPr>
                <w:sz w:val="19"/>
                <w:szCs w:val="19"/>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approximately 198 record holders of our common stock as of February 14, 2011.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dependent on our ability to obtain funds and our subsidiaries’ ability to provide funds to us.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indentures governing the first mortgage notes from making certain “restricted payments,” as defined in the indentures. These restricted payments include the payment of dividends or distributions to any direct or indirect holders of equity interests of Wynn Las Vegas, LLC. Restricted payments cannot be made unless certain financial and non-financial criteria have been satisfied. In addition, the terms of the other loan agreements of Wynn Las Vegas, LLC and Wynn Macau, S.A. contain similar restrictions.</w:t>
      </w:r>
    </w:p>
    <w:p>
      <w:pPr>
        <w:spacing w:after="0" w:line="14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December 2010, the Company paid a cash dividend of $8 per share. In each of May 2010 and August 2010, the Company paid a cash dividend of $0.25 per share.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November 2009, the Company paid a cash dividend of $4 per share.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of December 2006 and 2007, the Company paid a cash dividend of $6 per share.</w:t>
      </w:r>
    </w:p>
    <w:p>
      <w:pPr>
        <w:spacing w:after="0" w:line="171"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Board of Directors also approved the commencement of a regular cash dividend program beginning in 2010. Our Board of Directors will continue to periodically assess the level and appropriateness of any cash dividends.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00"/>
          </w:cols>
          <w:pgMar w:left="240" w:top="455" w:right="3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9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graph below compares the five year cumulative total return on our common stock to the cumulative total return of the Standard &amp; Poor’s 500 Stock Index (“S&amp;P 500”) and the Dow Jones US Casino Index. The performance graph assumes that $100 was invested on December 31, 2005 in each of the Company’s common stock, the S&amp;P 500 and the Dow Jones US Casino Index, and that all dividends were reinvested. The stock price performance shown in this graph is neither necessarily indicative of, nor intended to suggest,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95885</wp:posOffset>
            </wp:positionV>
            <wp:extent cx="5188585" cy="2512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88585"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Wynn Resorts Ltd.</w:t>
            </w:r>
          </w:p>
        </w:tc>
        <w:tc>
          <w:tcPr>
            <w:tcW w:w="10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Dow Jones US Casinos</w:t>
            </w:r>
          </w:p>
        </w:tc>
        <w:tc>
          <w:tcPr>
            <w:tcW w:w="10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S&amp;P 500</w:t>
            </w: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05</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December 06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34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143.4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07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340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162.6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December 08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4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43.4</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09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400" w:type="dxa"/>
            <w:vAlign w:val="bottom"/>
            <w:gridSpan w:val="3"/>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67.4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8"/>
                <w:szCs w:val="18"/>
                <w:color w:val="auto"/>
              </w:rPr>
            </w:pPr>
          </w:p>
        </w:tc>
      </w:tr>
      <w:tr>
        <w:trPr>
          <w:trHeight w:val="228"/>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December 10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340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color w:val="auto"/>
              </w:rPr>
              <w:t>116.2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performance graph should not be deemed filed or incorporated by reference into any other of our filings under the Securities Act of 1933 or the Exchange Act of 1934, unless we specifically incorporate the performance graph by reference therein.</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20"/>
          </w:cols>
          <w:pgMar w:left="240" w:top="45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tables reflect selected consolidated financial data of Wynn Resorts and its subsidiaries. This data should be read together with our Consolidated Financial Statements and Notes thereto, “Item 7. Management’s Discussion and Analysis of Financial Condition and Results of Operations” and the other information contained in this Annual Report on Form 10-K. Operating results for the periods presented are not indicative of the results that may be expected for future years. Significant events impacting our operational results include:</w:t>
      </w:r>
    </w:p>
    <w:p>
      <w:pPr>
        <w:spacing w:after="0" w:line="55"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2005, we opened our Wynn Las Vegas resort.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6, 2006, we opened our Wynn Macau resort.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2006 we completed the sale of our Macau sub-concession right and recognized a pre-tax gain of $899.4 million.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24, 2007, we opened an expansion of our Wynn Macau resort.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22, 2008, we opened Encore at Wynn Las Vegas.</w:t>
      </w:r>
    </w:p>
    <w:p>
      <w:pPr>
        <w:spacing w:after="0" w:line="90" w:lineRule="exact"/>
        <w:rPr>
          <w:rFonts w:ascii="Times New Roman" w:cs="Times New Roman" w:eastAsia="Times New Roman" w:hAnsi="Times New Roman"/>
          <w:sz w:val="18"/>
          <w:szCs w:val="18"/>
          <w:color w:val="auto"/>
        </w:rPr>
      </w:pPr>
    </w:p>
    <w:p>
      <w:pPr>
        <w:ind w:left="900" w:right="20" w:hanging="325"/>
        <w:spacing w:after="0" w:line="275"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2009, Wynn Macau, Limited listed its shares of common stock on The Stock Exchange of Hong Kong Limited. Wynn Macau, Limited sold 27.7% of its common stock through an initial public offering.</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2010, we opened Encore at Wynn Macau.</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center"/>
              <w:ind w:left="558"/>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9"/>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4,184,698</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3,045,611</w:t>
            </w: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$ 2,987,324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2,687,519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1,432,257</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72,375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62,726</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234,963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312,136</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427,355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68,367</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39,107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210,479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196,336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599,552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interest[2]</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(156,469)</w:t>
            </w: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Wynn Resorts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210,479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196,336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599,552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365"/>
        </w:trPr>
        <w:tc>
          <w:tcPr>
            <w:tcW w:w="5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As of December 31,</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9"/>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 except per share amounts)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1,258,499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1,991,830</w:t>
            </w:r>
          </w:p>
        </w:tc>
        <w:tc>
          <w:tcPr>
            <w:tcW w:w="13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$ 1,133,904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1,275,120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789,407</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457,594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221,696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923,325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346,192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6,674,497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7,581,769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4"/>
              </w:rPr>
              <w:t>6,755,788</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6,312,820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4,667,951</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obligations[3]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3,405,983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3,695,821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4"/>
              </w:rPr>
              <w:t>4,430,436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7"/>
              </w:rPr>
              <w:t>3,774,951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2,398,395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2,380,585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3,160,363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4"/>
              </w:rPr>
              <w:t>1,601,595</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1,956,959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1,727,766</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distributions declared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2006 includes a pre-tax gain on sale of subconcession right of $899.4 million.</w:t>
      </w:r>
    </w:p>
    <w:p>
      <w:pPr>
        <w:spacing w:after="0" w:line="21"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Net income attributable to noncontrolling interest represents the noncontrolling interests share of our net income of Wynn Macau, Limited.</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long-term debt, the required contract premium payments under our land concession contract at Wynn Macau and deferred income taxes.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a developer, owner and operator of destination casino resorts. We currently own and operate two casino resort complexes. In Las Vegas, Nevada, we own and operate Wynn Las Vegas, a destination casino resort which opened on April 28, 2005. In December 2008, we expanded Wynn Las Vegas with the opening of Encore at Wynn Las Vegas. We refer to the fully integrated Wynn Las Vegas and Encore at Wynn Las Vegas as our Las Vegas Operations. In the Macau Special Administrative Region of the People’s Republic of China (“Macau”), we own and operate Wynn Macau, which opened on September 6, 2006. On April 21, 2010 we opened Encore at Wynn Macau, a further expansion of Wynn Macau. We refer to the fully integrated Wynn Macau and Encore at Wynn Macau as our Macau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Resorts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about our operating resorts as of February 2011: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78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8"/>
              </w:rPr>
              <w:t>Hotel Rooms</w:t>
            </w: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37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&amp;</w:t>
            </w:r>
          </w:p>
        </w:tc>
        <w:tc>
          <w:tcPr>
            <w:tcW w:w="1000" w:type="dxa"/>
            <w:vAlign w:val="bottom"/>
          </w:tcPr>
          <w:p>
            <w:pPr>
              <w:spacing w:after="0"/>
              <w:rPr>
                <w:sz w:val="12"/>
                <w:szCs w:val="12"/>
                <w:color w:val="auto"/>
              </w:rPr>
            </w:pPr>
          </w:p>
        </w:tc>
        <w:tc>
          <w:tcPr>
            <w:tcW w:w="2200" w:type="dxa"/>
            <w:vAlign w:val="bottom"/>
            <w:gridSpan w:val="2"/>
          </w:tcPr>
          <w:p>
            <w:pPr>
              <w:jc w:val="right"/>
              <w:ind w:right="10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Approximate Casino</w:t>
            </w:r>
          </w:p>
        </w:tc>
        <w:tc>
          <w:tcPr>
            <w:tcW w:w="2300" w:type="dxa"/>
            <w:vAlign w:val="bottom"/>
            <w:gridSpan w:val="2"/>
          </w:tcPr>
          <w:p>
            <w:pPr>
              <w:jc w:val="right"/>
              <w:ind w:right="10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Approximate Number</w:t>
            </w:r>
          </w:p>
        </w:tc>
        <w:tc>
          <w:tcPr>
            <w:tcW w:w="13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Approximate Number</w:t>
            </w:r>
          </w:p>
        </w:tc>
      </w:tr>
      <w:tr>
        <w:trPr>
          <w:trHeight w:val="165"/>
        </w:trPr>
        <w:tc>
          <w:tcPr>
            <w:tcW w:w="37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Suites</w:t>
            </w:r>
          </w:p>
        </w:tc>
        <w:tc>
          <w:tcPr>
            <w:tcW w:w="1000" w:type="dxa"/>
            <w:vAlign w:val="bottom"/>
          </w:tcPr>
          <w:p>
            <w:pPr>
              <w:spacing w:after="0"/>
              <w:rPr>
                <w:sz w:val="14"/>
                <w:szCs w:val="14"/>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000" w:type="dxa"/>
            <w:vAlign w:val="bottom"/>
          </w:tcPr>
          <w:p>
            <w:pPr>
              <w:spacing w:after="0"/>
              <w:rPr>
                <w:sz w:val="14"/>
                <w:szCs w:val="14"/>
                <w:color w:val="auto"/>
              </w:rPr>
            </w:pPr>
          </w:p>
        </w:tc>
        <w:tc>
          <w:tcPr>
            <w:tcW w:w="1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of Table Games</w:t>
            </w:r>
          </w:p>
        </w:tc>
        <w:tc>
          <w:tcPr>
            <w:tcW w:w="1020" w:type="dxa"/>
            <w:vAlign w:val="bottom"/>
          </w:tcPr>
          <w:p>
            <w:pPr>
              <w:spacing w:after="0"/>
              <w:rPr>
                <w:sz w:val="14"/>
                <w:szCs w:val="14"/>
                <w:color w:val="auto"/>
              </w:rPr>
            </w:pPr>
          </w:p>
        </w:tc>
        <w:tc>
          <w:tcPr>
            <w:tcW w:w="12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of Slots</w:t>
            </w:r>
          </w:p>
        </w:tc>
        <w:tc>
          <w:tcPr>
            <w:tcW w:w="100" w:type="dxa"/>
            <w:vAlign w:val="bottom"/>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 Operations</w:t>
            </w:r>
          </w:p>
        </w:tc>
        <w:tc>
          <w:tcPr>
            <w:tcW w:w="178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4,750</w:t>
            </w:r>
          </w:p>
        </w:tc>
        <w:tc>
          <w:tcPr>
            <w:tcW w:w="220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186,000</w:t>
            </w:r>
          </w:p>
        </w:tc>
        <w:tc>
          <w:tcPr>
            <w:tcW w:w="23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240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100" w:type="dxa"/>
            <w:vAlign w:val="bottom"/>
            <w:shd w:val="clear" w:color="auto" w:fill="CCEEFF"/>
          </w:tcPr>
          <w:p>
            <w:pPr>
              <w:spacing w:after="0"/>
              <w:rPr>
                <w:sz w:val="18"/>
                <w:szCs w:val="18"/>
                <w:color w:val="auto"/>
              </w:rPr>
            </w:pPr>
          </w:p>
        </w:tc>
      </w:tr>
      <w:tr>
        <w:trPr>
          <w:trHeight w:val="22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Macau Operations</w:t>
            </w:r>
          </w:p>
        </w:tc>
        <w:tc>
          <w:tcPr>
            <w:tcW w:w="17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1,009</w:t>
            </w:r>
          </w:p>
        </w:tc>
        <w:tc>
          <w:tcPr>
            <w:tcW w:w="22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256,000</w:t>
            </w:r>
          </w:p>
        </w:tc>
        <w:tc>
          <w:tcPr>
            <w:tcW w:w="23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470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r>
    </w:tbl>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Las Vegas</w:t>
      </w:r>
    </w:p>
    <w:p>
      <w:pPr>
        <w:spacing w:after="0" w:line="9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Wynn Las Vegas, located at the intersection of the Las Vegas Strip and Sands Avenue, occupies approximately 217 acres of land fronting the Las Vegas Strip. In addition, we own approximately 18 additional acres across Sands Avenue, a portion of which is utilized for employee parking and approximately 5 acres adjacent to the golf course on which an office building is located.</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Las Vegas features:</w:t>
      </w:r>
    </w:p>
    <w:p>
      <w:pPr>
        <w:spacing w:after="0" w:line="90" w:lineRule="exact"/>
        <w:rPr>
          <w:sz w:val="20"/>
          <w:szCs w:val="20"/>
          <w:color w:val="auto"/>
        </w:rPr>
      </w:pPr>
    </w:p>
    <w:p>
      <w:pPr>
        <w:ind w:left="900" w:right="26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approximately 110,000 square foot casino offering 24-hour gaming and a full range of games, including private baccarat salons, a poker room, and a race and sports book;</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Luxury hotel accommodations in 2,716 spacious hotel rooms, suites and villas;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food and beverage outlets;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Ferrari and Maserati automobile dealership;</w:t>
      </w:r>
    </w:p>
    <w:p>
      <w:pPr>
        <w:spacing w:after="0" w:line="90" w:lineRule="exact"/>
        <w:rPr>
          <w:rFonts w:ascii="Times New Roman" w:cs="Times New Roman" w:eastAsia="Times New Roman" w:hAnsi="Times New Roman"/>
          <w:sz w:val="18"/>
          <w:szCs w:val="18"/>
          <w:color w:val="auto"/>
        </w:rPr>
      </w:pPr>
    </w:p>
    <w:p>
      <w:pPr>
        <w:ind w:left="900" w:right="240" w:hanging="325"/>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74,000 square feet of high-end, brand-name retail shopping, including stores and boutiques featuring Alexander McQueen, Brioni, Cartier, Chanel, Dior, Graff, Louis Vuitton, Manolo Blahnik, Oscar de la Renta, Vertu and others;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an 18-hole golf course, five swimming pools, private cabanas and a full service spa and salon;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showroom, two nightclubs and lounges.</w:t>
      </w:r>
    </w:p>
    <w:p>
      <w:pPr>
        <w:spacing w:after="0" w:line="171"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July 2010, we commenced a project to refurbish and upgrade the rooms and suites at Wynn Las Vegas. The total project budget is approximately $83 million. The room remodel was completed in January 2011 and the suite remodel is expected to be completed early in the second quarter of 2011. As a part of this project, we are temporarily removing floors from service which reduces our total number of rooms available during the construction period.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Encore at Wynn Las Vegas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Encore at Wynn Las Vegas features:</w:t>
      </w:r>
    </w:p>
    <w:p>
      <w:pPr>
        <w:spacing w:after="0" w:line="90"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approximately 76,000 square foot casino offering 24-hour gaming and a full range of games, including a sky casino and private gaming salons;</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Luxury hotel accommodation in 2,034 all-suite rooms;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food and beverage outlets;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27,000 square feet of high-end, brand-name retail shopping, including stores and boutiques featuring Hermes, Chanel and others;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swimming pools, private cabanas and a full service spa and salon;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beach club, showroom, two nightclubs and lounges.</w:t>
      </w:r>
    </w:p>
    <w:p>
      <w:pPr>
        <w:spacing w:after="0" w:line="171"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In response to our evaluations and the reactions of our guests, we have made and expect to continue to make enhancements and refinements to this resort complex.</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Macau</w:t>
      </w:r>
    </w:p>
    <w:p>
      <w:pPr>
        <w:spacing w:after="0" w:line="9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opened Wynn Macau on September 6, 2006 and we completed expansions of this resort in December 2007 and November 2009. We operate under a 20-year casino concession agreement granted by the Macau government in June 2002.</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Macau features:</w:t>
      </w:r>
    </w:p>
    <w:p>
      <w:pPr>
        <w:spacing w:after="0" w:line="90" w:lineRule="exact"/>
        <w:rPr>
          <w:sz w:val="20"/>
          <w:szCs w:val="20"/>
          <w:color w:val="auto"/>
        </w:rPr>
      </w:pPr>
    </w:p>
    <w:p>
      <w:pPr>
        <w:ind w:left="900" w:hanging="325"/>
        <w:spacing w:after="0" w:line="275"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approximately 222,000 square foot casino offering 24-hour gaming and a full range of games, including a sky casino, private gaming salons and a poker room;</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Luxury hotel accommodations in 595 rooms and suites;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Casual and fine dining in six restaurants;</w:t>
      </w:r>
    </w:p>
    <w:p>
      <w:pPr>
        <w:spacing w:after="0" w:line="90"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48,000 square feet of high-end, brand-name retail shopping, including stores and boutiques featuring Bvlgari, Chanel, Dior, Dunhill, Fendi, Ferrari, Giorgio Armani, Gucci, Hermes, Hugo Boss, Louis Vuitton, Miu Miu, Piaget, Prada, Rolex, Tiffany, Tudor, Van Cleef &amp; Arpels, Versace, Vertu, Zegna and others;</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Recreation and leisure facilities, including a health club, pool and spa;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Lounges and meeting facilities.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Encore at Wynn Macau</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Encore at Wynn Macau features:</w:t>
      </w:r>
    </w:p>
    <w:p>
      <w:pPr>
        <w:spacing w:after="0" w:line="90"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approximately 34,000 square foot casino offering 24-hour gaming and a full range of games, including a sky casino and private gaming salons;</w:t>
      </w:r>
    </w:p>
    <w:p>
      <w:pPr>
        <w:spacing w:after="0" w:line="113"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Luxury hotel accommodations in 414 spacious suites and villas;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3,200 square feet of high-end, brand-name retail space featuring Chanel, Piaget and Cartier;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restaurants;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service luxury spa facilities.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In response to our evaluations and the reactions of our guests, we have made and expect to continue to make enhancements and refinements to this resort complex.</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Future Development</w:t>
      </w:r>
    </w:p>
    <w:p>
      <w:pPr>
        <w:spacing w:after="0" w:line="94"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Approximately 142 acres of land comprising Wynn Las Vegas and Encore at Wynn Las Vegas is currently improved with a golf course. While we may develop this property in the future, we have no immediate plans to do so.</w:t>
      </w:r>
    </w:p>
    <w:p>
      <w:pPr>
        <w:spacing w:after="0" w:line="12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We have applied to the government of Macau for a land concession on approximately 52 aces of land on Cotai and are awaiting final government approval on the concession. No construction timeline or budget has yet been developed.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2"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Our operating results in Macau were strong during 2010; however, reduced levels of consumer spending, high unemployment and increased hotel supply in the Las Vegas market have and may continue to adversely impact our financial results in Las Vegas. Our results for the years presented are not comparable as the year ended December 31, 2010 includes the operations of Encore at Wynn Macau which opened on April 21, 2010. Our results for the year ended December 31, 2009, includes Encore at Wynn Las Vegas for a full year, whereas 2008 included only 10 days of operations for Encore at Wynn Las Vegas.</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net revenues for the years ended December 31, 2010, 2009 and 2008 (amounts in thousands) are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5"/>
              </w:rPr>
              <w:t>For the Years Ended December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bottom w:val="single" w:sz="8" w:color="auto"/>
            </w:tcBorders>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 Operations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$ 1,296,064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1,229,573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1,098,889</w:t>
            </w:r>
          </w:p>
        </w:tc>
      </w:tr>
      <w:tr>
        <w:trPr>
          <w:trHeight w:val="216"/>
        </w:trPr>
        <w:tc>
          <w:tcPr>
            <w:tcW w:w="57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 Operations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2,888,634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1,816,038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1,888,435</w:t>
            </w:r>
          </w:p>
        </w:tc>
      </w:tr>
      <w:tr>
        <w:trPr>
          <w:trHeight w:val="223"/>
        </w:trPr>
        <w:tc>
          <w:tcPr>
            <w:tcW w:w="5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Net Revenues</w:t>
            </w:r>
          </w:p>
        </w:tc>
        <w:tc>
          <w:tcPr>
            <w:tcW w:w="20" w:type="dxa"/>
            <w:vAlign w:val="bottom"/>
            <w:tcBorders>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$ 4,184,698</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3,045,611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2,987,324</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Reliance on only two resort complexes (in two geographic regions) for our operating cash flow exposes us to certain risks that competitors, whose operations are more diversified, may be better able to control. In addition to the concentration of operations in two resort complexes, many of our customers are high-end gaming customers who wager on credit, thus exposing us to increased credit risk. High-end gaming also increases the potential for variability in our results.</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Measures</w:t>
      </w:r>
    </w:p>
    <w:p>
      <w:pPr>
        <w:spacing w:after="0" w:line="94"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Certain key operating statistics specific to the gaming industry are included in our discussion of our operational performance for the periods for which a Consolidated Statement of Income is presented. There are two methods used to calculate win percentage in the casino industry. In Las Vegas and in the general casino in Macau, customers primarily purchase gaming chips from gaming tables. The cash and net markers used to purchase the gaming chips from gaming tables are deposited in the gaming table’s drop box. This is the base of measurement that we use in the casino at our Las Vegas Operations and in the general casino at our Macau Operations for calculating win percentage.</w:t>
      </w:r>
    </w:p>
    <w:p>
      <w:pPr>
        <w:spacing w:after="0" w:line="139"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In our VIP casino in Macau, customers primarily purchase non-negotiable rolling chips from the casino cage and there is no deposit into a gaming table drop box from chips purchased from the cage. Non-negotiable chips can only be used to make wagers. Winning wagers are paid in cash chips. The loss of the non-negotiable rolling</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chips in the VIP casino is recorded as turnover and provides a base for measuring VIP casino win percentage. Because of this difference in chip purchase activity, the measurement base used in the general casino is not the same that is used in the VIP casino. It is customary in Macau to measure VIP casino play using this Rolling Chip method.</w:t>
      </w:r>
    </w:p>
    <w:p>
      <w:pPr>
        <w:spacing w:after="0" w:line="13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measurement method in Las Vegas and in the general casino in Macau effectively tracks the initial purchase of chips while the measurement method in the VIP casino at Wynn Macau effectively tracks the sum of all losing wagers. Accordingly, the base measurement in the VIP casino is much larger than the general casino. As a result, the expected win percent with the same amount of gaming win (numerator) is smaller in the VIP casino in Macau when compared to the general casino in Las Vegas and Macau.</w:t>
      </w:r>
    </w:p>
    <w:p>
      <w:pPr>
        <w:spacing w:after="0" w:line="13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Even though both use the same measurement method, we experience different win percentages in the general casino activity in Las Vegas versus Macau. This difference is primarily due to the difference in the mix of table games between the two casinos. Each type of table game has its own theoretical win percentage. The life to date table games win percentage for our Las Vegas Operations is 22.0% whereas the life to date table games win percentage for the general casino at our Macau Operations is 20.8%.</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are definitions of the statistics discussed:</w:t>
      </w:r>
    </w:p>
    <w:p>
      <w:pPr>
        <w:spacing w:after="0" w:line="90"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games win is the amount of drop or turnover that is retained and recorded as casino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Drop is the amount of cash and net markers issued that are deposited in a gaming table’s drop box.</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Turnover is the sum of all losing Rolling Chip wagers within our Macau VIP program.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Rolling Chips are identifiable chips that are used to track VIP wagering volume (turnover) for purposes of calculating incentives.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Slot win is the amount of handle (representing the total amount wagered) that is retained by us and is recorded as casino revenue.</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is calculated by dividing total room revenue (less service charges, if any) by total rooms occupied.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is calculated by dividing total room revenue (less service charges, if any) by total rooms available.</w:t>
      </w:r>
    </w:p>
    <w:p>
      <w:pPr>
        <w:spacing w:after="0" w:line="248" w:lineRule="exact"/>
        <w:rPr>
          <w:sz w:val="20"/>
          <w:szCs w:val="20"/>
          <w:color w:val="auto"/>
        </w:rPr>
      </w:pPr>
    </w:p>
    <w:p>
      <w:pPr>
        <w:ind w:left="240" w:right="3480"/>
        <w:spacing w:after="0" w:line="3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Results for the Year Ended December 31, 2010 Compared to the Year Ended December 31, 2009 </w:t>
      </w:r>
      <w:r>
        <w:rPr>
          <w:rFonts w:ascii="Times New Roman" w:cs="Times New Roman" w:eastAsia="Times New Roman" w:hAnsi="Times New Roman"/>
          <w:sz w:val="18"/>
          <w:szCs w:val="18"/>
          <w:i w:val="1"/>
          <w:iCs w:val="1"/>
          <w:color w:val="auto"/>
        </w:rPr>
        <w:t>Revenues</w:t>
      </w:r>
    </w:p>
    <w:p>
      <w:pPr>
        <w:spacing w:after="0" w:line="1"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Net revenues for the year ended December 31, 2010 are comprised of $3,245.1 million in casino revenues (77.5% of total net revenues) and $939.6 million of net non-casino revenues (22.5% of total net revenues). Net revenues for the year ended December 31, 2009 were comprised of $2,206.8 million in casino revenues (72.5% of total net revenues) and $838.8 million of net non-casino revenues (27.5% of total net revenues).</w:t>
      </w:r>
    </w:p>
    <w:p>
      <w:pPr>
        <w:spacing w:after="0" w:line="132" w:lineRule="exact"/>
        <w:rPr>
          <w:sz w:val="20"/>
          <w:szCs w:val="20"/>
          <w:color w:val="auto"/>
        </w:rPr>
      </w:pPr>
    </w:p>
    <w:p>
      <w:pPr>
        <w:jc w:val="both"/>
        <w:ind w:firstLine="456"/>
        <w:spacing w:after="0" w:line="339" w:lineRule="auto"/>
        <w:rPr>
          <w:sz w:val="20"/>
          <w:szCs w:val="20"/>
          <w:color w:val="auto"/>
        </w:rPr>
      </w:pPr>
      <w:r>
        <w:rPr>
          <w:rFonts w:ascii="Times New Roman" w:cs="Times New Roman" w:eastAsia="Times New Roman" w:hAnsi="Times New Roman"/>
          <w:sz w:val="16"/>
          <w:szCs w:val="16"/>
          <w:color w:val="auto"/>
        </w:rPr>
        <w:t>Casino revenues are comprised of the net win from our table games and slot machine operations. Casino revenues for the year ended December 31, 2010 of approximately $3,245.1 million represents a $1,038.3 million (or 47%) increase from casino revenues of $2,206.8 million for the year ended December 31, 2009.</w:t>
      </w:r>
    </w:p>
    <w:p>
      <w:pPr>
        <w:spacing w:after="0" w:line="74" w:lineRule="exact"/>
        <w:rPr>
          <w:sz w:val="20"/>
          <w:szCs w:val="20"/>
          <w:color w:val="auto"/>
        </w:rPr>
      </w:pPr>
    </w:p>
    <w:p>
      <w:pPr>
        <w:ind w:right="460" w:firstLine="456"/>
        <w:spacing w:after="0" w:line="289" w:lineRule="auto"/>
        <w:rPr>
          <w:sz w:val="20"/>
          <w:szCs w:val="20"/>
          <w:color w:val="auto"/>
        </w:rPr>
      </w:pPr>
      <w:r>
        <w:rPr>
          <w:rFonts w:ascii="Times New Roman" w:cs="Times New Roman" w:eastAsia="Times New Roman" w:hAnsi="Times New Roman"/>
          <w:sz w:val="16"/>
          <w:szCs w:val="16"/>
          <w:color w:val="auto"/>
        </w:rPr>
        <w:t>Our Las Vegas Operations experienced a $28.5 million increase in casino revenues compared to the prior year due to a 3.4% increase in drop and an increase in our average table games win percentage. Our average table games win percentage (before discounts) for the year ended December 31, 2010 was</w:t>
      </w:r>
    </w:p>
    <w:p>
      <w:pPr>
        <w:spacing w:after="0" w:line="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22.2% which was within the expected range of 21% to 24% and compares to 20.2% for the prior year. Slot handle at our Las Vegas Operations decreased 18.3% compared to the prior year; however slot win decreased only 6.9% as more play shifted to higher hold machines.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90" w:lineRule="auto"/>
        <w:rPr>
          <w:sz w:val="20"/>
          <w:szCs w:val="20"/>
          <w:color w:val="auto"/>
        </w:rPr>
      </w:pPr>
      <w:r>
        <w:rPr>
          <w:rFonts w:ascii="Times New Roman" w:cs="Times New Roman" w:eastAsia="Times New Roman" w:hAnsi="Times New Roman"/>
          <w:sz w:val="16"/>
          <w:szCs w:val="16"/>
          <w:color w:val="auto"/>
        </w:rPr>
        <w:t>Casino revenues at our Macau Operations increased $1,009.8 million during the year ended December 31, 2010, compared to the prior year. We experienced a 77.8% increase in the VIP revenue segment due to a 68.0% increase in turnover. Our win as a percent of turnover was 3.0%, which is at the high end of the expected range of 2.7% to 3.0%, and compares to 2.9% in the prior year. In November 2009 we added two new private gaming salons with 29 VIP tables and on April 21, 2010 we added 37 VIP tables with the opening of Encore at Wynn Macau, which helped drive some of the growth in our VIP segment during the year ended December 31, 2010 compared to the prior year. Our VIP casino segment win as a percent of turnover includes a nominal beneficial effect attributable to non-rolling chip play. In our general casino, drop increased 17.4% when compared to the prior year and the average table games win percentage was 23.6%, which is above the expected range of 19% to 21%. The average table game win percentage for the year ended December 31, 2009 was 21.9%. Slot handle increased 23.8% compared to the prior year primarily due to the opening of Encore at Wynn Macau and slot win increased by 29.8%.</w:t>
      </w:r>
    </w:p>
    <w:p>
      <w:pPr>
        <w:spacing w:after="0" w:line="112" w:lineRule="exact"/>
        <w:rPr>
          <w:sz w:val="20"/>
          <w:szCs w:val="20"/>
          <w:color w:val="auto"/>
        </w:rPr>
      </w:pPr>
    </w:p>
    <w:p>
      <w:pPr>
        <w:ind w:right="140" w:firstLine="456"/>
        <w:spacing w:after="0" w:line="290" w:lineRule="auto"/>
        <w:rPr>
          <w:sz w:val="20"/>
          <w:szCs w:val="20"/>
          <w:color w:val="auto"/>
        </w:rPr>
      </w:pPr>
      <w:r>
        <w:rPr>
          <w:rFonts w:ascii="Times New Roman" w:cs="Times New Roman" w:eastAsia="Times New Roman" w:hAnsi="Times New Roman"/>
          <w:sz w:val="16"/>
          <w:szCs w:val="16"/>
          <w:color w:val="auto"/>
        </w:rPr>
        <w:t>For the year ended December 31, 2010, room revenues were approximately $400.3 million, an increase of $22.8 million compared to prior year room revenue of $377.5 million. Room revenue at our Las Vegas Operations decreased approximately $12.7 million compared to the prior year. In Las Vegas, we continued to experience a decrease in room rates during the year ended December 31, 2010, compared to the year ended December 31, 2009. We believe this is due to the current economic conditions in which we operate in the U.S. and the increased capacity in the Las Vegas market including the opening of a new large scale casino hotel in Las Vegas in December 2009. In addition, in July 2010, we commenced a project to remodel all of the rooms at Wynn Las Vegas. Accordingly, we had 3.8% fewer room nights available during the year ended December 31, 2010 which had a negative impact on our room revenues in Las Vegas. This room remodel is expected to be completed in the second quarter of 2011. Room revenue at our Macau Operations increased approximately $35.5 million due to the 414 additional suites added with Encore at Wynn Macau and an increase in the average daily room rate compared to the prior year.</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key operating measures related to room revenue.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$ 210</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$ 217</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3960" w:type="dxa"/>
            <w:vAlign w:val="bottom"/>
            <w:gridSpan w:val="3"/>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88.0%</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85.2%</w:t>
            </w:r>
          </w:p>
        </w:tc>
      </w:tr>
      <w:tr>
        <w:trPr>
          <w:trHeight w:val="216"/>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3960" w:type="dxa"/>
            <w:vAlign w:val="bottom"/>
            <w:gridSpan w:val="3"/>
          </w:tcPr>
          <w:p>
            <w:pPr>
              <w:jc w:val="right"/>
              <w:ind w:right="612"/>
              <w:spacing w:after="0"/>
              <w:rPr>
                <w:sz w:val="20"/>
                <w:szCs w:val="20"/>
                <w:color w:val="auto"/>
              </w:rPr>
            </w:pPr>
            <w:r>
              <w:rPr>
                <w:rFonts w:ascii="Times New Roman" w:cs="Times New Roman" w:eastAsia="Times New Roman" w:hAnsi="Times New Roman"/>
                <w:sz w:val="18"/>
                <w:szCs w:val="18"/>
                <w:color w:val="auto"/>
              </w:rPr>
              <w:t>87.8%</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$ 185</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Other non-casino revenues for the year ended December 31, 2010 included food and beverage revenues of approximately $488.1 million, retail revenues of approximately $214.6 million, entertainment revenues of approximately $72 million, and other revenues from outlets such as the spa and salon, of approximately $67.7 million. Other non-casino revenues for the year ended December 31, 2009 included food and beverage revenues of approximately $436.4 million, retail revenues of approximately $165.1 million, entertainment revenues of approximately $57.1 million, and other revenues from outlets, including the spa and salon, of approximately $66.2 million. Food and beverage revenues at our Las Vegas Operations increased approximately $31.4 million, while our Macau Operations increased $20.3 million, as compared to the prior year. The increase in Las Vegas is due primarily to business in our nightclubs including the opening of the Encore Beach Club and Surrender nightclub in May 2010. The increase in Macau is primarily due to the opening of Encore at Wynn Macau and increased visitation to our resort. Retail revenues at our Macau Operations increased $52.2 million, offset by a</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45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decrease of $2.7 million in Las Vegas. The increase in Macau is due primarily to increased sales at several outlets, the opening of Wynn and Co. Watches and Jewelry in November 2009, which sells Cartier and Jaeger Le Coultre products, and new outlets at Encore at Wynn Macau including Chanel, Piaget and Cartier. Entertainment revenues increased over the prior year primarily due to performances by Garth Brooks in the Encore Theater in Las Vegas which commenced in December 2009, as well as increased revenue from our Le Rêve show.</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Departmental, Administrative and Other Expenses</w:t>
      </w:r>
    </w:p>
    <w:p>
      <w:pPr>
        <w:spacing w:after="0" w:line="92" w:lineRule="exact"/>
        <w:rPr>
          <w:sz w:val="20"/>
          <w:szCs w:val="20"/>
          <w:color w:val="auto"/>
        </w:rPr>
      </w:pPr>
    </w:p>
    <w:p>
      <w:pPr>
        <w:ind w:right="80" w:firstLine="456"/>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2010, departmental expenses included casino expenses of $2,100.1 million, room expenses of $122.3 million, food and beverage expenses of $272.7 million, and entertainment, retail and other expenses of $204.6 million. Also included are general and administrative expenses of approximately $391.3 million and approximately $28.3 million charged as a provision for doubtful accounts receivable. During the year ended December 31, 2009, departmental expenses included casino expenses of $1,460.1 million, room expenses of $111.6 million, food and beverage expenses of $252.7 million, and entertainment, retail and other expenses of $166.6 million. Also included are general and administrative expenses of approximately $365.1 million and approximately $13.7 million charged as a provision for doubtful accounts receivable. Casino expenses have increased during the year ended December 31, 2010 due primarily to an increase in casino revenues especially at our Macau Operations where we incur a gaming tax and other levies at a rate totaling 39% in accordance with our concession agreement. Room expenses increased during the year ended December 31, 2010, compared to the prior year, primarily due to increased customer acquisition and marketing costs and the opening of Encore at Wynn Macau in April 2010. Food and beverage expenses increased commensurate with the increase in revenue.</w:t>
      </w:r>
    </w:p>
    <w:p>
      <w:pPr>
        <w:spacing w:after="0" w:line="141" w:lineRule="exact"/>
        <w:rPr>
          <w:sz w:val="20"/>
          <w:szCs w:val="20"/>
          <w:color w:val="auto"/>
        </w:rPr>
      </w:pPr>
    </w:p>
    <w:p>
      <w:pPr>
        <w:ind w:right="380" w:firstLine="456"/>
        <w:spacing w:after="0" w:line="258" w:lineRule="auto"/>
        <w:rPr>
          <w:sz w:val="20"/>
          <w:szCs w:val="20"/>
          <w:color w:val="auto"/>
        </w:rPr>
      </w:pPr>
      <w:r>
        <w:rPr>
          <w:rFonts w:ascii="Times New Roman" w:cs="Times New Roman" w:eastAsia="Times New Roman" w:hAnsi="Times New Roman"/>
          <w:sz w:val="18"/>
          <w:szCs w:val="18"/>
          <w:color w:val="auto"/>
        </w:rPr>
        <w:t>Entertainment, retail and other expense increased primarily as a result of performances by Garth Brooks in the Encore Theater at Wynn Las Vegas and increased retail sales in Macau as noted above. General and administrative expenses increased primarily due to higher spending associated with corporate activities. The provision for doubtful accounts receivable increased $14.6 million due to an increase in credit issuances commensurate with the increase in business volume.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9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2010, we incurred $9.5 million of pre-opening costs compared to $1.8 million during the year ended December 31, 2009. Pre-opening costs incurred during the year ended December 31, 2010, primarily related to Encore at Wynn Macau which opened on April 21, 2010 and the Encore Beach Club which opened in Las Vegas on May 28, 2010.</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firstLine="456"/>
        <w:spacing w:after="0" w:line="310" w:lineRule="auto"/>
        <w:rPr>
          <w:sz w:val="20"/>
          <w:szCs w:val="20"/>
          <w:color w:val="auto"/>
        </w:rPr>
      </w:pPr>
      <w:r>
        <w:rPr>
          <w:rFonts w:ascii="Times New Roman" w:cs="Times New Roman" w:eastAsia="Times New Roman" w:hAnsi="Times New Roman"/>
          <w:sz w:val="16"/>
          <w:szCs w:val="16"/>
          <w:color w:val="auto"/>
        </w:rPr>
        <w:t>Depreciation and amortization for the year ended December 31, 2010 was $405.6 million compared to $410.5 million for the year ended December 31, 2009. This decrease is primarily due to assets with a 5-year life being fully depreciated as of April 2010 at Wynn Las Vegas, offset by depreciation of the assets of Encore at Wynn Macau which were placed in to service in April 2010 and the assets of the Encore Beach Club which were placed in to service in May 2010.</w:t>
      </w:r>
    </w:p>
    <w:p>
      <w:pPr>
        <w:spacing w:after="0" w:line="97"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of our resorts, costs incurred in the construction of the buildings, improvements to land and the purchases of assets for use in operations were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36"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The maximum useful life of assets at our Macau Operations is the remaining life of the gaming concession or land concession, which currently expire in June 2022 and August 2029, respectively. Consequently, depreciation related to our Macau Operations is charged on an accelerated basis when compared to our Las Vegas Operations.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Property charges and other generally include costs related to the retirement of assets for remodels and asset abandonments. Property charges and other for the year ended December 31, 2010, were $25.2 million compared to $28.5 million for the year ended December 31, 2009. Property charges and other for the year ended December 31, 2010 include a contract termination payment of $14.9 million related to a management contract for certain of the nightclubs at Wynn Las Vegas and Encore at Wynn Las Vegas and miscellaneous renovations, abandonments and gain/loss on sale of equipment at Wynn Las Vegas and Wynn Macau. Property charges and other for the year ended December 31, 2009, include a $16.7 million charge for the abandonment of the front porte-cochere at Encore at Wynn Las Vegas to make way for the Encore Beach Club, the write-off of $6.8 million of aircraft purchase deposits and $5 million related to miscellaneous renovations, abandonments and loss on sale of equipment.</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response to our evaluation of our resorts and the reactions of our guests, we continue to remodel and make enhancements at our resorts.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Interest income was $2.5 million and $1.7 million for the years ended December 31, 2010 and 2009, respectively. During 2010 and 2009, our short-term investment strategy has been to preserve capital while retaining sufficient liquidity. Accordingly, our short-term investments include primarily money market funds, U.S. Treasury Bills and time deposits with a purchase maturity of three months or less.</w:t>
      </w:r>
    </w:p>
    <w:p>
      <w:pPr>
        <w:spacing w:after="0" w:line="132"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 xml:space="preserve">Interest expense was $222.9 million, net of capitalized interest of $7.2 million, for the year ended December 31, 2010, compared to $211.4 million, net of capitalized interest of $10.7 million, for the year ended December 31, 2009. Our interest expense increased approximately $11.5 million primarily due to (i) an increase of $33.2 million related to the Wynn Las Vegas $500 million 7 </w:t>
      </w:r>
      <w:r>
        <w:rPr>
          <w:rFonts w:ascii="Times New Roman" w:cs="Times New Roman" w:eastAsia="Times New Roman" w:hAnsi="Times New Roman"/>
          <w:sz w:val="10"/>
          <w:szCs w:val="10"/>
          <w:color w:val="auto"/>
        </w:rPr>
        <w:t>7</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6"/>
          <w:szCs w:val="16"/>
          <w:color w:val="auto"/>
        </w:rPr>
        <w:t>% First Mortgage Notes issued in October 2009, (ii) an increase of $8.9 million related to the increase in rate for the Wynn Las Vegas First Mortgage Notes as discussed below, and (iii) a decrease in interest capitalized of $3.5 million. These increases were offset partially by (i) a decrease of $16 million due to the payoff of the Wynn Resorts term loan in June 2009 and (ii) a decrease of $19.2 million related to reduced amounts outstanding under the Wynn Las Vegas and Wynn Macau bank revolving credit facilities compared to the prior year.</w:t>
      </w:r>
    </w:p>
    <w:p>
      <w:pPr>
        <w:spacing w:after="0" w:line="11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Changes in the fair value of our interest rate swaps are recorded as an increase (or decrease) in swap fair value in each year. We recorded an expense of approximately $0.9 million for the year ended December 31, 2010 resulting from the decrease in the fair value of our interest rate swaps from December 31, 2009 to December 31, 2010. During the year ended December 31, 2009 we recorded an expense of $2.3 million resulting from the decrease in the fair value of interest rate swaps between December 31, 2008 and December 31, 2009. For further information on our interest rate swaps, see Item 7A—“Quantitative and Qualitative Disclosures about Market Risk.”</w:t>
      </w:r>
    </w:p>
    <w:p>
      <w:pPr>
        <w:spacing w:after="0" w:line="139"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 xml:space="preserve">In April 2010, we completed an exchange offer for a portion of the Wynn Las Vegas 6 </w:t>
      </w:r>
      <w:r>
        <w:rPr>
          <w:rFonts w:ascii="Times New Roman" w:cs="Times New Roman" w:eastAsia="Times New Roman" w:hAnsi="Times New Roman"/>
          <w:sz w:val="10"/>
          <w:szCs w:val="10"/>
          <w:color w:val="auto"/>
        </w:rPr>
        <w:t>5</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8</w:t>
      </w:r>
      <w:r>
        <w:rPr>
          <w:rFonts w:ascii="Times New Roman" w:cs="Times New Roman" w:eastAsia="Times New Roman" w:hAnsi="Times New Roman"/>
          <w:sz w:val="16"/>
          <w:szCs w:val="16"/>
          <w:color w:val="auto"/>
        </w:rPr>
        <w:t>% First Mortgage Notes due 2014 (“the 2014 Notes”). In connection with that exchange offer, the direct costs incurred with third parties of $4.6 million were expensed. Also, in connection with our July 2010 tender offer for the then outstanding 2014 Notes and subsequent call of all the remaining amounts once the tender was completed, we recorded a loss on extinguishment of debt of $ 63.3 million. This included the tender offer consideration, the call premium and the related write off of the unamortized debt issue costs and original issue discount. These transactions are described in more detail in Note 7 to our Consolidated Financial Statements in this Annual Report on Form 10-K.</w:t>
      </w:r>
    </w:p>
    <w:p>
      <w:pPr>
        <w:spacing w:after="0" w:line="108" w:lineRule="exact"/>
        <w:rPr>
          <w:sz w:val="20"/>
          <w:szCs w:val="20"/>
          <w:color w:val="auto"/>
        </w:rPr>
      </w:pPr>
    </w:p>
    <w:p>
      <w:pPr>
        <w:ind w:right="360" w:firstLine="456"/>
        <w:spacing w:after="0" w:line="258" w:lineRule="auto"/>
        <w:rPr>
          <w:sz w:val="20"/>
          <w:szCs w:val="20"/>
          <w:color w:val="auto"/>
        </w:rPr>
      </w:pPr>
      <w:r>
        <w:rPr>
          <w:rFonts w:ascii="Times New Roman" w:cs="Times New Roman" w:eastAsia="Times New Roman" w:hAnsi="Times New Roman"/>
          <w:sz w:val="18"/>
          <w:szCs w:val="18"/>
          <w:color w:val="auto"/>
        </w:rPr>
        <w:t>As a result of several debt retirements, we recorded a gain on early extinguishment of debt of $18.7 million during the year ended December 31, 2009. During the year ended December 31, 2009, we purchased and retired outstanding loans of $375 million under the Wynn Resorts Term Loan Facility at a discounted price of 97.25%. In connection with this transaction, we recognized an $8.8 million gain on early retirement of debt, net of the write-off of unamortized debt issue cost. During this same period, we purchased $65.8 million face amount of the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2014 Notes through open market purchases at a discount. This transaction resulted in a gain on early extinguishment of debt of $13.7 million, net of the write off of unamortized debt discount and debt issue costs. We participated in the April 2010 tender offer noted above with respect to $35.8 million of these notes and accordingly, as of December 31, 2010, Wynn Resorts holds $30 million of this debt which has not been contributed to its wholly-owned subsidiary, Wynn Las Vegas. For accounting purposes these notes were treated as having been extinguished by Wynn Resorts in 2009. In October 2009, we purchased loans through an offer to purchase loans outstanding under the Wynn Las Vegas credit agreement, with a face-value of $87.6 million for $84.4 million, reflecting a discounted price of 96.37%. In connection with this transaction, we recognized a net gain of approximately $2.1 million on early retirement of debt. Offsetting these gains was the write off of debt issue costs of approximately $5.9 million related to permanent reductions in our bank credit facility as described under Financing Activities below.</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2010, we recorded a tax expense of $20.4 million. Our provision for income taxes is primarily comprised of increases in our foreign and domestic valuation allowances relating to foreign tax loss carryforwards, other foreign deferred tax assets and U.S. foreign tax credits not considered more likely than not realizable in the future. The tax provision recorded for the valuation allowance increases was reduced by an income tax benefit recorded for the loss from our U.S. operations. As of June 30, 2010, we no longer consider our portion of the tax earnings and profits of Wynn Macau, Limited to be permanently reinvested. No additional U.S. tax provision has been made with respect to this amount as we anticipate that U.S. foreign tax credits should be sufficient to eliminate any U.S. tax provision relating to such repatriation. Prior to this change, our earnings attributable to periods after September 2009, were considered permanently reinvested abroad. The decrease in our current deferred tax liability is primarily attributable to the repatriation of $1.14 billion of Wynn Macau, Limited IPO proceeds not considered permanently reinvested. During the year ended December 31, 2010, we recognized income tax benefits related to excess tax deductions associated with stock-based compensation costs of $10.5 million.</w:t>
      </w:r>
    </w:p>
    <w:p>
      <w:pPr>
        <w:spacing w:after="0" w:line="14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Effective September 6, 2006, Wynn Macau S.A. received a 5-year exemption from Macau’s 12% Complementary Tax on casino gaming profits. Accordingly, we were exempted from the payment of $64.4 million in such taxes for the year ended December 31, 2010. Our non-gaming profits remain subject to the Macau Complementary Tax and casino winnings remain subject to the Macau Special Gaming tax and other levies at a rate totaling 39% in accordance with our concession agreement. On November 30, 2010, Wynn Macau S.A. received an additional 5-year exemption from Macau’s 12% Complementary Tax on casino gaming profits to December 31, 2015.</w:t>
      </w:r>
    </w:p>
    <w:p>
      <w:pPr>
        <w:spacing w:after="0" w:line="139" w:lineRule="exact"/>
        <w:rPr>
          <w:sz w:val="20"/>
          <w:szCs w:val="20"/>
          <w:color w:val="auto"/>
        </w:rPr>
      </w:pPr>
    </w:p>
    <w:p>
      <w:pPr>
        <w:ind w:right="100" w:firstLine="456"/>
        <w:spacing w:after="0" w:line="301" w:lineRule="auto"/>
        <w:rPr>
          <w:sz w:val="20"/>
          <w:szCs w:val="20"/>
          <w:color w:val="auto"/>
        </w:rPr>
      </w:pPr>
      <w:r>
        <w:rPr>
          <w:rFonts w:ascii="Times New Roman" w:cs="Times New Roman" w:eastAsia="Times New Roman" w:hAnsi="Times New Roman"/>
          <w:sz w:val="16"/>
          <w:szCs w:val="16"/>
          <w:color w:val="auto"/>
        </w:rPr>
        <w:t>During the year ended December 31, 2010, the Macau Finance Bureau commenced an examination of the 2006 and 2007 Macau income tax returns of Wynn Macau S.A. We believe that the examination of the 2006 Macau income tax return will likely conclude within the next 12 months; however, we are unable to provide a summary of the likely examination issues or the impact on unrecognized tax benefits. As of December 31, 2010, no significant issues have been brought to our attention and we believe that our liability for uncertain tax positions recorded at Wynn Macau S.A. is adequate with respect to these years.</w:t>
      </w:r>
    </w:p>
    <w:p>
      <w:pPr>
        <w:spacing w:after="0" w:line="10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2010, we reached an agreement with the Appellate division of the IRS regarding issues raised during the examination of our 2004 and 2005 U.S. income tax returns. The issues for consideration by the Appellate division were temporary differences and related to the deduction of certain costs incurred during the development and construction of Wynn Las Vegas and the appropriate tax depreciation recovery periods applicable to certain assets. As a result of this settlement with the Appellate division, we reduced our unrecognized tax benefits by $78.4 million. This reduction in unrecognized tax benefits resulted in a decrease in our liability for uncertain tax positions of $55 million. The settlement of the 2004 and 2005 examination issues did not result in a cash tax payment but rather utilized $88.5 million and $2.5 million in foreign tax credit and general business credit carryforwards. The statute of limitations for the 2004 and 2005 U.S. income tax returns has been extended to September 30, 2011.</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During 2010, we received the results of an IRS examination of our 2006 through 2008 U.S. income tax returns and filed an appeal of the examination’s findings with the Appellate division of the IRS. In connection with that appeal, we agreed to extend the statute of limitations for our 2006 and 2007 U.S. income tax returns to December 31, 2011. We believe that we will likely reach an agreement with the IRS with respect to the examination of these U.S. income tax returns within the next 12 months. The issues under examination in these years are temporary differences and relate to the treatment of discounts extended to Las Vegas casino customers gambling on credit, the deduction of certain costs incurred during the development and construction of Encore at Wynn Las Vegas and the appropriate tax depreciation recovery periods applicable to certain assets. Upon the settlement of these issues, unrecognized tax benefits could decrease by $0 to $54 million. The resolution of the 2006, 2007 and 2008 examination is not expected to result in any significant cash payment but rather the utilization of a portion of our foreign tax credit carryforward.</w:t>
      </w:r>
    </w:p>
    <w:p>
      <w:pPr>
        <w:spacing w:after="0" w:line="13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During the fourth quarter of 2010, the IRS commenced an examination of our 2009 U.S. income tax return. Since the examination is in its initial stages, we are unable to determine if it will conclude within the next twelve months. We believe that our liability for uncertain tax positions related to the period covered by the examination is adequate. The resolution of the 2009 IRS examination is not expected to result in any significant cash payment, but rather the utilization of a portion of our 2009 foreign tax credit carryforward.</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9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October 2009, Wynn Macau, Limited, our indirect wholly-owned subsidiary and the developer, owner and operator of Wynn Macau, listed its ordinary shares of common stock on The Stock Exchange of Hong Kong Limited. Wynn Macau, Limited sold 1,437,500,000 shares (27.7%) of its common stock through an initial public offering. We recorded net income attributable to noncontrolling interests of $156.5 million for the year ended December 31, 2010, compared to $18.5 million for the period October 9, 2009, the date of the initial public offering, to December 31, 2009. This represents the noncontrolling interests’ share of net income from Wynn Macau, Limited.</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 for the Year Ended December 31, 2009 Compared to the Year Ended December 31, 2008</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As noted earlier, our financial results for the year ended December 31, 2009 are not comparable to the year ended December 31, 2008, as the year ended December 31, 2009 includes the operations of Encore at Wynn Las Vegas which opened on December 22, 2008, whereas the prior year includes only 10 days of Encore at Wynn Las Vegas.</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Net revenues for the year ended December 31, 2009 are comprised of $2,206.8 million in casino revenues (72.5% of total net revenues) and $838.8 million of net non-casino revenues (27.5% of total net revenues). Net revenues for the year ended December 31, 2008 were comprised of $2,261.9 million in casino revenues (75.7% of total net revenues) and $725.4 million of net non-casino revenues (24.3% of total net revenues).</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Casino revenues are comprised of the net win from our table games and slot machine operations. Casino revenues for the year ended December 31, 2009 of approximately $2,206.8 million represents a $55.1 million (or 2.4 %) decrease from casino revenues of $2,261.9 million for the year ended December 31, 2008. We expanded Wynn Las Vegas with the opening of Encore at Wynn Las Vegas in December 2008. Encore added approximately 90 table games and approximately 800 slot machines to our Las Vegas casino operations. Even with these additions in capacity, our Las Vegas Operations experienced only a 5.4% increase in casino revenues, from $479.7 million in 2008 to $505.8 million in 2009, due to an increase in drop of 1.2% and a slight increase in our average table games win percentage. Our average table games win percentage (before discounts) for the year ended December 31, 2009 was 20.2%, which was below the expected range of 21% to 24% and compares to 20.0% for the prior year. Slot handle at our Las Vegas Operations decreased 2.5% during the year ended December 31, 2009 as compared to 2008, and the slot win percentage was within the expected range of 4.5% to 5.5%.</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Casino revenues at Wynn Macau decreased $81.2 million during the year ended December 31, 2009, compared to the prior year. At Wynn Macau, we experienced an 8% decrease in the VIP revenue segment primarily due to a 2% decrease in turnover and a decrease in our win as a percent of turnover. Our win as a percent of turnover was 2.9%, which was within the expected range of 2.7% to 3.0%, and compares to 3.0% in 2008. Our VIP casino segment win as a percent of turnover includes a nominal beneficial effect attributable to non-rolling chip play in that segment. In our general casino at Wynn Macau, drop decreased 12.2% when compared to the prior year and the average table games win percentage was 21.9%, which was above the expected range of 19% to 21%. The average table games win percentage in the general casino at Wynn Macau for the year ended December 31, 2008 was 19.6%. Slot handle at Wynn Macau increased 12.7% compared to the prior year and the slot win percentage was within the expected range of 4.5% to 5.5%. The increase in slot handle was primarily due to the play of several high-end slot customers.</w:t>
      </w:r>
    </w:p>
    <w:p>
      <w:pPr>
        <w:spacing w:after="0" w:line="13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2009, room revenues were approximately $377.5 million, an increase of $50.8 million compared to prior year room revenue of $326.7 million. Room revenue at our Las Vegas Operations increased approximately $52.6 million compared to the prior year due to the addition of 2,034 suites at Encore at Wynn Las Vegas, which opened December 22, 2008. In Las Vegas, we continued to experience a significant decrease in occupancy and room rates during the year ended December 31, 2009, compared to the year ended December 31, 2008. Room revenue at Wynn Macau decreased approximately $1.8 million due to a decrease in room rates compared to the prior year.</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key operating measures related to room revenue.</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5"/>
        </w:trPr>
        <w:tc>
          <w:tcPr>
            <w:tcW w:w="4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82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Rate</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$ 217</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$ 288</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2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3960" w:type="dxa"/>
            <w:vAlign w:val="bottom"/>
            <w:gridSpan w:val="3"/>
            <w:shd w:val="clear" w:color="auto" w:fill="CCEEFF"/>
          </w:tcPr>
          <w:p>
            <w:pPr>
              <w:jc w:val="right"/>
              <w:ind w:right="612"/>
              <w:spacing w:after="0"/>
              <w:rPr>
                <w:sz w:val="20"/>
                <w:szCs w:val="20"/>
                <w:color w:val="auto"/>
              </w:rPr>
            </w:pPr>
            <w:r>
              <w:rPr>
                <w:rFonts w:ascii="Times New Roman" w:cs="Times New Roman" w:eastAsia="Times New Roman" w:hAnsi="Times New Roman"/>
                <w:sz w:val="18"/>
                <w:szCs w:val="18"/>
                <w:color w:val="auto"/>
              </w:rPr>
              <w:t>85.2%</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3960" w:type="dxa"/>
            <w:vAlign w:val="bottom"/>
            <w:gridSpan w:val="3"/>
          </w:tcPr>
          <w:p>
            <w:pPr>
              <w:jc w:val="right"/>
              <w:ind w:right="612"/>
              <w:spacing w:after="0"/>
              <w:rPr>
                <w:sz w:val="20"/>
                <w:szCs w:val="20"/>
                <w:color w:val="auto"/>
              </w:rPr>
            </w:pPr>
            <w:r>
              <w:rPr>
                <w:rFonts w:ascii="Times New Roman" w:cs="Times New Roman" w:eastAsia="Times New Roman" w:hAnsi="Times New Roman"/>
                <w:sz w:val="18"/>
                <w:szCs w:val="18"/>
                <w:color w:val="auto"/>
              </w:rPr>
              <w:t>87.5%</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REVPAR</w:t>
            </w:r>
          </w:p>
        </w:tc>
        <w:tc>
          <w:tcPr>
            <w:tcW w:w="2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Las Vegas</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$ 265</w:t>
            </w:r>
          </w:p>
        </w:tc>
        <w:tc>
          <w:tcPr>
            <w:tcW w:w="200" w:type="dxa"/>
            <w:vAlign w:val="bottom"/>
          </w:tcPr>
          <w:p>
            <w:pPr>
              <w:spacing w:after="0"/>
              <w:rPr>
                <w:sz w:val="18"/>
                <w:szCs w:val="18"/>
                <w:color w:val="auto"/>
              </w:rPr>
            </w:pPr>
          </w:p>
        </w:tc>
      </w:tr>
      <w:tr>
        <w:trPr>
          <w:trHeight w:val="216"/>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Macau</w:t>
            </w:r>
          </w:p>
        </w:tc>
        <w:tc>
          <w:tcPr>
            <w:tcW w:w="3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Other non-casino revenues for the year ended December 31, 2009 include food and beverage revenues of approximately $436.4 million, retail revenues of approximately $165.1 million, entertainment revenues of approximately $57.1 million, and other revenues from outlets such as the spa and salon, of approximately $66.2 million. Other non-gaming revenues for the year ended December 31, 2008 include food and beverage revenues of approximately $358.7 million, retail revenues of approximately $147.9 million, entertainment revenues of approximately $66.2 million, and other revenues from outlets, including the spa and salon, of approximately $56 million. Food and beverage revenues at our Las Vegas Operations increased as a result of the additional 12 food and beverage outlets located in Encore at Wynn Las Vegas, including a new night club, which opened in December 2008, offset by a decrease of $2.4 million at Wynn Macau, as compared to the prior year. Although we added new retail outlets at Encore at Wynn Las Vegas, overall retail revenues in Las Vegas were flat. Retail revenues at Wynn Macau increased approximately $16.9 million due primarily to increased sales at several retail outlets and the opening of Wynn and Co. Watches and Jewelry, which sells Cartier, Jaeger Le Coultre, and Kwiat products. Entertainment revenues decreased over the prior year primarily due to the closure of the Spamalot production show at Wynn Las Vegas in July 2008. This decrease was offset in part by revenue from headliner acts that performed during 2009, including Garth Brooks, who began performing in the Encore Theater in December 2009.</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Departmental, Administrative and Other Expenses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During the year ended December 31, 2009, departmental expenses include casino expense of $1,460.1 million, rooms expense of $111.6 million, food and beverage expense of $252.7 million, and entertainment, retail and other expense of $166.6 million. Also included are general and administrative expenses of approximately $365.1 million and approximately $13.7 million charged as a provision for doubtful accounts receivable. During the year ended December 31, 2008, departmental expenses include casino expenses of $1,490.9 million, room expenses of $78.2 million, food and beverage expenses of $207.3 million, and entertainment and retail and other expenses of $161.9 million. Also included are general and administrative expenses of approximately $319.3 million and approximately $49.4 million charged as a provision for doubtful accounts receivable. Casino expenses have decreased during the year ended December 31, 2009, due to a decrease in casino revenues especially at Wynn Macau where a gaming tax of 39% is the significant driver of expense in that department. Room, food and beverage and general and administrative expenses increased as a result of the opening of Encore at Wynn Las Vegas in December 2008. Entertainment, retail and other expense increased primarily in the entertainment department due to headliner performances during the year. Our provision for doubtful accounts receivable declined during the year ended December 31, 2009, compared to the prior year due to recent strong collection trends on our casino accounts receivable. This strength has allowed us to reduce the additional reserves we recorded in the third quarter of 2008.</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Pre-opening costs</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During the year ended December 31, 2009, we incurred pre-opening costs of $1.8 million compared to $72.4 million for the year ended December 31, 2008. Pre-opening costs incurred during the year ended December 31, 2009 were related to Encore at Wynn Macau. Pre-opening costs incurred during the year ended December 31, 2008 were related to Encore at Wynn Las Vegas which opened in December 2008.</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9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Depreciation and amortization for the year ended December 31, 2009, of $410.5 million increased by $147.3 million when compared to the year ended December 31, 2008, primarily due to depreciation of the assets of Encore at Wynn Las Vegas which were placed into service in December 2008.</w:t>
      </w:r>
    </w:p>
    <w:p>
      <w:pPr>
        <w:spacing w:after="0" w:line="12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of our resorts, costs incurred in the construction of the buildings, improvements to land and the purchases of assets for use in operations are capitalized. Once these resorts opened, their assets were placed into service and we began recognizing the associated depreciation expense. Depreciation expenses will continue throughout the estimated useful lives of these assets. In addition, we continually evaluate the useful life of our property and equipment, intangibles and other assets and adjust them when warranted.</w:t>
      </w:r>
    </w:p>
    <w:p>
      <w:pPr>
        <w:spacing w:after="0" w:line="136"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our Las Vegas Operations.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Property charges and other</w:t>
      </w:r>
    </w:p>
    <w:p>
      <w:pPr>
        <w:spacing w:after="0" w:line="9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Property charges and other generally include costs related to the retirement of assets for remodels and asset abandonments. Property charges and other for the year ended December 31, 2009 were $28.5 million compared to approximately $32.6 million for the year ended December 31, 2008. Property charges and other for the year ended December 31, 2009 included a $16.7 million charge for the abandonment of the front porte-cochere at Encore at Wynn Las Vegas to make way for the Encore Beach Club, a $6.8 million charge for the write-off of 2 aircraft deposits and a $5 million charge related to miscellaneous remodels, abandonments and loss on sale of equipment.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Property charges and other for the year ended December 31, 2008 include $17.8 million of costs associated with Spamalot at Wynn Las Vegas which closed in July 2008. The costs included the production rights that were included in intangible assets, show production costs that were included in other assets and certain other property and equipment. In 2008, we also incurred a $3.6 million charge at Wynn Macau related to the abandonment of certain existing floor space to begin construction of a new restaurant. The remaining property charges during 2008 were related to miscellaneous renovations and abandonments at both Wynn Las Vegas and Wynn Macau.</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expect to continue to remodel and make enhancements at our resorts.</w:t>
      </w:r>
    </w:p>
    <w:p>
      <w:pPr>
        <w:spacing w:after="0" w:line="2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non-operating costs and expenses</w:t>
      </w:r>
    </w:p>
    <w:p>
      <w:pPr>
        <w:spacing w:after="0" w:line="9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Interest income was $1.7 million for the year ended December 31, 2009, compared to $21.5 million for the year ended December 31, 2008. Interest income decreased $19.8 million primarily due to a significant decrease in the average interest rates earned on invested cash balances compared to the prior year. During 2009, our short-term investment strategy was primarily to preserve capital while retaining sufficient liquidity. Accordingly, our short-term investments were primarily in investments in U.S. Treasury Bills with a maturity of three months or less.</w:t>
      </w:r>
    </w:p>
    <w:p>
      <w:pPr>
        <w:spacing w:after="0" w:line="136"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Interest expense was $211.4 million, net of capitalized interest of $10.7 million, for the year ended December 31, 2009, compared to $172.7 million, net of capitalized interest of $87.4 million, for the year ended December 31, 2008. Our interest expense increased due to (i) $76.7 million less of capitalized interest related to our construction activities with the opening of Encore at Wynn Las Vegas in December 2008, (ii) approximately $8.4 million of interest related to the 7 7/8% $500 million First Mortgage Notes issued in October 2009, (iii) approximately $3.9 million of interest related to additional borrowings on our Wynn Macau credit facilities during the year and (iv) approximately $0.6 million of interest associated with increased interest rates on the Wynn Las Vegas revolver. These increases were offset by (i) approximately $38.6 million less interest due to the November 2008 paydown of the Wynn Resorts term loan, as well as the subsequent $375 million payoff of such term loan in June 2009, (ii) approximately $3 million less interest related to the purchase of $65.8 million of 2014 Notes and (iii) approximately $9.3 million less interest due to lower average interest rates on the remainder of our debt including the expiration of the Wynn Las Vegas interest rate swap in December 2008.</w:t>
      </w:r>
    </w:p>
    <w:p>
      <w:pPr>
        <w:spacing w:after="0" w:line="143"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Changes in the fair value of our interest rate swaps are recorded as an increase (or decrease) in swap fair value in each year. We recorded an expense of approximately $2.3 million for the year ended December 31, 2009 resulting from the decrease in the fair value of our interest rate swaps from December 31, 2008 to December 31, 2009. During the year ended December 31, 2008 we recorded an expense of $31.5 million resulting from the net decrease in the fair value of interest rate swaps between December 31, 2007 and December 31, 2008. For further information on our interest rate swaps, see Item 7A—“Quantitative and Qualitative Disclosures about Market Risk.”</w:t>
      </w:r>
    </w:p>
    <w:p>
      <w:pPr>
        <w:spacing w:after="0" w:line="139"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As a result of several debt retirements, we recorded a gain on early extinguishment of debt of $18.7 million during the year ended December 31, 2009. During 2009, we purchased and retired outstanding loans of $375 million under the Wynn Resorts term loan at a discounted price of 97.25%. In connection with this transaction, we recognized an $8.8 million gain on early retirement of debt, net of the write-off of unamortized debt issue cost. We purchased $65.8 million face amount of the 2014 Notes through open market purchases at a discount. This transaction resulted in a gain on early extinguishment of debt of $13.7 million, net of the write off of unamortized debt discount and debt issue costs. As of December 31, 2009, Wynn Resorts holds this debt and has not contributed it to its wholly-owned subsidiary, Wynn Las Vegas. However, for accounting purposes this transaction has been treated as an extinguishment of debt by Wynn Resorts. In October 2009, we purchased loans through an offer to purchase loans outstanding under the Wynn Las Vegas credit agreement, with a face-value of $87.6 million for $84.4 million, reflecting a discounted price of 96.37%. In connection with this transaction, we recognized a gain of approximately $2.1 million on early retirement of debt in the fourth quarter of 2009.</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Other represents the loss recognized in connection with foreign currency remeasurements of assets and liabilities in Macau that are not denominated in the local currency.</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2009, we recorded a tax expense of $3.0 million. Our provision for income taxes primarily relates to an increase in a valuation allowance related to foreign tax credits resulting from the repatriation of Wynn Macau earnings and the Wynn Macau Limited IPO proceeds. As discussed in our footnote on income taxes (Note 15), we currently do not consider forecasted future operating results when scheduling the realization of deferred tax assets and the required valuation allowance but instead rely solely on the reversal of net taxable temporary differences. The ultimate realization of our recorded foreign tax credit deferred tax asset is dependent upon the incurrence of sufficient U.S. income tax liabilities attributable to foreign source income during the 10-year foreign tax credit carryover period.</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As of December 31, 2009, we have provided deferred income taxes net of foreign tax credits on the Wynn Macau Limited IPO proceeds (Note 13) planned for repatriation. No deferred income taxes have been provided for earnings of foreign subsidiaries that are considered permanently reinvested. During the year ended December 31, 2008, we recorded a tax benefit of $61.6 million primarily associated with foreign tax credits applicable to earnings not considered permanently invested abroad. As of December 31, 2008, none of our foreign earnings were considered permanently invested abroad.</w:t>
      </w:r>
    </w:p>
    <w:p>
      <w:pPr>
        <w:spacing w:after="0" w:line="136" w:lineRule="exact"/>
        <w:rPr>
          <w:sz w:val="20"/>
          <w:szCs w:val="20"/>
          <w:color w:val="auto"/>
        </w:rPr>
      </w:pPr>
    </w:p>
    <w:p>
      <w:pPr>
        <w:ind w:right="160" w:firstLine="456"/>
        <w:spacing w:after="0" w:line="291" w:lineRule="auto"/>
        <w:rPr>
          <w:sz w:val="20"/>
          <w:szCs w:val="20"/>
          <w:color w:val="auto"/>
        </w:rPr>
      </w:pPr>
      <w:r>
        <w:rPr>
          <w:rFonts w:ascii="Times New Roman" w:cs="Times New Roman" w:eastAsia="Times New Roman" w:hAnsi="Times New Roman"/>
          <w:sz w:val="16"/>
          <w:szCs w:val="16"/>
          <w:color w:val="auto"/>
        </w:rPr>
        <w:t>Effective September 6, 2006, Wynn Macau, S.A. received a 5-year exemption from Macau’s 12% Complementary Tax on casino gaming profits. Accordingly, we were exempted from the payment of $31.7 million in such taxes for the year ended December 31, 2009. Our non-gaming profits remain subject to the Macau Complementary Tax and casino winnings remain subject to the Macau Special Gaming tax and other levies totaling 39% in accordance with our concession agreement. In June 2009, Wynn Macau, S.A. entered into an agreement with the Macau Special Administrative Region that provides for an annual payment of MOP $7.2 million (approximately $900,000 US dollars) to the Macau Special Administrative Region as complementary tax due by shareholders of Wynn Macau S.A. on dividend distributions. This agreement is effective as of 2006. Therefore, included in the tax provision for the year ended December 31, 2009, are the amounts related to the years 2006 through 2009 totaling $3.6 million. This agreement on dividends is effective through 2010.</w:t>
      </w:r>
    </w:p>
    <w:p>
      <w:pPr>
        <w:spacing w:after="0" w:line="113"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In February 2010, we entered into a Pre-Filing Agreement (“PFA”) with the Internal Revenue Service (“IRS”) providing that the Macau Special Gaming Tax qualifies as a tax paid in lieu of an income tax and can be claimed as a U.S. foreign tax credit. In January 2010, the IRS commenced an examination of the company’s 2006, 2007, and 2008 U.S. federal income tax returns. During the year ended December 31, 2009, we received the results of an IRS examination of our 2004 and 2005 tax returns and we filed an appeal of the examination’s findings. In connection with that appeal, we agreed to extend the statute of limitations for our 2004 and 2005 tax returns to March 15, 2011. We do not expect resolution of the findings within 12 months. We believe that our liabilities for uncertain tax positions related to the examination’s findings are adequate. The resolution of the 2004 and 2005 IRS examination is not expected to result in any significant cash payment, but rather the utilization of a portion of our 2008 foreign tax credit carryforward.</w:t>
      </w:r>
    </w:p>
    <w:p>
      <w:pPr>
        <w:spacing w:after="0" w:line="2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92"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October 2009, Wynn Macau, Limited, our indirect wholly-owned subsidiary and the developer, owner and operator of Wynn Macau, had its ordinary shares of common stock listed on The Stock Exchange of Hong Kong Limited. Wynn Macau, Limited sold 1,437,500,000 (27.7%) shares of its common stock through an initial public offering. The $18.5 million represents the noncontrolling interests share of our net income for the period from October 9, 2009, the date of the IPO, through December 31, 2009.</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Property EBITDA</w:t>
      </w:r>
    </w:p>
    <w:p>
      <w:pPr>
        <w:spacing w:after="0" w:line="92" w:lineRule="exact"/>
        <w:rPr>
          <w:sz w:val="20"/>
          <w:szCs w:val="20"/>
          <w:color w:val="auto"/>
        </w:rPr>
      </w:pPr>
    </w:p>
    <w:p>
      <w:pPr>
        <w:ind w:right="20" w:firstLine="456"/>
        <w:spacing w:after="0" w:line="286" w:lineRule="auto"/>
        <w:rPr>
          <w:sz w:val="20"/>
          <w:szCs w:val="20"/>
          <w:color w:val="auto"/>
        </w:rPr>
      </w:pPr>
      <w:r>
        <w:rPr>
          <w:rFonts w:ascii="Times New Roman" w:cs="Times New Roman" w:eastAsia="Times New Roman" w:hAnsi="Times New Roman"/>
          <w:sz w:val="16"/>
          <w:szCs w:val="16"/>
          <w:color w:val="auto"/>
        </w:rPr>
        <w:t>Adjusted property EBITDA is used by us to manage the operating results of our segments. 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334" w:lineRule="exact"/>
        <w:rPr>
          <w:sz w:val="20"/>
          <w:szCs w:val="20"/>
          <w:color w:val="auto"/>
        </w:rPr>
      </w:pPr>
    </w:p>
    <w:p>
      <w:pPr>
        <w:ind w:right="36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summarizes adjusted property EBITDA for our domestic (Wynn Las Vegas) and foreign (Wynn Macau) operations as reviewed by management and summarized in “Item 8—Notes to Consolidated Financial Statement—Note 17 Segment Information.” That footnote also presents a reconciliation of adjusted property EBITDA to net income.</w:t>
      </w:r>
    </w:p>
    <w:p>
      <w:pPr>
        <w:spacing w:after="0" w:line="252"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 Vegas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270,299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$ 244,065</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$ 252,875</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Macau</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892,686</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502,087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485,857</w:t>
            </w:r>
          </w:p>
        </w:tc>
        <w:tc>
          <w:tcPr>
            <w:tcW w:w="10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Property EBITDA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1,162,985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$ 746,152</w:t>
            </w:r>
          </w:p>
        </w:tc>
        <w:tc>
          <w:tcPr>
            <w:tcW w:w="4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$ 738,732</w:t>
            </w:r>
          </w:p>
        </w:tc>
      </w:tr>
      <w:tr>
        <w:trPr>
          <w:trHeight w:val="20"/>
        </w:trPr>
        <w:tc>
          <w:tcPr>
            <w:tcW w:w="4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During the past three years we have experienced disparity between our domestic (Las Vegas) and our foreign (Macau) operations. Adjusted property EBITDA has grown at our Macau operations, while we have experienced little variance in Las Vegas. This disparity is a direct result of the factors that have impacted the global economy, especially the United States. Demand in Las Vegas has been flat while demand in Macau has steadily increased. During 2010, the economic environment in the gaming and hotel markets in Las Vegas continued to experience depressed levels of gaming revenue, visitation and hotel room demand. While certain gaming and hotel statistics have increased from 2009 levels, improvement has not been significant. The average daily room rate increased 2%, visitation increased 2.7% to 37.3 million visitors, and Las Vegas Strip gaming revenues increased 4.5%, all as compared to the year ended December 31, 2009. During 2009, the economic environment in the gaming and hotel markets in Las Vegas experienced declines including among other things, a 3% decrease in visitation, a 9.4% decrease in Las Vegas Strip gaming revenue and a 22% decrease in average daily room rates, all as compared to the year ended December 31, 2008. While our customers in the United States have greatly reduced their spending levels due to weakness in the overall economy, increases in unemployment and weak consumer confidence, our customer base in Macau has not been impacted as much by such economic factors.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455" w:right="2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Also contributing to this decrease in the Wynn Las Vegas adjusted property EBITDA from 2008 to 2009 was the opening of Encore at Wynn Las Vegas in December 2008. While we added significant capacity to our Las Vegas operations, we experienced a relatively small increase in revenues due to the factors noted herein, but we also incurred significant additional operating expenses. Our Macau adjusted property EBITDA has increased as that market continues to grow and as we have expanded our resort. Revenues in 2009 declined slightly, however our operating expenses decreased at a greater rate due primarily to cost savings initiatives implemented during 2009. Refer to the discussions above regarding the specific details of our results of operations.</w:t>
      </w:r>
    </w:p>
    <w:p>
      <w:pPr>
        <w:spacing w:after="0" w:line="218"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13"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8"/>
          <w:szCs w:val="18"/>
          <w:i w:val="1"/>
          <w:iCs w:val="1"/>
          <w:color w:val="auto"/>
        </w:rPr>
        <w:t>Cash Flow from Operations</w:t>
      </w:r>
    </w:p>
    <w:p>
      <w:pPr>
        <w:spacing w:after="0" w:line="92"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Our operating cash flows primarily consist of our operating income generated by our Las Vegas and Macau resorts (excluding depreciation and other non-cash charges), interest paid, and changes in working capital accounts such as receivables, inventories, prepaid expenses, and payables. Our table games play both in Macau and Las Vegas is a mix of cash play and credit play, while our slot machine play is conducted primarily on a cash basis. A significant portion of our table games revenue is attributable to the play of a limited number of high-end international customers that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1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Net cash provided from operations for the year ended December 31, 2010 was $1.1 billion compared to $594 million provided by operations for the year ended December 31, 2009. This increase is primarily due to the increase in operating income as a result of increased casino, food and beverage, entertainment, retail and other department profitability especially from our Macau casino operations as discussed above. Cash flow from operations also benefited from a reduction in cash paid for interest and an increase from ordinary working capital changes.</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require a certain amount of cash on hand for operations. At December 31, 2010, we had approximately $1.26 billion of cash and cash equivalents available for operations, debt service and retirement, development activities, general corporate purposes and enhancements to our resorts. Approximately $662.6 million of our cash balance is held by Wynn Resorts, Limited, which is not a guarantor of the debt of its subsidiaries, including Wynn Las Vegas, LLC, Wynn Las Vegas Capital Corp. and Wynn Macau, S.A. In addition, as of December 31, 2010, we had approximately $327.2 million of availability under our Wynn Las Vegas Revolving Credit Facility and approximately $900 million of availability under our Wynn Macau Senior Revolving Credit Facility. Debt maturities in 2011 are $2.7 million, excluding $74.1 million of the Wynn Macau Term Loan that we have presented as a long-term liability as we have both the intent and ability to refinance this maturity with borrowings under the Wynn Macau Revolver. We believe that cash flow from operations, availability under our bank credit facilities and our existing cash balances will be adequate to satisfy our anticipated uses of capital during 2011. If any additional financing became necessary, we cannot provide assurance that future borrowings will be available.</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Cash and cash equivalents include investments in money market funds, U.S. Treasury Bills and bank time deposits, all with maturities of less than 90 days.</w:t>
      </w:r>
    </w:p>
    <w:p>
      <w:pPr>
        <w:spacing w:after="0" w:line="2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94"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Capital expenditures were approximately $283.8 million, $540.9 million and $1.3 billion for the years ended December 31, 2010, 2009 and 2008. Our capital expenditures relate primarily to the construction cost associated with Encore at Wynn Macau, which opened in April 2010, the Encore Beach Club and Surrender Nightclub, which opened in May 2010 and Encore at Wynn Las Vegas, which opened in December 2008.</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80"/>
          </w:cols>
          <w:pgMar w:left="240" w:top="455" w:right="27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First Mortgage Notes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October 2009, Wynn Las Vegas, LLC and Wynn Las Vegas Capital Corp. (the “Issuers”), our wholly-owned subsidiaries, issued in a private offering, $500 million aggregate principal amount of 7 7/8% First Mortgage Notes due November 1, 2017 (the “2017 Notes”) at a price of 97.823% of the principal amount. The Issuers pay interest on the 2017 Notes on May 1st and November 1st of each year. Commencing November 1, 2013, the 2017 Notes are redeemable at our option at a price equal to 103.938% of the principal amount redeemed and the premium over the principal amount declines ratably on November 1st of each year thereafter to zero on or after November 1, 2015. The 2017 Notes rank pari passu with the borrowings under the Wynn Las Vegas credit facilities and the outstanding first mortgage notes previously issued by the Issuers.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 In accordance with the fifth amendment to the Wynn Las Vegas Credit Agreement described below, we used the proceeds of this offering to repay amounts outstanding under the Wynn Las Vegas Revolver and Wynn Las Vegas Term Loan.</w:t>
      </w:r>
    </w:p>
    <w:p>
      <w:pPr>
        <w:spacing w:after="0" w:line="14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March 26, 2010, the Issuers commenced an offer to exchange all outstanding 2014 Notes for 7 7/8% First Mortgage Notes due 2020 (the “2020 Notes”), upon the terms and subject to the conditions set forth in an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The exchange offer closed on April 28, 2010 with approximately $352 million of the 2014 Notes being validly tendered for exchange to the 2020 Notes.</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Issuers pay interest on the 2020 Notes on May 1st and November 1st of each year. Commencing May 1, 2015, the 2020 Notes are redeemable at our option at a price equal to 103.938% of the principal amount redeemed and the premium over the principal amount declines ratably on May 1st of each year thereafter to zero on or after May 1, 2018. The 2020 Notes rank pari passu in right of payment with borrowings under Wynn Las Vegas, LLC’s credit facilities and 2017 Notes. The 2020 Notes are senior secured obligations of the Issuers, guaranteed by certain of Wynn Las Vegas, LLC’s subsidiaries and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and the 2017 Notes.</w:t>
      </w:r>
    </w:p>
    <w:p>
      <w:pPr>
        <w:spacing w:after="0" w:line="14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The noteholders who validly tendered 2014 Notes prior to the early delivery time received an early delivery payment on April 28, 2010 of 1% of the amount tendered in cash, which totaled approximately $3.5 million. In accordance with accounting standards, this has been included as deferred financing costs and will be amortized over the life of the 2020 Notes. The direct costs of the exchange offer incurred with third parties of $4.6 million were expensed and are included in Gain / (loss) on extinguishment of debt / exchange offer in our Consolidated Statements of Income.</w:t>
      </w:r>
    </w:p>
    <w:p>
      <w:pPr>
        <w:spacing w:after="0" w:line="136" w:lineRule="exact"/>
        <w:rPr>
          <w:sz w:val="20"/>
          <w:szCs w:val="20"/>
          <w:color w:val="auto"/>
        </w:rPr>
      </w:pPr>
    </w:p>
    <w:p>
      <w:pPr>
        <w:ind w:right="40" w:firstLine="456"/>
        <w:spacing w:after="0" w:line="291" w:lineRule="auto"/>
        <w:rPr>
          <w:sz w:val="20"/>
          <w:szCs w:val="20"/>
          <w:color w:val="auto"/>
        </w:rPr>
      </w:pPr>
      <w:r>
        <w:rPr>
          <w:rFonts w:ascii="Times New Roman" w:cs="Times New Roman" w:eastAsia="Times New Roman" w:hAnsi="Times New Roman"/>
          <w:sz w:val="16"/>
          <w:szCs w:val="16"/>
          <w:color w:val="auto"/>
        </w:rPr>
        <w:t>On August 4, 2010, the Issuers issued $1.32 billion aggregate principal amount of 7 3/4% First Mortgage Notes due August 15, 2020 (the “New 2020 Notes”). The New 2020 Notes were issued at par. The New 2020 Notes were offered only to qualified institutional buyers and outside the United States in accordance with Rule 144A and Regulation S, respectively, under the Securities Act. Wynn Las Vegas, LLC used the net proceeds of the offering along with the proceeds of a $50 million capital contribution from Wynn Resorts, Limited to purchase, and, as applicable, make consent payments for, any and all of the Issuers’ 2014 Notes that were validly tendered and accepted for payment pursuant to Wynn Las Vegas, LLC’s concurrent offer to purchase and consent solicitation with respect to the 2014 Notes, and to redeem all of the 2014 Notes not tendered. On or prior to August 3, 2010, valid tenders had been received with respect to approximately $951.3 million of the $1.3 billion aggregate principal amount of 2014 Notes outstanding. On August 4, 2010, tendering holders received the tender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6"/>
          <w:szCs w:val="16"/>
          <w:color w:val="auto"/>
        </w:rPr>
        <w:t>offer consideration in the amount of $1,004.38, plus a consent payment of $30 for each $1,000 principal amount of 2014 Notes, which totaled $32.7 million. The consent solicitation expired on August 3, 2010 and the tender offer expired on August 18, 2010. In accordance with accounting standards the consideration and consent fees were expensed and are included in Gain / (loss) on extinguishment of debt / exchange offer in our Consolidated Statements of Income.</w:t>
      </w:r>
    </w:p>
    <w:p>
      <w:pPr>
        <w:spacing w:after="0" w:line="97"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On August 4, 2010, the Trustee, at the request of the Issuers, gave notice of redemption of any and all of the remaining 2014 Notes. The redemption price was equal to 103.313% of the aggregate principal amount of the 2014 Notes redeemed plus accrued and unpaid interest thereon to September 3, 2010. The total redemption fees paid were $10.9 million. In accordance with accounting standards, the redemption fees were expensed and are included in Gain / (loss) on extinguishment of debt / exchange offer in our Consolidated Statements of Income.</w:t>
      </w:r>
    </w:p>
    <w:p>
      <w:pPr>
        <w:spacing w:after="0" w:line="136" w:lineRule="exact"/>
        <w:rPr>
          <w:sz w:val="20"/>
          <w:szCs w:val="20"/>
          <w:color w:val="auto"/>
        </w:rPr>
      </w:pPr>
    </w:p>
    <w:p>
      <w:pPr>
        <w:ind w:right="380" w:firstLine="456"/>
        <w:spacing w:after="0" w:line="275" w:lineRule="auto"/>
        <w:rPr>
          <w:sz w:val="20"/>
          <w:szCs w:val="20"/>
          <w:color w:val="auto"/>
        </w:rPr>
      </w:pPr>
      <w:r>
        <w:rPr>
          <w:rFonts w:ascii="Times New Roman" w:cs="Times New Roman" w:eastAsia="Times New Roman" w:hAnsi="Times New Roman"/>
          <w:sz w:val="18"/>
          <w:szCs w:val="18"/>
          <w:color w:val="auto"/>
        </w:rPr>
        <w:t>Also in connection with this transaction, unamortized debt issue costs and original issue discount related to the 2014 Notes totaling $18.4 million were expensed and are included in Gain / (loss) on extinguishment of debt / exchange offer in our Consolidated Statements of Income.</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Issuers pay interest on the New 2020 Notes on February 15th and August 15th of each year. Commencing August 15, 2015, the New 2020 Notes are redeemable at the Company’s option at a price equal to 103.875% of the principal amount redeemed and the premium over the principal amount declines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borrowings under Wynn Las Vegas, LLC’s credit facilities, the 2017 Notes and the 2020 Notes.</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Las Vegas Credit Facilities</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Concurrently with the issuance of the New 2020 Notes, Wynn Las Vegas entered into a seventh amendment, dated August 4, 2010, to the Wynn Las Vegas Amended and Restated Credit Agreement (the “Credit Agreement”). After giving effect to this amendment, the maturity date with respect to a portion of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 to 1:00 to 1 through June 2013.</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2010, our Credit Agreement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As of December 31, 2010, the Wynn Las Vegas Term Loan was fully drawn and we had borrowed $20.1 million under the Wynn Las Vegas Revolver. We also had $19.7 million of outstanding letters of credit that reduce our availability under the Wynn Las Vegas Revolver. We have availability of approximately $327.2 million under the Wynn Las Vegas Revolver as of December 31, 2010.</w:t>
      </w:r>
    </w:p>
    <w:p>
      <w:pPr>
        <w:spacing w:after="0" w:line="13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Wynn Las Vegas Term Loan and Revolver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Agreement rank pari passu in right of payment with their existing and future senior indebtedness, including indebtedness with respect to the 2017 Notes, the 2020 Notes and the New 2020 Notes and senior in right of payment to all of their existing and future subordinated indebtedness.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As described below, during the year ended December 31, 2009, we (a) extended the maturity of the Wynn Las Vegas Revolver to July 2013, (b) received relief from certain financial covenants, (c) increased the Wynn Las Vegas Revolver by $65 million, (d) repurchased $87.6 million of Wynn Las Vegas Revolver loans at a discount, and (e) used the net proceeds received from our $500 million 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First Mortgage Notes issuance to repay amounts outstanding, including a permanent reduction of $360 million.</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April 2009, we entered into a fourth amendment to our Credit Agreement. This amendment, among other things, (i) provides a waiver of the Consolidated Leverage Ratio, as defined in the Credit Agreement, until the quarter ending June 30, 2011, and increases such thresholds thereafter; (ii) provides additional flexibility with our Consolidated Interest Coverage Ratio, as defined in the Credit Agreement, by reducing such ratio from 1.75 : 1 to 1.25 : 1 beginning June 30, 2009 through March 31, 2011; and (iii) removes the dollar limit on the equity cure provisions for the purpose of the Consolidated Leverage Ratio and the Consolidated Interest Coverage Ratio over the life of the loan. In exchange for the amendments, we (i) repaid 30% of the outstanding revolver loans of lenders consenting to the extension of their commitment (approximately $238 million) and permanently reduced such lender commitments by 25%; and (ii) agreed to an increase in the interest rate spread on the Wynn Las Vegas Revolver from LIBOR plus 1.625% to LIBOR plus 3.0%.</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August 2009, pursuant to the terms of the Credit Agreement, we expanded the availability of the Wynn Las Vegas Revolver by $65 million.</w:t>
      </w:r>
    </w:p>
    <w:p>
      <w:pPr>
        <w:spacing w:after="0" w:line="171"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In September 2009, we entered into a fifth amendment to our Credit Agreement. This amendment, among other things, (i) permitted Wynn Las Vegas to issue, on or before March 31, 2010, up to $500 million of new senior secured notes and (ii) requires that 75% of the net cash proceeds of any issuance of new senior secured notes be applied to prepay loans and reduce commitments under the Credit Agreement.</w:t>
      </w:r>
    </w:p>
    <w:p>
      <w:pPr>
        <w:spacing w:after="0" w:line="132"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In October 2009, pursuant to an offer to purchase loans outstanding under the Credit Agreement, we purchased loans with a face value of $87.6 million for $84.4 million, reflecting a discounted price of 96.37%. As a result of this transaction, the Wynn Las Vegas Revolver was permanently reduced by $43.8 million and the Wynn Las Vegas Term Loan was permanently reduced by $44.8 million.</w:t>
      </w:r>
    </w:p>
    <w:p>
      <w:pPr>
        <w:spacing w:after="0" w:line="132"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For borrowings under the Wynn Las Vegas Revolver we have historically elected Eurodollar loans, which bear interest at 1-month LIBOR and currently include a margin of 3.0% on the outstanding balance. We also incur a fee of 1.0% on the daily average of unborrowed amounts. For borrowings under the Wynn Las Vegas Term Loan we have historically elected Eurodollar loans, which bear interest at 1-month LIBOR and currently include a margin of 1.875% on the term loan due 2013 and 3% on the term loan due 2015.</w:t>
      </w:r>
    </w:p>
    <w:p>
      <w:pPr>
        <w:spacing w:after="0" w:line="136"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The Wynn Las Vegas Credit Agreement contains a requirement that we must make mandatory repayments of indebtedness from specified percentages of excess cash flow. If our Wynn Las Vegas subsidiary meets a Consolidated Leverage Ratio, as defined in the Credit Agreement, of greater than 3.5 to 1, such repayment is defined as 50% of Excess Cash Flow, as defined in the Credit Agreement. If the Consolidated Leverage Ratio is less than 3.5 to 1, then no repayment is required. Based on the current economic conditions in which we are operating, we do not believe that Wynn Las Vegas will have excess cash flow for mandatory repayment pursuant to this provision of the Credit Agreement during the fiscal year ending December 31, 2011, and therefore we do not expect to make any mandatory repayments pursuant to this requirement during 2011.</w:t>
      </w:r>
    </w:p>
    <w:p>
      <w:pPr>
        <w:spacing w:after="0" w:line="13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Wynn Las Vegas Credit Agreement contains customary covenants restricting our activities including, but not limited to: the ability to sell assets, make capital expenditures, enter into capital leases, make loans or other investments and incur additional indebtedness. In addition, we are required by the financial covenants to maintain a Consolidated Interest Coverage Ratio, as defined, not less than 1.00 to 1 as of December 31, 2010. Management believes that we are in compliance with all covenants at December 31, 2010.</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Macau Credit Facilities</w:t>
      </w:r>
    </w:p>
    <w:p>
      <w:pPr>
        <w:spacing w:after="0" w:line="92" w:lineRule="exact"/>
        <w:rPr>
          <w:sz w:val="20"/>
          <w:szCs w:val="20"/>
          <w:color w:val="auto"/>
        </w:rPr>
      </w:pPr>
    </w:p>
    <w:p>
      <w:pPr>
        <w:ind w:right="60" w:firstLine="456"/>
        <w:spacing w:after="0" w:line="296" w:lineRule="auto"/>
        <w:rPr>
          <w:sz w:val="20"/>
          <w:szCs w:val="20"/>
          <w:color w:val="auto"/>
        </w:rPr>
      </w:pPr>
      <w:r>
        <w:rPr>
          <w:rFonts w:ascii="Times New Roman" w:cs="Times New Roman" w:eastAsia="Times New Roman" w:hAnsi="Times New Roman"/>
          <w:sz w:val="16"/>
          <w:szCs w:val="16"/>
          <w:color w:val="auto"/>
        </w:rPr>
        <w:t>As of December 31, 2010, our Wynn Macau credit facilities, as amended, consisted of a $550 million equivalent fully-funded senior term loan facility (the “Wynn Macau Term Loan”), and a $1 billion equivalent senior revolving credit facility (the “Wynn Macau Revolver”) in a combination of Hong Kong and U.S. dollars (together the “Wynn Macau Credit Facilities”). Wynn Macau, S.A. also has the ability to increase the total facilities by an additional $50 million pursuant to the terms and provisions of the Amended Common Terms Agreement. As of December 31, 2010, the Wynn Macau Term Loan was fully drawn and we had borrowed $100.2 million under the Wynn Macau Revolver. Consequently, we have approximately $900 million of availability as of December 31, 2010.</w:t>
      </w:r>
    </w:p>
    <w:p>
      <w:pPr>
        <w:spacing w:after="0" w:line="108"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Wynn Macau Term Loan matures in June 2014, and the Wynn Macau Revolver matures in June 2012. The principal amount of the term loan is required to be repaid in quarterly installments, commencing in September 2011. Borrowings under the Wynn Macau Credit Facilities bear interest at LIBOR or the Hong Kong Interbank Offer Rate (“HIBOR”) plus a margin which was 1.75% through September 30, 2010. Commencing in the fourth quarter of 2010, the Wynn Macau Credit Facilities are subject to a margin of 1.25% to 2.00% depending on Wynn Macau’s leverage ratio at the end of each quarter. At December 31, 2010 the margin was 1.25% to 1.75%.</w:t>
      </w:r>
    </w:p>
    <w:p>
      <w:pPr>
        <w:spacing w:after="0" w:line="13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Collateral for the Wynn Macau Credit Facilities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Wynn Macau Credit Facilities contain a requirement that Wynn Macau must make mandatory repayments of indebtedness from specified percentages of excess cash flow. If our Wynn Macau subsidiary meets a Consolidated Leverage Ratio, as defined, of greater than 4.0 to 1, such repayment is defined as 50% of Excess Cash Flow, as defined. If the Consolidated Leverage Ratio is less than 4.0 to 1, then no repayment is required. Based on current estimates we do not believe that our Consolidated Leverage Ratio during the fiscal year ending December 31, 2011 will exceed 4.0 to 1, and therefore we do not expect to make any mandatory repayments pursuant to this requirement during 2011.</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Wynn Macau Credit Facilities contain customary covenants restricting our activities including, but not limited to: the incurrence of additional indebtedness, the incurrence or creation of liens on any of its property, sales and leaseback transactions, the ability to dispose of assets, and make loans or other investments. In addition, we are required by the financial covenants to maintain a Leverage Ratio, as defined, of not greater than 4.00 to 1 as of December 31, 2010, and Interest Coverage Ratio, as defined, of not less than 2.00 to 1. Management believes that we are in compliance with all covenants at December 31, 2010. Both the Leverage Ratio and the Interest Coverage Ratio requirements remain at not greater than 4.00 to 1 and not less than 2.00 to 1, respectively, for each reporting period during 2011.</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Wynn Resorts, Limited</w:t>
      </w:r>
    </w:p>
    <w:p>
      <w:pPr>
        <w:spacing w:after="0" w:line="92" w:lineRule="exact"/>
        <w:rPr>
          <w:sz w:val="20"/>
          <w:szCs w:val="20"/>
          <w:color w:val="auto"/>
        </w:rPr>
      </w:pPr>
    </w:p>
    <w:p>
      <w:pPr>
        <w:jc w:val="both"/>
        <w:ind w:right="100" w:firstLine="456"/>
        <w:spacing w:after="0" w:line="310" w:lineRule="auto"/>
        <w:rPr>
          <w:sz w:val="20"/>
          <w:szCs w:val="20"/>
          <w:color w:val="auto"/>
        </w:rPr>
      </w:pPr>
      <w:r>
        <w:rPr>
          <w:rFonts w:ascii="Times New Roman" w:cs="Times New Roman" w:eastAsia="Times New Roman" w:hAnsi="Times New Roman"/>
          <w:sz w:val="16"/>
          <w:szCs w:val="16"/>
          <w:color w:val="auto"/>
        </w:rPr>
        <w:t>In October 2009, Wynn Macau, Limited, our indirect wholly-owned subsidiary and the developer, owner and operator of Wynn Macau, listed its ordinary shares of common stock on The Stock Exchange of Hong Kong Limited. Through an initial public offering, including the over allotment, Wynn Macau, Limited sold 1,437,500,000 shares (27.7%) of its common stock. We received proceeds, net of related costs, of approximately $1.8 billion as a result of this transaction.</w:t>
      </w:r>
    </w:p>
    <w:p>
      <w:pPr>
        <w:spacing w:after="0" w:line="97"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In March 2009, we completed a secondary common stock offering of approximately 11 million shares resulting in net proceeds of $202.3 million. In November 2008, we completed a secondary common stock offering of 8 million shares resulting in net proceeds of $344.3 million.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80"/>
          </w:cols>
          <w:pgMar w:left="240" w:top="455" w:right="27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180" w:firstLine="456"/>
        <w:spacing w:after="0" w:line="262" w:lineRule="auto"/>
        <w:rPr>
          <w:sz w:val="20"/>
          <w:szCs w:val="20"/>
          <w:color w:val="auto"/>
        </w:rPr>
      </w:pPr>
      <w:r>
        <w:rPr>
          <w:rFonts w:ascii="Times New Roman" w:cs="Times New Roman" w:eastAsia="Times New Roman" w:hAnsi="Times New Roman"/>
          <w:sz w:val="18"/>
          <w:szCs w:val="18"/>
          <w:color w:val="auto"/>
        </w:rPr>
        <w:t>In June 2009, we purchased and retired the remaining $375 million of outstanding loans from the $1 billion term loan we borrowed in June 2007, for the primary purpose of funding our equity repurchase program. The purchase price was $364.7 million reflecting a discounted price of 97.25%. In November 2008, we purchased and retired $625 million of this term loan. The purchase price was $596.1 million, reflecting a discounted price of 95.375%.</w:t>
      </w:r>
    </w:p>
    <w:p>
      <w:pPr>
        <w:spacing w:after="0" w:line="13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2009, we purchased $65.8 million face amount of the 2014 Notes through open market purchases for $50 million, reflecting a discounted price of 76.1%. As of December 31, 2009, we held this debt and had not contributed it to our wholly-owned subsidiary, Wynn Las Vegas. For accounting purposes, this transaction was treated as an extinguishment of debt by Wynn Resorts in 2009. As part of the March 2010 exchange offer discussed above, Wynn Resorts exchanged $30 million of its 2014 Notes for the 2020 Notes. The remaining $35.8 million were redeemed as part of the tender offer and redemption of all of the 2014 Notes in August 2010 as described above. As of December 31, 2010, Wynn Resorts holds $30 million of the 2020 Notes which have not been contributed to its wholly-owned subsidiary, Wynn Las Vegas.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7, 2010, we paid a cash dividend of $8 per share.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each of May 26, 2010 and August 26, 2010, we paid a cash dividend of $0.25 per share.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December 3, 2009, we paid a cash dividend of $4.00 per share.</w:t>
      </w:r>
    </w:p>
    <w:p>
      <w:pPr>
        <w:spacing w:after="0" w:line="171" w:lineRule="exact"/>
        <w:rPr>
          <w:sz w:val="20"/>
          <w:szCs w:val="20"/>
          <w:color w:val="auto"/>
        </w:rPr>
      </w:pPr>
    </w:p>
    <w:p>
      <w:pPr>
        <w:jc w:val="both"/>
        <w:ind w:right="80" w:firstLine="456"/>
        <w:spacing w:after="0" w:line="296" w:lineRule="auto"/>
        <w:rPr>
          <w:sz w:val="20"/>
          <w:szCs w:val="20"/>
          <w:color w:val="auto"/>
        </w:rPr>
      </w:pPr>
      <w:r>
        <w:rPr>
          <w:rFonts w:ascii="Times New Roman" w:cs="Times New Roman" w:eastAsia="Times New Roman" w:hAnsi="Times New Roman"/>
          <w:sz w:val="16"/>
          <w:szCs w:val="16"/>
          <w:color w:val="auto"/>
        </w:rPr>
        <w:t>Our Board of Directors has authorized an equity repurchase program of up to $1.7 billion. The repurchase program may include repurchases from time to time through open market purchases, in privately negotiated transactions, and under plans complying with Rules 10b5-1 and 10b-18 under the Exchange Act. No share repurchases were made during the years ended December 31, 2010 or 2009. During the year ended December 31, 2008, we repurchased 10,915,633 shares at a net cost of $940.1 million and during the year ended December 31, 2007, we repurchased 1,889,321 shares at a net cost of $179.2 million. Accordingly, as of December 31, 2010, we had repurchased a total of 12,804,954 shares of our common stock for a net cost of $1.1 billion under the program.</w:t>
      </w:r>
    </w:p>
    <w:p>
      <w:pPr>
        <w:spacing w:after="0" w:line="1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Off Balance Sheet Arrangements</w:t>
      </w:r>
    </w:p>
    <w:p>
      <w:pPr>
        <w:spacing w:after="0" w:line="9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2010, we had outstanding letters of credit totaling $19.7 million.</w:t>
      </w: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scheduled contractual commitments at December 31, 2010 (amounts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5"/>
              </w:rPr>
              <w:t>Payments Due By Period</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Less</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Than</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1 to 3</w:t>
            </w:r>
          </w:p>
        </w:tc>
        <w:tc>
          <w:tcPr>
            <w:tcW w:w="420" w:type="dxa"/>
            <w:vAlign w:val="bottom"/>
          </w:tcPr>
          <w:p>
            <w:pPr>
              <w:spacing w:after="0"/>
              <w:rPr>
                <w:sz w:val="12"/>
                <w:szCs w:val="12"/>
                <w:color w:val="auto"/>
              </w:rPr>
            </w:pPr>
          </w:p>
        </w:tc>
        <w:tc>
          <w:tcPr>
            <w:tcW w:w="92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4 to 5</w:t>
            </w:r>
          </w:p>
        </w:tc>
        <w:tc>
          <w:tcPr>
            <w:tcW w:w="620" w:type="dxa"/>
            <w:vAlign w:val="bottom"/>
          </w:tcPr>
          <w:p>
            <w:pPr>
              <w:jc w:val="right"/>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1 Year</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2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$537.4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$2,202.1</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Fixed interest payments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169.4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338.8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variable interest payments[1]</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contracts and commitments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Employment agreements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13.5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Other[2]</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2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361.7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1,094.1</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948.8</w:t>
            </w: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2,958.8</w:t>
            </w:r>
          </w:p>
        </w:tc>
        <w:tc>
          <w:tcPr>
            <w:tcW w:w="4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5,363.4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520" w:type="dxa"/>
            <w:vAlign w:val="bottom"/>
            <w:vMerge w:val="restart"/>
          </w:tcPr>
          <w:p>
            <w:pPr>
              <w:jc w:val="right"/>
              <w:ind w:right="892"/>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60" w:hanging="452"/>
        <w:spacing w:after="0" w:line="257"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all periods represent our estimated future interest payments on our debt facilities based upon amounts outstanding and LIBOR or HIBOR rates at December 31, 2010. Such rates are at historical lows as of December 31, 2010. Actual rates will vary.</w:t>
      </w:r>
    </w:p>
    <w:p>
      <w:pPr>
        <w:spacing w:after="0" w:line="1" w:lineRule="exact"/>
        <w:rPr>
          <w:rFonts w:ascii="Times New Roman" w:cs="Times New Roman" w:eastAsia="Times New Roman" w:hAnsi="Times New Roman"/>
          <w:sz w:val="18"/>
          <w:szCs w:val="18"/>
          <w:color w:val="auto"/>
        </w:rPr>
      </w:pPr>
    </w:p>
    <w:p>
      <w:pPr>
        <w:jc w:val="both"/>
        <w:ind w:left="460" w:right="20" w:hanging="452"/>
        <w:spacing w:after="0" w:line="254"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open purchase orders, commitments for an aircraft purchase, fixed gaming tax payments in Macau and other contracts. As further discussed in Item 8 “Financial Statements”, Note 15 “Income Taxes”, of this report, we had $83.8 million of unrecognized tax benefits as of December 31, 2010. Due to the inherent uncertainty of the underlying tax positions, it is not practicable to assign this liability to any particular year and therefore it is not included in the table above as of December 31, 2010.</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Other Liquidity Matters</w:t>
      </w:r>
    </w:p>
    <w:p>
      <w:pPr>
        <w:spacing w:after="0" w:line="9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Wynn Resorts is a holding company and, as a result, our ability to pay dividends is highly dependent on our ability to obtain funds and our subsidiaries’ ability to provide funds to us. Restrictions imposed by our Wynn Las Vegas and Wynn Macau debt instruments significantly restrict our ability to pay dividends. Specifically, Wynn Las Vegas, LLC and certain of its subsidiaries are restricted under the indentures governing the 2017 Notes, the 2020 Notes and the New 2020 Notes from making certain “restricted payments” as defined in the indentures. These restricted payments include the payment of dividends or distributions to any direct or indirect holders of equity interests of Wynn Las Vegas, LLC. These restricted payments may not be made unless certain financial and non-financial criteria have been satisfied. The Wynn Las Vegas, LLC Credit Facilities contain similar restrictions. While the Wynn Macau Credit Facility contains similar restrictions, Wynn Macau is currently in compliance with all requirements, namely satisfaction of its leverage ratio, which must be met in order to pay dividends and is presently able to pay dividends in accordance with the Wynn Macau Credit Facilities.</w:t>
      </w:r>
    </w:p>
    <w:p>
      <w:pPr>
        <w:spacing w:after="0" w:line="13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Wynn Las Vegas, LLC intends to fund its operations and capital requirements from operating cash flow and availability under the Wynn Las Vegas Revolver. We cannot assure you; however, that our Las Vegas operations will generate sufficient cash flow from operations or the availability of additional indebtedness will be sufficient to enable us to service and repay Wynn Las Vegas, LLC’s indebtedness and to fund its other liquidity needs. Similarly, we expect that Wynn Macau will fund Wynn Macau, S.A.’s debt service obligations with existing cash, operating cash flow and availability under the Wynn Macau Revolver.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3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or through subsidiaries separate from the Las Vegas or Macau-related entities.</w:t>
      </w:r>
    </w:p>
    <w:p>
      <w:pPr>
        <w:spacing w:after="0" w:line="136"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would increase our leverage ratio.</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Development, Construction and Property and Equipment Estimates</w:t>
      </w:r>
    </w:p>
    <w:p>
      <w:pPr>
        <w:spacing w:after="0" w:line="94"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During the construction and development of a resort, pre-opening or start-up costs are expensed when incurred. In connection with the construction and development of our resorts, significant start-up costs are incurred and charged to pre-opening costs through their respective openings. Once our resorts open, expenses associated with the opening of the resorts are no longer charged as pre-opening costs.</w:t>
      </w:r>
    </w:p>
    <w:p>
      <w:pPr>
        <w:spacing w:after="0" w:line="13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During the construction and development stage, direct costs such as those incurred for the design and construction of our resorts,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began recognizing depreciation expense on the resort’s fixed assets.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remaining estimated useful lives of assets are periodically reviewed.</w:t>
      </w:r>
    </w:p>
    <w:p>
      <w:pPr>
        <w:spacing w:after="0" w:line="17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leasehold interest in land in Macau under the land concession contract entered into in June 2004 is being amortized over 25 years, to the initial term of the concession contract, which currently terminates in June 2029. Depreciation on a majority of the assets comprising Wynn Macau commenced in September of 2006, when Wynn Macau opened. The maximum useful life of assets at Wynn Macau is deemed to be the remaining life of the land concession or the gaming concession which currently expires in June 2022, as applicable. Consequently, depreciation related to Wynn Macau will generally be charged over shorter periods when compared to Wynn Las Vegas.</w:t>
      </w:r>
    </w:p>
    <w:p>
      <w:pPr>
        <w:spacing w:after="0" w:line="13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w:t>
      </w:r>
    </w:p>
    <w:p>
      <w:pPr>
        <w:spacing w:after="0" w:line="12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Estimated Doubtful Accounts Receivable</w:t>
      </w:r>
    </w:p>
    <w:p>
      <w:pPr>
        <w:spacing w:after="0" w:line="9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 substantial portion of our outstanding receivables relates to casino credit play. Credit play, through the issuance of markers, represents a significant portion of the table games volume at our Las Vegas Operations. While offered, the issuance of credit at our Macau Operations is less significant when compared to Las Vegas. Our goal is to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our Las Vegas Operations are generally legally enforceable instruments in the United States, and United States assets of foreign customers may be used to satisfy judgments entered in the United States.</w:t>
      </w:r>
    </w:p>
    <w:p>
      <w:pPr>
        <w:spacing w:after="0" w:line="139"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39"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2010 and December 31, 2009, approximately 82% and 76% of our casino accounts receivable were owed by customers from foreign countries, primarily in Asia. In addition to enforceability issues, the collectability of markers given by foreign customers is affected by a number of factors including changes in currency exchange rates and economic conditions in the customers’ home countries.</w:t>
      </w:r>
    </w:p>
    <w:p>
      <w:pPr>
        <w:spacing w:after="0" w:line="132"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industry standard reserve percentages to aged account balances and we specifically analyze the collectability of each account with a balance over a specified dollar amount, based upon the age, the customer’s financial condition, collection history and any other known information. The standard reserve percentages applied are based on our historical experience and take into consideration current industry and economic conditions.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key statistics related to our casino accounts receivable (amounts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3"/>
              </w:rPr>
              <w:t>December 31,</w:t>
            </w:r>
          </w:p>
        </w:tc>
        <w:tc>
          <w:tcPr>
            <w:tcW w:w="42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5"/>
        </w:trPr>
        <w:tc>
          <w:tcPr>
            <w:tcW w:w="5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2010</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2009</w:t>
            </w:r>
          </w:p>
        </w:tc>
        <w:tc>
          <w:tcPr>
            <w:tcW w:w="200" w:type="dxa"/>
            <w:vAlign w:val="bottom"/>
          </w:tcPr>
          <w:p>
            <w:pPr>
              <w:spacing w:after="0"/>
              <w:rPr>
                <w:sz w:val="14"/>
                <w:szCs w:val="14"/>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 accounts receivable</w:t>
            </w:r>
          </w:p>
        </w:tc>
        <w:tc>
          <w:tcPr>
            <w:tcW w:w="11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257,951</w:t>
            </w:r>
          </w:p>
        </w:tc>
        <w:tc>
          <w:tcPr>
            <w:tcW w:w="5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205,330</w:t>
            </w:r>
          </w:p>
        </w:tc>
        <w:tc>
          <w:tcPr>
            <w:tcW w:w="2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casino accounts receivable</w:t>
            </w:r>
          </w:p>
        </w:tc>
        <w:tc>
          <w:tcPr>
            <w:tcW w:w="11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113,203</w:t>
            </w:r>
          </w:p>
        </w:tc>
        <w:tc>
          <w:tcPr>
            <w:tcW w:w="56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100,959</w:t>
            </w:r>
          </w:p>
        </w:tc>
        <w:tc>
          <w:tcPr>
            <w:tcW w:w="2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as a percentage of casino accounts receivable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43.9%</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w:t>
            </w:r>
          </w:p>
        </w:tc>
      </w:tr>
      <w:tr>
        <w:trPr>
          <w:trHeight w:val="228"/>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casino accounts receivable outstanding over 180 days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41.1%</w:t>
            </w:r>
          </w:p>
        </w:tc>
      </w:tr>
    </w:tbl>
    <w:p>
      <w:pPr>
        <w:spacing w:after="0" w:line="13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 Our reserve methodology is applied similarly to credit extended at each of our resorts. As of December 31, 2010 and 2009, approximately 35% and 27% respectively, of our outstanding casino account receivable balance originated at our Macau Operations.</w:t>
      </w:r>
    </w:p>
    <w:p>
      <w:pPr>
        <w:spacing w:after="0" w:line="13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At December 31, 2010, a 100 basis-point change in the allowance for doubtful accounts as a percentage of casino accounts receivable would change the provision for doubtful accounts by approximately $2.6 million.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455" w:right="2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we become aware of additional information about a customer or changes occur in a region’s economy or legal system.</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94" w:lineRule="exact"/>
        <w:rPr>
          <w:sz w:val="20"/>
          <w:szCs w:val="20"/>
          <w:color w:val="auto"/>
        </w:rPr>
      </w:pPr>
    </w:p>
    <w:p>
      <w:pPr>
        <w:ind w:right="160" w:firstLine="456"/>
        <w:spacing w:after="0" w:line="301" w:lineRule="auto"/>
        <w:rPr>
          <w:sz w:val="20"/>
          <w:szCs w:val="20"/>
          <w:color w:val="auto"/>
        </w:rPr>
      </w:pPr>
      <w:r>
        <w:rPr>
          <w:rFonts w:ascii="Times New Roman" w:cs="Times New Roman" w:eastAsia="Times New Roman" w:hAnsi="Times New Roman"/>
          <w:sz w:val="16"/>
          <w:szCs w:val="16"/>
          <w:color w:val="auto"/>
        </w:rPr>
        <w:t>We seek to manage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As of December 31, 2010, changes in our interest rate swap fair values are being recorded in our Consolidated Statements of Income, as the swaps do not qualify for hedge accounting.</w:t>
      </w:r>
    </w:p>
    <w:p>
      <w:pPr>
        <w:spacing w:after="0" w:line="103"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measure the fair value of our interest rate swaps on a recurring basis. Accounting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We categorize our interest rate swap contracts as Level 2. The fair value approximates the amount we would receive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2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Accounting standards for stock-based payments establish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4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we grant. We estimate the expected stock price volatility using a combination of implied and historical factors related to our stock price in accordance with applicable accounting standards. As our stock price fluctuates, this estimate will change. For example, a 10% change in the volatility assumption for 2010 would have resulted in an approximate $0.6 million change in fair value. Expected term represents the estimated average time between the option’s grant date and its exercise date. Because of our limited trading history as a public company we have elected to use the simplified method prescribed by applicable accounting standards, for companies with a limited trading history to estimate the expected term. Once we have sufficient trading history, we will estimate the expected term using historical experience for options that have been granted to employees within our stock option plan. A 10% change in the expected term assumption for 2010 would have resulted in an approximate $0.2 million change in fair value. These assumed changes in fair value would have been recognized over the vesting schedule of such awards.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94"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We are self-insured up to certain limits for costs of employee health coverage, workers’ compensation and general liability claims. Insurance claims and reserves include accruals of estimated settlements for known claims, as well as accruals of estimates for claims incurred but not yet reported. In estimating these accruals, we consider historical loss experience and make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Customer Loyalty Program</w:t>
      </w:r>
    </w:p>
    <w:p>
      <w:pPr>
        <w:spacing w:after="0" w:line="94"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Our customer loyalty program relates to a slot club program whereby customers may earn points based on their level of play that may be redeemed for free credit that must be replayed in the slot machine. We accrue a liability based on the points earned times the redemption value, less an estimate for breakage, and record a related reduction in casino revenue.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Slot Machine Jackpots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With respect to base and progressive jackpots, we do not accrue a liability in jurisdictions in which we have the ability to avoid payment of the base jackpot because the machine can legally be removed from the gaming floor without payment of the base amount. Conversely, if we are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We are subject to income taxes in the United States and other foreign jurisdictions where we operate.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require recognition of a future tax benefit to the extent that realization of such benefit is more likely than not. Otherwise, a valuation allowance is applied.</w:t>
      </w:r>
    </w:p>
    <w:p>
      <w:pPr>
        <w:spacing w:after="0" w:line="14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of December 31, 2010, we have a foreign tax credit carryover of $1,307 million and we have recorded a valuation allowance of $1,246 million against this asset based on our estimate of future realization. The foreign tax credits are attributable to the Macau special gaming tax which is 35% of gross gaming revenue in Macau. The U.S. taxing regime only allows a credit for 35% of “net” foreign source income. Due to our current operating history of U.S. losses, we currently do not rely on forecasted taxable income in order to support the utilization of the foreign tax credits. The estimated future foreign tax credit realization was based upon the estimated future taxable income from the reversal of “net” U.S. taxable temporary differences that we expect will reverse during the 10-year foreign tax credit carryover period. The amount of the valuation allowance is subject to change based upon the actual reversal of temporary differences and future taxable income exclusive of reversing temporary differences.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Our income tax returns are subject to examination by the Internal Revenue Service (“IRS”) and other tax authorities in the locations where we operate. We assess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13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3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we recognize accrued penalties and interest related to unrecognized tax benefits in the provision for income taxes. During the years ended December 31, 2010, 2009 and 2008, we recognized no amounts for interest or penalties.</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Effective September 6, 2006, we received a 5-year exemption from Macau’s 12% Complementary Tax on casino gaming profits. Accordingly, during 2010 we were exempted from the payment of approximately $64.4 million in such taxes. On November 30, 2010, Wynn Macau received an additional 5 year exemption to December 31, 2015 related to this tax. Wynn Macau’s non-gaming profits remain subject to the Macau Complementary Tax and Wynn Macau’s casino winnings remain subject to the Macau Special Gaming tax and other levies in accordance with its concession agreement.</w:t>
      </w:r>
    </w:p>
    <w:p>
      <w:pPr>
        <w:spacing w:after="0" w:line="25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780" w:firstLine="456"/>
        <w:spacing w:after="0" w:line="275"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Risks</w:t>
      </w:r>
    </w:p>
    <w:p>
      <w:pPr>
        <w:spacing w:after="0" w:line="9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One of our primary exposures to market risk is interest rate risk associated with our debt facilities that bear interest based on floating rates. See “Item 7. Management’s Discussion and Analysis of Financial Condition and Results of Operations – Liquidity and Capital Resources – Financing Activities.” We attempt to manage interest rate risk by managing the mix of long-term fixed rate borrowings and variable rate borrowings supplemented by hedging activities as believed by us to be appropriate. We cannot assure you that these risk management strategies have had the desired effect, and interest rate fluctuations could have a negative impact on our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provides estimated future cash flow information derived from our best estimates of repayments at December 31, 2010 of our expected long-term indebtedness. However, we cannot predict the LIBOR or HIBOR rates that will be in effect in the future. As of December 31, 2010, such rates remain at historic lows. Actual rates will vary. The one-month LIBOR and HIBOR rates at December 31, 2010 of 0.26% and 0.23%, respectively were used for all variable rate calculations in the table below. The information is presented in U.S. dollar equivalents as applicable.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5"/>
              </w:rPr>
              <w:t>Years Ending December 31,</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gridSpan w:val="5"/>
          </w:tcPr>
          <w:p>
            <w:pPr>
              <w:jc w:val="center"/>
              <w:ind w:right="6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Expected Maturity Date</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60" w:type="dxa"/>
            <w:vAlign w:val="bottom"/>
          </w:tcPr>
          <w:p>
            <w:pPr>
              <w:spacing w:after="0"/>
              <w:rPr>
                <w:sz w:val="12"/>
                <w:szCs w:val="12"/>
                <w:color w:val="auto"/>
              </w:rPr>
            </w:pPr>
          </w:p>
        </w:tc>
        <w:tc>
          <w:tcPr>
            <w:tcW w:w="500" w:type="dxa"/>
            <w:vAlign w:val="bottom"/>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60" w:type="dxa"/>
            <w:vAlign w:val="bottom"/>
          </w:tcPr>
          <w:p>
            <w:pPr>
              <w:spacing w:after="0"/>
              <w:rPr>
                <w:sz w:val="12"/>
                <w:szCs w:val="12"/>
                <w:color w:val="auto"/>
              </w:rPr>
            </w:pPr>
          </w:p>
        </w:tc>
        <w:tc>
          <w:tcPr>
            <w:tcW w:w="50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Thereafter</w:t>
            </w:r>
          </w:p>
        </w:tc>
        <w:tc>
          <w:tcPr>
            <w:tcW w:w="62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millions)</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Long-term debt:</w:t>
            </w:r>
          </w:p>
        </w:tc>
        <w:tc>
          <w:tcPr>
            <w:tcW w:w="29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rate</w:t>
            </w:r>
          </w:p>
        </w:tc>
        <w:tc>
          <w:tcPr>
            <w:tcW w:w="7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2"/>
              </w:rPr>
              <w:t>2,172.0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$2,172.0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7.8%</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rate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$ 2.7</w:t>
            </w:r>
          </w:p>
        </w:tc>
        <w:tc>
          <w:tcPr>
            <w:tcW w:w="340" w:type="dxa"/>
            <w:vAlign w:val="bottom"/>
          </w:tcPr>
          <w:p>
            <w:pPr>
              <w:spacing w:after="0"/>
              <w:rPr>
                <w:sz w:val="18"/>
                <w:szCs w:val="18"/>
                <w:color w:val="auto"/>
              </w:rPr>
            </w:pPr>
          </w:p>
        </w:tc>
        <w:tc>
          <w:tcPr>
            <w:tcW w:w="12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$344.1</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$192.8</w:t>
            </w:r>
          </w:p>
        </w:tc>
        <w:tc>
          <w:tcPr>
            <w:tcW w:w="180" w:type="dxa"/>
            <w:vAlign w:val="bottom"/>
          </w:tcPr>
          <w:p>
            <w:pPr>
              <w:spacing w:after="0"/>
              <w:rPr>
                <w:sz w:val="18"/>
                <w:szCs w:val="18"/>
                <w:color w:val="auto"/>
              </w:rPr>
            </w:pPr>
          </w:p>
        </w:tc>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$189.2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$348.2</w:t>
            </w:r>
          </w:p>
        </w:tc>
        <w:tc>
          <w:tcPr>
            <w:tcW w:w="3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30.1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2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 Information</w:t>
      </w:r>
    </w:p>
    <w:p>
      <w:pPr>
        <w:spacing w:after="0" w:line="92"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We have entered into floating-for-fixed interest rate swap arrangements relating to certain of our floating-rate debt facilities. We measure the fair value of our interest rate swaps on a recurring basis.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Las Vegas</w:t>
      </w:r>
    </w:p>
    <w:p>
      <w:pPr>
        <w:spacing w:after="0" w:line="9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entered into an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Consolidated Statements of Income as the swap does not qualify for hedge accounting.</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Macau</w:t>
      </w:r>
    </w:p>
    <w:p>
      <w:pPr>
        <w:spacing w:after="0" w:line="94" w:lineRule="exact"/>
        <w:rPr>
          <w:sz w:val="20"/>
          <w:szCs w:val="20"/>
          <w:color w:val="auto"/>
        </w:rPr>
      </w:pPr>
    </w:p>
    <w:p>
      <w:pPr>
        <w:ind w:right="120" w:firstLine="456"/>
        <w:spacing w:after="0" w:line="287" w:lineRule="auto"/>
        <w:rPr>
          <w:sz w:val="20"/>
          <w:szCs w:val="20"/>
          <w:color w:val="auto"/>
        </w:rPr>
      </w:pPr>
      <w:r>
        <w:rPr>
          <w:rFonts w:ascii="Times New Roman" w:cs="Times New Roman" w:eastAsia="Times New Roman" w:hAnsi="Times New Roman"/>
          <w:sz w:val="16"/>
          <w:szCs w:val="16"/>
          <w:color w:val="auto"/>
        </w:rPr>
        <w:t>As of December 31, 2010, we had three interest rate swaps intended to hedge a portion of the underlying interest rate risk on borrowings under the Wynn Macau Credit Facilities. Under the first swap agreement, we pay a fixed interest rate of 3.632% on U.S. dollar borrowings of $153.8 million incurred under the Wynn Macau Credit Facilities in exchange for receipts on the same amounts at a variable interest rate based on the applicable LIBOR at the time of payment. As of December 31, 2010, this interest rate swap fixes the interest rate on $153.8 million of the current U.S. dollar borrowings under the Wynn Macau Credit Facilities at approximately 4.88%-5.38%. Under the second swap agreement, we pay a fixed interest rate of 3.39% on Hong Kong dollar borrowings of approximately HK $991.6 million (approximately US$127.9 million) incurred under the Wynn Macau Credit Facilities in exchange for receipts on the same amounts at a variable interest rate based on the applicable HIBOR at the time of payment. As of December 31, 2010, this interest rate swap fixes the interest rate on approximately $127.9 million of the current Hong Kong dollar borrowings under the Wynn Macau Credit Facilities at approximately 4.64%. Both of these interest rate swap agreements mature in August 2011. We entered into a third interest rate swap agreement at Wynn Macau to hedge a portion of the underlying interest rate risk on borrowings under the Wynn Macau Credit Facilities. Under this swap agreement we pay a fixed interest rate of 2.15% on borrowings of approximately HK$2.3 billion (approximately US$300 million) incurred under the Wynn Macau Credit Facilities in exchange for receipts on the same amount at a variable interest rate based on the applicable HIBOR at the time of payment. This interest rate swap fixes the interest rate on HK$2.3 billion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(approximately US$300 million) of borrowings under the Wynn Macau Credit Facilities at approximately 3.4%. This interest rate swap agreement matures in June 2012.</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Changes in the fair values of these interest rate swaps for each reporting period recorded are, and will continue to be, recognized as an increase/(decrease) in swap fair value in our Consolidated Statements of Income, as the swaps do not qualify for hedge accounting.</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Summary of Historical Fair Values</w:t>
      </w:r>
    </w:p>
    <w:p>
      <w:pPr>
        <w:spacing w:after="0" w:line="94"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historical liability fair values as of December 31, 2010 and 2009, of our interest rate swap arrangements (amounts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Total Interest Rate</w:t>
            </w:r>
          </w:p>
        </w:tc>
      </w:tr>
      <w:tr>
        <w:trPr>
          <w:trHeight w:val="165"/>
        </w:trPr>
        <w:tc>
          <w:tcPr>
            <w:tcW w:w="40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Wynn Las Vegas</w:t>
            </w:r>
          </w:p>
        </w:tc>
        <w:tc>
          <w:tcPr>
            <w:tcW w:w="48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Swaps</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fair value at:</w:t>
            </w:r>
          </w:p>
        </w:tc>
        <w:tc>
          <w:tcPr>
            <w:tcW w:w="25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2010</w:t>
            </w:r>
          </w:p>
        </w:tc>
        <w:tc>
          <w:tcPr>
            <w:tcW w:w="28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8,457</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12,992</w:t>
            </w:r>
          </w:p>
        </w:tc>
        <w:tc>
          <w:tcPr>
            <w:tcW w:w="7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21,449</w:t>
            </w:r>
          </w:p>
        </w:tc>
        <w:tc>
          <w:tcPr>
            <w:tcW w:w="10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2009</w:t>
            </w:r>
          </w:p>
        </w:tc>
        <w:tc>
          <w:tcPr>
            <w:tcW w:w="2860" w:type="dxa"/>
            <w:vAlign w:val="bottom"/>
            <w:gridSpan w:val="2"/>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4,224</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16,345</w:t>
            </w:r>
          </w:p>
        </w:tc>
        <w:tc>
          <w:tcPr>
            <w:tcW w:w="7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fair value approximates the amount we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We adjust this amount by applying a non-performance valuation, considering our creditworthiness or the creditworthiness of our counterparties at each settlement date, as applicable.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Interest Rate Swap Information</w:t>
      </w:r>
    </w:p>
    <w:p>
      <w:pPr>
        <w:spacing w:after="0" w:line="94"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provides information about our interest rate swaps, by contractual maturity dates, as of December 31, 2010 and using estimated future LIBOR and HIBOR rates based upon implied forward rates in the yield curve. The information is presented in U.S. dollar equivalents, which is our reporting currency: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6"/>
          </w:tcPr>
          <w:p>
            <w:pPr>
              <w:jc w:val="right"/>
              <w:ind w:right="202"/>
              <w:spacing w:after="0" w:line="142" w:lineRule="exact"/>
              <w:rPr>
                <w:sz w:val="20"/>
                <w:szCs w:val="20"/>
                <w:color w:val="auto"/>
              </w:rPr>
            </w:pPr>
            <w:r>
              <w:rPr>
                <w:rFonts w:ascii="Times New Roman" w:cs="Times New Roman" w:eastAsia="Times New Roman" w:hAnsi="Times New Roman"/>
                <w:sz w:val="14"/>
                <w:szCs w:val="14"/>
                <w:b w:val="1"/>
                <w:bCs w:val="1"/>
                <w:color w:val="auto"/>
              </w:rPr>
              <w:t>Expected Maturity Date</w:t>
            </w:r>
          </w:p>
        </w:tc>
        <w:tc>
          <w:tcPr>
            <w:tcW w:w="4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500" w:type="dxa"/>
            <w:vAlign w:val="bottom"/>
          </w:tcPr>
          <w:p>
            <w:pPr>
              <w:spacing w:after="0"/>
              <w:rPr>
                <w:sz w:val="12"/>
                <w:szCs w:val="12"/>
                <w:color w:val="auto"/>
              </w:rPr>
            </w:pPr>
          </w:p>
        </w:tc>
        <w:tc>
          <w:tcPr>
            <w:tcW w:w="50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Thereafter</w:t>
            </w:r>
          </w:p>
        </w:tc>
        <w:tc>
          <w:tcPr>
            <w:tcW w:w="400" w:type="dxa"/>
            <w:vAlign w:val="bottom"/>
          </w:tcPr>
          <w:p>
            <w:pPr>
              <w:spacing w:after="0"/>
              <w:rPr>
                <w:sz w:val="12"/>
                <w:szCs w:val="12"/>
                <w:color w:val="auto"/>
              </w:rPr>
            </w:pPr>
          </w:p>
        </w:tc>
        <w:tc>
          <w:tcPr>
            <w:tcW w:w="50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2"/>
                <w:szCs w:val="12"/>
                <w:color w:val="auto"/>
              </w:rPr>
            </w:pPr>
          </w:p>
        </w:tc>
      </w:tr>
      <w:tr>
        <w:trPr>
          <w:trHeight w:val="142"/>
        </w:trPr>
        <w:tc>
          <w:tcPr>
            <w:tcW w:w="5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notional amount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$281.7</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$550.0</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$831.7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Average pay rate</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3.52%</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Pr>
          <w:p>
            <w:pPr>
              <w:spacing w:after="0"/>
              <w:rPr>
                <w:sz w:val="18"/>
                <w:szCs w:val="18"/>
                <w:color w:val="auto"/>
              </w:rPr>
            </w:pPr>
          </w:p>
        </w:tc>
        <w:tc>
          <w:tcPr>
            <w:tcW w:w="360" w:type="dxa"/>
            <w:vAlign w:val="bottom"/>
          </w:tcPr>
          <w:p>
            <w:pPr>
              <w:jc w:val="right"/>
              <w:ind w:right="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620" w:type="dxa"/>
            <w:vAlign w:val="bottom"/>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receive rate</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0.31%</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do not use derivative financial instruments, other financial instruments or derivative commodity instruments for trading or speculative purposes.</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As of December 31, 2010, approximately 92% of our long-term debt was based on fixed rates, including the notional amounts related to interest rate swaps.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borrowings as of December 31, 2010, an assumed 1% change in variable rates would cause our annual interest cost to change by $2.8 million.</w:t>
      </w:r>
    </w:p>
    <w:p>
      <w:pPr>
        <w:spacing w:after="0" w:line="2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Risks</w:t>
      </w:r>
    </w:p>
    <w:p>
      <w:pPr>
        <w:spacing w:after="0" w:line="9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32" w:lineRule="exact"/>
        <w:rPr>
          <w:sz w:val="20"/>
          <w:szCs w:val="20"/>
          <w:color w:val="auto"/>
        </w:rPr>
      </w:pPr>
    </w:p>
    <w:p>
      <w:pPr>
        <w:jc w:val="both"/>
        <w:ind w:right="120" w:firstLine="456"/>
        <w:spacing w:after="0" w:line="262" w:lineRule="auto"/>
        <w:rPr>
          <w:sz w:val="20"/>
          <w:szCs w:val="20"/>
          <w:color w:val="auto"/>
        </w:rPr>
      </w:pPr>
      <w:r>
        <w:rPr>
          <w:rFonts w:ascii="Times New Roman" w:cs="Times New Roman" w:eastAsia="Times New Roman" w:hAnsi="Times New Roman"/>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32"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if any of our Macau-related entities incur U.S. dollar-denominated debt, fluctuations in the exchange rates of the Macau pataca or the Hong Kong dollar, in relation to the U.S. dollar, could have adverse effects on Wynn Macau’s results of operations, financial condition, and ability to service its debt. To date, we have not engaged in hedging activities intended to protect against foreign currency risk.</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60"/>
          </w:cols>
          <w:pgMar w:left="240" w:top="455" w:right="29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0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280" w:type="dxa"/>
            <w:vAlign w:val="bottom"/>
          </w:tcPr>
          <w:p>
            <w:pPr>
              <w:spacing w:after="0"/>
              <w:rPr>
                <w:sz w:val="20"/>
                <w:szCs w:val="20"/>
                <w:color w:val="auto"/>
              </w:rPr>
            </w:pPr>
          </w:p>
        </w:tc>
      </w:tr>
      <w:tr>
        <w:trPr>
          <w:trHeight w:val="378"/>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60" w:type="dxa"/>
            <w:vAlign w:val="bottom"/>
            <w:gridSpan w:val="4"/>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6"/>
              </w:rPr>
              <w:t>INDEX TO CONSOLIDATED FINANCIAL STATEMENTS</w:t>
            </w:r>
          </w:p>
        </w:tc>
        <w:tc>
          <w:tcPr>
            <w:tcW w:w="280" w:type="dxa"/>
            <w:vAlign w:val="bottom"/>
          </w:tcPr>
          <w:p>
            <w:pPr>
              <w:spacing w:after="0"/>
              <w:rPr>
                <w:sz w:val="24"/>
                <w:szCs w:val="24"/>
                <w:color w:val="auto"/>
              </w:rPr>
            </w:pPr>
          </w:p>
        </w:tc>
      </w:tr>
      <w:tr>
        <w:trPr>
          <w:trHeight w:val="353"/>
        </w:trPr>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277"/>
        </w:trPr>
        <w:tc>
          <w:tcPr>
            <w:tcW w:w="11040" w:type="dxa"/>
            <w:vAlign w:val="bottom"/>
            <w:gridSpan w:val="9"/>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Report of Independent Registered Public Accounting Firm on Internal Controls over Financial Reporting</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4"/>
        </w:trPr>
        <w:tc>
          <w:tcPr>
            <w:tcW w:w="73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Report of Independent Registered Public Accounting Firm on the Consolidated Financial Statements</w:t>
              </w:r>
            </w:hyperlink>
          </w:p>
        </w:tc>
        <w:tc>
          <w:tcPr>
            <w:tcW w:w="36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4"/>
        </w:trPr>
        <w:tc>
          <w:tcPr>
            <w:tcW w:w="70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Consolidated Balance Sheets</w:t>
              </w:r>
            </w:hyperlink>
          </w:p>
        </w:tc>
        <w:tc>
          <w:tcPr>
            <w:tcW w:w="39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20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9"/>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Consolidated Statements of Income</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25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5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70">
              <w:r>
                <w:rPr>
                  <w:rFonts w:ascii="Times New Roman" w:cs="Times New Roman" w:eastAsia="Times New Roman" w:hAnsi="Times New Roman"/>
                  <w:sz w:val="18"/>
                  <w:szCs w:val="18"/>
                  <w:color w:val="0000EE"/>
                  <w:w w:val="97"/>
                </w:rPr>
                <w:t>Consolidated Statements of Stockholders’ Equity</w:t>
              </w:r>
            </w:hyperlink>
          </w:p>
        </w:tc>
        <w:tc>
          <w:tcPr>
            <w:tcW w:w="75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304"/>
        </w:trPr>
        <w:tc>
          <w:tcPr>
            <w:tcW w:w="11040" w:type="dxa"/>
            <w:vAlign w:val="bottom"/>
            <w:gridSpan w:val="9"/>
          </w:tcPr>
          <w:p>
            <w:pPr>
              <w:spacing w:after="0"/>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Consolidated Statements of Cash Flows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1040" w:type="dxa"/>
            <w:vAlign w:val="bottom"/>
            <w:gridSpan w:val="9"/>
          </w:tcPr>
          <w:p>
            <w:pPr>
              <w:spacing w:after="0"/>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383"/>
        </w:trPr>
        <w:tc>
          <w:tcPr>
            <w:tcW w:w="8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4"/>
          </w:tcPr>
          <w:p>
            <w:pPr>
              <w:spacing w:after="0"/>
              <w:rPr>
                <w:sz w:val="24"/>
                <w:szCs w:val="24"/>
                <w:color w:val="auto"/>
              </w:rPr>
            </w:pPr>
          </w:p>
        </w:tc>
        <w:tc>
          <w:tcPr>
            <w:tcW w:w="400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680" w:firstLine="27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The Board of Directors and Stockholders of Wynn Resorts, Limited and subsidiaries:</w:t>
      </w:r>
    </w:p>
    <w:p>
      <w:pPr>
        <w:spacing w:after="0" w:line="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Wynn Resorts, Limited and subsidiaries’ (the “Company”) internal control over financial reporting as of December 31, 2010,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(the COSO criteria).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included in Item 9A. Our responsibility is to express an opinion on the Company’s internal control over financial reporting based on our audit.</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ind w:right="100" w:firstLine="456"/>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In our opinion, the Company maintained, in all material respects, effective internal control over financial reporting as of December 31, 2010, based on the COSO criteria.</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the Company as of December 31, 2010 and 2009, and the related consolidated statements of income, stockholders’ equity, and cash flows for each of the three years in the period ended December 31, 2010 of the Company and our report dated February 28, 2011 expressed an unqualified opinion thereon.</w:t>
      </w:r>
    </w:p>
    <w:p>
      <w:pPr>
        <w:spacing w:after="0" w:line="13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/s/</w:t>
        <w:tab/>
        <w:t>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2011</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660" w:firstLine="2700"/>
        <w:spacing w:after="0" w:line="439"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The Board of Directors and Stockholders of Wynn Resorts, Limited and subsidiaries:</w:t>
      </w:r>
    </w:p>
    <w:p>
      <w:pPr>
        <w:spacing w:after="0" w:line="1" w:lineRule="exact"/>
        <w:rPr>
          <w:sz w:val="20"/>
          <w:szCs w:val="20"/>
          <w:color w:val="auto"/>
        </w:rPr>
      </w:pPr>
    </w:p>
    <w:p>
      <w:pPr>
        <w:jc w:val="both"/>
        <w:ind w:right="40" w:firstLine="456"/>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Wynn Resorts, Limited and subsidiaries (the “Company”) as of December 31, 2010 and 2009, and the related consolidated statements of income, stockholders’ equity, and cash flows for each of the three years in the period ended December 31, 2010. Our audits also included the financial statement schedules listed in the index at item 15(a)2. These financial statements and schedules are the responsibility of the Company’s management. Our responsibility is to express an opinion on these financial statements and schedules based on our audits.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9" w:lineRule="exact"/>
        <w:rPr>
          <w:sz w:val="20"/>
          <w:szCs w:val="20"/>
          <w:color w:val="auto"/>
        </w:rPr>
      </w:pPr>
    </w:p>
    <w:p>
      <w:pPr>
        <w:ind w:right="180" w:firstLine="456"/>
        <w:spacing w:after="0" w:line="301" w:lineRule="auto"/>
        <w:rPr>
          <w:sz w:val="20"/>
          <w:szCs w:val="20"/>
          <w:color w:val="auto"/>
        </w:rPr>
      </w:pPr>
      <w:r>
        <w:rPr>
          <w:rFonts w:ascii="Times New Roman" w:cs="Times New Roman" w:eastAsia="Times New Roman" w:hAnsi="Times New Roman"/>
          <w:sz w:val="16"/>
          <w:szCs w:val="16"/>
          <w:color w:val="auto"/>
        </w:rPr>
        <w:t>In our opinion, the financial statements referred to above present fairly, in all material respects, the consolidated financial position of the Company at December 31, 2010 and 2009, and the consolidated results of their operations and their cash flows for each of the three years in the period ended December 31, 2010, in conformity with U.S. generally accepted accounting principles. Also, in our opinion, the related financial statement schedules referred to above, when considered in relation to the basic financial statements taken as a whole, present fairly in all material respects the information set forth therein.</w:t>
      </w:r>
    </w:p>
    <w:p>
      <w:pPr>
        <w:spacing w:after="0" w:line="103"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the Company’s internal control over financial reporting as of December 31, 2010,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28, 2011 expressed an unqualified opinion thereon.</w:t>
      </w:r>
    </w:p>
    <w:p>
      <w:pPr>
        <w:spacing w:after="0" w:line="13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color w:val="auto"/>
        </w:rPr>
        <w:t>/s/</w:t>
        <w:tab/>
        <w:t>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2011</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455" w:right="27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ind w:left="39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1,258,499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Receivables,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187,464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2,282,956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4,921,259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6,674,497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ind w:left="24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and construction payable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168,135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Income taxes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Gaming taxes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173,888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Customer deposits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368,621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Construction retention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887,929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3,264,854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retention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4,293,912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40,000,000 shares authorized; zero shares issued and outstanding</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400,000,000 shares authorized; 137,404,462 and 136,098,410 shares issued;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124,599,508 and 123,293,456 shares outstanding</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 at cost; 12,804,954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(1,119,407)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(1,119,407)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3,346,050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Wynn Resorts, Limited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2,237,948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2,380,585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3,160,363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6,674,497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7,581,769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3,245,104</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2,206,829</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2,261,932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377,520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436,361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288,432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Gross revenues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4,487,835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3,309,142</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3,217,367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(303,137)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(263,531)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4,184,698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3,045,611</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2,987,324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Casino</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2,100,050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1,460,130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1,490,927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Rooms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Food and beverage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252,687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166,636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365,070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405,558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410,547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3,559,446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2,810,648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2,675,188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234,963</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(222,863)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(211,385)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Decrease in swap fair value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(loss) on extinguishment of debt/exchange offer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(67,990)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(288,209)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(192,857)</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(163,218)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(20,447)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(2,999)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(156,469)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(18,453)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160,127</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and diluted income per common share:</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gridSpan w:val="2"/>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40" w:type="dxa"/>
            <w:vAlign w:val="bottom"/>
            <w:gridSpan w:val="3"/>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Wynn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85"/>
              </w:rPr>
              <w:t>Retained</w:t>
            </w:r>
          </w:p>
        </w:tc>
        <w:tc>
          <w:tcPr>
            <w:tcW w:w="10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Resorts, Ltd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6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90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paid-in</w:t>
            </w:r>
          </w:p>
        </w:tc>
        <w:tc>
          <w:tcPr>
            <w:tcW w:w="10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160" w:type="dxa"/>
            <w:vAlign w:val="bottom"/>
          </w:tcPr>
          <w:p>
            <w:pPr>
              <w:spacing w:after="0"/>
              <w:rPr>
                <w:sz w:val="12"/>
                <w:szCs w:val="12"/>
                <w:color w:val="auto"/>
              </w:rPr>
            </w:pPr>
          </w:p>
        </w:tc>
        <w:tc>
          <w:tcPr>
            <w:tcW w:w="6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89"/>
              </w:rPr>
              <w:t>earnings</w:t>
            </w:r>
          </w:p>
        </w:tc>
        <w:tc>
          <w:tcPr>
            <w:tcW w:w="100" w:type="dxa"/>
            <w:vAlign w:val="bottom"/>
          </w:tcPr>
          <w:p>
            <w:pPr>
              <w:spacing w:after="0"/>
              <w:rPr>
                <w:sz w:val="12"/>
                <w:szCs w:val="12"/>
                <w:color w:val="auto"/>
              </w:rPr>
            </w:pPr>
          </w:p>
        </w:tc>
        <w:tc>
          <w:tcPr>
            <w:tcW w:w="9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stockholders’</w:t>
            </w:r>
          </w:p>
        </w:tc>
        <w:tc>
          <w:tcPr>
            <w:tcW w:w="1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outstanding</w:t>
            </w:r>
          </w:p>
        </w:tc>
        <w:tc>
          <w:tcPr>
            <w:tcW w:w="240" w:type="dxa"/>
            <w:vAlign w:val="bottom"/>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income (loss)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(deficit)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Balances, January 1, 2008</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114,370,090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$1,162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(179,277)</w:t>
            </w:r>
          </w:p>
        </w:tc>
        <w:tc>
          <w:tcPr>
            <w:tcW w:w="76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w w:val="95"/>
              </w:rPr>
              <w:t>$2,366,687</w:t>
            </w:r>
          </w:p>
        </w:tc>
        <w:tc>
          <w:tcPr>
            <w:tcW w:w="280" w:type="dxa"/>
            <w:vAlign w:val="bottom"/>
            <w:gridSpan w:val="2"/>
            <w:shd w:val="clear" w:color="auto" w:fill="CCEEFF"/>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(2,905)</w:t>
            </w:r>
          </w:p>
        </w:tc>
        <w:tc>
          <w:tcPr>
            <w:tcW w:w="160" w:type="dxa"/>
            <w:vAlign w:val="bottom"/>
            <w:tcBorders>
              <w:right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w w:val="94"/>
              </w:rPr>
              <w:t>(228,708)</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1,956,959</w:t>
            </w:r>
          </w:p>
        </w:tc>
        <w:tc>
          <w:tcPr>
            <w:tcW w:w="24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ind w:left="5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1,956,959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210,479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210,479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210,479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5,519</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ind w:left="420"/>
              <w:spacing w:after="0" w:line="155" w:lineRule="exact"/>
              <w:rPr>
                <w:sz w:val="20"/>
                <w:szCs w:val="20"/>
                <w:color w:val="auto"/>
              </w:rPr>
            </w:pPr>
            <w:r>
              <w:rPr>
                <w:rFonts w:ascii="Times New Roman" w:cs="Times New Roman" w:eastAsia="Times New Roman" w:hAnsi="Times New Roman"/>
                <w:sz w:val="14"/>
                <w:szCs w:val="14"/>
                <w:color w:val="auto"/>
              </w:rPr>
              <w:t>Comprehensive income</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215,998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5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215,998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94,583</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560,000</w:t>
            </w: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Cancellation of restricted stock</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(96,000)</w:t>
            </w:r>
          </w:p>
        </w:tc>
        <w:tc>
          <w:tcPr>
            <w:tcW w:w="6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treasury stock</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(10,915,633)</w:t>
            </w:r>
          </w:p>
        </w:tc>
        <w:tc>
          <w:tcPr>
            <w:tcW w:w="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(940,130)</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(940,130)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(940,130)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Forfeited cash distribution upon cancellation of</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stock</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8,000,000</w:t>
            </w: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343,905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343,985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343,985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20,908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20,908</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Balances, December 31, 2008</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112,013,040</w:t>
            </w:r>
          </w:p>
        </w:tc>
        <w:tc>
          <w:tcPr>
            <w:tcW w:w="2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1,248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w w:val="91"/>
              </w:rPr>
              <w:t>(1,119,407)</w:t>
            </w:r>
          </w:p>
        </w:tc>
        <w:tc>
          <w:tcPr>
            <w:tcW w:w="7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2,734,276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2,614</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(17,136)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1,601,595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5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1,601,595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18,453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39,107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160" w:type="dxa"/>
            <w:vAlign w:val="bottom"/>
          </w:tcPr>
          <w:p>
            <w:pPr>
              <w:spacing w:after="0"/>
              <w:rPr>
                <w:sz w:val="13"/>
                <w:szCs w:val="13"/>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Comprehensive (loss) income</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244,916</w:t>
            </w: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6,344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Cancellation of restricted stock</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(4,500)</w:t>
            </w:r>
          </w:p>
        </w:tc>
        <w:tc>
          <w:tcPr>
            <w:tcW w:w="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Forfeited cash distribution upon cancellation of</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restricted stock</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net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11,040,000</w:t>
            </w:r>
          </w:p>
        </w:tc>
        <w:tc>
          <w:tcPr>
            <w:tcW w:w="2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202,035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202,145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202,145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Sale of Wynn Macau, Ltd common stock, net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1,623,228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(1,044)</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1,622,184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107,358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1,729,542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distribution</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(93,132)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(493,132)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(493,132)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benefits from stock-based compensation</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49,013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49,013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24,601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24,601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24,921</w:t>
            </w:r>
          </w:p>
        </w:tc>
        <w:tc>
          <w:tcPr>
            <w:tcW w:w="0" w:type="dxa"/>
            <w:vAlign w:val="bottom"/>
          </w:tcPr>
          <w:p>
            <w:pPr>
              <w:spacing w:after="0"/>
              <w:rPr>
                <w:sz w:val="1"/>
                <w:szCs w:val="1"/>
                <w:color w:val="auto"/>
              </w:rPr>
            </w:pPr>
          </w:p>
        </w:tc>
      </w:tr>
      <w:tr>
        <w:trPr>
          <w:trHeight w:val="20"/>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Balances, December 31, 2009</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60" w:type="dxa"/>
            <w:vAlign w:val="bottom"/>
            <w:gridSpan w:val="2"/>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123,293,456</w:t>
            </w:r>
          </w:p>
        </w:tc>
        <w:tc>
          <w:tcPr>
            <w:tcW w:w="24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1,361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w w:val="91"/>
              </w:rPr>
              <w:t>(1,119,407)</w:t>
            </w:r>
          </w:p>
        </w:tc>
        <w:tc>
          <w:tcPr>
            <w:tcW w:w="7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4,239,497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2,446</w:t>
            </w:r>
          </w:p>
        </w:tc>
        <w:tc>
          <w:tcPr>
            <w:tcW w:w="160" w:type="dxa"/>
            <w:vAlign w:val="bottom"/>
          </w:tcPr>
          <w:p>
            <w:pPr>
              <w:spacing w:after="0"/>
              <w:rPr>
                <w:sz w:val="13"/>
                <w:szCs w:val="13"/>
                <w:color w:val="auto"/>
              </w:rPr>
            </w:pPr>
          </w:p>
        </w:tc>
        <w:tc>
          <w:tcPr>
            <w:tcW w:w="6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(89,559)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3,034,338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126,025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3,160,363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160,127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160,127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156,469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316,596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Currency translation adjustment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160" w:type="dxa"/>
            <w:vAlign w:val="bottom"/>
          </w:tcPr>
          <w:p>
            <w:pPr>
              <w:spacing w:after="0"/>
              <w:rPr>
                <w:sz w:val="13"/>
                <w:szCs w:val="13"/>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(1,557)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(2,154)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Comprehensive (loss) income</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158,570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155,872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314,442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1,308,052</w:t>
            </w:r>
          </w:p>
        </w:tc>
        <w:tc>
          <w:tcPr>
            <w:tcW w:w="2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66,173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66,186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66,186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restricted stock</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50,000</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Cancellation of restricted stock</w:t>
            </w: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6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4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Forfeited cash distribution upon cancellation of</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restricted stock</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distributions</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(996,473)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(61,778)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(1,058,251)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(140,672)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(1,198,923)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Excess tax benefits from stock-based compensation</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10,480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10,480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10,480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26,373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26,373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27,785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Balances, December 31, 2010</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124,599,508</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93"/>
              </w:rPr>
              <w:t>$</w:t>
            </w:r>
            <w:r>
              <w:rPr>
                <w:rFonts w:ascii="Times New Roman" w:cs="Times New Roman" w:eastAsia="Times New Roman" w:hAnsi="Times New Roman"/>
                <w:sz w:val="14"/>
                <w:szCs w:val="14"/>
                <w:color w:val="auto"/>
                <w:w w:val="93"/>
              </w:rPr>
              <w:t>1,374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w w:val="91"/>
              </w:rPr>
              <w:t>(1,119,407)</w:t>
            </w:r>
          </w:p>
        </w:tc>
        <w:tc>
          <w:tcPr>
            <w:tcW w:w="7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u w:val="single" w:color="auto"/>
                <w:color w:val="auto"/>
                <w:w w:val="95"/>
              </w:rPr>
              <w:t>$</w:t>
            </w:r>
            <w:r>
              <w:rPr>
                <w:rFonts w:ascii="Times New Roman" w:cs="Times New Roman" w:eastAsia="Times New Roman" w:hAnsi="Times New Roman"/>
                <w:sz w:val="14"/>
                <w:szCs w:val="14"/>
                <w:color w:val="auto"/>
                <w:w w:val="95"/>
              </w:rPr>
              <w:t>3,346,050</w:t>
            </w:r>
          </w:p>
        </w:tc>
        <w:tc>
          <w:tcPr>
            <w:tcW w:w="280" w:type="dxa"/>
            <w:vAlign w:val="bottom"/>
            <w:gridSpan w:val="2"/>
            <w:shd w:val="clear" w:color="auto" w:fill="CCEEFF"/>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9,042</w:t>
            </w: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2,237,948</w:t>
            </w:r>
          </w:p>
        </w:tc>
        <w:tc>
          <w:tcPr>
            <w:tcW w:w="24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142,637</w:t>
            </w:r>
          </w:p>
        </w:tc>
        <w:tc>
          <w:tcPr>
            <w:tcW w:w="22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2,380,585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316,596</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39,107</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210,479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405,558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263,213</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(63,460)</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27,168</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20,328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(44,909)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and write-offs of deferred financing costs,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24,342</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21,951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Loss (gain) on extinguishment of debt/exchange offer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(18,734)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28,304</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49,405</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32,584</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income of unconsolidated affiliates, net of distributions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31,485</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(63,073)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(41,416)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4,621</w:t>
            </w:r>
          </w:p>
        </w:tc>
      </w:tr>
      <w:tr>
        <w:trPr>
          <w:trHeight w:val="216"/>
        </w:trPr>
        <w:tc>
          <w:tcPr>
            <w:tcW w:w="20" w:type="dxa"/>
            <w:vAlign w:val="bottom"/>
          </w:tcPr>
          <w:p>
            <w:pPr>
              <w:spacing w:after="0"/>
              <w:rPr>
                <w:sz w:val="18"/>
                <w:szCs w:val="18"/>
                <w:color w:val="auto"/>
              </w:rPr>
            </w:pPr>
          </w:p>
        </w:tc>
        <w:tc>
          <w:tcPr>
            <w:tcW w:w="76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(49,417)</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23,537</w:t>
            </w:r>
          </w:p>
        </w:tc>
      </w:tr>
      <w:tr>
        <w:trPr>
          <w:trHeight w:val="230"/>
        </w:trPr>
        <w:tc>
          <w:tcPr>
            <w:tcW w:w="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1,057,312</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593,956</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 net of construction payables and retention</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(283,828)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(540,929)</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(1,333,182)</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31,052</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Deposits and purchase of other assets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(11,258)</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(43,589)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6,720</w:t>
            </w:r>
          </w:p>
        </w:tc>
      </w:tr>
      <w:tr>
        <w:trPr>
          <w:trHeight w:val="230"/>
        </w:trPr>
        <w:tc>
          <w:tcPr>
            <w:tcW w:w="20" w:type="dxa"/>
            <w:vAlign w:val="bottom"/>
          </w:tcPr>
          <w:p>
            <w:pPr>
              <w:spacing w:after="0"/>
              <w:rPr>
                <w:sz w:val="20"/>
                <w:szCs w:val="20"/>
                <w:color w:val="auto"/>
              </w:rPr>
            </w:pPr>
          </w:p>
        </w:tc>
        <w:tc>
          <w:tcPr>
            <w:tcW w:w="76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(296,123)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(551,080)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(1,338,999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2,782</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Excess tax benefits from stock-based compensation</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344,250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Wynn Macau, Ltd IPO</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1,869,653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(1,192,138)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(489,876)</w:t>
            </w:r>
          </w:p>
        </w:tc>
        <w:tc>
          <w:tcPr>
            <w:tcW w:w="100" w:type="dxa"/>
            <w:vAlign w:val="bottom"/>
          </w:tcPr>
          <w:p>
            <w:pPr>
              <w:spacing w:after="0"/>
              <w:rPr>
                <w:sz w:val="18"/>
                <w:szCs w:val="18"/>
                <w:color w:val="auto"/>
              </w:rPr>
            </w:pPr>
          </w:p>
        </w:tc>
        <w:tc>
          <w:tcPr>
            <w:tcW w:w="88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2,246,361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1,151,781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1,379,968</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(2,551,561)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5"/>
              </w:rPr>
              <w:t>(1,799,040)</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(600,260)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Repurchase of Wynn Las Vegas First Mortgage Notes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(50,048)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restricted for stock repurchases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500,068</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(940,130)</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rate swap transactions</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(9,561)</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on long-term land concession obligation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(71,317)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(104,730)</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(7,055)</w:t>
            </w: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(1,492,636)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815,515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667,572</w:t>
            </w:r>
          </w:p>
        </w:tc>
      </w:tr>
      <w:tr>
        <w:trPr>
          <w:trHeight w:val="230"/>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(733,331)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(141,216)</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1,991,830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1,133,904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1,275,120</w:t>
            </w:r>
          </w:p>
        </w:tc>
      </w:tr>
      <w:tr>
        <w:trPr>
          <w:trHeight w:val="223"/>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1,258,499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1,991,830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1,133,904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171,663</w:t>
            </w:r>
          </w:p>
        </w:tc>
        <w:tc>
          <w:tcPr>
            <w:tcW w:w="1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209,093</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232,019</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property and equipment included in accounts and construction payables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(27,670)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(181,366)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83,683</w:t>
            </w: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695</w:t>
            </w: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Liability for cash distributions declared on non-vested stock</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20" w:type="dxa"/>
            <w:vAlign w:val="bottom"/>
          </w:tcPr>
          <w:p>
            <w:pPr>
              <w:spacing w:after="0"/>
              <w:rPr>
                <w:sz w:val="19"/>
                <w:szCs w:val="19"/>
                <w:color w:val="auto"/>
              </w:rPr>
            </w:pPr>
          </w:p>
        </w:tc>
        <w:tc>
          <w:tcPr>
            <w:tcW w:w="7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 capitalized into construction in progress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580</w:t>
            </w:r>
          </w:p>
        </w:tc>
      </w:tr>
    </w:tbl>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420"/>
          </w:cols>
          <w:pgMar w:left="240" w:top="455"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Wynn Resorts, Limited, a Nevada corporation (together with its subsidiaries, “Wynn Resorts” or the “Company”), was formed in June 2002 and completed an initial public offering of its common stock on October 25, 2002.</w:t>
      </w:r>
    </w:p>
    <w:p>
      <w:pPr>
        <w:spacing w:after="0" w:line="120"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In June 2002, the Company’s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132" w:lineRule="exact"/>
        <w:rPr>
          <w:sz w:val="20"/>
          <w:szCs w:val="20"/>
          <w:color w:val="auto"/>
        </w:rPr>
      </w:pPr>
    </w:p>
    <w:p>
      <w:pPr>
        <w:jc w:val="both"/>
        <w:ind w:right="400" w:firstLine="456"/>
        <w:spacing w:after="0" w:line="310" w:lineRule="auto"/>
        <w:rPr>
          <w:sz w:val="20"/>
          <w:szCs w:val="20"/>
          <w:color w:val="auto"/>
        </w:rPr>
      </w:pPr>
      <w:r>
        <w:rPr>
          <w:rFonts w:ascii="Times New Roman" w:cs="Times New Roman" w:eastAsia="Times New Roman" w:hAnsi="Times New Roman"/>
          <w:sz w:val="16"/>
          <w:szCs w:val="16"/>
          <w:color w:val="auto"/>
        </w:rPr>
        <w:t>The Company currently owns and operates casino hotel resort properties in Las Vegas, Nevada and Macau. In Las Vegas, Nevada, the Company owns Wynn Las Vegas, which opened on April 28, 2005 and was expanded with the opening of Encore at Wynn Las Vegas on December 22, 2008. In Macau, the Company owns Wynn Macau, which opened on September 6, 2006 and was expanded with the opening of Encore at Wynn Macau on April 21, 2010.</w:t>
      </w:r>
    </w:p>
    <w:p>
      <w:pPr>
        <w:spacing w:after="0" w:line="9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this subsidiary’s common stock.</w:t>
      </w:r>
    </w:p>
    <w:p>
      <w:pPr>
        <w:spacing w:after="0" w:line="211" w:lineRule="exact"/>
        <w:rPr>
          <w:sz w:val="20"/>
          <w:szCs w:val="20"/>
          <w:color w:val="auto"/>
        </w:rPr>
      </w:pPr>
    </w:p>
    <w:p>
      <w:pPr>
        <w:ind w:left="240" w:right="7920" w:hanging="232"/>
        <w:spacing w:after="0" w:line="345" w:lineRule="auto"/>
        <w:tabs>
          <w:tab w:leader="none" w:pos="18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Principles of Consolidation</w:t>
      </w:r>
    </w:p>
    <w:p>
      <w:pPr>
        <w:spacing w:after="0" w:line="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jc w:val="both"/>
        <w:ind w:right="60" w:firstLine="456"/>
        <w:spacing w:after="0" w:line="262" w:lineRule="auto"/>
        <w:rPr>
          <w:sz w:val="20"/>
          <w:szCs w:val="20"/>
          <w:color w:val="auto"/>
        </w:rPr>
      </w:pPr>
      <w:r>
        <w:rPr>
          <w:rFonts w:ascii="Times New Roman" w:cs="Times New Roman" w:eastAsia="Times New Roman" w:hAnsi="Times New Roman"/>
          <w:sz w:val="18"/>
          <w:szCs w:val="18"/>
          <w:color w:val="auto"/>
        </w:rPr>
        <w:t>Cash and cash equivalents are comprised of highly liquid investments with original maturities of three months or less. Cash equivalents are carried at cost, which approximates fair value. Cash equivalents of $663.9 million and $1.4 billion at December 31, 2010 and 2009, respectively, were invested in money market funds, U.S. treasuries and time deposits. The Company utilized Level 1 inputs as described in Note 8 to determine fair value.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Credit Risk</w:t>
      </w:r>
    </w:p>
    <w:p>
      <w:pPr>
        <w:spacing w:after="0" w:line="94" w:lineRule="exact"/>
        <w:rPr>
          <w:sz w:val="20"/>
          <w:szCs w:val="20"/>
          <w:color w:val="auto"/>
        </w:rPr>
      </w:pPr>
    </w:p>
    <w:p>
      <w:pPr>
        <w:jc w:val="both"/>
        <w:ind w:right="80" w:firstLine="456"/>
        <w:spacing w:after="0" w:line="27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casino accounts receivable. The Company issues credit in the form of “markers” to approved</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casino customers following investigations of creditworthiness. At December 31, 2010 and 2009, approximately 82% and 76%,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32"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Inventories consist of retail merchandise, food and beverage items which are stated at the lower of cost or market value and certain operating supplies. Cost is determined by the first-in, first-out, average and specific identification methods.</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Purchases of property and equipment are stated at cost. Depreciation is provided over the estimated useful lives of the assets using the straight-line method as follows:</w:t>
      </w:r>
    </w:p>
    <w:p>
      <w:pPr>
        <w:sectPr>
          <w:pgSz w:w="11900" w:h="16838" w:orient="portrait"/>
          <w:cols w:equalWidth="0" w:num="1">
            <w:col w:w="11400"/>
          </w:cols>
          <w:pgMar w:left="240" w:top="455" w:right="259" w:bottom="1440" w:gutter="0" w:footer="0" w:header="0"/>
        </w:sectPr>
      </w:pPr>
    </w:p>
    <w:p>
      <w:pPr>
        <w:spacing w:after="0" w:line="16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Buildings and improvements</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Land improvements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Leasehold interest in land</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Airplanes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to 45 years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10 to 45 years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to 20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20 years</w:t>
      </w:r>
    </w:p>
    <w:p>
      <w:pPr>
        <w:spacing w:after="0" w:line="159" w:lineRule="exact"/>
        <w:rPr>
          <w:sz w:val="20"/>
          <w:szCs w:val="20"/>
          <w:color w:val="auto"/>
        </w:rPr>
      </w:pPr>
    </w:p>
    <w:p>
      <w:pPr>
        <w:sectPr>
          <w:pgSz w:w="11900" w:h="16838" w:orient="portrait"/>
          <w:cols w:equalWidth="0" w:num="2">
            <w:col w:w="7380" w:space="720"/>
            <w:col w:w="3300"/>
          </w:cols>
          <w:pgMar w:left="240" w:top="455" w:right="259" w:bottom="1440" w:gutter="0" w:footer="0" w:header="0"/>
          <w:type w:val="continuous"/>
        </w:sect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Costs related to improvements are capitalized, while costs of repairs and maintenance are charged to expense as incurred. The cost and accumulated depreciation of property and equipment retired or otherwise disposed of are eliminated from the respective accounts and any resulting gain or loss is included in operations.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94"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$7.2 million, $10.7 million and $87.4 million was capitalized for the years ended December 31, 2010, 2009 and 2008, respectively.</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Intangibles</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Company’s indefinite-lived intangible assets consist primarily of water rights acquired as part of the original purchase price of the property on which Wynn Las Vegas is located, and trademarks. Indefinite-lived intangible assets are not amortized, but are reviewed for impairment annually. The Company’s finite-lived intangible assets consist of a Macau gaming concession and show production rights. Finite-lived intangible assets are amortized over the shorter of their contractual terms or estimated useful lives.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Long-lived assets, which are to be held and used, including intangibles and property and equipment, are periodically reviewed by management for impairment whenever events or changes in circumstances indicate that the carrying value of the asset may not be recoverable.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9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Direct and incremental costs incurred in obtaining loans or in connection with the issuance of long-term debt are capitalized and amortized to interest expense over the terms of the related debt agreements. Approximately $13.2 million, $15.4 million and $17.8 million were amortized to interest expense during the years ended December 31, 2010, 2009 and 2008, respectively. Debt discounts incurred in connection with the issuance of debt have been capitalized and are being amortized to interest expense using the effective interest method.</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seeks to manage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as the Company’s current interest rate swaps do not qualify for hedge accounting. Accordingly, changes in the fair value of the interest rate swaps are presented as an increase (decrease) in swap fair value in the accompanying Consolidated Statements of Income. The differentials paid or received on interest rate swap agreements are recognized as adjustments to interest expense.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Promotional Allowances</w:t>
      </w:r>
    </w:p>
    <w:p>
      <w:pPr>
        <w:spacing w:after="0" w:line="94"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20"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39"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 consequently, the Company’s casino revenues are reduced by discounts, commissions and points earned in the player’s club loyalty program.</w:t>
      </w:r>
    </w:p>
    <w:p>
      <w:pPr>
        <w:spacing w:after="0" w:line="120"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The retail value of accommodations, food and beverage, and other services furnished to guests without charge is included in gross revenues. Such amounts are then deducted as promotional allowances. These amounts have increased with the opening of Encore at Wynn Las Vegas in December 2008 and the opening of Encore at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580"/>
        <w:spacing w:after="0" w:line="275" w:lineRule="auto"/>
        <w:rPr>
          <w:sz w:val="20"/>
          <w:szCs w:val="20"/>
          <w:color w:val="auto"/>
        </w:rPr>
      </w:pPr>
      <w:r>
        <w:rPr>
          <w:rFonts w:ascii="Times New Roman" w:cs="Times New Roman" w:eastAsia="Times New Roman" w:hAnsi="Times New Roman"/>
          <w:sz w:val="18"/>
          <w:szCs w:val="18"/>
          <w:color w:val="auto"/>
        </w:rPr>
        <w:t>Wynn Macau in April 2010. The estimated cost of providing such promotional allowances is primarily included in casino expenses as follows (amounts in thousands):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52,017</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53,325</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36,155</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94,220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86,798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79,828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10,486</w:t>
            </w:r>
          </w:p>
        </w:tc>
      </w:tr>
      <w:tr>
        <w:trPr>
          <w:trHeight w:val="223"/>
        </w:trPr>
        <w:tc>
          <w:tcPr>
            <w:tcW w:w="6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167,328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152,910</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126,469</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Self-Insurance Reserves</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Company is self-insured up to certain limits for costs of employee health coverage, workers’ compensation and general liability claims. Insurance claims and reserves include accruals of estimated settlements for known claims, as well as accruals of estimates for claims incurred but not yet reported. In estimating these accruals, the Company considers historical loss experience and makes judgments about the expected level of costs per claim. Management believes the estimates of future liability are reasonable based upon its methodology; however, changes in health care costs, accident frequency and severity could materially affect the estimate for these liabilities.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Customer Loyalty Program</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customer loyalty program relates to a slot club program whereby customers may earn points based on their level of play that may be redeemed for free credit that must be replayed in the slot machine. The Company accrues a liability based on the points earned times the redemption value, less an estimate for breakage, and records a related reduction in casino revenue.</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Slot Machine Jackpots</w:t>
      </w:r>
    </w:p>
    <w:p>
      <w:pPr>
        <w:spacing w:after="0" w:line="9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With respect to base and progressive jackpots, the Company does not accrue a liability in jurisdictions in which it has the ability to avoid payment of the base jackpot because the machine can legally be removed from the gaming floor without payment of the base amount. Conversely, if the Company is unable to avoid payment of the jackpot (i.e. the incremental amount on a progressive machine) due to legal requirements, the jackpot is accrued as the obligation becomes unavoidable. This liability is accrued over the time period in which the incremental progressive jackpot amount is generated with a related reduction in casino revenue. No liability is accrued with respect to the base jackpot.</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Gaming taxes</w:t>
      </w:r>
    </w:p>
    <w:p>
      <w:pPr>
        <w:spacing w:after="0" w:line="9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The Company is subject to taxes based on gross gaming revenue in the jurisdictions in which it operates, subject to applicable jurisdictional adjustments. These gaming taxes are an assessment on the Company’s gaming revenue and are recorded as an expense within the “Casino” line item in the accompanying Consolidated Statements of Income. These taxes totaled $1,412.8 million, $892.2 million and $919.2 million for the years ended December 31, 2010, 2009 and 2008, respectively.</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9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Company expenses advertising costs the first time the advertising takes place. Advertising costs incurred in development periods are included in pre-opening costs. Once a project is completed, advertising costs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are included in general and administrative expenses. Total advertising costs were $19 million, $20.4 million and $31.2 million, including $11.1 million in 2008 for pre-opening related to Encore at Wynn Las Vegas, for the years ended December 31, 2010, 2009 and 2008, respectively.</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Pre-Opening Costs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Pre-opening costs consists primarily of direct salaries and wages, legal and consulting fees, insurance, utilities and advertising, and are expensed as incurred. During the year ended December 31, 2010, the Company incurred pre-opening costs in connection with the Encore Beach Club and Surrender Nightclub which opened in May 2010, and Encore at Wynn Macau prior to its opening in April 2010. During the year ended December 31, 2009, the Company incurred pre-opening costs in connection with Encore at Wynn Las Vegas prior to its opening in December 2008.</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other foreign jurisdictions where it operates. Accounting standards require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 Accounting standards also require recognition of a future tax benefit to the extent that realization of such benefit is more likely than not. Otherwise, a valuation allowance is applied.</w:t>
      </w:r>
    </w:p>
    <w:p>
      <w:pPr>
        <w:spacing w:after="0" w:line="141" w:lineRule="exact"/>
        <w:rPr>
          <w:sz w:val="20"/>
          <w:szCs w:val="20"/>
          <w:color w:val="auto"/>
        </w:rPr>
      </w:pPr>
    </w:p>
    <w:p>
      <w:pPr>
        <w:ind w:right="240" w:firstLine="456"/>
        <w:spacing w:after="0" w:line="310" w:lineRule="auto"/>
        <w:rPr>
          <w:sz w:val="20"/>
          <w:szCs w:val="20"/>
          <w:color w:val="auto"/>
        </w:rPr>
      </w:pPr>
      <w:r>
        <w:rPr>
          <w:rFonts w:ascii="Times New Roman" w:cs="Times New Roman" w:eastAsia="Times New Roman" w:hAnsi="Times New Roman"/>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accounting standards for uncertain income taxes. The accounting standards prescribe a minimum recognition threshold a tax position is required to meet before being recognized in the financial statements.</w:t>
      </w:r>
    </w:p>
    <w:p>
      <w:pPr>
        <w:spacing w:after="0" w:line="97"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Uncertain tax position accounting standards apply to all tax positions related to income taxes. These accounting standards utilize a two-step approach for evaluating tax positions. Recognition (Step I) occurs when the Company concludes that a 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Use of the term “more likely than not” is consistent with how that term is used in accounting for income taxes (i.e. likelihood of occurrence is greater than 50%).</w:t>
      </w:r>
    </w:p>
    <w:p>
      <w:pPr>
        <w:spacing w:after="0" w:line="139"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Tax positions failing to qualify for initial recognition are recognized in the first subsequent interim period that they meet the “more likely than not” standard. If it is subsequently determined that a previously recognized tax position no longer meets the “more likely than not” standard, it is required that the tax position is derecognized. Accounting standards for uncertain tax positions specifically prohibit the use of a valuation allowance as a substitute for derecognition of tax positions. As applicable, the Company will recognize accrued penalties and interest related to unrecognized tax benefits in the provision for income taxes. During the years ended December 31, 2010, 2009 and 2008, the Company recognized no amounts for interest or penalties.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Currency Translation</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Gains or losses from foreign currency remeasurements are included in other income/expense in the accompanying Consolidated Statements of Income. The results of operations and the balance sheet of Wynn Macau, S.A. are translated from Macau Patacas to U.S. dollars. Balance sheet accounts are translated at the exchange rate in effect at each year-end. Income statement accounts are translated at the average rate of exchange prevailing during the year. Translation adjustments resulting from this process are charged or credited to other comprehensive income.</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w:t>
      </w:r>
    </w:p>
    <w:p>
      <w:pPr>
        <w:spacing w:after="0" w:line="94" w:lineRule="exact"/>
        <w:rPr>
          <w:sz w:val="20"/>
          <w:szCs w:val="20"/>
          <w:color w:val="auto"/>
        </w:rPr>
      </w:pPr>
    </w:p>
    <w:p>
      <w:pPr>
        <w:jc w:val="both"/>
        <w:ind w:right="660" w:firstLine="456"/>
        <w:spacing w:after="0" w:line="262" w:lineRule="auto"/>
        <w:rPr>
          <w:sz w:val="20"/>
          <w:szCs w:val="20"/>
          <w:color w:val="auto"/>
        </w:rPr>
      </w:pPr>
      <w:r>
        <w:rPr>
          <w:rFonts w:ascii="Times New Roman" w:cs="Times New Roman" w:eastAsia="Times New Roman" w:hAnsi="Times New Roman"/>
          <w:sz w:val="18"/>
          <w:szCs w:val="18"/>
          <w:color w:val="auto"/>
        </w:rPr>
        <w:t>Comprehensive income includes net income and all other non-stockholder changes in equity, or other comprehensive income. Components of the Company’s comprehensive income are reported in the accompanying Consolidated Statements of Stockholders’ Equity. The cumulative balance of other comprehensive income consists solely of currency translation adjustments.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94"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Basic earnings per share (“EPS’) is computed by dividing net income attributable to Wynn Resorts by the weighted average number of shares outstanding during the year. Diluted EPS reflects the addition of potentially dilutive securities which for the Company include: stock options and nonvested stock.</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number of common and common equivalent shares used in the calculation of basic and diluted EPS for the years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2010, 2009 and 2008, consisted of the following (amounts in thousands):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70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2010</w:t>
            </w:r>
          </w:p>
        </w:tc>
        <w:tc>
          <w:tcPr>
            <w:tcW w:w="38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2009</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4"/>
                <w:szCs w:val="14"/>
                <w:color w:val="auto"/>
              </w:rPr>
            </w:pPr>
          </w:p>
        </w:tc>
      </w:tr>
      <w:tr>
        <w:trPr>
          <w:trHeight w:val="195"/>
        </w:trPr>
        <w:tc>
          <w:tcPr>
            <w:tcW w:w="67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common shares outstanding (used in calculation of basic earnings per</w:t>
            </w: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122,787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119,840</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108,408</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Potential dilution from the assumed exercise of stock options and nonvested stock</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r>
      <w:tr>
        <w:trPr>
          <w:trHeight w:val="202"/>
        </w:trPr>
        <w:tc>
          <w:tcPr>
            <w:tcW w:w="670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Weighted average common and common equivalent shares outstanding (used in calculation</w:t>
            </w: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of diluted earnings per share)</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123,939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120,185</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109,441</w:t>
            </w:r>
          </w:p>
        </w:tc>
      </w:tr>
      <w:tr>
        <w:trPr>
          <w:trHeight w:val="20"/>
        </w:trPr>
        <w:tc>
          <w:tcPr>
            <w:tcW w:w="6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A total of 1,078,000, 4,899,918 and 880,000 stock options were excluded from the calculation of diluted EPS at December 31, 2010, 2009 and 2008, respectively, because including them would have been anti-dilutive.</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Accounting standards require the Company to measure the cost of employee services received in exchange for an award of equity instruments based on the grant-date fair value of the award and recognize that cost over the service period. The Company uses the Black-Scholes valuation model to determine the estimated fair value for each option grant issued. The Black-Scholes determined fair value net of estimated forfeitures is amortized as compensation cost on a straight line basis over the service period.</w:t>
      </w:r>
    </w:p>
    <w:p>
      <w:pPr>
        <w:spacing w:after="0" w:line="136" w:lineRule="exact"/>
        <w:rPr>
          <w:sz w:val="20"/>
          <w:szCs w:val="20"/>
          <w:color w:val="auto"/>
        </w:rPr>
      </w:pPr>
    </w:p>
    <w:p>
      <w:pPr>
        <w:jc w:val="center"/>
        <w:ind w:left="280" w:right="420"/>
        <w:spacing w:after="0" w:line="447" w:lineRule="auto"/>
        <w:rPr>
          <w:sz w:val="20"/>
          <w:szCs w:val="20"/>
          <w:color w:val="auto"/>
        </w:rPr>
      </w:pPr>
      <w:r>
        <w:rPr>
          <w:rFonts w:ascii="Times New Roman" w:cs="Times New Roman" w:eastAsia="Times New Roman" w:hAnsi="Times New Roman"/>
          <w:sz w:val="18"/>
          <w:szCs w:val="18"/>
          <w:color w:val="auto"/>
        </w:rPr>
        <w:t>Further information on the Company’s stock-based compensation arrangements is included in Note 14 “Benefit Plans—Stock-Based Compensation”. 77</w:t>
      </w:r>
    </w:p>
    <w:p>
      <w:pPr>
        <w:sectPr>
          <w:pgSz w:w="11900" w:h="16838" w:orient="portrait"/>
          <w:cols w:equalWidth="0" w:num="1">
            <w:col w:w="11380"/>
          </w:cols>
          <w:pgMar w:left="240" w:top="455"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94"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Certain amounts in the consolidated financial statements for 2009 and 2008 have been reclassified to be consistent with the current year presentation. These reclassifications had no effect on the previously reported net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Receivables, net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Receivables, net consisted of the following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$ 257,951</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$ 205,330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301,555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0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(114,091)</w:t>
            </w:r>
          </w:p>
        </w:tc>
        <w:tc>
          <w:tcPr>
            <w:tcW w:w="1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(102,081)</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$ 187,464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$ 152,879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8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(amounts in thousands):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7"/>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731,810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704,733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3,735,633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3,215,400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Airplanes</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1,647,424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1,585,495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interest in land</w:t>
            </w: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7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457,594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6,300,734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6,122,069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4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(1,379,475)</w:t>
            </w:r>
          </w:p>
        </w:tc>
        <w:tc>
          <w:tcPr>
            <w:tcW w:w="30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(1,060,010)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$ 4,921,259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$ 5,062,059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Depreciation expense for the years ended December 31, 2010, 2009 and 2008, was $391.7 million, $395.2 million and $247.6 million, respectively. The increase during 2009 is due to the depreciation of assets placed in service for Encore at Wynn Las Vegas in December 2008.</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Intangibles, net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Intangibles, net consisted of the following (amounts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6"/>
              </w:rPr>
              <w:t>Macau</w:t>
            </w:r>
          </w:p>
        </w:tc>
        <w:tc>
          <w:tcPr>
            <w:tcW w:w="120" w:type="dxa"/>
            <w:vAlign w:val="bottom"/>
          </w:tcPr>
          <w:p>
            <w:pPr>
              <w:spacing w:after="0"/>
              <w:rPr>
                <w:sz w:val="13"/>
                <w:szCs w:val="13"/>
                <w:color w:val="auto"/>
              </w:rPr>
            </w:pPr>
          </w:p>
        </w:tc>
        <w:tc>
          <w:tcPr>
            <w:tcW w:w="8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Show</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Gaming</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6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Water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Intangibles,</w:t>
            </w:r>
          </w:p>
        </w:tc>
      </w:tr>
      <w:tr>
        <w:trPr>
          <w:trHeight w:val="165"/>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2"/>
              </w:rPr>
              <w:t>Concession</w:t>
            </w:r>
          </w:p>
        </w:tc>
        <w:tc>
          <w:tcPr>
            <w:tcW w:w="12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Trademarks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2009</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$ 32,168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9,147</w:t>
            </w: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$6,400</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49,049</w:t>
            </w:r>
          </w:p>
        </w:tc>
      </w:tr>
      <w:tr>
        <w:trPr>
          <w:trHeight w:val="216"/>
        </w:trPr>
        <w:tc>
          <w:tcPr>
            <w:tcW w:w="57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Additions</w:t>
            </w:r>
          </w:p>
        </w:tc>
        <w:tc>
          <w:tcPr>
            <w:tcW w:w="20" w:type="dxa"/>
            <w:vAlign w:val="bottom"/>
          </w:tcPr>
          <w:p>
            <w:pPr>
              <w:spacing w:after="0"/>
              <w:rPr>
                <w:sz w:val="18"/>
                <w:szCs w:val="18"/>
                <w:color w:val="auto"/>
              </w:rPr>
            </w:pPr>
          </w:p>
        </w:tc>
        <w:tc>
          <w:tcPr>
            <w:tcW w:w="12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24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(2,384)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(4,455)</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2009</w:t>
            </w:r>
          </w:p>
        </w:tc>
        <w:tc>
          <w:tcPr>
            <w:tcW w:w="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44,659</w:t>
            </w:r>
          </w:p>
        </w:tc>
        <w:tc>
          <w:tcPr>
            <w:tcW w:w="100" w:type="dxa"/>
            <w:vAlign w:val="bottom"/>
          </w:tcPr>
          <w:p>
            <w:pPr>
              <w:spacing w:after="0"/>
              <w:rPr>
                <w:sz w:val="19"/>
                <w:szCs w:val="19"/>
                <w:color w:val="auto"/>
              </w:rPr>
            </w:pPr>
          </w:p>
        </w:tc>
      </w:tr>
      <w:tr>
        <w:trPr>
          <w:trHeight w:val="217"/>
        </w:trPr>
        <w:tc>
          <w:tcPr>
            <w:tcW w:w="5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1240" w:type="dxa"/>
            <w:vAlign w:val="bottom"/>
            <w:gridSpan w:val="4"/>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(4,454)</w:t>
            </w:r>
          </w:p>
        </w:tc>
      </w:tr>
      <w:tr>
        <w:trPr>
          <w:trHeight w:val="223"/>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2010</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$ 27,401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6,400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40,205</w:t>
            </w:r>
          </w:p>
        </w:tc>
        <w:tc>
          <w:tcPr>
            <w:tcW w:w="10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The Macau gaming concession intangible is being amortized over the 20-year life of the concession. The Company expects that amortization of the Macau gaming concession will be $2.4 million each year from 2011 through 2021, and $1 million in 2022.</w:t>
      </w:r>
    </w:p>
    <w:p>
      <w:pPr>
        <w:spacing w:after="0" w:line="120"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Show production rights represent amounts paid to purchase the rights to the “Le Rêve” production show. The Company expects that amortization of show production rights will be $2.1 million for each of the years 2011 through 2012, and $0.8 million in 2013.</w:t>
      </w:r>
    </w:p>
    <w:p>
      <w:pPr>
        <w:spacing w:after="0" w:line="12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Water rights reflect the fair value allocation determined in the purchase of the property on which Wynn Las Vegas is located in April 2000. The value of the trademarks primarily represents the costs to acquire the “Le Rêve” name. The water rights and trademarks are indefinite-lived assets and, accordingly, not amortized.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Deposits and Other Assets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Deposits and other assets consisted of the following (amounts in thousands):</w:t>
      </w:r>
    </w:p>
    <w:p>
      <w:pPr>
        <w:spacing w:after="0" w:line="209"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32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production costs</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Base stock</w:t>
            </w: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26,289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w:t>
            </w:r>
          </w:p>
        </w:tc>
        <w:tc>
          <w:tcPr>
            <w:tcW w:w="3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52,664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85,802</w:t>
            </w:r>
          </w:p>
        </w:tc>
        <w:tc>
          <w:tcPr>
            <w:tcW w:w="6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99,380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600" w:type="dxa"/>
            <w:vAlign w:val="bottom"/>
            <w:vMerge w:val="restart"/>
          </w:tcPr>
          <w:p>
            <w:pPr>
              <w:jc w:val="right"/>
              <w:ind w:right="2312"/>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9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r>
      <w:tr>
        <w:trPr>
          <w:trHeight w:val="195"/>
        </w:trPr>
        <w:tc>
          <w:tcPr>
            <w:tcW w:w="9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1"/>
                <w:szCs w:val="1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Wynn Las Vegas First Mortgage Notes, due December 1, 2014, net of original issue discount of $6,852 at</w:t>
            </w: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2009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$ 1,627,378</w:t>
            </w:r>
          </w:p>
        </w:tc>
        <w:tc>
          <w:tcPr>
            <w:tcW w:w="120" w:type="dxa"/>
            <w:vAlign w:val="bottom"/>
            <w:shd w:val="clear" w:color="auto" w:fill="CCEEFF"/>
          </w:tcPr>
          <w:p>
            <w:pPr>
              <w:spacing w:after="0"/>
              <w:rPr>
                <w:sz w:val="20"/>
                <w:szCs w:val="20"/>
                <w:color w:val="auto"/>
              </w:rPr>
            </w:pPr>
          </w:p>
        </w:tc>
      </w:tr>
      <w:tr>
        <w:trPr>
          <w:trHeight w:val="202"/>
        </w:trPr>
        <w:tc>
          <w:tcPr>
            <w:tcW w:w="9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Wynn Las Vegas First Mortgage Notes, due November 1, 2017, net of original issue discount of $9,679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31, 2010 and $10,529 at December 31, 2009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490,321</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489,471</w:t>
            </w:r>
          </w:p>
        </w:tc>
        <w:tc>
          <w:tcPr>
            <w:tcW w:w="120" w:type="dxa"/>
            <w:vAlign w:val="bottom"/>
          </w:tcPr>
          <w:p>
            <w:pPr>
              <w:spacing w:after="0"/>
              <w:rPr>
                <w:sz w:val="19"/>
                <w:szCs w:val="19"/>
                <w:color w:val="auto"/>
              </w:rPr>
            </w:pPr>
          </w:p>
        </w:tc>
      </w:tr>
      <w:tr>
        <w:trPr>
          <w:trHeight w:val="204"/>
        </w:trPr>
        <w:tc>
          <w:tcPr>
            <w:tcW w:w="902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Wynn Las Vegas First Mortgage Notes, due May 1, 2020, net of original issue discount of $1,933 at December 31,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350,077</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4</w:t>
            </w:r>
            <w:r>
              <w:rPr>
                <w:rFonts w:ascii="Times New Roman" w:cs="Times New Roman" w:eastAsia="Times New Roman" w:hAnsi="Times New Roman"/>
                <w:sz w:val="18"/>
                <w:szCs w:val="18"/>
                <w:color w:val="auto"/>
              </w:rPr>
              <w:t>% Wynn Las Vegas First Mortgage Notes, due August 15, 2020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1,320,000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 Las Vegas Revolving Credit Facility, due July 15, 2013; interest at LIBOR plus 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252,717</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Wynn Las Vegas Revolving Credit Facility, due July 17, 2015; interest at LIBOR plus 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Wynn Las Vegas Term Loan Facility, due August 15, 2013; interest at LIBOR plus 1.875%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44,281</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80,446</w:t>
            </w: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Wynn Las Vegas Term Loan Facility, due August 17, 2015; interest at LIBOR plus 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330,605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90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Wynn Macau Senior Term Loan Facilities (as amended June 2007), due June 27, 2014; interest at LIBOR or HIBOR plus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1.25%-1.75% at December 31, 2010 and 1.75% at December 31, 2009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550,900</w:t>
            </w: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552,292</w:t>
            </w:r>
          </w:p>
        </w:tc>
        <w:tc>
          <w:tcPr>
            <w:tcW w:w="120" w:type="dxa"/>
            <w:vAlign w:val="bottom"/>
            <w:shd w:val="clear" w:color="auto" w:fill="CCEEFF"/>
          </w:tcPr>
          <w:p>
            <w:pPr>
              <w:spacing w:after="0"/>
              <w:rPr>
                <w:sz w:val="20"/>
                <w:szCs w:val="20"/>
                <w:color w:val="auto"/>
              </w:rPr>
            </w:pPr>
          </w:p>
        </w:tc>
      </w:tr>
      <w:tr>
        <w:trPr>
          <w:trHeight w:val="202"/>
        </w:trPr>
        <w:tc>
          <w:tcPr>
            <w:tcW w:w="90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w w:val="99"/>
              </w:rPr>
              <w:t>Wynn Macau Senior Revolving Credit Facility, due June 27, 2012; interest at LIBOR or HIBOR plus 1.25% at December 31,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9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2010 and 1.75% at December 31, 2009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100,165</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502,108</w:t>
            </w:r>
          </w:p>
        </w:tc>
        <w:tc>
          <w:tcPr>
            <w:tcW w:w="120" w:type="dxa"/>
            <w:vAlign w:val="bottom"/>
          </w:tcPr>
          <w:p>
            <w:pPr>
              <w:spacing w:after="0"/>
              <w:rPr>
                <w:sz w:val="19"/>
                <w:szCs w:val="19"/>
                <w:color w:val="auto"/>
              </w:rPr>
            </w:pPr>
          </w:p>
        </w:tc>
      </w:tr>
      <w:tr>
        <w:trPr>
          <w:trHeight w:val="218"/>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 million Note Payable, due April 1, 2017; interest at LIBOR plus 1.25%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38,150</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$32.5 million Note Payable, due August 10, 2012; interest at LIBOR plus 1.15%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26,541</w:t>
            </w: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3,267,529</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3,569,103</w:t>
            </w:r>
          </w:p>
        </w:tc>
        <w:tc>
          <w:tcPr>
            <w:tcW w:w="120" w:type="dxa"/>
            <w:vAlign w:val="bottom"/>
            <w:shd w:val="clear" w:color="auto" w:fill="CCEEFF"/>
          </w:tcPr>
          <w:p>
            <w:pPr>
              <w:spacing w:after="0"/>
              <w:rPr>
                <w:sz w:val="18"/>
                <w:szCs w:val="18"/>
                <w:color w:val="auto"/>
              </w:rPr>
            </w:pPr>
          </w:p>
        </w:tc>
      </w:tr>
      <w:tr>
        <w:trPr>
          <w:trHeight w:val="223"/>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(2,675)</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(2,675)</w:t>
            </w:r>
          </w:p>
        </w:tc>
      </w:tr>
      <w:tr>
        <w:trPr>
          <w:trHeight w:val="216"/>
        </w:trPr>
        <w:tc>
          <w:tcPr>
            <w:tcW w:w="9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3,264,854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 xml:space="preserve"> 3,566,428</w:t>
            </w:r>
          </w:p>
        </w:tc>
        <w:tc>
          <w:tcPr>
            <w:tcW w:w="12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6 </w:t>
      </w:r>
      <w:r>
        <w:rPr>
          <w:rFonts w:ascii="Times New Roman" w:cs="Times New Roman" w:eastAsia="Times New Roman" w:hAnsi="Times New Roman"/>
          <w:sz w:val="11"/>
          <w:szCs w:val="11"/>
          <w:b w:val="1"/>
          <w:bCs w:val="1"/>
          <w:i w:val="1"/>
          <w:iCs w:val="1"/>
          <w:color w:val="auto"/>
        </w:rPr>
        <w:t>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8</w:t>
      </w:r>
      <w:r>
        <w:rPr>
          <w:rFonts w:ascii="Times New Roman" w:cs="Times New Roman" w:eastAsia="Times New Roman" w:hAnsi="Times New Roman"/>
          <w:sz w:val="18"/>
          <w:szCs w:val="18"/>
          <w:b w:val="1"/>
          <w:bCs w:val="1"/>
          <w:i w:val="1"/>
          <w:iCs w:val="1"/>
          <w:color w:val="auto"/>
        </w:rPr>
        <w:t>% Wynn Las Vegas First Mortgage Notes</w:t>
      </w:r>
    </w:p>
    <w:p>
      <w:pPr>
        <w:spacing w:after="0" w:line="9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 xml:space="preserve">On December 14, 2004, Wynn Las Vegas, LLC and Wynn Las Vegas Capital Corp. (together, the “Issuers”) issued $1.3 billion aggregate principal amount of 6 </w:t>
      </w:r>
      <w:r>
        <w:rPr>
          <w:rFonts w:ascii="Times New Roman" w:cs="Times New Roman" w:eastAsia="Times New Roman" w:hAnsi="Times New Roman"/>
          <w:sz w:val="11"/>
          <w:szCs w:val="1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xml:space="preserve">% first mortgage notes due December 1, 2014. On November 6, 2007, the Issuers issued, in a private offering, $400 million aggregate principal amount of 6 </w:t>
      </w:r>
      <w:r>
        <w:rPr>
          <w:rFonts w:ascii="Times New Roman" w:cs="Times New Roman" w:eastAsia="Times New Roman" w:hAnsi="Times New Roman"/>
          <w:sz w:val="11"/>
          <w:szCs w:val="11"/>
          <w:color w:val="auto"/>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first mortgage notes due December 1, 2014 at a price of 97.25% of the principal amount. These notes were issued under the same indenture as the original $1.3 billion first mortgage notes. Both offerings are referred to herein as the “2014 Notes”. The Company paid interest on the 2014 Notes on June 1st and December 1st of each year. In August 2010, the 2014 Notes were redeemed as described below.</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7 </w:t>
      </w:r>
      <w:r>
        <w:rPr>
          <w:rFonts w:ascii="Times New Roman" w:cs="Times New Roman" w:eastAsia="Times New Roman" w:hAnsi="Times New Roman"/>
          <w:sz w:val="11"/>
          <w:szCs w:val="11"/>
          <w:b w:val="1"/>
          <w:bCs w:val="1"/>
          <w:i w:val="1"/>
          <w:iCs w:val="1"/>
          <w:color w:val="auto"/>
        </w:rPr>
        <w:t>7</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8</w:t>
      </w:r>
      <w:r>
        <w:rPr>
          <w:rFonts w:ascii="Times New Roman" w:cs="Times New Roman" w:eastAsia="Times New Roman" w:hAnsi="Times New Roman"/>
          <w:sz w:val="18"/>
          <w:szCs w:val="18"/>
          <w:b w:val="1"/>
          <w:bCs w:val="1"/>
          <w:i w:val="1"/>
          <w:iCs w:val="1"/>
          <w:color w:val="auto"/>
        </w:rPr>
        <w:t>% Wynn Las Vegas First Mortgage Notes</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 xml:space="preserve">In October 2009, the Issuers issued, in a private offering, $500 million aggregate principal amount of 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first mortgage notes due November 1, 2017 (the “2017 Notes”) at a price of 97.823% of the principal amount. Net proceeds to the Company were $480 million, after deducting the original issue discount and underwriting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fees and other expenses. The Company pays interest on the 2017 Notes on May 1st and November 1st of each year. Commencing November 1, 2013, the 2017 Notes are redeemable at the Company’s option at a price equal to 103.938% of the principal amount redeemed and the premium over the principal amount declines ratably on November 1st of each year thereafter to zero on or after November 1, 2015. The notes are senior secured obligations of the Issuers, are guaranteed by Wynn Las Vegas, LLC’s subsidiaries (subject to some exceptions), and are secured on an equal and ratable basis by a first priority lien on substantially all the existing and future assets of the Issuers and guarantors.</w:t>
      </w:r>
    </w:p>
    <w:p>
      <w:pPr>
        <w:spacing w:after="0" w:line="13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 xml:space="preserve">On March 26, 2010, the Issuers commenced an offer to exchange all outstanding 2014 Notes for 7 </w:t>
      </w:r>
      <w:r>
        <w:rPr>
          <w:rFonts w:ascii="Times New Roman" w:cs="Times New Roman" w:eastAsia="Times New Roman" w:hAnsi="Times New Roman"/>
          <w:sz w:val="11"/>
          <w:szCs w:val="11"/>
          <w:color w:val="auto"/>
        </w:rPr>
        <w:t>7</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first mortgage notes due 2020 (the “2020 Notes”), upon the terms and subject to the conditions set forth in an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The exchange offer closed on April 28, 2010 with $352 million of the 2014 Notes being validly tendered for exchange to the 2020 Notes.</w:t>
      </w:r>
    </w:p>
    <w:p>
      <w:pPr>
        <w:spacing w:after="0" w:line="139"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The noteholders who validly tendered 2014 Notes prior to the early delivery time received an early delivery payment on April 28, 2010 of 1% of the amount tendered in cash, which totaled $3.5 million. In accordance with accounting standards, this has been included as deferred financing costs and will be amortized over the life of the 2020 Notes. The direct costs of the exchange offer incurred with third parties of $4.6 million were expensed and are included in Gain / (loss) on extinguishment of debt / exchange offer in the accompanying Consolidated Statements of Income.</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Company pays interest on the 2020 Notes on May 1st and November 1st of each year. Commencing May 1, 2015, the 2020 Notes are redeemable at the Company’s option at a price equal to 103.938% of the principal amount redeemed and the premium over the principal amount declines ratably on May 1st of each year thereafter to zero on or after May 1, 2018. The 2020 Notes rank pari passu in right of payment with borrowings under Wynn Las Vegas, LLC’s credit facilities and 2017 Notes. The 2020 Notes are senior secured obligations of the Issuers, guaranteed by certain of Wynn Las Vegas, LLC’s subsidiaries and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and the 2017 Notes.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7 </w:t>
      </w:r>
      <w:r>
        <w:rPr>
          <w:rFonts w:ascii="Times New Roman" w:cs="Times New Roman" w:eastAsia="Times New Roman" w:hAnsi="Times New Roman"/>
          <w:sz w:val="11"/>
          <w:szCs w:val="11"/>
          <w:b w:val="1"/>
          <w:bCs w:val="1"/>
          <w:i w:val="1"/>
          <w:iCs w:val="1"/>
          <w:color w:val="auto"/>
        </w:rPr>
        <w:t>3</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3"/>
          <w:szCs w:val="13"/>
          <w:b w:val="1"/>
          <w:bCs w:val="1"/>
          <w:i w:val="1"/>
          <w:iCs w:val="1"/>
          <w:color w:val="auto"/>
        </w:rPr>
        <w:t>4</w:t>
      </w:r>
      <w:r>
        <w:rPr>
          <w:rFonts w:ascii="Times New Roman" w:cs="Times New Roman" w:eastAsia="Times New Roman" w:hAnsi="Times New Roman"/>
          <w:sz w:val="18"/>
          <w:szCs w:val="18"/>
          <w:b w:val="1"/>
          <w:bCs w:val="1"/>
          <w:i w:val="1"/>
          <w:iCs w:val="1"/>
          <w:color w:val="auto"/>
        </w:rPr>
        <w:t>% Wynn Las Vegas First Mortgage Notes</w:t>
      </w:r>
    </w:p>
    <w:p>
      <w:pPr>
        <w:spacing w:after="0" w:line="94"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 xml:space="preserve">On August 4, 2010, the Issuers issued $1.32 billion aggregate principal amount of 7 </w:t>
      </w:r>
      <w:r>
        <w:rPr>
          <w:rFonts w:ascii="Times New Roman" w:cs="Times New Roman" w:eastAsia="Times New Roman" w:hAnsi="Times New Roman"/>
          <w:sz w:val="10"/>
          <w:szCs w:val="10"/>
          <w:color w:val="auto"/>
        </w:rPr>
        <w:t>3</w:t>
      </w:r>
      <w:r>
        <w:rPr>
          <w:rFonts w:ascii="Times New Roman" w:cs="Times New Roman" w:eastAsia="Times New Roman" w:hAnsi="Times New Roman"/>
          <w:sz w:val="16"/>
          <w:szCs w:val="16"/>
          <w:color w:val="auto"/>
        </w:rPr>
        <w:t>/</w:t>
      </w:r>
      <w:r>
        <w:rPr>
          <w:rFonts w:ascii="Times New Roman" w:cs="Times New Roman" w:eastAsia="Times New Roman" w:hAnsi="Times New Roman"/>
          <w:sz w:val="12"/>
          <w:szCs w:val="12"/>
          <w:color w:val="auto"/>
        </w:rPr>
        <w:t>4</w:t>
      </w:r>
      <w:r>
        <w:rPr>
          <w:rFonts w:ascii="Times New Roman" w:cs="Times New Roman" w:eastAsia="Times New Roman" w:hAnsi="Times New Roman"/>
          <w:sz w:val="16"/>
          <w:szCs w:val="16"/>
          <w:color w:val="auto"/>
        </w:rPr>
        <w:t>% first mortgage notes due August 15, 2020 (the “New 2020 Notes”). The New 2020 Notes were issued at par. The New 2020 Notes were offered only to qualified institutional buyers and outside the United States in accordance with Rule 144A and Regulation S, respectively, under the Securities Act. Wynn Las Vegas, LLC used the net proceeds of the offering along with the proceeds of a $50 million capital contribution from Wynn Resorts, Limited to purchase, and, as applicable, make consent payments for, any and all of the Issuers’ 2014 Notes that were validly tendered and accepted for payment pursuant to Wynn Las Vegas, LLC’s concurrent offer to purchase and consent solicitation with respect to the 2014 Notes, and to redeem all of the 2014 Notes not tendered. On or prior to August 3, 2010, valid tenders had been received with respect to $951.3 million of the $1.3 billion aggregate principal amount of 2014 Notes outstanding. On August 4, 2010, tendering holders received the tender offer consideration in the amount of $1,004.38, plus a consent payment of $30 for each $1,000 principal amount of 2014 Notes, which totaled $32.7 million. The consent solicitation expired on August 3, 2010 and the tender offer expired on August 18, 2010. In accordance with accounting standards the consideration and consent fees were expensed and are included in Gain / (loss) on extinguishment of debt / exchange offer in the accompanying Consolidated Statements of Income.</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On August 4, 2010, the Trustee, at the request of the Issuers, gave notice of redemption of any and all of the remaining 2014 Notes. The redemption price was equal to 103.313% of the aggregate principal amount of the 2014 Notes redeemed plus accrued and unpaid interest thereon to September 3, 2010. The total redemption fees paid were $10.9 million. In accordance with accounting standards, the redemption fees were expensed and are included in Gain / (loss) on extinguishment of debt / exchange offer in the accompanying Consolidated Statements of Income.</w:t>
      </w:r>
    </w:p>
    <w:p>
      <w:pPr>
        <w:spacing w:after="0" w:line="136"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Also in connection with this transaction, unamortized debt issue costs and original issue discount related to the 2014 Notes totaling $18.4 million were expensed and are included in Gain / (loss) on extinguishment of debt / exchange offer in the accompanying Consolidated Statements of Income.</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pays interest on the New 2020 Notes on February 15th and August 15th of each year. Commencing August 15, 2015, the New 2020 Notes are redeemable at the Company’s option at a price equal to 103.875% of the principal amount redeemed and the premium over the principal amount declines ratably on August 15th of each year thereafter to zero on or after August 15, 2018. The New 2020 Notes rank pari passu in right of payment with borrowings under Wynn Las Vegas, LLC’s credit facilities, the 2017 Notes and the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borrowings under Wynn Las Vegas, LLC’s credit facilities, the 2017 Notes and the 2020 Notes.</w:t>
      </w:r>
    </w:p>
    <w:p>
      <w:pPr>
        <w:spacing w:after="0" w:line="138"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2009, Wynn Resorts purchased $65.8 million face amount of the 2014 Notes through open market purchases at a discount. These transactions resulted in gains on early extinguishment of debt, net of the write-off of unamortized debt discount and debt issue costs, of $13.7 million for the year ended December 31, 2009. For accounting purposes this transaction was treated as an extinguishment of debt by Wynn Resorts in 2009. As part of the March 2010 exchange offer discussed above, Wynn Resorts exchanged $30 million of its 2014 Notes for the 2020 Notes. The remaining $35.8 million were redeemed as part of the tender offer and redemption of all of the 2014 Notes in August 2010 as described above. As of December 31, 2010, Wynn Resorts holds $30 million of the 2020 Notes which have not been contributed to its wholly-owned subsidiary, Wynn Las Vegas.</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Las Vegas Credit Facilities</w:t>
      </w:r>
    </w:p>
    <w:p>
      <w:pPr>
        <w:spacing w:after="0" w:line="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Concurrently with the issuance of the New 2020 Notes, the Company entered into a seventh amendment, dated August 4, 2010, to the Wynn Las Vegas Amended and Restated Credit Agreement (the “Credit Agreement”). After giving effect to this amendment, the maturity date with respect to a portion of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 to 1:00 to 1 through June 2013.</w:t>
      </w:r>
    </w:p>
    <w:p>
      <w:pPr>
        <w:spacing w:after="0" w:line="13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2010, the Credit Agreement consisted of a $108.5 million revolving credit facility due July 2013, a $258.4 million revolving credit facility due July 2015 (together the “Wynn Las Vegas Revolver”), a fully drawn $44.3 million term loan facility due August 2013 and a fully drawn $330.6 million term loan facility due August 2015 (together the “Wynn Las Vegas Term Loan”). The Wynn Las Vegas Revolver and the Wynn Las Vegas Term Loan are together referred to as the “Wynn Las Vegas Credit Facilities.” As of December 31, 2010, $20.1 million had been borrowed under the Wynn Las Vegas Revolver. The Company also had $19.7 million of outstanding letters of credit that reduce its availability under the Wynn Las Vegas Revolver. The Company has availability of $327.2 million under the Wynn Las Vegas Revolver as of December 31, 2010.</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purposes of calculating interest, loans under the Wynn Las Vegas Credit Facilities will be designated, at the election of Wynn Las Vegas, LLC,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Eurodollar Loans or, in certain circumstances, Base Rate Loans. As of December 31, 2010, Eurodollar Loans under the Wynn Las Vegas Revolver and Wynn Las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Vegas Term Loan due August 17, 2015 bear interest initially at the Eurodollar rate plus 3.0%. Eurodollar loans under the Wynn Las Vegas Term Loan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August 15, 2013 bear interest initially at the Eurodollar rate plus 1.875%. Interest on Eurodollar Loans is payable at the end of the applicable interest period in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case of interest periods of one, two or three months, and every three months in the case of interest periods of six months. Base Rate Loans bear interest at (a)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greatest of (i) the rate most recently announced by Deutsche Bank as its “prime rate,” (ii) the Federal Funds Rate plus 1/2 of 1% per annum, and (iii) in the case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 Wynn Las Vegas Revolver loan the one month Eurodollar rate; plus (b) a borrowing margin of 2.0% for Wynn Las Vegas Revolver loans and 0.875%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Wynn Las Vegas Term Loans. Interest on Base Rate Loans will be payable quarterly in arrears. Wynn Las Vegas, LLC also pays, quarterly in arrears, 1.0% per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annum on the daily average of unborrowed amounts under the Wynn Las Vegas Revolver</w:t>
      </w:r>
    </w:p>
    <w:p>
      <w:pPr>
        <w:spacing w:after="0" w:line="159"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Wynn Las Vegas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Wynn Las Vegas Credit Facilities are secured by: (1) a first priority pledge of all member’s interests owned by Wynn Las Vegas, LLC in its subsidiaries (other than Wynn Completion Guarantor, LLC) and Wynn Resorts Holdings, LLC’s 100% member’s interest in Wynn Las Vegas, LLC; (2) first mortgages on all real property constituting Wynn Las Vegas, its golf course and Encore at Wynn Las Vegas; and (3) a first priority security interest in substantially all other existing and future assets of Wynn Las Vegas, LLC and the guarantors, excluding an aircraft beneficially owned by World Travel, LLC.</w:t>
      </w:r>
    </w:p>
    <w:p>
      <w:pPr>
        <w:spacing w:after="0" w:line="11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The obligations of Wynn Las Vegas, LLC and the guarantors under the Wynn Las Vegas Credit Facilities rank equal in right of payment with their existing and future senior indebtedness, including indebtedness with respect to the 2017 Notes the 2020 Notes and the New 2020 Notes and ranks senior in right of payment to all of their existing and future subordinated indebtedness.</w:t>
      </w:r>
    </w:p>
    <w:p>
      <w:pPr>
        <w:spacing w:after="0" w:line="13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addition to scheduled amortization payments, Wynn Las Vegas, LLC is required to make mandatory prepayments of indebtedness under the Wynn Las Vegas Credit Facilities from the net proceeds of all debt offerings (other than those constituting certain permitted debt). Wynn Las Vegas, LLC is also required to make mandatory repayments of indebtedness under the Wynn Las Vegas Credit Facilities from specified percentages of excess cash flow, which percentages may decrease and/or be eliminated based on Wynn Las Vegas, LLC’s leverage ratio. The Company does not expect to make any mandatory repayments pursuant to this requirement during 2011. Wynn Las Vegas, LLC has the option to prepay all or any portion of the indebtedness under the Wynn Las Vegas Credit Facilities at any time without premium or penalty.</w:t>
      </w:r>
    </w:p>
    <w:p>
      <w:pPr>
        <w:spacing w:after="0" w:line="139"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maintaining a Consolidated Interest Coverage Ratio, as defined, not less than 1.00 to 1 as of December 31, 2010. Management believes that the Company was in compliance with all covenants at December 31, 2010. The Consolidated Interest Coverage Ratio remains at 1.00 to 1 through June 2013.</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Macau Credit Facilities</w:t>
      </w:r>
    </w:p>
    <w:p>
      <w:pPr>
        <w:spacing w:after="0" w:line="9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2010 and 2009, the Company’s Wynn Macau credit facilities, as amended, consisted of a $550 million equivalent fully-funded senior term loan facility (the “Wynn Macau Term Loan”), and a $1 billion senior revolving credit facility (the “Wynn Macau Revolver”) in a combination of Hong Kong and U.S. dollars (together the “Wynn Macau Credit Facilities”). Wynn Macau, S.A. also has the ability to increase the total facilities by an additional $50 million pursuant to the terms and provisions of the Amended Common Terms Agreement. As of December 31, 2010, the Wynn Macau Term Loan was fully drawn and $100.2 million was outstanding under the Wynn Macau Revolver. Consequently, there was availability of approximately $900 million under the Wynn Macau Revolver as of December 31, 2010.</w:t>
      </w:r>
    </w:p>
    <w:p>
      <w:pPr>
        <w:spacing w:after="0" w:line="139"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Wynn Macau Term Loan matures in June 2014, and the Wynn Macau Revolver matures in June 2012. The principal amount of the Wynn Macau Term Loan is required to be repaid in quarterly installments, commencing in September 2011. Borrowings under the Wynn Macau Credit Facilities bear interest at LIBOR or the Hong Kong Interbank Offer Rate (“HIBOR”) plus a margin which was 1.75% through September 30, 2010. Commencing in the fourth quarter of 2010, the Wynn Macau Credit Facilities are subject to a margin of 1.25% to 2.00% depending on Wynn Macau’s leverage ratio at the end of each quarter. At December 31, 2010 the margin was 1.25% to 1.75%.</w:t>
      </w:r>
    </w:p>
    <w:p>
      <w:pPr>
        <w:spacing w:after="0" w:line="13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Collateral for the Wynn Macau Credit Facilities consists of substantially all of the assets of Wynn Macau, S.A. Certain affiliates of the Company that own interests in Wynn Macau, S.A., either directly or indirectly through other subsidiaries, have executed guarantees of the loans and pledged their interests in Wynn Macau, S.A. as additional security for repayment of the loans. In addition, the Wynn Macau Credit Facilities’ governing documents contain capital spending limits and other affirmative and negative covenants.</w:t>
      </w:r>
    </w:p>
    <w:p>
      <w:pPr>
        <w:spacing w:after="0" w:line="13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Wynn Macau Credit Facilities contain a requirement that the Company must make mandatory repayments of indebtedness from specified percentages of excess cash flow. If the Wynn Macau subsidiary meets a Consolidated Leverage Ratio, as defined, of greater than 4.0 to 1, such repayment is defined as 50% of Excess Cash Flow, as defined. If the Consolidated Leverage Ratio is less than 4.0 to 1, then no repayment is required. Based on current estimates the Company does not believe that the Wynn Macau Consolidated Leverage Ratio during the fiscal year ending December 31, 2011 will exceed 4.0 to 1. Accordingly, the Company does not expect to make any mandatory repayments pursuant to this requirement during 2011.</w:t>
      </w:r>
    </w:p>
    <w:p>
      <w:pPr>
        <w:spacing w:after="0" w:line="13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The Wynn Macau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 addition, Wynn Macau was required by the financial covenants to maintain a Leverage Ratio, as defined, of not greater than 4.00 to 1 as of December 31, 2010, and an Interest Coverage Ratio, as defined, of not less than 2.00 to 1. Management believes that the Company was in compliance with all covenants at December 31, 2010.</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In 2011, $74.1 million of the Wynn Macau Senior Term Loan Facility is due. In accordance with accounting standards, this $74.1 million has been classified as long-term debt as of December 31, 2010, because the Company has both the intent and ability to repay such amount with borrowings available under the Wynn Macau Senior Revolving Credit Facility, which does not mature until June 2012.</w:t>
      </w:r>
    </w:p>
    <w:p>
      <w:pPr>
        <w:spacing w:after="0" w:line="13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initial financing of Wynn Macau, Wynn Macau, S.A. entered into a Bank Guarantee Reimbursement Agreement with Banco Nacional Ultramarino, S.A. (“BNU”) for the benefit of the Macau government. This guarantee assures Wynn Macau, S.A.’s performance under the casino concession agreement, including the payment of premiums, fines and indemnity for any material failure to perform under the terms of the concession agreement. As of December 31, 2010, the guarantee was in the amount of $300 million</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Macau Patacas (approximately US$37 million) and will remain at such amount until 180 days after the end of the term of the concession agreement. BNU, as issuer of the guarantee, is currently secured by a second priority security interest in the senior lender collateral package. From and after repayment of all indebtedness under the Wynn Macau Credit Facilities, Wynn Macau, S.A. is obligated to promptly, upon demand by BNU, repay any claim made on the guarantee by the Macau government. BNU is paid an annual fee for the guarantee not to exceed approximately $5.2 million Macau Patacas (approximately US$0.7 million).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$42 Million Note Payable for Aircraft</w:t>
      </w:r>
    </w:p>
    <w:p>
      <w:pPr>
        <w:spacing w:after="0" w:line="94" w:lineRule="exact"/>
        <w:rPr>
          <w:sz w:val="20"/>
          <w:szCs w:val="20"/>
          <w:color w:val="auto"/>
        </w:rPr>
      </w:pPr>
    </w:p>
    <w:p>
      <w:pPr>
        <w:ind w:right="60" w:firstLine="456"/>
        <w:spacing w:after="0" w:line="310" w:lineRule="auto"/>
        <w:rPr>
          <w:sz w:val="20"/>
          <w:szCs w:val="20"/>
          <w:color w:val="auto"/>
        </w:rPr>
      </w:pPr>
      <w:r>
        <w:rPr>
          <w:rFonts w:ascii="Times New Roman" w:cs="Times New Roman" w:eastAsia="Times New Roman" w:hAnsi="Times New Roman"/>
          <w:sz w:val="16"/>
          <w:szCs w:val="16"/>
          <w:color w:val="auto"/>
        </w:rPr>
        <w:t>On March 30, 2007, World Travel, LLC, a subsidiary of Wynn Las Vegas, entered into a loan agreement with a principal balance of $42 million. The loan is guaranteed by Wynn Las Vegas, LLC and secured by a first priority security interest in one of the Company’s aircraft. Principal payments of $350,000 plus interest are made quarterly with a balloon payment of $28 million due at maturity, April 1, 2017. Interest is calculated at 90-day LIBOR plus 125 basis points.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$32.5 Million Note Payable for Aircraft</w:t>
      </w:r>
    </w:p>
    <w:p>
      <w:pPr>
        <w:spacing w:after="0" w:line="94"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On May 10, 2007, World Travel G-IV, LLC, a subsidiary of Wynn Resorts, entered into a $32.5 million term loan credit facility to finance the purchase of an aircraft. Principal payments of $542,000 plus interest are made quarterly with a balloon payment of $21.1 million due at maturity, August 10, 2012. Interest is calculated at LIBOR plus 115 basis points.</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94"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net book value of the 2014 Notes, the 2017 Notes, the 2020 Notes and the New 2020 Notes, as applicable, at December 31, 2010 and 2009, was $2.2 billion and $2.1 billion, respectively. The estimated fair value based on quoted market prices of the 2014 Notes, the 2017 Notes, the 2020 Notes and the New 2020 Notes was approximately $2.3 billion and $2.1 billion as of December 31, 2010 and 2009, respectively. The net book value of the Company’s other debt instruments was $1.1 billion and $1.5 billion as of December 31, 2010 and 2009, respectively. The estimated fair value of the Company’s other debt instruments was approximately $1.1 billion and $1.3 billion at December 31, 2010 and 2009.</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Scheduled Maturities of Long-Term Debt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Scheduled maturities of long-term debt, including the accretion of debt discounts of $11.6 million, are as follows (amounts in thousands):</w:t>
      </w:r>
    </w:p>
    <w:p>
      <w:pPr>
        <w:spacing w:after="0" w:line="209"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5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2,202,110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3,279,141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120" w:type="dxa"/>
            <w:vAlign w:val="bottom"/>
            <w:vMerge w:val="restart"/>
          </w:tcPr>
          <w:p>
            <w:pPr>
              <w:jc w:val="right"/>
              <w:ind w:right="2772"/>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Interest Rate Swaps</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has entered into floating-for-fixed interest rate swap arrangements in order to manage interest rate risk relating to certain of its debt facilities. These interest rate swap agreements modify the Company’s exposure to interest rate risk by converting a portion of the Company’s floating-rate debt to a fixed rate. These interest rate swaps essentially fix the interest rate at the percentages noted below; however, changes in the fair value of the interest rate swaps for each reporting period have been recorded in the increase/decrease in swap fair value in the accompanying Consolidated Statements of Income, as the interest rate swaps do not qualify for hedge accounting.</w:t>
      </w:r>
    </w:p>
    <w:p>
      <w:pPr>
        <w:spacing w:after="0" w:line="13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Company measures the fair value of its interest rate swaps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these swap contracts as Level 2.</w:t>
      </w:r>
    </w:p>
    <w:p>
      <w:pPr>
        <w:spacing w:after="0" w:line="139"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The following table presents the historical fair value of the interest rate swaps recorded in the accompanying Consolidated Balance Sheets as of December 31, 2010 and 2009. The fair value approximates the amount the Company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and fluctuation between periods. The fair value is adjusted, to reflect the impact of credit ratings of the counterparties or the Company, as applicable. These adjustments resulted in a reduction in the fair values as compared to their settlement values. As of December 31, 2010, $5.9 million of the interest rate swap liabilities are included in other accrued expenses and $15.6 million are included in other long-term liabilities. As of December 31, 2009, the interest rate swap liabilities are included in other long-term liabilities.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Interest</w:t>
            </w:r>
          </w:p>
        </w:tc>
      </w:tr>
      <w:tr>
        <w:trPr>
          <w:trHeight w:val="165"/>
        </w:trPr>
        <w:tc>
          <w:tcPr>
            <w:tcW w:w="1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Liability fair value:</w:t>
            </w:r>
          </w:p>
        </w:tc>
        <w:tc>
          <w:tcPr>
            <w:tcW w:w="60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Wynn Las Vegas</w:t>
            </w:r>
          </w:p>
        </w:tc>
        <w:tc>
          <w:tcPr>
            <w:tcW w:w="40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Rate Swaps</w:t>
            </w:r>
          </w:p>
        </w:tc>
      </w:tr>
      <w:tr>
        <w:trPr>
          <w:trHeight w:val="20"/>
        </w:trPr>
        <w:tc>
          <w:tcPr>
            <w:tcW w:w="120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7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2010</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8,457</w:t>
            </w:r>
          </w:p>
        </w:tc>
        <w:tc>
          <w:tcPr>
            <w:tcW w:w="6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12,992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21,449</w:t>
            </w:r>
          </w:p>
        </w:tc>
        <w:tc>
          <w:tcPr>
            <w:tcW w:w="100" w:type="dxa"/>
            <w:vAlign w:val="bottom"/>
            <w:shd w:val="clear" w:color="auto" w:fill="CCEEFF"/>
          </w:tcPr>
          <w:p>
            <w:pPr>
              <w:spacing w:after="0"/>
              <w:rPr>
                <w:sz w:val="18"/>
                <w:szCs w:val="18"/>
                <w:color w:val="auto"/>
              </w:rPr>
            </w:pPr>
          </w:p>
        </w:tc>
      </w:tr>
      <w:tr>
        <w:trPr>
          <w:trHeight w:val="228"/>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2009</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4,224</w:t>
            </w:r>
          </w:p>
        </w:tc>
        <w:tc>
          <w:tcPr>
            <w:tcW w:w="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16,345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100" w:type="dxa"/>
            <w:vAlign w:val="bottom"/>
          </w:tcPr>
          <w:p>
            <w:pPr>
              <w:spacing w:after="0"/>
              <w:rPr>
                <w:sz w:val="19"/>
                <w:szCs w:val="19"/>
                <w:color w:val="auto"/>
              </w:rPr>
            </w:pPr>
          </w:p>
        </w:tc>
      </w:tr>
    </w:tbl>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Las Vegas Swap</w:t>
      </w:r>
    </w:p>
    <w:p>
      <w:pPr>
        <w:spacing w:after="0" w:line="94"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Company currently has one interest rate swap agreement to hedge a portion of the underlying interest rate risk on borrowings under the Wynn Las Vegas Credit Facilities. Under this swap agreement, beginning November 27, 2009,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5.485%. This interest rate swap agreement matures in November 2012.</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Macau Swaps</w:t>
      </w:r>
    </w:p>
    <w:p>
      <w:pPr>
        <w:spacing w:after="0" w:line="94"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The Company has two interest rate swap agreements to hedge a portion of the underlying interest rate risk on borrowings under the Wynn Macau Credit Facilities. Under the first swap agreement, the Company pays a fixed interest rate of 3.632% on U.S. dollar borrowings of $153.8 million incurred under the Wynn Macau Credit Facilities in exchange for receipts on the same amount at a variable interest rate based on the applicable LIBOR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at the time of payment. Under the second swap agreement, the Company pays a fixed interest rate of 3.39% on Hong Kong dollar borrowings of HK $991.6 million (approximately US$127.9 million) incurred under the Wynn Macau Credit Facilities in exchange for receipt on the same amount at a variable interest rate based on the applicable HIBOR at the time of payment. As of December 31, 2010, these interest rate swaps fix the interest rates on the US dollar and the Hong Kong dollar borrowings under the Wynn Macau Credit Facilities at 4.88%-5.38% and 4.64%, respectively. These interest rate swap agreements mature in August 2011.</w:t>
      </w:r>
    </w:p>
    <w:p>
      <w:pPr>
        <w:spacing w:after="0" w:line="13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Company entered into a third interest rate swap agreement effective November 27, 2009, to hedge a portion of the underlying interest rate risk on borrowings under the Wynn Macau Credit Facilities. Under this swap agreement, the Company pays a fixed interest rate of 2.15% on borrowings of HK$2.3 billion (approximately US$300 million) incurred under the Wynn Macau Credit Facilities in exchange for receipts on the same amount at a variable interest rate based on the applicable HIBOR at the time of payment. As of December 31, 2010, this interest rate swap fixes the interest rate on such borrowings at 3.4%. This interest rate swap agreement matures in June 2012.</w:t>
      </w:r>
    </w:p>
    <w:p>
      <w:pPr>
        <w:spacing w:after="0" w:line="218" w:lineRule="exact"/>
        <w:rPr>
          <w:sz w:val="20"/>
          <w:szCs w:val="20"/>
          <w:color w:val="auto"/>
        </w:rPr>
      </w:pPr>
    </w:p>
    <w:p>
      <w:pPr>
        <w:ind w:left="240" w:right="9180" w:hanging="232"/>
        <w:spacing w:after="0" w:line="388" w:lineRule="auto"/>
        <w:tabs>
          <w:tab w:leader="none" w:pos="187"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Related Party Transactions </w:t>
      </w:r>
      <w:r>
        <w:rPr>
          <w:rFonts w:ascii="Times New Roman" w:cs="Times New Roman" w:eastAsia="Times New Roman" w:hAnsi="Times New Roman"/>
          <w:sz w:val="16"/>
          <w:szCs w:val="16"/>
          <w:b w:val="1"/>
          <w:bCs w:val="1"/>
          <w:i w:val="1"/>
          <w:iCs w:val="1"/>
          <w:color w:val="auto"/>
        </w:rPr>
        <w:t>Amounts Due to Officers</w:t>
      </w:r>
    </w:p>
    <w:p>
      <w:pPr>
        <w:spacing w:after="0" w:line="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Company periodically provides services to Stephen A. Wynn, Chairman of the Board of Directors and Chief Executive Officer (“Mr. Wynn”), and certain other officers and directors of the Company, including the personal use of employees, construction work and other personal services. Mr. Wynn and other officers and directors have deposits with the Company to prepay any such items, which are replenished on an ongoing basis as needed. At December 31, 2010 and 2009, Mr. Wynn and the other officers and directors had a net deposit balance with the Company of $286,980 and $789,095, respectively.</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Villa Suite Lease</w:t>
      </w:r>
    </w:p>
    <w:p>
      <w:pPr>
        <w:spacing w:after="0" w:line="94" w:lineRule="exact"/>
        <w:rPr>
          <w:sz w:val="20"/>
          <w:szCs w:val="20"/>
          <w:color w:val="auto"/>
        </w:rPr>
      </w:pPr>
    </w:p>
    <w:p>
      <w:pPr>
        <w:ind w:right="20" w:firstLine="456"/>
        <w:spacing w:after="0" w:line="296" w:lineRule="auto"/>
        <w:rPr>
          <w:sz w:val="20"/>
          <w:szCs w:val="20"/>
          <w:color w:val="auto"/>
        </w:rPr>
      </w:pPr>
      <w:r>
        <w:rPr>
          <w:rFonts w:ascii="Times New Roman" w:cs="Times New Roman" w:eastAsia="Times New Roman" w:hAnsi="Times New Roman"/>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terminated December 31, 2010. The lease is currently on a month-to-month basis. Pursuant to the terms of the EW Lease, Elaine P. Wynn will pay annual rent equal to $350,000 which amount was determined by the Audit Committee with the assistance of a third-party appraisal. Certain services for, and maintenance of, the villa suite are included in the rental. The EW Lease superseded the terms of a prior agreement.</w:t>
      </w:r>
    </w:p>
    <w:p>
      <w:pPr>
        <w:spacing w:after="0" w:line="10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On March 18, 2010, Mr. Wynn and Wynn Las Vegas entered into an Amended and Restated Agreement of Lease (the “SW Lease”) for a villa suite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suite will be treated as imputed income to Mr. Wynn, and will be equal to the fair market value of the accommodations provided. Effective March 1, 2010, and for the first two years of the term of the SW Lease, the rental value will be $503,831 per year. The rental value for the villa suite will be re-determined every two years during the term of the lease by the Audit Committee, with the assistance of an independent third-party appraisal. Certain services for, and maintenance of, the villa suite are included in the rental.</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00"/>
          </w:cols>
          <w:pgMar w:left="240" w:top="455" w:right="2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Home Purchase</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May 2010, the Company entered into a new employment agreement with Linda Chen, who is also a director of Wynn Resorts. The term of the new employment agreement is through February 24, 2020. Under the terms of the new employment agreement, the Company purchased a home in Macau for use by Ms. Chen for approximately $5.4 million, and will expend additional funds to renovate the home and will also provide Ms. Chen the use of an automobile in Macau. Upon the occurrence of certain events set forth below, Ms. Chen shall have the option to purchase the home at the then fair market value of the home (as determined by an independent appraiser) less a discount equal to ten percentage points multiplied by each anniversary of the term of the agreement that has occurred (the “Discount Percentage”). The option is exercisable for (a) no consideration at the end of the term, (b) $1.00 in the event of termination of Ms. Chen’s employment without “cause” or termination of Ms. Chen’s employment for “good reason” following a “change of control” and (c) at a price based on the applicable Discount Percentage in the event Ms. Chen terminates the agreement due to material breach by the Company. Upon Ms. Chen’s termination for “cause,” Ms. Chen will be deemed to have elected to purchase the Macau home based on the applicable Discount Percentage unless the Company determines to not require Ms. Chen to purchase the home. If Ms. Chen’s employment terminates for any other reason before the expiration of the term (e.g., because of her death or disability or due to revocation of gaming license), the option will terminate.</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“Wynn” Surname Rights Agreement</w:t>
      </w:r>
    </w:p>
    <w:p>
      <w:pPr>
        <w:spacing w:after="0" w:line="94"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Property Charges and Other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charges and other consisted of the following (amounts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4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Pr>
          <w:p>
            <w:pPr>
              <w:spacing w:after="0"/>
              <w:rPr>
                <w:sz w:val="12"/>
                <w:szCs w:val="12"/>
                <w:color w:val="auto"/>
              </w:rPr>
            </w:pP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assets abandoned/retired for remodels</w:t>
            </w:r>
          </w:p>
        </w:tc>
        <w:tc>
          <w:tcPr>
            <w:tcW w:w="2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$10,270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$32,584</w:t>
            </w:r>
          </w:p>
        </w:tc>
        <w:tc>
          <w:tcPr>
            <w:tcW w:w="100" w:type="dxa"/>
            <w:vAlign w:val="bottom"/>
            <w:shd w:val="clear" w:color="auto" w:fill="CCEEFF"/>
          </w:tcPr>
          <w:p>
            <w:pPr>
              <w:spacing w:after="0"/>
              <w:rPr>
                <w:sz w:val="18"/>
                <w:szCs w:val="18"/>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on contract termination</w:t>
            </w:r>
          </w:p>
        </w:tc>
        <w:tc>
          <w:tcPr>
            <w:tcW w:w="17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14,949</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54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property charges and other</w:t>
            </w:r>
          </w:p>
        </w:tc>
        <w:tc>
          <w:tcPr>
            <w:tcW w:w="2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25,219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28,458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32,584</w:t>
            </w:r>
          </w:p>
        </w:tc>
        <w:tc>
          <w:tcPr>
            <w:tcW w:w="10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40" w:firstLine="456"/>
        <w:spacing w:after="0" w:line="310" w:lineRule="auto"/>
        <w:rPr>
          <w:sz w:val="20"/>
          <w:szCs w:val="20"/>
          <w:color w:val="auto"/>
        </w:rPr>
      </w:pPr>
      <w:r>
        <w:rPr>
          <w:rFonts w:ascii="Times New Roman" w:cs="Times New Roman" w:eastAsia="Times New Roman" w:hAnsi="Times New Roman"/>
          <w:sz w:val="16"/>
          <w:szCs w:val="16"/>
          <w:color w:val="auto"/>
        </w:rPr>
        <w:t>Property charges and other generally include costs related to the retirement of assets for remodels and asset abandonments. Property charges and other for the year ended December 31, 2010 include a contract termination payment of $14.9 million related to a management contract for certain of the nightclubs at Wynn Las Vegas as well as miscellaneous renovations, abandonments and gain/loss on sale of equipment at Wynn Las Vegas and Wynn Macau.</w:t>
      </w:r>
    </w:p>
    <w:p>
      <w:pPr>
        <w:spacing w:after="0" w:line="97"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Property charges and other for the year ended December 31, 2009 include a $16.7 million charge for the abandonment of the front porte-cochere at Encore at Wynn Las Vegas to make way for an addition at that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property, a $6.8 million charge for the write-off of two aircraft deposits, and a $5 million charge related to miscellaneous remodels, abandonments and loss on sale of equipment.</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Property charges and other for the year ended December 31, 2008 include a charge of $17.8 million for costs associated with Spamalot at Wynn Las Vegas which closed in mid-July 2008. The charge includes production rights that were included in intangible assets, show production costs that were included in other assets and certain other property and equipment. The Company also incurred a charge of $3.6 million related to the abandonment of certain existing floor space at Wynn Macau to begin construction on a new restaurant. The remaining property charges were related to miscellaneous renovations and abandonments at both Wynn Las Vegas and Wynn Macau.</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9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is authorized to issue up to 400,000,000 shares of its common stock, $0.01 par value per share (the “Common Stock”). As of December 31, 2010 and 2009, 124,599,508 shares and 123,293,456 shares, respectively, of the Company’s Common Stock were outstanding. Except as otherwise provided by the Company’s articles of incorporation or Nevada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the Company’s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the Company, is entitled to share ratably in all assets of the Company remaining after payment of liabilities.</w:t>
      </w:r>
    </w:p>
    <w:p>
      <w:pPr>
        <w:spacing w:after="0" w:line="13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 June 6, 2007, the Board of Directors of Wynn Resorts authorized an equity repurchase program of up to $1.2 billion. On July 10, 2008, the Board of Directors of the Company authorized an increase of $500 million to its previously announced equity repurchase program bringing the total authorized to $1.7 billion. The repurchase program may include repurchases from time to time through open market purchases or negotiated transactions, depending upon market conditions. No repurchases were made during the years ended December 31, 2010 or 2009. During the year ended December 31, 2008, the Company repurchased 10,915,633 shares for a net cost of $940.1 million. As of December 31, 2010, the Company had repurchased a cumulative total of 12,804,954 shares of the Company’s Common Stock for a net cost of $1.1 billion under the program.</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March 2009, the Company completed a secondary common stock offering of 11,040,000 shares with net proceeds of $202.1 million.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November 2008, the Company completed a secondary common stock offering of 8 million shares with net proceeds of $344.3 million.</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94" w:lineRule="exact"/>
        <w:rPr>
          <w:sz w:val="20"/>
          <w:szCs w:val="20"/>
          <w:color w:val="auto"/>
        </w:rPr>
      </w:pPr>
    </w:p>
    <w:p>
      <w:pPr>
        <w:ind w:right="260" w:firstLine="456"/>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undesignated preferred stock, $0.01 par value per share (the “Preferred Stock”). As of December 31, 2010, the Company had not issued any Preferred Stock. The Board of Directors, without further action by the holders of Common Stock, may designate and issue shares of Preferred Stock in one or more series and may fix or alter the rights, preferences, privileges and restrictions, including the voting rights, redemption provisions (including sinking fund provisions), dividend</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455" w:right="2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rights, dividend rates, liquidation rates, liquidation preferences, conversion rights and the description and number of shares constituting any wholly unissued series of Preferred Stock. The issuance of such shares of Preferred Stock could adversely affect the rights of the holders of Common Stock. The issuance of shares of Preferred Stock under certain circumstances could also have the effect of delaying or preventing a change of control of the Company or other corporate action.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Cash Distributions</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November 2, 2010, the Company’s Board of Directors declared a cash dividend of $8 per share on its outstanding Common Stock. This dividend was paid on December 7, 2010 to stockholders of record on November 23, 2010. For the year ended December 31, 2010, $996.5 million was recorded as a distribution in the accompanying Consolidated Statements of Stockholders’ Equity. Of this amount $6.7 million was recorded as a liability which will be paid to the holders of nonvested stock upon the vesting of that stock.</w:t>
      </w:r>
    </w:p>
    <w:p>
      <w:pPr>
        <w:spacing w:after="0" w:line="136" w:lineRule="exact"/>
        <w:rPr>
          <w:sz w:val="20"/>
          <w:szCs w:val="20"/>
          <w:color w:val="auto"/>
        </w:rPr>
      </w:pPr>
    </w:p>
    <w:p>
      <w:pPr>
        <w:ind w:right="100" w:firstLine="456"/>
        <w:spacing w:after="0" w:line="310" w:lineRule="auto"/>
        <w:rPr>
          <w:sz w:val="20"/>
          <w:szCs w:val="20"/>
          <w:color w:val="auto"/>
        </w:rPr>
      </w:pPr>
      <w:r>
        <w:rPr>
          <w:rFonts w:ascii="Times New Roman" w:cs="Times New Roman" w:eastAsia="Times New Roman" w:hAnsi="Times New Roman"/>
          <w:sz w:val="16"/>
          <w:szCs w:val="16"/>
          <w:color w:val="auto"/>
        </w:rPr>
        <w:t>On May 26, 2010, the Company paid a dividend of $0.25 per share to holders of record on May 12, 2010. On August 26, 2010, the Company paid a dividend of $0.25 per share to holders of record on August 12, 2010. For the year ended December 31, 2010, $61.8 million was recorded as a distribution against retained earnings. Of this amount $0.4 million was recorded as a liability which will be paid to holders of nonvested stock upon the vesting of that stock.</w:t>
      </w:r>
    </w:p>
    <w:p>
      <w:pPr>
        <w:spacing w:after="0" w:line="97"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On November 6, 2009, the Company’s Board of Directors declared a cash dividend of $4 per share on its outstanding Common Stock. This dividend was paid on December 3, 2009, to stockholders of record on November 19, 2009. For the year ended December 31, 2009, $493.1 million was recorded as a distribution in the accompanying Consolidated Statements of Stockholders’ Equity. Of this amount $3.7 million was recorded as a liability which will be paid to the holders of nonvested stock upon the vesting of that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Noncontrolling Interest</w:t>
      </w:r>
    </w:p>
    <w:p>
      <w:pPr>
        <w:spacing w:after="0" w:line="92"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In October 2009, Wynn Macau, Limited, an indirect wholly-owned subsidiary of the Company and the developer, owner and operator of Wynn Macau, listed its ordinary shares of common stock on The Stock Exchange of Hong Kong Limited. Through an initial public offering, including the over allotment, Wynn Macau, Limited sold 1,437,500,000 shares (27.7%) of this subsidiary’s common stock (the “Wynn Macau Limited IPO”). Proceeds to the Company as a result of this transaction were approximately $1.8 billion, net of transaction costs of approximately $84 million. The shares of Wynn Macau, Limited were not and will not be registered under the Securities Act, and may not be offered or sold in the United States absent a registration under the Securities Act, or an applicable exception from such registration requirements. In connection with this transaction, in October 2009, the Company recorded $107.4 million of noncontrolling interest as a separate component of equity in the accompanying Consolidated Balance Sheets and has followed accounting standards for noncontrolling interest in the consolidated financial statements beginning in October 2009. Net income attributable to noncontrolling interest was $156.5 million and $18.5 million for the years ended December 31, 2010 and 2009, respectively.</w:t>
      </w:r>
    </w:p>
    <w:p>
      <w:pPr>
        <w:spacing w:after="0" w:line="143"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On November 2, 2010, the Wynn Macau, Limited Board of Directors approved a HK$0.76 per share dividend. The total dividend amount was approximately $508 million and the Company’s share of this dividend was $367 million. A reduction of $140.7 million was made to noncontrolling interest in the accompanying Consolidated Balance Sheets to reflect the payment of this dividend.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8" w:lineRule="exact"/>
        <w:rPr>
          <w:sz w:val="20"/>
          <w:szCs w:val="20"/>
          <w:color w:val="auto"/>
        </w:rPr>
      </w:pPr>
    </w:p>
    <w:p>
      <w:pPr>
        <w:ind w:left="240" w:right="9460" w:hanging="232"/>
        <w:spacing w:after="0" w:line="388" w:lineRule="auto"/>
        <w:tabs>
          <w:tab w:leader="none" w:pos="275"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Benefit Plans </w:t>
      </w:r>
      <w:r>
        <w:rPr>
          <w:rFonts w:ascii="Times New Roman" w:cs="Times New Roman" w:eastAsia="Times New Roman" w:hAnsi="Times New Roman"/>
          <w:sz w:val="16"/>
          <w:szCs w:val="16"/>
          <w:b w:val="1"/>
          <w:bCs w:val="1"/>
          <w:i w:val="1"/>
          <w:iCs w:val="1"/>
          <w:color w:val="auto"/>
        </w:rPr>
        <w:t>Employee Savings Plan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established a retirement savings plan under Section 401(k) of the Internal Revenue Code covering its U.S. non-union employees in</w:t>
      </w:r>
    </w:p>
    <w:p>
      <w:pPr>
        <w:spacing w:after="0" w:line="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July 2000. The plan allows employees to defer, within prescribed limits, a percentage of their income on a pre-tax basis through contributions to this plan. Prior to March 16, 2009, the Company matched the contributions, within prescribed limits, with an amount equal to 100% of the participant’s initial 2% tax deferred contribution and 50% of the tax deferred contribution between 2% and 4% of the participant’s compensation. The Company recorded an expense for matching contributions of $0, $1.4 million and $5.3 million for the years ended December 31, 2010, 2009 and 2008, respectively. Effective March 16, 2009, the Company suspended matching contributions to this plan.</w:t>
      </w:r>
    </w:p>
    <w:p>
      <w:pPr>
        <w:spacing w:after="0" w:line="139" w:lineRule="exact"/>
        <w:rPr>
          <w:sz w:val="20"/>
          <w:szCs w:val="20"/>
          <w:color w:val="auto"/>
        </w:rPr>
      </w:pPr>
    </w:p>
    <w:p>
      <w:pPr>
        <w:ind w:right="160" w:firstLine="456"/>
        <w:spacing w:after="0" w:line="293" w:lineRule="auto"/>
        <w:rPr>
          <w:sz w:val="20"/>
          <w:szCs w:val="20"/>
          <w:color w:val="auto"/>
        </w:rPr>
      </w:pPr>
      <w:r>
        <w:rPr>
          <w:rFonts w:ascii="Times New Roman" w:cs="Times New Roman" w:eastAsia="Times New Roman" w:hAnsi="Times New Roman"/>
          <w:sz w:val="16"/>
          <w:szCs w:val="16"/>
          <w:color w:val="auto"/>
        </w:rPr>
        <w:t>Wynn Macau also operates a defined contribution retirement benefits scheme (the “Scheme”). The Scheme allows eligible employees to contribute 5% of their salary to the Scheme and the Company matches any contributions. The assets of the Scheme are held separately from those of the Company in an independently administered fund. The Company’s matching contributions vest to the employee at 10% per year with full vesting in ten years. Forfeitures of unvested contributions are used to reduce the Company’s liability for its contributions payable under the Scheme. For the period from March 1, 2009 through April 30, 2010, the Company suspended its matching contributions. The contributions were reinstated effective May 1, 2010. During the years ended December 31, 2010, 2009 and 2008, the Company recorded an expense for matching contributions of $3.3 million, $0.5 million and $6.1 million, respectively.</w:t>
      </w:r>
    </w:p>
    <w:p>
      <w:pPr>
        <w:spacing w:after="0" w:line="11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Union employees in the Las Vegas operations are covered by various multi-employer pension plans. The Company recorded an expense of $6.8 million, $6.2 million and $4.6 million under such plans for the years ended December 31, 2010, 2009 and 2008, respectively. Information from the plans’ sponsors is not available to permit the Company to determine its share of unfunded vested benefits, if any.</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Company established the 2002 Stock Incentive Plan (the “WRL Stock Plan”) to provide for the grant of (i) incentive stock options, (ii) compensatory (i.e. nonqualified) stock options, and (iii) nonvested shares of Common Stock of Wynn Resorts, Limited. Employees, directors (whether employee or nonemployee) and independent contractors or consultants of the Company are eligible to participate in the WRL Stock Plan. However, only employees of the Company are eligible to receive incentive stock options.</w:t>
      </w:r>
    </w:p>
    <w:p>
      <w:pPr>
        <w:spacing w:after="0" w:line="136" w:lineRule="exact"/>
        <w:rPr>
          <w:sz w:val="20"/>
          <w:szCs w:val="20"/>
          <w:color w:val="auto"/>
        </w:rPr>
      </w:pPr>
    </w:p>
    <w:p>
      <w:pPr>
        <w:ind w:right="320" w:firstLine="456"/>
        <w:spacing w:after="0" w:line="275" w:lineRule="auto"/>
        <w:rPr>
          <w:sz w:val="20"/>
          <w:szCs w:val="20"/>
          <w:color w:val="auto"/>
        </w:rPr>
      </w:pPr>
      <w:r>
        <w:rPr>
          <w:rFonts w:ascii="Times New Roman" w:cs="Times New Roman" w:eastAsia="Times New Roman" w:hAnsi="Times New Roman"/>
          <w:sz w:val="18"/>
          <w:szCs w:val="18"/>
          <w:color w:val="auto"/>
        </w:rPr>
        <w:t>A maximum of 12,750,000 shares of Common Stock are reserved for issuance under the WRL Stock Plan. As of December 31, 2010, 4,107,378 shares remain available for the grant of stock options or nonvested shares of Common Stock.</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Macau, Limited Stock Incentive Plan</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Company’s majority-owned subsidiary Wynn Macau, Limited adopted a stock incentive plan effective September 16, 2009 (the “WML Stock Plan”). The purpose of the WML Stock Plan is to reward participants, which may include directors and employees of Wynn Macau, Limited who have contributed towards enhancing the value of Wynn Macau and its shares. A maximum of 518.75 million shares have been reserved for issuance under the WML Stock Plan. As of December 31, 2010, 1 million options were outstanding.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94"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Options are granted at the current market price at the date of grant. The WRL Stock Plan provides for a variety of vesting schedules all determined at the time of grant. All options expire ten years from the date of grant.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option activity under the WRL Stock Plan as of December 31, 2010, and the changes during the year then ended is presented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6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6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6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Intrinsic</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2010</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5,246,593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$ 58.43</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235,000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(1,308,052)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Canceled/Expired</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(920,833)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2010</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3,252,708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138,890,091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Fully vested and expected to vest at December 31, 2010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72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129,248,167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2"/>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2,971,310</w:t>
            </w:r>
          </w:p>
        </w:tc>
        <w:tc>
          <w:tcPr>
            <w:tcW w:w="60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2010</w:t>
            </w: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530,623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27,629,668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information is provided for stock options of the WRL Stock Plan (amounts in thousand, except weighted average grant date fair value):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61.50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63,095</w:t>
            </w: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6,100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proceeds from the exercise of stock options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66,186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2,782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benefits realized from the exercise of stock options and vesting of restricted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10,480</w:t>
            </w:r>
          </w:p>
        </w:tc>
        <w:tc>
          <w:tcPr>
            <w:tcW w:w="5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49,013</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As of December 31, 2010, there was a total of $70.9 million of unamortized compensation related to stock options, which is expected to be recognized over the vesting period of the related grants through May 2019.</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Nonvested Shares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 summary of the status of the WRL Stock Plan’s nonvested shares as of December 31, 2010 and changes during the year then ended is presented below:</w:t>
      </w:r>
    </w:p>
    <w:p>
      <w:pPr>
        <w:spacing w:after="0" w:line="22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Grant 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2010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889,000</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35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(26,000)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Canceled</w:t>
            </w:r>
          </w:p>
        </w:tc>
        <w:tc>
          <w:tcPr>
            <w:tcW w:w="23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(52,000)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2010</w:t>
            </w:r>
          </w:p>
        </w:tc>
        <w:tc>
          <w:tcPr>
            <w:tcW w:w="2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861,000</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40" w:type="dxa"/>
            <w:vAlign w:val="bottom"/>
            <w:vMerge w:val="restart"/>
          </w:tcPr>
          <w:p>
            <w:pPr>
              <w:jc w:val="right"/>
              <w:ind w:right="1132"/>
              <w:spacing w:after="0"/>
              <w:rPr>
                <w:sz w:val="20"/>
                <w:szCs w:val="20"/>
                <w:color w:val="auto"/>
              </w:rPr>
            </w:pPr>
            <w:r>
              <w:rPr>
                <w:rFonts w:ascii="Times New Roman" w:cs="Times New Roman" w:eastAsia="Times New Roman" w:hAnsi="Times New Roman"/>
                <w:sz w:val="18"/>
                <w:szCs w:val="18"/>
                <w:color w:val="auto"/>
              </w:rPr>
              <w:t>92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information is provided for nonvested stock of the WRL Stock Plan (amounts in thousands, except weighted average grant date fair value):</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40" w:type="dxa"/>
            <w:vAlign w:val="bottom"/>
          </w:tcPr>
          <w:p>
            <w:pPr>
              <w:spacing w:after="0"/>
              <w:rPr>
                <w:sz w:val="12"/>
                <w:szCs w:val="12"/>
                <w:color w:val="auto"/>
              </w:rPr>
            </w:pPr>
          </w:p>
        </w:tc>
        <w:tc>
          <w:tcPr>
            <w:tcW w:w="5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107.03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97.88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Fair value of shares vested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5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1,685</w:t>
            </w:r>
          </w:p>
        </w:tc>
        <w:tc>
          <w:tcPr>
            <w:tcW w:w="540" w:type="dxa"/>
            <w:vAlign w:val="bottom"/>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Approximately $36.7 million of unamortized compensation cost relating to nonvested shares of Common Stock at December 31, 2010 will be recognized as compensation over the vesting period of the related grants through December 2016.</w:t>
      </w:r>
    </w:p>
    <w:p>
      <w:pPr>
        <w:spacing w:after="0" w:line="1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Cost</w:t>
      </w:r>
    </w:p>
    <w:p>
      <w:pPr>
        <w:spacing w:after="0" w:line="9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Company uses the Black-Scholes valuation model to determine the estimated fair value for each option grant issued, with highly subjective assumptions, changes in which could materially affect the estimated fair value. Expected volatility is based on implied and historical factors related to the Company’s Common Stock. Expected term represents the weighted average time between the option’s grant date and its exercise date. The Company uses the simplified method for companies with a limited trading history to estimate the expected term. The risk-free interest rate used for each period presented is based on the U.S. Treasury yield curve at the time of grant for the period equal to the expected term.</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fair values of stock options granted under the WRL Stock Plan were estimated on the date of grant using the following weighted-average assumptions:</w:t>
      </w:r>
    </w:p>
    <w:p>
      <w:pPr>
        <w:spacing w:after="0" w:line="232"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900" w:type="dxa"/>
            <w:vAlign w:val="bottom"/>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00" w:type="dxa"/>
            <w:vAlign w:val="bottom"/>
          </w:tcPr>
          <w:p>
            <w:pPr>
              <w:spacing w:after="0"/>
              <w:rPr>
                <w:sz w:val="12"/>
                <w:szCs w:val="12"/>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20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0.12%</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w:t>
            </w:r>
          </w:p>
        </w:tc>
        <w:tc>
          <w:tcPr>
            <w:tcW w:w="206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54.6%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206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2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 (years)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Pr>
          <w:p>
            <w:pPr>
              <w:spacing w:after="0"/>
              <w:rPr>
                <w:sz w:val="19"/>
                <w:szCs w:val="19"/>
                <w:color w:val="auto"/>
              </w:rPr>
            </w:pPr>
          </w:p>
        </w:tc>
      </w:tr>
    </w:tbl>
    <w:p>
      <w:pPr>
        <w:spacing w:after="0" w:line="135" w:lineRule="exact"/>
        <w:rPr>
          <w:sz w:val="20"/>
          <w:szCs w:val="20"/>
          <w:color w:val="auto"/>
        </w:rPr>
      </w:pPr>
    </w:p>
    <w:p>
      <w:pPr>
        <w:ind w:right="100" w:firstLine="456"/>
        <w:spacing w:after="0" w:line="275" w:lineRule="auto"/>
        <w:rPr>
          <w:sz w:val="20"/>
          <w:szCs w:val="20"/>
          <w:color w:val="auto"/>
        </w:rPr>
      </w:pPr>
      <w:r>
        <w:rPr>
          <w:rFonts w:ascii="Times New Roman" w:cs="Times New Roman" w:eastAsia="Times New Roman" w:hAnsi="Times New Roman"/>
          <w:sz w:val="18"/>
          <w:szCs w:val="18"/>
          <w:color w:val="auto"/>
        </w:rPr>
        <w:t>The fair value of the 1 million stock options granted under the WML Stock Plan on the date of grant was also estimated using the Black-Scholes valuation model using the following assumptions:</w:t>
      </w:r>
    </w:p>
    <w:p>
      <w:pPr>
        <w:spacing w:after="0" w:line="14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4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5"/>
        </w:trPr>
        <w:tc>
          <w:tcPr>
            <w:tcW w:w="3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Pr>
          <w:p>
            <w:pPr>
              <w:spacing w:after="0"/>
              <w:rPr>
                <w:sz w:val="14"/>
                <w:szCs w:val="14"/>
                <w:color w:val="auto"/>
              </w:rPr>
            </w:pP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4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4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 (years)</w:t>
            </w:r>
          </w:p>
        </w:tc>
        <w:tc>
          <w:tcPr>
            <w:tcW w:w="4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r>
      <w:tr>
        <w:trPr>
          <w:trHeight w:val="350"/>
        </w:trPr>
        <w:tc>
          <w:tcPr>
            <w:tcW w:w="3300" w:type="dxa"/>
            <w:vAlign w:val="bottom"/>
          </w:tcPr>
          <w:p>
            <w:pPr>
              <w:spacing w:after="0"/>
              <w:rPr>
                <w:sz w:val="24"/>
                <w:szCs w:val="24"/>
                <w:color w:val="auto"/>
              </w:rPr>
            </w:pPr>
          </w:p>
        </w:tc>
        <w:tc>
          <w:tcPr>
            <w:tcW w:w="2720" w:type="dxa"/>
            <w:vAlign w:val="bottom"/>
          </w:tcPr>
          <w:p>
            <w:pPr>
              <w:jc w:val="right"/>
              <w:ind w:right="1976"/>
              <w:spacing w:after="0"/>
              <w:rPr>
                <w:sz w:val="20"/>
                <w:szCs w:val="20"/>
                <w:color w:val="auto"/>
              </w:rPr>
            </w:pPr>
            <w:r>
              <w:rPr>
                <w:rFonts w:ascii="Times New Roman" w:cs="Times New Roman" w:eastAsia="Times New Roman" w:hAnsi="Times New Roman"/>
                <w:sz w:val="18"/>
                <w:szCs w:val="18"/>
                <w:color w:val="auto"/>
              </w:rPr>
              <w:t>93</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compensation cost for both the WRL Stock Plan and the WML Stock Plan is allocated as follows (amounts in thousands):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5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Years Ended December 31,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Casino</w:t>
            </w:r>
          </w:p>
        </w:tc>
        <w:tc>
          <w:tcPr>
            <w:tcW w:w="2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$10,497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Rooms</w:t>
            </w: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2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15,828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14,812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11,634</w:t>
            </w:r>
          </w:p>
        </w:tc>
        <w:tc>
          <w:tcPr>
            <w:tcW w:w="100" w:type="dxa"/>
            <w:vAlign w:val="bottom"/>
            <w:shd w:val="clear" w:color="auto" w:fill="CCEEFF"/>
          </w:tcPr>
          <w:p>
            <w:pPr>
              <w:spacing w:after="0"/>
              <w:rPr>
                <w:sz w:val="18"/>
                <w:szCs w:val="18"/>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Pre-opening</w:t>
            </w:r>
          </w:p>
        </w:tc>
        <w:tc>
          <w:tcPr>
            <w:tcW w:w="15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r>
      <w:tr>
        <w:trPr>
          <w:trHeight w:val="216"/>
        </w:trPr>
        <w:tc>
          <w:tcPr>
            <w:tcW w:w="50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27,168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24,336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20,328</w:t>
            </w:r>
          </w:p>
        </w:tc>
        <w:tc>
          <w:tcPr>
            <w:tcW w:w="100" w:type="dxa"/>
            <w:vAlign w:val="bottom"/>
            <w:shd w:val="clear" w:color="auto" w:fill="CCEEFF"/>
          </w:tcPr>
          <w:p>
            <w:pPr>
              <w:spacing w:after="0"/>
              <w:rPr>
                <w:sz w:val="18"/>
                <w:szCs w:val="18"/>
                <w:color w:val="auto"/>
              </w:rPr>
            </w:pPr>
          </w:p>
        </w:tc>
      </w:tr>
      <w:tr>
        <w:trPr>
          <w:trHeight w:val="223"/>
        </w:trPr>
        <w:tc>
          <w:tcPr>
            <w:tcW w:w="5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stock-based compensation capitalized</w:t>
            </w:r>
          </w:p>
        </w:tc>
        <w:tc>
          <w:tcPr>
            <w:tcW w:w="15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19"/>
                <w:szCs w:val="19"/>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costs</w:t>
            </w:r>
          </w:p>
        </w:tc>
        <w:tc>
          <w:tcPr>
            <w:tcW w:w="2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27,785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24,921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20,908</w:t>
            </w:r>
          </w:p>
        </w:tc>
        <w:tc>
          <w:tcPr>
            <w:tcW w:w="100" w:type="dxa"/>
            <w:vAlign w:val="bottom"/>
            <w:shd w:val="clear" w:color="auto" w:fill="CCEEFF"/>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Consolidated income before taxes for domestic and foreign operations consisted of the following (amounts in thousands):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360" w:type="dxa"/>
            <w:vAlign w:val="bottom"/>
            <w:gridSpan w:val="5"/>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$(239,125)</w:t>
            </w: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$(229,861)</w:t>
            </w:r>
          </w:p>
        </w:tc>
        <w:tc>
          <w:tcPr>
            <w:tcW w:w="3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33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576,168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271,967</w:t>
            </w:r>
          </w:p>
        </w:tc>
        <w:tc>
          <w:tcPr>
            <w:tcW w:w="34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254,014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$ 337,043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42,106</w:t>
            </w:r>
          </w:p>
        </w:tc>
        <w:tc>
          <w:tcPr>
            <w:tcW w:w="3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$ 148,918</w:t>
            </w:r>
          </w:p>
        </w:tc>
        <w:tc>
          <w:tcPr>
            <w:tcW w:w="0" w:type="dxa"/>
            <w:vAlign w:val="bottom"/>
          </w:tcPr>
          <w:p>
            <w:pPr>
              <w:spacing w:after="0"/>
              <w:rPr>
                <w:sz w:val="1"/>
                <w:szCs w:val="1"/>
                <w:color w:val="auto"/>
              </w:rPr>
            </w:pPr>
          </w:p>
        </w:tc>
      </w:tr>
      <w:tr>
        <w:trPr>
          <w:trHeight w:val="20"/>
        </w:trPr>
        <w:tc>
          <w:tcPr>
            <w:tcW w:w="660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800" w:type="dxa"/>
            <w:vAlign w:val="bottom"/>
            <w:gridSpan w:val="8"/>
          </w:tcPr>
          <w:p>
            <w:pPr>
              <w:jc w:val="right"/>
              <w:ind w:right="432"/>
              <w:spacing w:after="0"/>
              <w:rPr>
                <w:sz w:val="20"/>
                <w:szCs w:val="20"/>
                <w:color w:val="auto"/>
              </w:rPr>
            </w:pPr>
            <w:r>
              <w:rPr>
                <w:rFonts w:ascii="Times New Roman" w:cs="Times New Roman" w:eastAsia="Times New Roman" w:hAnsi="Times New Roman"/>
                <w:sz w:val="18"/>
                <w:szCs w:val="18"/>
                <w:color w:val="auto"/>
                <w:w w:val="97"/>
              </w:rPr>
              <w:t>The Company’s (provision) benefit for income taxes consisted of the following (amounts in thousands):</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gridSpan w:val="10"/>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4"/>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3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(1,560)</w:t>
            </w:r>
          </w:p>
        </w:tc>
        <w:tc>
          <w:tcPr>
            <w:tcW w:w="13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(3,679)</w:t>
            </w:r>
          </w:p>
        </w:tc>
        <w:tc>
          <w:tcPr>
            <w:tcW w:w="9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(1,560)</w:t>
            </w:r>
          </w:p>
        </w:tc>
        <w:tc>
          <w:tcPr>
            <w:tcW w:w="1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(3,679)</w:t>
            </w:r>
          </w:p>
        </w:tc>
        <w:tc>
          <w:tcPr>
            <w:tcW w:w="3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Federal</w:t>
            </w:r>
          </w:p>
        </w:tc>
        <w:tc>
          <w:tcPr>
            <w:tcW w:w="3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2"/>
              <w:spacing w:after="0"/>
              <w:rPr>
                <w:sz w:val="20"/>
                <w:szCs w:val="20"/>
                <w:color w:val="auto"/>
              </w:rPr>
            </w:pPr>
            <w:r>
              <w:rPr>
                <w:rFonts w:ascii="Times New Roman" w:cs="Times New Roman" w:eastAsia="Times New Roman" w:hAnsi="Times New Roman"/>
                <w:sz w:val="18"/>
                <w:szCs w:val="18"/>
                <w:color w:val="auto"/>
              </w:rPr>
              <w:t>(9,640)</w:t>
            </w:r>
          </w:p>
        </w:tc>
        <w:tc>
          <w:tcPr>
            <w:tcW w:w="13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(2,090)</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58,606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Foreign</w:t>
            </w:r>
          </w:p>
        </w:tc>
        <w:tc>
          <w:tcPr>
            <w:tcW w:w="3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(9,247)</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3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4,854</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4"/>
              </w:rPr>
              <w:t>(18,887)</w:t>
            </w:r>
          </w:p>
        </w:tc>
        <w:tc>
          <w:tcPr>
            <w:tcW w:w="140" w:type="dxa"/>
            <w:vAlign w:val="bottom"/>
          </w:tcPr>
          <w:p>
            <w:pPr>
              <w:spacing w:after="0"/>
              <w:rPr>
                <w:sz w:val="20"/>
                <w:szCs w:val="20"/>
                <w:color w:val="auto"/>
              </w:rPr>
            </w:pPr>
          </w:p>
        </w:tc>
        <w:tc>
          <w:tcPr>
            <w:tcW w:w="440" w:type="dxa"/>
            <w:vAlign w:val="bottom"/>
            <w:gridSpan w:val="2"/>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340" w:type="dxa"/>
            <w:vAlign w:val="bottom"/>
          </w:tcPr>
          <w:p>
            <w:pPr>
              <w:spacing w:after="0"/>
              <w:rPr>
                <w:sz w:val="20"/>
                <w:szCs w:val="20"/>
                <w:color w:val="auto"/>
              </w:rPr>
            </w:pPr>
          </w:p>
        </w:tc>
        <w:tc>
          <w:tcPr>
            <w:tcW w:w="240" w:type="dxa"/>
            <w:vAlign w:val="bottom"/>
            <w:gridSpan w:val="2"/>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500" w:type="dxa"/>
            <w:vAlign w:val="bottom"/>
            <w:gridSpan w:val="6"/>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(20,447)</w:t>
            </w:r>
          </w:p>
        </w:tc>
        <w:tc>
          <w:tcPr>
            <w:tcW w:w="13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(2,999)</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61,561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00" w:type="dxa"/>
            <w:vAlign w:val="bottom"/>
            <w:vMerge w:val="restart"/>
          </w:tcPr>
          <w:p>
            <w:pPr>
              <w:jc w:val="right"/>
              <w:ind w:right="1172"/>
              <w:spacing w:after="0"/>
              <w:rPr>
                <w:sz w:val="20"/>
                <w:szCs w:val="20"/>
                <w:color w:val="auto"/>
              </w:rPr>
            </w:pPr>
            <w:r>
              <w:rPr>
                <w:rFonts w:ascii="Times New Roman" w:cs="Times New Roman" w:eastAsia="Times New Roman" w:hAnsi="Times New Roman"/>
                <w:sz w:val="18"/>
                <w:szCs w:val="18"/>
                <w:color w:val="auto"/>
              </w:rPr>
              <w:t>94</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5" w:right="11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tax effects of significant temporary differences representing net deferred tax assets and liabilities consisted of the following (amounts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right"/>
              <w:ind w:right="59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assets—U.S.: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 inventories, accrued liabilities and other</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34,384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34,709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(30,430)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Foreign tax credit carryforwards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1,306,965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835,370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Pre-opening costs</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18,758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23,130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Intangibles and related other</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29,069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16,275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Interest rate swap valuation adjustment</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2,960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credit carryforwards</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3,930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Syndication costs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3,780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w:t>
            </w:r>
          </w:p>
        </w:tc>
        <w:tc>
          <w:tcPr>
            <w:tcW w:w="3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1,382,231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909,000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w w:val="97"/>
              </w:rPr>
              <w:t>(1,223,288)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(668,966)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liabilities—U.S.:</w:t>
            </w:r>
          </w:p>
        </w:tc>
        <w:tc>
          <w:tcPr>
            <w:tcW w:w="3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Undistributed IPO proceeds of foreign subsidiary</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Prepaid insurance, maintenance and taxes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(6,928)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Property and equipment</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(235,824)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(222,899)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(235,824)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(222,899)</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assets—Foreign:</w:t>
            </w:r>
          </w:p>
        </w:tc>
        <w:tc>
          <w:tcPr>
            <w:tcW w:w="39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Current:</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Pre-opening costs and other</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Pre-opening costs and other</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1,588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24,791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Property equipment and other</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58"/>
              <w:spacing w:after="0"/>
              <w:rPr>
                <w:sz w:val="20"/>
                <w:szCs w:val="20"/>
                <w:color w:val="auto"/>
              </w:rPr>
            </w:pPr>
            <w:r>
              <w:rPr>
                <w:rFonts w:ascii="Times New Roman" w:cs="Times New Roman" w:eastAsia="Times New Roman" w:hAnsi="Times New Roman"/>
                <w:sz w:val="18"/>
                <w:szCs w:val="18"/>
                <w:color w:val="auto"/>
              </w:rPr>
              <w:t>5,819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rPr>
              <w:t>(32,198)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liabilities—Foreign:</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Long-term:</w:t>
            </w:r>
          </w:p>
        </w:tc>
        <w:tc>
          <w:tcPr>
            <w:tcW w:w="3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Property equipment and other</w:t>
            </w:r>
          </w:p>
        </w:tc>
        <w:tc>
          <w:tcPr>
            <w:tcW w:w="3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5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39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(79,855</w:t>
            </w:r>
          </w:p>
        </w:tc>
        <w:tc>
          <w:tcPr>
            <w:tcW w:w="34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(16,470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960" w:type="dxa"/>
            <w:vAlign w:val="bottom"/>
            <w:vMerge w:val="restart"/>
          </w:tcPr>
          <w:p>
            <w:pPr>
              <w:jc w:val="right"/>
              <w:ind w:right="3192"/>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income tax provision (benefit) differs from that computed at the federal statutory corporate tax rate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7320" w:type="dxa"/>
            <w:vAlign w:val="bottom"/>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680" w:type="dxa"/>
            <w:vAlign w:val="bottom"/>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700" w:type="dxa"/>
            <w:vAlign w:val="bottom"/>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260" w:type="dxa"/>
            <w:vAlign w:val="bottom"/>
          </w:tcPr>
          <w:p>
            <w:pPr>
              <w:spacing w:after="0"/>
              <w:rPr>
                <w:sz w:val="12"/>
                <w:szCs w:val="12"/>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120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35.0%</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120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(38.8%)</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(133.3%)</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 net:</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Foreign tax credits, net of valuation allowance</w:t>
            </w:r>
          </w:p>
        </w:tc>
        <w:tc>
          <w:tcPr>
            <w:tcW w:w="120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(104.9%)</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77.0%</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(484.9%)</w:t>
            </w:r>
          </w:p>
        </w:tc>
      </w:tr>
      <w:tr>
        <w:trPr>
          <w:trHeight w:val="216"/>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Repatriation of Foreign earnings</w:t>
            </w:r>
          </w:p>
        </w:tc>
        <w:tc>
          <w:tcPr>
            <w:tcW w:w="120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134.9%</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113.8%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472.7%</w:t>
            </w:r>
          </w:p>
        </w:tc>
      </w:tr>
      <w:tr>
        <w:trPr>
          <w:trHeight w:val="216"/>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Excess executive compensation</w:t>
            </w:r>
          </w:p>
        </w:tc>
        <w:tc>
          <w:tcPr>
            <w:tcW w:w="120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0.7%</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5.4%</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Non-taxable Foreign income</w:t>
            </w:r>
          </w:p>
        </w:tc>
        <w:tc>
          <w:tcPr>
            <w:tcW w:w="120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(24.8%)</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(108.6%)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Non-deductible foreign property charges</w:t>
            </w:r>
          </w:p>
        </w:tc>
        <w:tc>
          <w:tcPr>
            <w:tcW w:w="1200" w:type="dxa"/>
            <w:vAlign w:val="bottom"/>
            <w:gridSpan w:val="2"/>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Increase(decrease) in liability for uncertain tax positions</w:t>
            </w:r>
          </w:p>
        </w:tc>
        <w:tc>
          <w:tcPr>
            <w:tcW w:w="1200" w:type="dxa"/>
            <w:vAlign w:val="bottom"/>
            <w:gridSpan w:val="2"/>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General Business Credits</w:t>
            </w:r>
          </w:p>
        </w:tc>
        <w:tc>
          <w:tcPr>
            <w:tcW w:w="120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(0.4%)</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120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2.6%</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other</w:t>
            </w:r>
          </w:p>
        </w:tc>
        <w:tc>
          <w:tcPr>
            <w:tcW w:w="120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15.6%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7"/>
        </w:trPr>
        <w:tc>
          <w:tcPr>
            <w:tcW w:w="7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Effective tax rate</w:t>
            </w:r>
          </w:p>
        </w:tc>
        <w:tc>
          <w:tcPr>
            <w:tcW w:w="1200" w:type="dxa"/>
            <w:vAlign w:val="bottom"/>
            <w:gridSpan w:val="2"/>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r>
      <w:tr>
        <w:trPr>
          <w:trHeight w:val="20"/>
        </w:trPr>
        <w:tc>
          <w:tcPr>
            <w:tcW w:w="7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The Company has no U.S. tax loss carryforwards. The Company incurred foreign tax losses of $89.2 million, $64.6 million, and $124 million during the tax years ended December 31, 2010, 2009, and 2008, respectively. These foreign tax loss carryforwards expire in 2013, 2012, and 2011. During 2010, the Company increased its valuation allowance for these tax loss carryforwards such that these foreign tax loss carryforwards are fully reserved. The Company recorded tax benefits resulting from the exercise of nonqualified stock options and the value of vested restricted stock of $10.5 million, $49 million, and $0 as of December 31, 2010, 2009, and 2008, respectively, in excess of the amounts reported for such items as compensation costs under accounting standards related to stock-based compensation. The Company uses a with-and-without approach to determine if the excess tax deductions associated with compensation costs have reduced income taxes payable.</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Accounting standards require recognition of a future tax benefit to the extent that realization of such benefit is more likely than not. Otherwise, a valuation allowance is applied. During 2010 and 2009, the aggregate valuation allowance for deferred tax assets increased by $574.2 million and $69.1 million, respectively. The 2010 and 2009 increases are primarily related to foreign tax credit carryforwards that are not considered more likely than not realizable. As discussed in the succeeding paragraph, the Company does not consider forecasted future operating results when scheduling the realization of deferred tax assets and the required valuation allowance but instead relies solely on the reversal of net taxable temporary differences. The ultimate realization of the Company’s recorded foreign tax credit deferred tax asset is dependent upon the incurrence of sufficient US income tax liabilities attributable to foreign source income during the 10-year foreign tax credit carryover period.</w:t>
      </w:r>
    </w:p>
    <w:p>
      <w:pPr>
        <w:spacing w:after="0" w:line="14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Macau special gaming tax is 35% of gross gaming revenue. The U.S. taxing regime only allows a credit for 35% of “net” foreign source income. In determining the valuation allowance in accordance with accounting standards, due to the significant U.S. operating losses, the Company currently could not rely on forecasted future U.S. taxable income. Instead, the valuation allowance was determined by scheduling the existing U.S. “net” taxable temporary differences that were expected to reverse during the 10-year foreign tax credit carryover period and then applying U.S. income tax rules applicable to foreign tax credit utilization to the results in order to determine the amount of foreign tax credit expected to be utilized in the future.</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240" w:top="455" w:right="31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2008, the Company completed a study of the taxes, levies and obligations assessed on operations of Wynn Macau under Macau law and the Macau Gaming Concession. The study concluded the Macau Special Gaming Tax more likely than not qualified as a tax paid in lieu of an income tax under the Internal Revenue Code. In February 2010, the Company and the IRS entered into a Pre-Filing Agreement (“PFA”) providing that the Macau Special Gaming Tax qualifies as a tax paid in lieu of an income tax and could be claimed as a U.S. foreign tax credit.</w:t>
      </w:r>
    </w:p>
    <w:p>
      <w:pPr>
        <w:spacing w:after="0" w:line="13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2010, 2009 and 2008, the Company recognized tax benefits of $955.2 million, $125.3 million and $722 million (net of valuation allowance increases) for foreign tax credits applicable to the earnings of Wynn Macau S.A. A significant portion of these credits result from the treatment of the Macau Special Gaming Tax as a U.S. foreign tax credit. Of the $955.2 million, $125.3 million and $722 million, $949.5 million, $121.5 million and $650.6 million were used to offset 2010, 2009 and 2008 U.S. income tax expense incurred as a result of the repatriation of Wynn Macau S.A. earnings and (in 2010 and 2009) the Wynn Macau Limited IPO proceeds. The remaining $5.8 million, $3.8 million and $71.4 million (net of valuation allowance) were recorded as a deferred tax asset. Of the Company’s foreign tax credit carryforwards as of December 31, 2010 of $1.307 billion before valuation allowance, $665.7 million will expire in 2018, $110.9 million will expire in 2019 and $530.4 million in 2020.</w:t>
      </w:r>
    </w:p>
    <w:p>
      <w:pPr>
        <w:spacing w:after="0" w:line="14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Of the December 31, 2010, 2009 and 2008 U.S. valuation allowances of $1.254 billion, $694.5 million and $632 million, $1.246 billion, $689.4 million and $626.9 million relate to U.S. foreign tax credits expected to expire unutilized, $1.3 million, $0 and $0 represent stock-based compensation for foreign based services that may be nondeductible, $2.7 million, $1.3 million and $1.3 million represent stock-based compensation that may be nondeductible under IRC §162(m), and $3.8 million is attributable to syndication costs. Subsequent recognition of income tax benefits associated with syndication costs will be allocated to additional paid-in capital.</w:t>
      </w:r>
    </w:p>
    <w:p>
      <w:pPr>
        <w:spacing w:after="0" w:line="139"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As of December 31, 2010 and 2009, the Company has not provided deferred U.S. income taxes or foreign withholding taxes on temporary differences of approximately $325.1 million and $358.2 million resulting from earnings of certain non-U.S. subsidiaries which exceed U.S. tax earnings and profits. These amounts in excess thereof are permanently reinvested outside of the U.S. The amount of the unrecognized deferred tax liability without regard to potential foreign tax credits associated with these temporary differences is approximately $113.8 million and $125.4 million for the year ended December 31, 2010 and 2009. At December 31, 2008, the Company had no earnings in foreign subsidiaries that were considered permanently reinvested. Deferred income taxes are provided for foreign earnings planned for repatriation. In connection with the Wynn Macau Limited IPO in 2009 (Note 13), the Company recorded a deferred tax liability net of expected foreign tax credits of $56.1 million to the extent that the book basis of the investment exceeded the tax basis and where that difference was expected to reverse in the foreseeable future. The deferred tax liability was recorded as a reduction in additional paid-in capital. In 2009, the Company repatriated $400 million from the Wynn Macau Limited IPO proceeds leaving a deferred tax liability net of expected foreign tax credits of $41.5 million as of December 31, 2009. During 2010 the Company repatriated an additional $1.143 billion of Wynn Macau, Limited IPO proceeds resulting in the reversal of the $41.5 million deferred tax liability. The amounts repatriated during 2010 and 2009 were used to fund domestic operations, to provide additional U.S. liquidity, and to fund dividends to the Company’s shareholders. During 2008, the Company repatriated $1.071 billion in earnings from Wynn Macau. The 2008 earnings were repatriated to fund the repurchase of $625 million in principal of the Term Loan Facility, to provide available funding for possible future debt repurchases, to provide funding for the completion of Encore at Wynn Las Vegas, and to provide liquidity.</w:t>
      </w:r>
    </w:p>
    <w:p>
      <w:pPr>
        <w:spacing w:after="0" w:line="145"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Effective September 6, 2006, Wynn Macau, S.A. received a 5-year exemption from Macau’s 12% Complementary Tax on casino gaming profits. Accordingly, the Company was exempted from the payment of $64.4 million, $31.7 million, and $27.7 million in such taxes for the years ended December 31, 2010, 2009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2008, respectively. The Company’s non-gaming profits remain subject to the Macau Complementary Tax and its casino winnings remain subject to the Macau Special Gaming tax and other levies in accordance with its concession agreement. On October 21, 2010, Wynn Resorts (Macau), S.A. applied for an additional 5-year exemption from Macau’s 12% Complementary Tax on casino gaming profits. On November 30, 2010 the request for an additional 5-year Complementary Tax exemption was approved, thereby exempting the casino gaming profits of Wynn Macau S.A. through December 31, 2015.</w:t>
      </w:r>
    </w:p>
    <w:p>
      <w:pPr>
        <w:spacing w:after="0" w:line="13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June 2009, Wynn Macau, S.A. entered into an agreement with the Macau Special Administrative Region that provides for an annual payment of MOP $7.2 million (approximately $900,000 US dollars) to the Macau Special Administrative Region as complementary tax otherwise due by shareholders of Wynn Macau S.A. on dividend distributions. This agreement is effective as of 2006. Therefore, included in the tax provision for the year ended December 31, 2009, are the amounts related to the years 2006 through 2009 totaling $3.6 million. This agreement on dividends is effective through 2010. On November 3, 2010, Wynn Macau, S.A. applied for an extension of this agreement for an additional five years through December 31, 2015. As of December 31, 2010, the request was still being processed by the Macau government.</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Effective January 1, 2007, the Company adopted the accounting standards related to accounting for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(amounts in thousands):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65"/>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Balance—beginning of year</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148,365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of the current year</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13,164</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27,496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(78,389)</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Lapses in statutes of limitations</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Balance—end of year</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148,365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2010 and 2009, the Company has recorded a liability related to uncertain tax positions of $35.9 million and $90.3 million, respectively. These amounts are included in Other Long Term Liabilities in the accompanying Consolidated Balance Sheets. As of December 31, 2010 and 2009, $48 million and $58 million, respectively, of liabilities related to U.S. and foreign uncertain tax positions that increase the NOL and foreign tax credit carryforward deferred tax assets are classified as reductions of the NOL and foreign tax credit carryforward deferred tax assets in the net deferred tax asset and liability table above. Other uncertain tax positions not increasing the NOL and foreign tax credit carryforward deferred tax assets have been recorded as increases in the liability for uncertain tax positions.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As of December 31, 2010 and 2009, $17.9 million and $16.6 million, respectively, of unrecognized tax benefit would, if recognized, impact the effective tax rate. If incurred, the Company would recognize penalties and interest related to unrecognized tax benefits in the provision for income taxes. During the years ended December 31, 2010 and 2009, the Company recognized no interest or penalties.</w:t>
      </w:r>
    </w:p>
    <w:p>
      <w:pPr>
        <w:spacing w:after="0" w:line="132" w:lineRule="exact"/>
        <w:rPr>
          <w:sz w:val="20"/>
          <w:szCs w:val="20"/>
          <w:color w:val="auto"/>
        </w:rPr>
      </w:pPr>
    </w:p>
    <w:p>
      <w:pPr>
        <w:ind w:right="120" w:firstLine="456"/>
        <w:spacing w:after="0" w:line="339" w:lineRule="auto"/>
        <w:rPr>
          <w:sz w:val="20"/>
          <w:szCs w:val="20"/>
          <w:color w:val="auto"/>
        </w:rPr>
      </w:pPr>
      <w:r>
        <w:rPr>
          <w:rFonts w:ascii="Times New Roman" w:cs="Times New Roman" w:eastAsia="Times New Roman" w:hAnsi="Times New Roman"/>
          <w:sz w:val="16"/>
          <w:szCs w:val="16"/>
          <w:color w:val="auto"/>
        </w:rPr>
        <w:t>The Company’s unrecognized tax benefits include certain income tax accounting methods. These accounting methods govern the timing and deductibility of income tax deductions. As a result, the Company’s unrecognized tax benefits could increase by a range of $0 to $8 million over the next 12 months.</w:t>
      </w:r>
    </w:p>
    <w:p>
      <w:pPr>
        <w:spacing w:after="0" w:line="74"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The Company files income tax returns in the U.S. federal jurisdiction, various states and foreign jurisdictions. The Company’s income tax returns are subject to examination by the IRS and other tax authorities in the locations where it operates. As of December 31, 2010, the Company has filed domestic income tax returns for the years 2002 to 2009 and foreign income tax returns for 2002 to 2009. The Company’s 2002 to 2009 domestic income tax returns remain subject to examination by the IRS and the Company’s 2006 to 2009 Macau income tax returns remain subject to examination by the Macau Finance Bureau.</w:t>
      </w:r>
    </w:p>
    <w:p>
      <w:pPr>
        <w:spacing w:after="0" w:line="103"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During 2010, the Company reached an agreement with the Appellate division of the IRS regarding issues raised during the examination of its 2004 and 2005 income tax returns. The issues for consideration by the Appellate division were temporary differences and related to the deduction of certain costs incurred during the development and construction of Wynn Las Vegas and the appropriate tax depreciation recovery periods applicable to certain assets. As a result of this settlement with the Appellate division, the Company reduced its unrecognized tax benefits by $78.4 million. This reduction in unrecognized tax benefits resulted in a decrease in the Company’s liability for uncertain tax positions of $55 million. The settlement of the 2004 and 2005 examination issues did not result in a cash tax payment but rather utilized $88.5 million and $2.5 million in foreign tax credit and general business credit carryforwards. The statute of limitations for the 2004 and 2005 U.S. income tax returns have been extended to September 30, 2011.</w:t>
      </w:r>
    </w:p>
    <w:p>
      <w:pPr>
        <w:spacing w:after="0" w:line="14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During 2010, the Company received the results of an IRS examination of its 2006 through and 2008 U.S. income tax returns and filed its appeal of the examination’s findings with the Appellate division of the IRS. In connection with that appeal, the Company agreed to extend the statute of limitations for its 2006 and 2007 tax returns to December 31, 2011. The Company believes that it will likely reach an agreement with the IRS with respect to the examination of its 2006, 2007 and 2008 U.S. income tax returns within the next 12 months. The issues under examination in these years are temporary differences and relate to the treatment of discounts extended to Las Vegas casino customers gambling on credit, the deduction of certain costs incurred during the development and construction of Encore at Wynn Las Vegas and the appropriate tax depreciation recovery periods applicable to certain assets. Upon the settlement of these issues, unrecognized tax benefits could decrease by $0 to $54 million. The resolution of the 2006, 2007 and 2008 examination is not expected to result in any significant cash payment but rather the utilization of a portion of the foreign tax credit carryforward.</w:t>
      </w:r>
    </w:p>
    <w:p>
      <w:pPr>
        <w:spacing w:after="0" w:line="138" w:lineRule="exact"/>
        <w:rPr>
          <w:sz w:val="20"/>
          <w:szCs w:val="20"/>
          <w:color w:val="auto"/>
        </w:rPr>
      </w:pPr>
    </w:p>
    <w:p>
      <w:pPr>
        <w:ind w:right="40" w:firstLine="456"/>
        <w:spacing w:after="0" w:line="301" w:lineRule="auto"/>
        <w:rPr>
          <w:sz w:val="20"/>
          <w:szCs w:val="20"/>
          <w:color w:val="auto"/>
        </w:rPr>
      </w:pPr>
      <w:r>
        <w:rPr>
          <w:rFonts w:ascii="Times New Roman" w:cs="Times New Roman" w:eastAsia="Times New Roman" w:hAnsi="Times New Roman"/>
          <w:sz w:val="16"/>
          <w:szCs w:val="16"/>
          <w:color w:val="auto"/>
        </w:rPr>
        <w:t>During 2010, the Macau Finance Bureau commenced an examination of the 2006 and 2007 Macau income tax returns filed by Wynn Macau S.A. The Company believes that the examination of the 2006 Macau tax return will likely conclude within the next 12 months; however, the Company is unable to provide a summary of the likely examination issues or the impact on unrecognized tax benefits. As of December 31, 2010, no significant issues have been brought to the Company’s attention and it believes that its liability for uncertain tax positions recorded by Wynn Macau S.A. is adequate with respect to these years.</w:t>
      </w:r>
    </w:p>
    <w:p>
      <w:pPr>
        <w:spacing w:after="0" w:line="103" w:lineRule="exact"/>
        <w:rPr>
          <w:sz w:val="20"/>
          <w:szCs w:val="20"/>
          <w:color w:val="auto"/>
        </w:rPr>
      </w:pPr>
    </w:p>
    <w:p>
      <w:pPr>
        <w:ind w:right="400" w:firstLine="456"/>
        <w:spacing w:after="0" w:line="275" w:lineRule="auto"/>
        <w:rPr>
          <w:sz w:val="20"/>
          <w:szCs w:val="20"/>
          <w:color w:val="auto"/>
        </w:rPr>
      </w:pPr>
      <w:r>
        <w:rPr>
          <w:rFonts w:ascii="Times New Roman" w:cs="Times New Roman" w:eastAsia="Times New Roman" w:hAnsi="Times New Roman"/>
          <w:sz w:val="18"/>
          <w:szCs w:val="18"/>
          <w:color w:val="auto"/>
        </w:rPr>
        <w:t>During the fourth quarter of 2010, the IRS commenced an examination of the Company’s 2009 U.S. income tax return. Since the examination is in its initial stages the Company is unable to determine if it will conclude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80"/>
          </w:cols>
          <w:pgMar w:left="240" w:top="455" w:right="2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within the next twelve months. The Company believes that its liability for uncertain tax positions related to the period covered by the examination is adequate. The resolution of the 2009 IRS examination is not expected to result in any significant cash payment, but rather the utilization of a portion of the 2009 foreign tax credit carryforward.</w:t>
      </w:r>
    </w:p>
    <w:p>
      <w:pPr>
        <w:spacing w:after="0" w:line="13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January 2011, the Company received notification that it had been accepted into the IRS Compliance Assurance Program (“CAP”) for the 2011 tax year. Under the CAP program the IRS agents and the taxpayer work together in a pre-filing environment to examine transactions and issues and thus complete the tax examination before the tax return is filed. Entrance into this program should enable the Company to reduce time spent on tax administration and enhance tax reserve and financial statement reporting integrity.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Wynn Macau</w:t>
      </w:r>
    </w:p>
    <w:p>
      <w:pPr>
        <w:spacing w:after="0" w:line="9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Land Concession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Wynn Macau, S.A. has entered into a land concession contract for the land on which Wynn Macau is located. Under the 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concession contract, Wynn Macau, S.A. leases a parcel of approximately 16 acres from the government for an initial term of 25 years, with a right to renew for additional periods with government approval. Wynn Macau, S.A. has made payments to the Macau government under the land concession contract totaling $42.7 million. Wynn Macau, S.A. also paid approximately $18.4 million to an unrelated third party for its relinquishment of rights to a portion of the land. In 2009, the Company and the Macau government agreed to modify this land concession as a result of the construction of Encore at Wynn Macau and the additional square footage that was added as a result of such construction. In November 2009, the Company made an additional one-time land premium payment of $14.2 million. During the term of the land concession contract, Wynn Macau, S.A. is required to make annual lease payments of up to $525,000.</w:t>
      </w:r>
    </w:p>
    <w:p>
      <w:pPr>
        <w:spacing w:after="0" w:line="135" w:lineRule="exact"/>
        <w:rPr>
          <w:sz w:val="20"/>
          <w:szCs w:val="20"/>
          <w:color w:val="auto"/>
        </w:rPr>
      </w:pPr>
    </w:p>
    <w:p>
      <w:pPr>
        <w:ind w:right="100" w:firstLine="456"/>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Cotai Land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August 1, 2008, subsidiaries of Wynn Resorts, Limited entered into an agreement with an unrelated third party to make a one-time payment in the amount of $50 million in consideration of the unrelated third party’s relinquishment of certain rights with respect to any future development on the 52 acres of land in the Cotai area of Macau. The payment will be made within 15 days after the Government of the Special Administrative Region of the People’s Republic of China publishes the Company’s rights to the land in the government’s official gazette. The Company has filed an application for the land with the government of Macau and is awaiting final approval.</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Aircraft Deposits</w:t>
      </w:r>
    </w:p>
    <w:p>
      <w:pPr>
        <w:spacing w:after="0" w:line="94" w:lineRule="exact"/>
        <w:rPr>
          <w:sz w:val="20"/>
          <w:szCs w:val="20"/>
          <w:color w:val="auto"/>
        </w:rPr>
      </w:pPr>
    </w:p>
    <w:p>
      <w:pPr>
        <w:ind w:right="220" w:firstLine="456"/>
        <w:spacing w:after="0" w:line="256" w:lineRule="auto"/>
        <w:rPr>
          <w:sz w:val="20"/>
          <w:szCs w:val="20"/>
          <w:color w:val="auto"/>
        </w:rPr>
      </w:pPr>
      <w:r>
        <w:rPr>
          <w:rFonts w:ascii="Times New Roman" w:cs="Times New Roman" w:eastAsia="Times New Roman" w:hAnsi="Times New Roman"/>
          <w:sz w:val="18"/>
          <w:szCs w:val="18"/>
          <w:color w:val="auto"/>
        </w:rPr>
        <w:t>The Company made deposits on three aircraft purchases totaling $19.4 million. The Company was scheduled to take delivery of those aircraft in 2009, 2012 and 2017 with additional payments to be made totaling $142.2 million. On February 19, 2009, the Company cancelled the agreements to purchase two of these aircraft. In connection with the cancellation the Company wrote-off $6.8 million of the deposits, net of amounts refunded. The delivery date for the third aircraft is scheduled for June 2012, and as of December 31, 2010, the Company has made deposits of $8 million toward the purchase of this aircraft, with additional payments to be made totaling $49.3 million.</w:t>
      </w:r>
    </w:p>
    <w:p>
      <w:pPr>
        <w:spacing w:after="0" w:line="2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Leases and other arrangements</w:t>
      </w:r>
    </w:p>
    <w:p>
      <w:pPr>
        <w:spacing w:after="0" w:line="94" w:lineRule="exact"/>
        <w:rPr>
          <w:sz w:val="20"/>
          <w:szCs w:val="20"/>
          <w:color w:val="auto"/>
        </w:rPr>
      </w:pPr>
    </w:p>
    <w:p>
      <w:pPr>
        <w:ind w:right="100" w:firstLine="456"/>
        <w:spacing w:after="0" w:line="339" w:lineRule="auto"/>
        <w:rPr>
          <w:sz w:val="20"/>
          <w:szCs w:val="20"/>
          <w:color w:val="auto"/>
        </w:rPr>
      </w:pPr>
      <w:r>
        <w:rPr>
          <w:rFonts w:ascii="Times New Roman" w:cs="Times New Roman" w:eastAsia="Times New Roman" w:hAnsi="Times New Roman"/>
          <w:sz w:val="16"/>
          <w:szCs w:val="16"/>
          <w:color w:val="auto"/>
        </w:rPr>
        <w:t>The Company is the lessor under several retail leases and has entered into license and distribution agreements for several additional retail outlets. The Company also is a party to joint venture agreements for the operation of one retail outlet and the Ferrari and Maserati automobile dealership at Wynn Las Vegas.</w:t>
      </w:r>
    </w:p>
    <w:p>
      <w:pPr>
        <w:spacing w:after="0" w:line="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80"/>
          </w:cols>
          <w:pgMar w:left="240" w:top="455" w:right="2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future minimum rentals to be received under the operating leases (amounts in thousands):</w:t>
      </w:r>
    </w:p>
    <w:p>
      <w:pPr>
        <w:spacing w:after="0" w:line="209"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5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5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5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5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34,857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80" w:firstLine="456"/>
        <w:spacing w:after="0" w:line="275" w:lineRule="auto"/>
        <w:rPr>
          <w:sz w:val="20"/>
          <w:szCs w:val="20"/>
          <w:color w:val="auto"/>
        </w:rPr>
      </w:pPr>
      <w:r>
        <w:rPr>
          <w:rFonts w:ascii="Times New Roman" w:cs="Times New Roman" w:eastAsia="Times New Roman" w:hAnsi="Times New Roman"/>
          <w:sz w:val="18"/>
          <w:szCs w:val="18"/>
          <w:color w:val="auto"/>
        </w:rPr>
        <w:t>In addition, the Company is the lessee under leases for office space in Las Vegas, Macau and certain other locations, warehouse facilities, the land underlying the Company’s aircraft hangar and certain office equipment.</w:t>
      </w:r>
    </w:p>
    <w:p>
      <w:pPr>
        <w:spacing w:after="0" w:line="120"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At December 31, 2010, the Company was obligated under non-cancelable operating leases to make future minimum lease payments as follows (amounts in thousands):</w:t>
      </w:r>
    </w:p>
    <w:p>
      <w:pPr>
        <w:spacing w:after="0" w:line="158" w:lineRule="exact"/>
        <w:rPr>
          <w:sz w:val="20"/>
          <w:szCs w:val="20"/>
          <w:color w:val="auto"/>
        </w:rPr>
      </w:pPr>
    </w:p>
    <w:tbl>
      <w:tblPr>
        <w:tblLayout w:type="fixed"/>
        <w:tblInd w:w="1840" w:type="dxa"/>
        <w:tblCellMar>
          <w:top w:w="0" w:type="dxa"/>
          <w:left w:w="0" w:type="dxa"/>
          <w:bottom w:w="0" w:type="dxa"/>
          <w:right w:w="0" w:type="dxa"/>
        </w:tblCellMar>
      </w:tblPr>
      <w:tr>
        <w:trPr>
          <w:trHeight w:val="165"/>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2011</w:t>
            </w:r>
          </w:p>
        </w:tc>
        <w:tc>
          <w:tcPr>
            <w:tcW w:w="5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2012</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2013</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11,295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Rent expense for the years ended December 31, 2010, 2009 and 2008, was $24.4 million, $17.2 million and $17.8 million, respectively.</w:t>
      </w:r>
    </w:p>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94"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Company’s domestic subsidiaries are covered under a self-insured medical plan up to a maximum of $300,000 per year for each insured person. Amounts in excess of these thresholds are covered by the Company’s insurance programs, subject to customary policy limits. The Company’s foreign subsidiaries are fully-insured.</w:t>
      </w: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94"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55" w:right="2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94" w:lineRule="exact"/>
        <w:rPr>
          <w:sz w:val="20"/>
          <w:szCs w:val="20"/>
          <w:color w:val="auto"/>
        </w:rPr>
      </w:pPr>
    </w:p>
    <w:p>
      <w:pPr>
        <w:ind w:right="200" w:firstLine="456"/>
        <w:spacing w:after="0" w:line="293" w:lineRule="auto"/>
        <w:rPr>
          <w:sz w:val="20"/>
          <w:szCs w:val="20"/>
          <w:color w:val="auto"/>
        </w:rPr>
      </w:pPr>
      <w:r>
        <w:rPr>
          <w:rFonts w:ascii="Times New Roman" w:cs="Times New Roman" w:eastAsia="Times New Roman" w:hAnsi="Times New Roman"/>
          <w:sz w:val="16"/>
          <w:szCs w:val="16"/>
          <w:color w:val="auto"/>
        </w:rPr>
        <w:t>On May 3, 2010, Atlantic-Pacific Capital, Inc. (“APC”) filed an arbitration demand with Judicial Arbitration and Mediation Services regarding an agreement with the Company. The action concerns a claim for compensation of approximately $32 million pursuant to an agreement entered into between APC and the Company on or about March 30, 2008 whereby APC was engaged to raise equity capital for an investment vehicle sponsored by the Company. APC is seeking compensation unrelated to the investment vehicle. The Company has denied APC’s claims for compensation. The Company filed a Complaint for Damages and Declaratory Relief against APC in the District Court, Clark County, Nevada, on May 10, 2010. APC removed the action to the United States District Court, District of Nevada. Management believes that APC’s claim against the Company is without merit and intends to defend this matter vigorously.</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Sales and Use Tax on Complimentary Meals</w:t>
      </w:r>
    </w:p>
    <w:p>
      <w:pPr>
        <w:spacing w:after="0" w:line="9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 xml:space="preserve">In March 2008, the Nevada Supreme Court ruled, in the matter captioned </w:t>
      </w:r>
      <w:r>
        <w:rPr>
          <w:rFonts w:ascii="Times New Roman" w:cs="Times New Roman" w:eastAsia="Times New Roman" w:hAnsi="Times New Roman"/>
          <w:sz w:val="18"/>
          <w:szCs w:val="18"/>
          <w:i w:val="1"/>
          <w:iCs w:val="1"/>
          <w:color w:val="auto"/>
        </w:rPr>
        <w:t>Sparks Nugget, Inc. vs. The State of Nevada Ex Rel. Department of Taxation</w:t>
      </w:r>
      <w:r>
        <w:rPr>
          <w:rFonts w:ascii="Times New Roman" w:cs="Times New Roman" w:eastAsia="Times New Roman" w:hAnsi="Times New Roman"/>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$5.4 million. Due to the uncertainty surrounding this matter, a receivable has not been recorded as of December 31, 2010.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92"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Company monitors its operations and evaluates earnings by reviewing the assets and operations of Wynn Las Vegas (including Encore at Wynn Las Vegas) and Wynn Macau (including Encore at Wynn Macau). The Company’s total assets and capital expenditures by segment consisted of the following (amounts in thousands):</w:t>
      </w:r>
    </w:p>
    <w:p>
      <w:pPr>
        <w:spacing w:after="0" w:line="171" w:lineRule="exact"/>
        <w:rPr>
          <w:sz w:val="20"/>
          <w:szCs w:val="20"/>
          <w:color w:val="auto"/>
        </w:rPr>
      </w:pPr>
    </w:p>
    <w:tbl>
      <w:tblPr>
        <w:tblLayout w:type="fixed"/>
        <w:tblInd w:w="920" w:type="dxa"/>
        <w:tblCellMar>
          <w:top w:w="0" w:type="dxa"/>
          <w:left w:w="0" w:type="dxa"/>
          <w:bottom w:w="0" w:type="dxa"/>
          <w:right w:w="0" w:type="dxa"/>
        </w:tblCellMar>
      </w:tblPr>
      <w:tr>
        <w:trPr>
          <w:trHeight w:val="165"/>
        </w:trPr>
        <w:tc>
          <w:tcPr>
            <w:tcW w:w="4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07"/>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Wynn Las Vegas (including Encore at Wynn Las Vegas)</w:t>
            </w:r>
          </w:p>
        </w:tc>
        <w:tc>
          <w:tcPr>
            <w:tcW w:w="3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$ 4,108,516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$ 4,254,324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Wynn Macau (including Encore at Wynn Macau)</w:t>
            </w:r>
          </w:p>
        </w:tc>
        <w:tc>
          <w:tcPr>
            <w:tcW w:w="3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and other assets</w:t>
            </w:r>
          </w:p>
        </w:tc>
        <w:tc>
          <w:tcPr>
            <w:tcW w:w="276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788,862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1,337,172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consolidated assets</w:t>
            </w:r>
          </w:p>
        </w:tc>
        <w:tc>
          <w:tcPr>
            <w:tcW w:w="3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$ 6,674,497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$ 7,581,769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5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3040" w:type="dxa"/>
            <w:vAlign w:val="bottom"/>
            <w:gridSpan w:val="2"/>
          </w:tcPr>
          <w:p>
            <w:pPr>
              <w:spacing w:after="0"/>
              <w:rPr>
                <w:sz w:val="12"/>
                <w:szCs w:val="12"/>
                <w:color w:val="auto"/>
              </w:rPr>
            </w:pPr>
          </w:p>
        </w:tc>
        <w:tc>
          <w:tcPr>
            <w:tcW w:w="56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9"/>
              </w:rPr>
              <w:t>Wynn Las Vegas (including Encore at Wynn Las Vegas)</w:t>
            </w:r>
          </w:p>
        </w:tc>
        <w:tc>
          <w:tcPr>
            <w:tcW w:w="3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$157,080</w:t>
            </w: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$ 245,040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Wynn Macau (including Encore at Wynn Macau)</w:t>
            </w:r>
          </w:p>
        </w:tc>
        <w:tc>
          <w:tcPr>
            <w:tcW w:w="3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Corporate and other</w:t>
            </w:r>
          </w:p>
        </w:tc>
        <w:tc>
          <w:tcPr>
            <w:tcW w:w="3040" w:type="dxa"/>
            <w:vAlign w:val="bottom"/>
            <w:gridSpan w:val="2"/>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 expenditures</w:t>
            </w:r>
          </w:p>
        </w:tc>
        <w:tc>
          <w:tcPr>
            <w:tcW w:w="3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283,828</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$ 540,929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760" w:type="dxa"/>
            <w:vAlign w:val="bottom"/>
            <w:vMerge w:val="restart"/>
          </w:tcPr>
          <w:p>
            <w:pPr>
              <w:jc w:val="right"/>
              <w:ind w:right="2272"/>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5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right="840" w:firstLine="456"/>
        <w:spacing w:after="0" w:line="275" w:lineRule="auto"/>
        <w:rPr>
          <w:sz w:val="20"/>
          <w:szCs w:val="20"/>
          <w:color w:val="auto"/>
        </w:rPr>
      </w:pPr>
      <w:r>
        <w:rPr>
          <w:rFonts w:ascii="Times New Roman" w:cs="Times New Roman" w:eastAsia="Times New Roman" w:hAnsi="Times New Roman"/>
          <w:sz w:val="18"/>
          <w:szCs w:val="18"/>
          <w:color w:val="auto"/>
        </w:rPr>
        <w:t>The Company’s results of operations by segment for the years ended December 31, 2010, 2009 and 2008 consisted of the following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4"/>
              </w:rPr>
              <w:t>Years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revenues(1)</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1,296,064</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1,229,573</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1,098,889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 including Encore for 2010</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2,888,634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1,816,038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1,888,435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net revenues</w:t>
            </w:r>
          </w:p>
        </w:tc>
        <w:tc>
          <w:tcPr>
            <w:tcW w:w="18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4,184,698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3,045,611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2,987,324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Property EBITDA(1, 2)</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Wynn Las Vegas, including Encore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270,299</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244,065</w:t>
            </w:r>
          </w:p>
        </w:tc>
        <w:tc>
          <w:tcPr>
            <w:tcW w:w="4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 including Encore for 2010</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502,087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adjusted property EBITDA</w:t>
            </w: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1,162,985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746,152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operating costs and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Pre-opening costs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405,558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410,547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other operating costs and expenses</w:t>
            </w:r>
          </w:p>
        </w:tc>
        <w:tc>
          <w:tcPr>
            <w:tcW w:w="1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537,733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625,252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234,963</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312,136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non-operating costs and expenses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(222,863)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(211,385)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Decrease in swap fair value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(loss) from extinguishment of debt/exchange offer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(67,990)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Equity in income from unconsolidated affiliates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Total other non-operating costs and expenses</w:t>
            </w:r>
          </w:p>
        </w:tc>
        <w:tc>
          <w:tcPr>
            <w:tcW w:w="1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(288,209)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(192,857)</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(163,218)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(20,447)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w:t>
            </w:r>
          </w:p>
        </w:tc>
        <w:tc>
          <w:tcPr>
            <w:tcW w:w="4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0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60" w:right="20" w:hanging="452"/>
        <w:spacing w:after="0" w:line="257"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Encore at Wynn Las Vegas opened December 22, 2008 and is included with Wynn Las Vegas as the two properties operate as one segment. Encore at Wynn Macau opened April 21, 2010 and is included with Wynn Macau as the two properties operate as one segment.</w:t>
      </w:r>
    </w:p>
    <w:p>
      <w:pPr>
        <w:spacing w:after="0" w:line="1" w:lineRule="exact"/>
        <w:rPr>
          <w:rFonts w:ascii="Times New Roman" w:cs="Times New Roman" w:eastAsia="Times New Roman" w:hAnsi="Times New Roman"/>
          <w:sz w:val="18"/>
          <w:szCs w:val="18"/>
          <w:color w:val="auto"/>
        </w:rPr>
      </w:pPr>
    </w:p>
    <w:p>
      <w:pPr>
        <w:ind w:left="460" w:right="40" w:hanging="452"/>
        <w:spacing w:after="0" w:line="252"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160" w:lineRule="exact"/>
        <w:rPr>
          <w:sz w:val="20"/>
          <w:szCs w:val="20"/>
          <w:color w:val="auto"/>
        </w:rPr>
      </w:pPr>
    </w:p>
    <w:p>
      <w:pPr>
        <w:ind w:left="460" w:right="100"/>
        <w:spacing w:after="0" w:line="253" w:lineRule="auto"/>
        <w:rPr>
          <w:sz w:val="20"/>
          <w:szCs w:val="20"/>
          <w:color w:val="auto"/>
        </w:rPr>
      </w:pPr>
      <w:r>
        <w:rPr>
          <w:rFonts w:ascii="Times New Roman" w:cs="Times New Roman" w:eastAsia="Times New Roman" w:hAnsi="Times New Roman"/>
          <w:sz w:val="18"/>
          <w:szCs w:val="18"/>
          <w:color w:val="auto"/>
        </w:rPr>
        <w:t>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which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Quarterly Financial Information (Unaudited)</w:t>
      </w:r>
    </w:p>
    <w:p>
      <w:pPr>
        <w:spacing w:after="0" w:line="92" w:lineRule="exact"/>
        <w:rPr>
          <w:sz w:val="20"/>
          <w:szCs w:val="20"/>
          <w:color w:val="auto"/>
        </w:rPr>
      </w:pPr>
    </w:p>
    <w:p>
      <w:pPr>
        <w:ind w:right="540" w:firstLine="456"/>
        <w:spacing w:after="0" w:line="310" w:lineRule="auto"/>
        <w:rPr>
          <w:sz w:val="20"/>
          <w:szCs w:val="20"/>
          <w:color w:val="auto"/>
        </w:rPr>
      </w:pPr>
      <w:r>
        <w:rPr>
          <w:rFonts w:ascii="Times New Roman" w:cs="Times New Roman" w:eastAsia="Times New Roman" w:hAnsi="Times New Roman"/>
          <w:sz w:val="16"/>
          <w:szCs w:val="16"/>
          <w:color w:val="auto"/>
        </w:rPr>
        <w:t>The following tables (amounts in thousands, except per share data) present selected quarterly financial information for 2010 and 2009, as previously reported. Because income (loss) per share amounts are calculated using the weighted average number of common and dilutive common equivalent shares outstanding during each quarter, the sum of the per share amounts for the four quarters may not equal the total income per share amounts for the year.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8"/>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 2010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Second</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Fourth</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908,918</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1,032,643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1,005,949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4"/>
              </w:rPr>
              <w:t>1,237,188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4,184,698</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114,848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230,309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625,252</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171,874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316,596</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Wynn Resorts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(33,508)</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114,242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160,127</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0.93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r>
      <w:tr>
        <w:trPr>
          <w:trHeight w:val="352"/>
        </w:trPr>
        <w:tc>
          <w:tcPr>
            <w:tcW w:w="4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8"/>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 2009</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First</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Second</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Third</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Fourth</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739,955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723,256</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773,071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809,329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3,045,611</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45,517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234,963</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(33,814)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39,107</w:t>
            </w:r>
          </w:p>
        </w:tc>
        <w:tc>
          <w:tcPr>
            <w:tcW w:w="10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Wynn Resorts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7"/>
              </w:rPr>
              <w:t>(33,814)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10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8"/>
                <w:szCs w:val="18"/>
                <w:color w:val="auto"/>
              </w:rPr>
            </w:pPr>
          </w:p>
        </w:tc>
      </w:tr>
      <w:tr>
        <w:trPr>
          <w:trHeight w:val="228"/>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r>
      <w:tr>
        <w:trPr>
          <w:trHeight w:val="566"/>
        </w:trPr>
        <w:tc>
          <w:tcPr>
            <w:tcW w:w="4440" w:type="dxa"/>
            <w:vAlign w:val="bottom"/>
          </w:tcPr>
          <w:p>
            <w:pPr>
              <w:spacing w:after="0"/>
              <w:rPr>
                <w:sz w:val="24"/>
                <w:szCs w:val="24"/>
                <w:color w:val="auto"/>
              </w:rPr>
            </w:pPr>
          </w:p>
        </w:tc>
        <w:tc>
          <w:tcPr>
            <w:tcW w:w="1920" w:type="dxa"/>
            <w:vAlign w:val="bottom"/>
            <w:gridSpan w:val="3"/>
          </w:tcPr>
          <w:p>
            <w:pPr>
              <w:jc w:val="right"/>
              <w:ind w:right="435"/>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0" w:lineRule="exact"/>
        <w:rPr>
          <w:sz w:val="20"/>
          <w:szCs w:val="20"/>
          <w:color w:val="auto"/>
        </w:rPr>
      </w:pPr>
    </w:p>
    <w:p>
      <w:pPr>
        <w:ind w:firstLine="464"/>
        <w:spacing w:after="0" w:line="253" w:lineRule="auto"/>
        <w:tabs>
          <w:tab w:leader="none" w:pos="6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 and Procedures</w:t>
      </w:r>
      <w:r>
        <w:rPr>
          <w:rFonts w:ascii="Times New Roman" w:cs="Times New Roman" w:eastAsia="Times New Roman" w:hAnsi="Times New Roman"/>
          <w:sz w:val="18"/>
          <w:szCs w:val="18"/>
          <w:color w:val="auto"/>
        </w:rPr>
        <w:t>. 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2010,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38" w:lineRule="exact"/>
        <w:rPr>
          <w:rFonts w:ascii="Times New Roman" w:cs="Times New Roman" w:eastAsia="Times New Roman" w:hAnsi="Times New Roman"/>
          <w:sz w:val="18"/>
          <w:szCs w:val="18"/>
          <w:color w:val="auto"/>
        </w:rPr>
      </w:pPr>
    </w:p>
    <w:p>
      <w:pPr>
        <w:ind w:right="460" w:firstLine="464"/>
        <w:spacing w:after="0" w:line="277" w:lineRule="auto"/>
        <w:tabs>
          <w:tab w:leader="none" w:pos="7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Management Report on Internal Control Over Financial Reporting. </w:t>
      </w:r>
      <w:r>
        <w:rPr>
          <w:rFonts w:ascii="Times New Roman" w:cs="Times New Roman" w:eastAsia="Times New Roman" w:hAnsi="Times New Roman"/>
          <w:sz w:val="18"/>
          <w:szCs w:val="18"/>
          <w:color w:val="auto"/>
        </w:rPr>
        <w:t>Management of the Company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internal control over financial reporting, as defined in Rule 13a-15(f) and 15d-15(f) under the Exchange Act.</w:t>
      </w:r>
    </w:p>
    <w:p>
      <w:pPr>
        <w:spacing w:after="0" w:line="118"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32" w:lineRule="exact"/>
        <w:rPr>
          <w:sz w:val="20"/>
          <w:szCs w:val="20"/>
          <w:color w:val="auto"/>
        </w:rPr>
      </w:pPr>
    </w:p>
    <w:p>
      <w:pPr>
        <w:jc w:val="both"/>
        <w:ind w:right="260" w:firstLine="456"/>
        <w:spacing w:after="0" w:line="262"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December 31, 2010. In making this assessment, management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Based on our assessment, management believes that, as of December 31, 2010, the Company’s internal control over financial reporting was effective.</w:t>
      </w:r>
    </w:p>
    <w:p>
      <w:pPr>
        <w:spacing w:after="0" w:line="171"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has issued an audit report on our internal control over financial reporting. This report appears under “Report of Independent Registered Public Accounting Firm on Internal Controls Over Financial Reporting” on page 66.</w:t>
      </w:r>
    </w:p>
    <w:p>
      <w:pPr>
        <w:spacing w:after="0" w:line="118" w:lineRule="exact"/>
        <w:rPr>
          <w:sz w:val="20"/>
          <w:szCs w:val="20"/>
          <w:color w:val="auto"/>
        </w:rPr>
      </w:pPr>
    </w:p>
    <w:p>
      <w:pPr>
        <w:ind w:right="40" w:firstLine="464"/>
        <w:spacing w:after="0" w:line="264"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r>
        <w:rPr>
          <w:rFonts w:ascii="Times New Roman" w:cs="Times New Roman" w:eastAsia="Times New Roman" w:hAnsi="Times New Roman"/>
          <w:sz w:val="18"/>
          <w:szCs w:val="18"/>
          <w:color w:val="auto"/>
        </w:rPr>
        <w:t>. There have not been any changes in the Company’s internal control over financial reporting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24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80"/>
          </w:cols>
          <w:pgMar w:left="240" w:top="455" w:right="2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92" w:lineRule="exact"/>
        <w:rPr>
          <w:sz w:val="20"/>
          <w:szCs w:val="20"/>
          <w:color w:val="auto"/>
        </w:rPr>
      </w:pPr>
    </w:p>
    <w:p>
      <w:pPr>
        <w:ind w:right="320" w:firstLine="45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Registrant’s definitive Proxy Statement for its Annual Stockholder Meeting to be held on May 17, 2011, to be filed with the Securities and Exchange Commission within 120 days after December 31, 2010 (the “2011 Proxy Statement”) under the captions “Directors and Executive Officers, “Further Information Concerning the Board of Directors-Corporate Governance,” and “Section 16(a) Beneficial Ownership Reporting Compliance,” and is incorporated herein by reference.</w:t>
      </w:r>
    </w:p>
    <w:p>
      <w:pPr>
        <w:spacing w:after="0" w:line="136"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As part of the Company’s commitment to integrity, the Board of Directors has adopted a Code of Business Conduct and Ethics applicable to all directors, officers and employees of the Company and its subsidiaries. This Code is periodically reviewed by the Board of Directors and was last updated on March 6, 2009.</w:t>
      </w:r>
    </w:p>
    <w:p>
      <w:pPr>
        <w:spacing w:after="0" w:line="7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 xml:space="preserve">In addition, the Company’s Chief Executive Officer, Chief Financial Officer and Treasurer, Chief Accounting Officer, Vice President of Accounting and Director of Financial Reporting, and individuals in equivalent positions at the Company’s subsidiaries, must comply with an additional Code of Ethics for the Chief Executive Officer, President and Senior Financial Officers. In the event we determine to amend or waive certain provisions of this code of ethics, we will disclose such amendments or waivers on our website at </w:t>
      </w:r>
      <w:r>
        <w:rPr>
          <w:rFonts w:ascii="Times New Roman" w:cs="Times New Roman" w:eastAsia="Times New Roman" w:hAnsi="Times New Roman"/>
          <w:sz w:val="18"/>
          <w:szCs w:val="18"/>
          <w:i w:val="1"/>
          <w:iCs w:val="1"/>
          <w:color w:val="auto"/>
        </w:rPr>
        <w:t>http://www.wynnresorts.com</w:t>
      </w:r>
      <w:r>
        <w:rPr>
          <w:rFonts w:ascii="Times New Roman" w:cs="Times New Roman" w:eastAsia="Times New Roman" w:hAnsi="Times New Roman"/>
          <w:sz w:val="18"/>
          <w:szCs w:val="18"/>
          <w:color w:val="auto"/>
        </w:rPr>
        <w:t xml:space="preserve"> under the heading “Corporate Governance” or as otherwise required by the NASDAQ listing standards.</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92"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2011 Proxy Statement under the caption “Directors and Executive Officer Compensation and Other Matters,” and is incorporated herein by reference.</w:t>
      </w:r>
    </w:p>
    <w:p>
      <w:pPr>
        <w:spacing w:after="0" w:line="239" w:lineRule="exact"/>
        <w:rPr>
          <w:sz w:val="20"/>
          <w:szCs w:val="20"/>
          <w:color w:val="auto"/>
        </w:rPr>
      </w:pPr>
    </w:p>
    <w:p>
      <w:pPr>
        <w:ind w:left="1040" w:right="740" w:hanging="1025"/>
        <w:spacing w:after="0" w:line="277" w:lineRule="auto"/>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92"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The following table summarizes compensation plans under which our equity securities are authorized for issuance, aggregated as to: (i) all compensation plans previously approved by stockholders, and (ii) all compensation plans not previously approved by stockholders. These plans are described in “Item 8. Financial Statements and Supplementary Data” of Part II (see Notes to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00" w:type="dxa"/>
            <w:vAlign w:val="bottom"/>
            <w:gridSpan w:val="2"/>
          </w:tcPr>
          <w:p>
            <w:pPr>
              <w:jc w:val="center"/>
              <w:ind w:left="1039"/>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to be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Issued Upon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of</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Exercise Price of</w:t>
            </w: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Options,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8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Warrants and</w:t>
            </w:r>
          </w:p>
        </w:tc>
        <w:tc>
          <w:tcPr>
            <w:tcW w:w="9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Options, Warrants</w:t>
            </w:r>
          </w:p>
        </w:tc>
        <w:tc>
          <w:tcPr>
            <w:tcW w:w="88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reflected</w:t>
            </w:r>
          </w:p>
        </w:tc>
        <w:tc>
          <w:tcPr>
            <w:tcW w:w="0" w:type="dxa"/>
            <w:vAlign w:val="bottom"/>
          </w:tcPr>
          <w:p>
            <w:pPr>
              <w:spacing w:after="0"/>
              <w:rPr>
                <w:sz w:val="1"/>
                <w:szCs w:val="1"/>
                <w:color w:val="auto"/>
              </w:rPr>
            </w:pPr>
          </w:p>
        </w:tc>
      </w:tr>
      <w:tr>
        <w:trPr>
          <w:trHeight w:val="165"/>
        </w:trPr>
        <w:tc>
          <w:tcPr>
            <w:tcW w:w="5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Rights (a)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5"/>
              </w:rPr>
              <w:t>and Rights (b)</w:t>
            </w:r>
          </w:p>
        </w:tc>
        <w:tc>
          <w:tcPr>
            <w:tcW w:w="88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column (a)) (c)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20" w:type="dxa"/>
            <w:vAlign w:val="bottom"/>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3,252,708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Certain information required by this item will be contained in the 2011 Proxy Statement under the caption “Security Ownership of Certain Beneficial Owners and Management,” and is incorporated herein by reference.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2011 Proxy Statement under the caption “Certain Relationships and Related Transactions, and “Further Information Concerning the Board of Directors-Corporate Governance,” and is incorporated herein by reference.</w:t>
      </w:r>
    </w:p>
    <w:p>
      <w:pPr>
        <w:spacing w:after="0" w:line="23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ACCOUNTANT FEES AND SERVICES</w:t>
      </w:r>
    </w:p>
    <w:p>
      <w:pPr>
        <w:spacing w:after="0" w:line="92"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2011 Proxy Statement under the caption “Ratification of Appointment of Independent Public Accountants,” and is incorporated herein by reference.</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380"/>
          </w:cols>
          <w:pgMar w:left="240" w:top="455" w:right="2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AND FINANCIAL STATEMENT SCHEDULES</w:t>
      </w:r>
    </w:p>
    <w:p>
      <w:pPr>
        <w:spacing w:after="0" w:line="92" w:lineRule="exact"/>
        <w:rPr>
          <w:sz w:val="20"/>
          <w:szCs w:val="20"/>
          <w:color w:val="auto"/>
        </w:rPr>
      </w:pPr>
    </w:p>
    <w:p>
      <w:pPr>
        <w:ind w:left="460" w:right="160" w:firstLine="438"/>
        <w:spacing w:after="0" w:line="275" w:lineRule="auto"/>
        <w:rPr>
          <w:sz w:val="20"/>
          <w:szCs w:val="20"/>
          <w:color w:val="auto"/>
        </w:rPr>
      </w:pPr>
      <w:r>
        <w:rPr>
          <w:rFonts w:ascii="Times New Roman" w:cs="Times New Roman" w:eastAsia="Times New Roman" w:hAnsi="Times New Roman"/>
          <w:sz w:val="18"/>
          <w:szCs w:val="18"/>
          <w:color w:val="auto"/>
        </w:rPr>
        <w:t>(a)1. The following consolidated financial statements of the Company are filed as part of this report under “Item. 8—Financial Statements and Supplementary Data.”</w:t>
      </w:r>
    </w:p>
    <w:p>
      <w:pPr>
        <w:spacing w:after="0" w:line="39" w:lineRule="exact"/>
        <w:rPr>
          <w:sz w:val="20"/>
          <w:szCs w:val="20"/>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2010 and 2009</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Income for the years ended December 31, 2010, 2009 and 2008</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Equity for the years ended December 31, 2010, 2009 and 2008</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the years ended December 31, 2010, 2009 and 2008</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17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(a)2. Financial Statement Schedules filed in Part IV of this report are listed below:</w:t>
      </w:r>
    </w:p>
    <w:p>
      <w:pPr>
        <w:spacing w:after="0" w:line="21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I—Condensed financial information of the registrant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II—Valuation and Qualifying Accounts</w:t>
      </w:r>
    </w:p>
    <w:p>
      <w:pPr>
        <w:spacing w:after="0" w:line="171"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1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60"/>
          </w:cols>
          <w:pgMar w:left="240" w:top="455" w:right="59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Schedule I—Condensed financial information of the registrant.</w:t>
      </w:r>
    </w:p>
    <w:p>
      <w:pPr>
        <w:spacing w:after="0" w:line="9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ind w:left="39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662,561</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Due from subsidiaries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1,729,393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3,091,550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2,501,917</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3,260,010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vMerge w:val="restart"/>
          </w:tcPr>
          <w:p>
            <w:pPr>
              <w:ind w:left="23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9,742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25,112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76,881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121,332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Preferred stock, par value $0.01; 40,000,000 shares authorized; zero shares issued and outstanding</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Common stock, par value $0.01; 400,000,000 shares authorized; 137,404,462 and 136,098,410 shares issued; and,</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124,599,508 and 123,293,456 shares outstanding</w:t>
            </w: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 at cost; 12,804,954 shares</w:t>
            </w: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5"/>
              </w:rPr>
              <w:t>(1,119,407)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(1,119,407)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3,346,050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4,239,497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Wynn Resorts, Limited 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2,237,948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2,380,585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3,160,363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2,501,917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Wynn Las Vegas management fees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19,459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18,434</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Wynn Macau royalty fees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114,904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73,423</w:t>
            </w:r>
          </w:p>
        </w:tc>
      </w:tr>
      <w:tr>
        <w:trPr>
          <w:trHeight w:val="230"/>
        </w:trPr>
        <w:tc>
          <w:tcPr>
            <w:tcW w:w="20" w:type="dxa"/>
            <w:vAlign w:val="bottom"/>
          </w:tcPr>
          <w:p>
            <w:pPr>
              <w:spacing w:after="0"/>
              <w:rPr>
                <w:sz w:val="20"/>
                <w:szCs w:val="20"/>
                <w:color w:val="auto"/>
              </w:rPr>
            </w:pPr>
          </w:p>
        </w:tc>
        <w:tc>
          <w:tcPr>
            <w:tcW w:w="6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Net revenues</w:t>
            </w:r>
          </w:p>
        </w:tc>
        <w:tc>
          <w:tcPr>
            <w:tcW w:w="18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89,971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31,468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14,126</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20"/>
                <w:szCs w:val="20"/>
                <w:color w:val="auto"/>
              </w:rPr>
            </w:pPr>
          </w:p>
        </w:tc>
        <w:tc>
          <w:tcPr>
            <w:tcW w:w="6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8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102,317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75,527</w:t>
            </w:r>
          </w:p>
        </w:tc>
      </w:tr>
      <w:tr>
        <w:trPr>
          <w:trHeight w:val="222"/>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9,437</w:t>
            </w: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(12,746)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(59,320)</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Increase (decrease) in swap fair value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(19,434)</w:t>
            </w: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Gain (loss) on early extinguishment of debt</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22,347</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of subsidiaries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263,684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(28,951)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123,779</w:t>
            </w: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w:t>
            </w:r>
          </w:p>
        </w:tc>
      </w:tr>
      <w:tr>
        <w:trPr>
          <w:trHeight w:val="27"/>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265,434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(12,789)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76,346</w:t>
            </w: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367,751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55,759</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151,873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(51,155)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(16,652)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58,606</w:t>
            </w: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316,596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210,479</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(156,469)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160,127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210,479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common share:</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20" w:type="dxa"/>
            <w:vAlign w:val="bottom"/>
          </w:tcPr>
          <w:p>
            <w:pPr>
              <w:spacing w:after="0"/>
              <w:rPr>
                <w:sz w:val="18"/>
                <w:szCs w:val="18"/>
                <w:color w:val="auto"/>
              </w:rPr>
            </w:pPr>
          </w:p>
        </w:tc>
        <w:tc>
          <w:tcPr>
            <w:tcW w:w="6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Basic</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122,787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119,840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108,408</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Diluted</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123,939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120,185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109,441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2009</w:t>
            </w:r>
          </w:p>
        </w:tc>
        <w:tc>
          <w:tcPr>
            <w:tcW w:w="7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316,596</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color w:val="auto"/>
              </w:rPr>
              <w:t>39,107</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210,479</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16,652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(58,606)</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color w:val="auto"/>
              </w:rPr>
              <w:t>10,937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 on early extinguishment of debt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(22,512)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(22,347)</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 of deferred financing costs and other</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3,836</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swap fair value</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(5,773)</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19,434</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received from subsidiary</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1,509,584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color w:val="auto"/>
              </w:rPr>
              <w:t>529,846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1,071,148</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(income) loss of subsidiaries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(263,684)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28,951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(123,779)</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from changes in: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Receivables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20" w:type="dxa"/>
            <w:vAlign w:val="bottom"/>
          </w:tcPr>
          <w:p>
            <w:pPr>
              <w:spacing w:after="0"/>
              <w:rPr>
                <w:sz w:val="18"/>
                <w:szCs w:val="18"/>
                <w:color w:val="auto"/>
              </w:rPr>
            </w:pPr>
          </w:p>
        </w:tc>
        <w:tc>
          <w:tcPr>
            <w:tcW w:w="7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(9,083)</w:t>
            </w:r>
          </w:p>
        </w:tc>
      </w:tr>
      <w:tr>
        <w:trPr>
          <w:trHeight w:val="223"/>
        </w:trPr>
        <w:tc>
          <w:tcPr>
            <w:tcW w:w="20" w:type="dxa"/>
            <w:vAlign w:val="bottom"/>
          </w:tcPr>
          <w:p>
            <w:pPr>
              <w:spacing w:after="0"/>
              <w:rPr>
                <w:sz w:val="19"/>
                <w:szCs w:val="19"/>
                <w:color w:val="auto"/>
              </w:rPr>
            </w:pPr>
          </w:p>
        </w:tc>
        <w:tc>
          <w:tcPr>
            <w:tcW w:w="7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Due from subsidiaries</w:t>
            </w:r>
          </w:p>
        </w:tc>
        <w:tc>
          <w:tcPr>
            <w:tcW w:w="100" w:type="dxa"/>
            <w:vAlign w:val="bottom"/>
          </w:tcPr>
          <w:p>
            <w:pPr>
              <w:spacing w:after="0"/>
              <w:rPr>
                <w:sz w:val="19"/>
                <w:szCs w:val="19"/>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(9,040)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(18,434)</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(52,912)</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1,607,570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579,910</w:t>
            </w:r>
          </w:p>
        </w:tc>
        <w:tc>
          <w:tcPr>
            <w:tcW w:w="7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1,045,390</w:t>
            </w:r>
          </w:p>
        </w:tc>
        <w:tc>
          <w:tcPr>
            <w:tcW w:w="100" w:type="dxa"/>
            <w:vAlign w:val="bottom"/>
            <w:shd w:val="clear" w:color="auto" w:fill="CCEEFF"/>
          </w:tcPr>
          <w:p>
            <w:pPr>
              <w:spacing w:after="0"/>
              <w:rPr>
                <w:sz w:val="18"/>
                <w:szCs w:val="18"/>
                <w:color w:val="auto"/>
              </w:rPr>
            </w:pPr>
          </w:p>
        </w:tc>
      </w:tr>
      <w:tr>
        <w:trPr>
          <w:trHeight w:val="22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Redemption of Wynn Las Vegas First Mortgage Notes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Due from subsidiaries</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(25,300)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(37,918)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(9,017)</w:t>
            </w: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(37,918)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(9,017)</w:t>
            </w:r>
          </w:p>
        </w:tc>
      </w:tr>
      <w:tr>
        <w:trPr>
          <w:trHeight w:val="222"/>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Principal payments on long term debt</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(364,688)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(596,094)</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of Wynn Las Vegas First Mortgage Notes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(50,048)</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payable to Wynn Las Vegas, LLC</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(80,000)</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Borrowings from Wynn Resorts International</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Repayments to Wynn Resorts International</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contribution to Wynn Las Vegas, LLC</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(412,951)</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209,760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344,250</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distributions</w:t>
            </w:r>
          </w:p>
        </w:tc>
        <w:tc>
          <w:tcPr>
            <w:tcW w:w="10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(1,051,543)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(489,876)</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66,186</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6,347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restricted for stock repurchases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500,068</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(940,130)</w:t>
            </w: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rate swap transactions</w:t>
            </w:r>
          </w:p>
        </w:tc>
        <w:tc>
          <w:tcPr>
            <w:tcW w:w="100" w:type="dxa"/>
            <w:vAlign w:val="bottom"/>
          </w:tcPr>
          <w:p>
            <w:pPr>
              <w:spacing w:after="0"/>
              <w:rPr>
                <w:sz w:val="18"/>
                <w:szCs w:val="18"/>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(9,561)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Payments for deferred financing costs and other</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(7,612)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(3,132)</w:t>
            </w:r>
          </w:p>
        </w:tc>
      </w:tr>
      <w:tr>
        <w:trPr>
          <w:trHeight w:val="230"/>
        </w:trPr>
        <w:tc>
          <w:tcPr>
            <w:tcW w:w="20" w:type="dxa"/>
            <w:vAlign w:val="bottom"/>
          </w:tcPr>
          <w:p>
            <w:pPr>
              <w:spacing w:after="0"/>
              <w:rPr>
                <w:sz w:val="20"/>
                <w:szCs w:val="20"/>
                <w:color w:val="auto"/>
              </w:rPr>
            </w:pPr>
          </w:p>
        </w:tc>
        <w:tc>
          <w:tcPr>
            <w:tcW w:w="734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(1,035,357</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(1,118,629</w:t>
            </w:r>
          </w:p>
        </w:tc>
        <w:tc>
          <w:tcPr>
            <w:tcW w:w="72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(776,356)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576,913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(576,637)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260,017</w:t>
            </w: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38"/>
              <w:spacing w:after="0"/>
              <w:rPr>
                <w:sz w:val="20"/>
                <w:szCs w:val="20"/>
                <w:color w:val="auto"/>
              </w:rPr>
            </w:pPr>
            <w:r>
              <w:rPr>
                <w:rFonts w:ascii="Times New Roman" w:cs="Times New Roman" w:eastAsia="Times New Roman" w:hAnsi="Times New Roman"/>
                <w:sz w:val="18"/>
                <w:szCs w:val="18"/>
                <w:color w:val="auto"/>
              </w:rPr>
              <w:t>662,285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402,268</w:t>
            </w:r>
          </w:p>
        </w:tc>
      </w:tr>
      <w:tr>
        <w:trPr>
          <w:trHeight w:val="223"/>
        </w:trPr>
        <w:tc>
          <w:tcPr>
            <w:tcW w:w="2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Balance,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662,561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85,648</w:t>
            </w:r>
          </w:p>
        </w:tc>
        <w:tc>
          <w:tcPr>
            <w:tcW w:w="7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662,285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9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accompanying condensed financial statements include only the accounts of Wynn Resorts, Limited (the “Company”). Investments in the Company’s subsidiaries are accounted for under the equity method.</w:t>
      </w:r>
    </w:p>
    <w:p>
      <w:pPr>
        <w:spacing w:after="0" w:line="120" w:lineRule="exact"/>
        <w:rPr>
          <w:sz w:val="20"/>
          <w:szCs w:val="20"/>
          <w:color w:val="auto"/>
        </w:rPr>
      </w:pPr>
    </w:p>
    <w:p>
      <w:pPr>
        <w:ind w:right="340" w:firstLine="456"/>
        <w:spacing w:after="0" w:line="262" w:lineRule="auto"/>
        <w:rPr>
          <w:sz w:val="20"/>
          <w:szCs w:val="20"/>
          <w:color w:val="auto"/>
        </w:rPr>
      </w:pPr>
      <w:r>
        <w:rPr>
          <w:rFonts w:ascii="Times New Roman" w:cs="Times New Roman" w:eastAsia="Times New Roman" w:hAnsi="Times New Roman"/>
          <w:sz w:val="18"/>
          <w:szCs w:val="18"/>
          <w:color w:val="auto"/>
        </w:rPr>
        <w:t>In October 2009, Wynn Macau, Limited, an indirect wholly-owned subsidiary of the Company and the developer, owner and operator of Wynn Macau, listed its ordinary shares of common stock on The Stock Exchange of Hong Kong Limited. Wynn Macau, Limited sold through an initial public offering, including the over allotment, 1,437,500,000 (27.7%) shares of this subsidiary’s common stock.</w:t>
      </w:r>
    </w:p>
    <w:p>
      <w:pPr>
        <w:spacing w:after="0" w:line="132"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have been condensed or omitted since this information is included in the Company’s consolidated financial statements included elsewhere in this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Commitments and Contingencies</w:t>
      </w:r>
    </w:p>
    <w:p>
      <w:pPr>
        <w:spacing w:after="0" w:line="92"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Company is a holding company and, as a result, its ability to pay dividends is dependent on its subsidiaries’ ability to provide funds to it. Restrictions imposed by Wynn Las Vegas, LLC’s (a wholly-owned indirect subsidiary of the Company) debt instruments significantly restrict certain of the Company’s key subsidiaries holding a majority of the consolidated group’s total assets, including Wynn Las Vegas, LLC, from making dividends or distributions to the Company, subject to certain exceptions for affiliated overhead expenses as defined in the agreements governing Wynn Las Vegas, LLC’s debt instruments, unless certain financial and non-financial criteria have been satisfied. In addition, the terms of the loan agreement of Wynn Resorts (Macau), S.A. noted below contains similar restrictions. The Company received a cash dividend of $1.51 billion from Wynn Group Asia in 2010. The Company received a cash dividend of $530 million from Wynn Group Asia in November 2009.</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Long-Term Debt</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$1 Billion Term Loan</w:t>
      </w:r>
    </w:p>
    <w:p>
      <w:pPr>
        <w:spacing w:after="0" w:line="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June 21, 2007, the Company entered into a $1 billion term loan (the “Wynn Resorts Term Loan”). Borrowings under the Wynn Resorts Term Loan were available in the form of a delayed-draw term loan facility available through December 31, 2007. As of December 31, 2007, the Company had borrowed $1 billion under the Wynn Resorts Term Loan. The Wynn Resorts Term Loan was available to fund (a) the Company’s equity repurchase program announced on June 7, 2007 and (b) up to $350 million for general corporate purposes.</w:t>
      </w:r>
    </w:p>
    <w:p>
      <w:pPr>
        <w:spacing w:after="0" w:line="13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August 1, 2008, the Company amended the Wynn Resorts Term Loan to allow Stephen A. Wynn, the Company’s Chairman and Chief Executive Officer, to purchase an interest in the debt. On August 1, 2008, Mr. Wynn advised the Company that he purchased $198,250,000 of the face amount of the outstanding debt under the Wynn Resorts Term Loan from a third party. On November 13, 2008, the Company further amended the Wynn Resorts Term Loan to purchase loans outstanding up to $650 million prior to March 31, 2009. On November 26, 2008, the Company purchased $625 million of loans under the Wynn Resorts Term Loan for $596.1 million, reflecting a discounted price of 95.375%. The loans purchased included the interests held by Mr. Wynn. In connection with this transaction, the Company recognized a $22.3 million gain on early retirement of debt, net of the write-off of unamortized debt issue costs and fees during 2008.</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80" w:firstLine="456"/>
        <w:spacing w:after="0" w:line="262" w:lineRule="auto"/>
        <w:rPr>
          <w:sz w:val="20"/>
          <w:szCs w:val="20"/>
          <w:color w:val="auto"/>
        </w:rPr>
      </w:pPr>
      <w:r>
        <w:rPr>
          <w:rFonts w:ascii="Times New Roman" w:cs="Times New Roman" w:eastAsia="Times New Roman" w:hAnsi="Times New Roman"/>
          <w:sz w:val="18"/>
          <w:szCs w:val="18"/>
          <w:color w:val="auto"/>
        </w:rPr>
        <w:t>In June 2009, the Company purchased and retired the remaining outstanding loans of $375 million under the Wynn Resorts Term Loan for $364.7 million, reflecting a discounted price of 97.25%. In connection with this transaction, the Company recognized an $8.8 million gain on early retirement of debt, net of the write-off of unamortized debt issue cost during 2009.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Equity Repurchase Program</w:t>
      </w:r>
    </w:p>
    <w:p>
      <w:pPr>
        <w:spacing w:after="0" w:line="9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 June 6, 2007, the Board of Directors of Wynn Resorts authorized an equity repurchase program of up to $1.2 billion. On July 10, 2008, the Board of Directors authorized an increase of $500 million to the previously announced equity repurchase program bringing the total authorized to $1.7 billion. The repurchase program may include repurchases from time to time through open market purchases or negotiated transactions, depending upon market conditions. No repurchases were made during the years ended December 31, 2010 or 2009. During the year ended December 31, 2008, the Company repurchased 10,915,633 shares for a net cost of $940.1 million. As of December 31, 2010, the Company had repurchased 12,804,954 shares of the Company’s common stock through open market purchases for a net cost of $1.1 billion, at an average cost of $87.42 per share.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Common Stock Secondary Offerings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20, 2009, the Company completed a secondary common stock offering of 11,040,000 shares with net proceeds of $202.3 million.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November 18, 2008, the Company completed a secondary common stock offering of 8,000,000 shares with net proceeds of $344.3 million.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Noncontrolling Interest</w:t>
      </w:r>
    </w:p>
    <w:p>
      <w:pPr>
        <w:spacing w:after="0" w:line="9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October 2009, Wynn Macau, Limited, an indirect wholly owned subsidiary of the Company and the developer, owner and operator of Wynn Macau, listed its ordinary shares of common stock on The Stock Exchange of Hong Kong Limited. Through an initial public offering, including the over allotment, Wynn Macau, Limited sold 1,437,500,000 (27.7%) shares of this subsidiary’s common stock. Net proceeds to the Company as a result of this transaction were approximately $1.8 billion. The shares of Wynn Macau, Limited were not and will not be registered under the Securities Act of 1933, as amended (the “Securities Act”), and may not be offered or sold in the United States absent a registration under the Securities Act, or an applicable exception from such registration requirements. In connection with this transaction, the Company recorded $107.4 million of noncontrolling interest as a separate component of equity in the accompanying Condensed Balance Sheets as of December 31, 2009. Net income attributable to noncontrolling interest was $156.5 million and $18.5 million for the years ended December 31, 2010 and 2009, respectively.</w:t>
      </w:r>
    </w:p>
    <w:p>
      <w:pPr>
        <w:spacing w:after="0" w:line="138" w:lineRule="exact"/>
        <w:rPr>
          <w:sz w:val="20"/>
          <w:szCs w:val="20"/>
          <w:color w:val="auto"/>
        </w:rPr>
      </w:pPr>
    </w:p>
    <w:p>
      <w:pPr>
        <w:ind w:right="280" w:firstLine="456"/>
        <w:spacing w:after="0" w:line="262" w:lineRule="auto"/>
        <w:rPr>
          <w:sz w:val="20"/>
          <w:szCs w:val="20"/>
          <w:color w:val="auto"/>
        </w:rPr>
      </w:pPr>
      <w:r>
        <w:rPr>
          <w:rFonts w:ascii="Times New Roman" w:cs="Times New Roman" w:eastAsia="Times New Roman" w:hAnsi="Times New Roman"/>
          <w:sz w:val="18"/>
          <w:szCs w:val="18"/>
          <w:color w:val="auto"/>
        </w:rPr>
        <w:t>On November 2, 2010, the Wynn Macau, Limited Board of Directors approved a HK$0.76 per share dividend. The total dividend amount was US $508 million and the Company’s share of this dividend was $367 million. A reduction of $140.7 million was made to noncontrolling interest in the accompanying Condensed Balance Sheets to reflect this dividend.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80"/>
          </w:cols>
          <w:pgMar w:left="240" w:top="455" w:right="2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6"/>
              </w:rPr>
              <w:t>Provisions</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89"/>
              </w:rPr>
              <w:t>for</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Write-offs,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Doubtful</w:t>
            </w: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2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80" w:type="dxa"/>
            <w:vAlign w:val="bottom"/>
            <w:gridSpan w:val="2"/>
          </w:tcPr>
          <w:p>
            <w:pPr>
              <w:jc w:val="center"/>
              <w:ind w:left="2941"/>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54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Accounts</w:t>
            </w: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Recoveries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2"/>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220" w:type="dxa"/>
            <w:vAlign w:val="bottom"/>
            <w:gridSpan w:val="3"/>
            <w:shd w:val="clear" w:color="auto" w:fill="CCEEFF"/>
          </w:tcPr>
          <w:p>
            <w:pPr>
              <w:jc w:val="center"/>
              <w:ind w:left="2381"/>
              <w:spacing w:after="0"/>
              <w:rPr>
                <w:sz w:val="20"/>
                <w:szCs w:val="20"/>
                <w:color w:val="auto"/>
              </w:rPr>
            </w:pPr>
            <w:r>
              <w:rPr>
                <w:rFonts w:ascii="Times New Roman" w:cs="Times New Roman" w:eastAsia="Times New Roman" w:hAnsi="Times New Roman"/>
                <w:sz w:val="18"/>
                <w:szCs w:val="18"/>
                <w:color w:val="auto"/>
              </w:rPr>
              <w:t>$102,081</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28,304</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(16,294)</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Provisions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89"/>
              </w:rPr>
              <w:t>for</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Write-offs,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Doubtful</w:t>
            </w: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2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80" w:type="dxa"/>
            <w:vAlign w:val="bottom"/>
            <w:gridSpan w:val="2"/>
          </w:tcPr>
          <w:p>
            <w:pPr>
              <w:jc w:val="center"/>
              <w:ind w:left="2941"/>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54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Accounts</w:t>
            </w: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Recoveries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220" w:type="dxa"/>
            <w:vAlign w:val="bottom"/>
            <w:gridSpan w:val="3"/>
            <w:shd w:val="clear" w:color="auto" w:fill="CCEEFF"/>
          </w:tcPr>
          <w:p>
            <w:pPr>
              <w:jc w:val="center"/>
              <w:ind w:left="2381"/>
              <w:spacing w:after="0"/>
              <w:rPr>
                <w:sz w:val="20"/>
                <w:szCs w:val="20"/>
                <w:color w:val="auto"/>
              </w:rPr>
            </w:pPr>
            <w:r>
              <w:rPr>
                <w:rFonts w:ascii="Times New Roman" w:cs="Times New Roman" w:eastAsia="Times New Roman" w:hAnsi="Times New Roman"/>
                <w:sz w:val="18"/>
                <w:szCs w:val="18"/>
                <w:color w:val="auto"/>
              </w:rPr>
              <w:t>$102,819</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13,707</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(14,445)</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6"/>
              </w:rPr>
              <w:t>Provisions</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89"/>
              </w:rPr>
              <w:t>for</w:t>
            </w: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Write-offs,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Doubtful</w:t>
            </w: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of</w:t>
            </w:r>
          </w:p>
        </w:tc>
        <w:tc>
          <w:tcPr>
            <w:tcW w:w="24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5"/>
        </w:trPr>
        <w:tc>
          <w:tcPr>
            <w:tcW w:w="3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80" w:type="dxa"/>
            <w:vAlign w:val="bottom"/>
            <w:gridSpan w:val="2"/>
          </w:tcPr>
          <w:p>
            <w:pPr>
              <w:jc w:val="center"/>
              <w:ind w:left="2941"/>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54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4"/>
              </w:rPr>
              <w:t>Accounts</w:t>
            </w: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Recoveries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2"/>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220" w:type="dxa"/>
            <w:vAlign w:val="bottom"/>
            <w:gridSpan w:val="3"/>
            <w:shd w:val="clear" w:color="auto" w:fill="CCEEFF"/>
          </w:tcPr>
          <w:p>
            <w:pPr>
              <w:jc w:val="center"/>
              <w:ind w:left="2381"/>
              <w:spacing w:after="0"/>
              <w:rPr>
                <w:sz w:val="20"/>
                <w:szCs w:val="20"/>
                <w:color w:val="auto"/>
              </w:rPr>
            </w:pPr>
            <w:r>
              <w:rPr>
                <w:rFonts w:ascii="Times New Roman" w:cs="Times New Roman" w:eastAsia="Times New Roman" w:hAnsi="Times New Roman"/>
                <w:sz w:val="18"/>
                <w:szCs w:val="18"/>
                <w:color w:val="auto"/>
              </w:rPr>
              <w:t>$ 66,146</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49,405</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(12,732)</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0" w:type="dxa"/>
            <w:vAlign w:val="bottom"/>
          </w:tcPr>
          <w:p>
            <w:pPr>
              <w:jc w:val="right"/>
              <w:ind w:right="1021"/>
              <w:spacing w:after="0"/>
              <w:rPr>
                <w:sz w:val="20"/>
                <w:szCs w:val="20"/>
                <w:color w:val="auto"/>
              </w:rPr>
            </w:pPr>
            <w:r>
              <w:rPr>
                <w:rFonts w:ascii="Times New Roman" w:cs="Times New Roman" w:eastAsia="Times New Roman" w:hAnsi="Times New Roman"/>
                <w:sz w:val="18"/>
                <w:szCs w:val="18"/>
                <w:color w:val="auto"/>
              </w:rPr>
              <w:t>114</w:t>
            </w: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w w:val="95"/>
              </w:rPr>
              <w:t>(a)3.</w:t>
            </w:r>
          </w:p>
        </w:tc>
        <w:tc>
          <w:tcPr>
            <w:tcW w:w="109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Exhibits</w:t>
            </w:r>
          </w:p>
        </w:tc>
      </w:tr>
      <w:tr>
        <w:trPr>
          <w:trHeight w:val="37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 and are incorporated herein by reference.</w:t>
            </w:r>
          </w:p>
        </w:tc>
      </w:tr>
      <w:tr>
        <w:trPr>
          <w:trHeight w:val="336"/>
        </w:trPr>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165"/>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820" w:type="dxa"/>
            <w:vAlign w:val="bottom"/>
          </w:tcPr>
          <w:p>
            <w:pPr>
              <w:spacing w:after="0"/>
              <w:rPr>
                <w:sz w:val="14"/>
                <w:szCs w:val="14"/>
                <w:color w:val="auto"/>
              </w:rPr>
            </w:pPr>
          </w:p>
        </w:tc>
      </w:tr>
      <w:tr>
        <w:trPr>
          <w:trHeight w:val="316"/>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Second Amended and Restated Articles of Incorporation of the Registrant. (1)</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Fourth Amended and Restated Bylaws of the Registrant, as amended. (31)</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Specimen certificate for shares of Common Stock, $0.01 par value per share of the Registrant. (1)</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6"/>
              </w:rPr>
              <w:t>Indenture, dated as of December 14, 2004, among Wynn Las Vegas, LLC, Wynn Las Vegas Capital Corp., the Guarantors set forth therein and U.S.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Bank National Association, as trustee. (4)</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First Supplemental Indenture, dated as of June 29, 2005, among Wynn Las Vegas, LLC, Wynn Las Vegas Capital Corp., the Guarantors set forth</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therein and U.S. Bank National Association, as trustee. (20)</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Indenture, dated as of October 19, 2009, among Wynn Las Vegas, LLC, Wynn Las Vegas Capital Corp., the Guarantors set forth therein and U.S.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Bank National Association, as trustee. (51)</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Indenture, dated as of April 28, 2010, by and among Wynn Las Vegas, LLC, Wynn Las Vegas Capital Corp., the Guarantors set forth therein and</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U.S. Bank National Association, as trustee. (55)</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6"/>
              </w:rPr>
              <w:t>Indenture, dated as of August 4, 2010, among Wynn Las Vegas, LLC, Wynn Las Vegas Capital Corp., the Guarantors named therein and U.S. Bank</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National Association, as trustee. (59)</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Third Supplemental Indenture, dated August 4, 2010, among Wynn Las Vegas, LLC, Wynn Las Vegas Capital Corp., the Guarantors name therein</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and U.S. Bank National Association, as trustee. (59)</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Completion Guaranty, dated December 14, 2004, by Wynn Completion Guarantor, LLC in favor of Deutsche Bank Trust Company Americas, as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the Bank Agent, and U.S. Bank National Association, as Indenture Trustee. (17)</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*10.2</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Employment Agreement, dated as of October 4, 2002, by and between Wynn Resorts, Limited and Stephen A. Wynn. (1)</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*10.3</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First Amendment to Employment Agreement, dated as of August 6, 2004, by and between Stephen A. Wynn and Wynn Resorts, Limited. (10)</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*10.4</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Second Amendment to employment agreement between Wynn Resorts, Limited and Stephen A. Wynn dated January 31, 2007. (35)</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*10.5</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Third Amendment to Employment Agreement, dated as of September 11, 2008, between Wynn Resorts, Limited and Stephen A. Wynn. (37)</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*10.6</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Fourth Amendment to Employment Agreement dated as of December 31, 2008, between Wynn Resorts, Limited and Stephen A. Wynn. (42)</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16, 2009, by and between Wynn Resorts, Limited and Stephen A. Wynn. (44)</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*10.8</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Employment Agreement, dated as of March 4, 2008, by and between Wynn Resorts, Limited and Marc D. Schorr. (27)</w:t>
            </w:r>
          </w:p>
        </w:tc>
      </w:tr>
      <w:tr>
        <w:trPr>
          <w:trHeight w:val="324"/>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*10.9</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First Amendment to Employment Agreement dated as of December 31, 2008, between Wynn Resorts, Limited and Marc D. Schorr. (42)</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115</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70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700" w:type="dxa"/>
            <w:vAlign w:val="bottom"/>
          </w:tcPr>
          <w:p>
            <w:pPr>
              <w:spacing w:after="0"/>
              <w:rPr>
                <w:sz w:val="14"/>
                <w:szCs w:val="14"/>
                <w:color w:val="auto"/>
              </w:rPr>
            </w:pPr>
          </w:p>
        </w:tc>
      </w:tr>
      <w:tr>
        <w:trPr>
          <w:trHeight w:val="316"/>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*10.10</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12, 2009, by and between Wynn Resorts, Limited and Marc D. Schorr. (44).</w:t>
            </w:r>
          </w:p>
        </w:tc>
      </w:tr>
      <w:tr>
        <w:trPr>
          <w:trHeight w:val="324"/>
        </w:trPr>
        <w:tc>
          <w:tcPr>
            <w:tcW w:w="5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w w:val="92"/>
              </w:rPr>
              <w:t>*10.11</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Employment Agreement, dated as of October 1, 2005, by and between Wynn Las Vegas, LLC and Matt Maddox. (42)</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*10.12</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First Amendment to Employment Agreement, dated as of May 5, 2008, by and between Wynn Resorts, Limited and Matt Maddox. (41)</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*10.13</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Second Amendment to Employment Agreement dated as of December 31, 2008, between Wynn Resorts, Limited and Matt Maddox. (42)</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*10.14</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13, 2009, by and between Wynn Resorts, Limited and Matt Maddox. (44)</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*10.15</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Fourth Amendment to Employment Agreement, dated as of March 5, 2009, by and between Wynn Resorts, Limited and Matt Maddox. (45)</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*10.16</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Fifth Amendment to Employment Agreement, dated as of February 2, 2010, by and between Wynn Resorts, Limited and Matt Maddox.(53)</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*10.17</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Employment Agreement, dated as of August 31, 2005, between Wynn Resorts, Limited and John Strzemp. (23)</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*10.18</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First Amendment to Employee Agreement, dated as of March 26, 2008, between Wynn Resorts, Limited and John Strzemp (39)</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*10.19</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Second Amendment to Employment Agreement dated as of December 31, 2008, between Wynn Resorts, Limited and John Strzemp. (42)</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*10.20</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12, 2009, by and between Wynn Resorts, Limited and John Strzemp. (44)</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*10.21</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Fourth Amendment to Employment Agreement, dated as of March 23, 2009, by and between Wynn Resorts, Limited and John Strzemp. (46)</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*10.22</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Employment Agreement dated October 27, 2006, by and between World Wide Wynn, LLC and Linda C. Chen. (29)</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*10.23</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First Amendment to Employment Agreement, dated as of December 31, 2008, by and between World Wide Wynn, LLC and Linda C. Chen. (42)</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*10.24</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16, 2009, by and between Worldwide Wynn and Linda E. Chen. (44)</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*10.25</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Employment agreement, dated May 12, 2010, by and between Worldwide Wynn, LLC and Linda C. Chen. (57)</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*10.26</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Employment Agreement, dated as of April 24, 2007, by and between Wynn Resorts, Limited and Kim Sinatra. (52)</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*10.27</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First Amendment to Employment Agreement, dated as of December 31, 2008 by and between Wynn Resorts, Limited and Kim Sinatra. (52)</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*10.28</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to Employment Agreement, dated as of February 12, 2009, by and between Wynn Resorts, Limited and Kim Sinatra. (52)</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*10.29</w:t>
            </w:r>
          </w:p>
        </w:tc>
        <w:tc>
          <w:tcPr>
            <w:tcW w:w="107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Second Amendment to Employment Agreement, dated as of November 30, 2009, by and between Wynn Resorts, Limited and Kim Sinatra. (52)</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116</w:t>
            </w:r>
          </w:p>
        </w:tc>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r>
    </w:tbl>
    <w:p>
      <w:pPr>
        <w:sectPr>
          <w:pgSz w:w="11900" w:h="16838" w:orient="portrait"/>
          <w:cols w:equalWidth="0" w:num="1">
            <w:col w:w="11340"/>
          </w:cols>
          <w:pgMar w:left="240" w:top="455" w:right="31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740" w:type="dxa"/>
            <w:vAlign w:val="bottom"/>
          </w:tcPr>
          <w:p>
            <w:pPr>
              <w:spacing w:after="0"/>
              <w:rPr>
                <w:sz w:val="14"/>
                <w:szCs w:val="14"/>
                <w:color w:val="auto"/>
              </w:rPr>
            </w:pPr>
          </w:p>
        </w:tc>
      </w:tr>
      <w:tr>
        <w:trPr>
          <w:trHeight w:val="303"/>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10.30</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Tax Indemnification Agreement, effective as of September 24, 2002, by and among Stephen A. Wynn, Aruze USA, Inc., Baron Asset Fun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behalf of the Baron Asset Fund Series, Baron Asset Fund on behalf of the Baron Growth Fund Series, Kenneth R. Wynn Family Trust dated</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February 20, 1985, Valvino Lamore, LLC and Wynn Resorts, Limited. (1)</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*10.31</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2002 Stock Incentive Plan. (2)</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*10.32</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2002 Stock Incentive Plan as Amended and Restated effective May 12, 2010.(58)</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*10.33</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Form of Stock Option Agreement pursuant to 2002 Stock Incentive Plan. (56)</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*10.34</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Form of Stock Option Grant Notice. (13)</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*10.35</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Form of Restricted Stock Agreement pursuant to 2002 Stock Incentive Plan. (56)</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*10.36</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Form of Indemnity Agreement. (13)</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10.37</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Stockholders Agreement, dated as of April 11, 2002, by and among Stephen A. Wynn, Baron Asset Fund and Aruze USA, Inc. (7)</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10.38</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to Stockholders Agreement as of November 8, 2006. (30)</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10.39</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Amended and Restated Stockholder Agreement, dated January 6, 2010, by and among Stephen A. Wynn, Elaine P. Wynn and Aruze USA, Inc.</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10.40</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Waiver and Consent, dated November 24, 2010, by and among Aruze USA, Inc., Stephen A. Wynn and Elaine P. Wynn. (60)</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10.41</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Waiver and Consent, dated December 15, 2010, by and among Aruze USA, Inc., Stephen A. Wynn and Elaine P. Wynn. (61)</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10.42</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Waiver and Consent, dated as of July 31, 2009, by and among Stephen A. Wynn, Baron Investment Funds Trust (formerly known as Baron Asset</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Fund) and Aruze USA, Inc. (49)</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10.43</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Waiver and Consent, dated as of August 13, 2009, by and between Stephen A. Wynn and Aruze USA, Inc. (50)</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10.44</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Amended and Restated Shareholders Agreement, dated as of September 16, 2004 by and among Wynn Resorts (Macau), Ltd., Wong Chi Seng</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and Wynn Resorts (Macau), S.A. (10)</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10.45</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Concession Contract for the Operation of Games of Chance or Other Games in Casinos in the Macau Special Administrative Region, dated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June 24, 2002, between the Macau Special Administrative Region and Wynn Resorts (Macau), S.A. (English translation of Portuguese version of</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Concession Agreement). (8)</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10.46</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Concession Contract for Operating Casino Gaming or Other Forms of Gaming in the Macao Special Administrative Region, dated June 24, 2002,</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between the Macau Special Administrative Region and Wynn Resorts (Macau) S.A. (English translation of Chinese version of Concession</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Agreement). (12)</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10.47</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Unofficial English translation of Land Concession Contract between the Macau Special Administrative Region and Wynn Resorts (Macau) S.A.</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10.48</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Agreement, dated as of June 13, 2002, by and between Stephen A. Wynn and Wynn Resorts, Limited. (8)</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10.49</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Surname Rights Agreement, dated as of August 6, 2004, by and between Stephen A. Wynn and Wynn Resorts Holdings, LLC. (10)</w:t>
            </w:r>
          </w:p>
        </w:tc>
      </w:tr>
      <w:tr>
        <w:trPr>
          <w:trHeight w:val="324"/>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10.50</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Rights of Publicity License, dated as of August 6, 2004, by and between Stephen A. Wynn and Wynn Resorts Holdings, LLC. (10)</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117</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0"/>
              </w:rPr>
              <w:t>Exhibit</w:t>
            </w:r>
          </w:p>
        </w:tc>
        <w:tc>
          <w:tcPr>
            <w:tcW w:w="5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2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820" w:type="dxa"/>
            <w:vAlign w:val="bottom"/>
          </w:tcPr>
          <w:p>
            <w:pPr>
              <w:spacing w:after="0"/>
              <w:rPr>
                <w:sz w:val="14"/>
                <w:szCs w:val="14"/>
                <w:color w:val="auto"/>
              </w:rPr>
            </w:pPr>
          </w:p>
        </w:tc>
      </w:tr>
      <w:tr>
        <w:trPr>
          <w:trHeight w:val="316"/>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10.51</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Termination Agreement, dated as of August 6, 2004, by and between Stephen A. Wynn and Valvino Lamore, LLC. (10)</w:t>
            </w:r>
          </w:p>
        </w:tc>
      </w:tr>
      <w:tr>
        <w:trPr>
          <w:trHeight w:val="32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10.52</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Trademark Assignment, dated as of August 6, 2004, by and between Stephen A. Wynn and Wynn Resorts Holdings, LLC. (10)</w:t>
            </w:r>
          </w:p>
        </w:tc>
      </w:tr>
      <w:tr>
        <w:trPr>
          <w:trHeight w:val="32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10.53</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October 30, 2002, by and between the Registrant and Stephen A. Wynn. (2)</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10.54</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Registration Rights Agreement, dated as of June 12, 2003, by and between Wynn Resorts, Limited and Societe des Bains de Mer et du Cercle des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Etrangers a Monaco. (5)</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10.55</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July 7, 2003, by and among Wynn Resorts, Limited, Wynn Resorts Funding, LLC, Deutsche Bank</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Securities Inc. and SG Cowen Securities Corporation. (3)</w:t>
            </w:r>
          </w:p>
        </w:tc>
      </w:tr>
      <w:tr>
        <w:trPr>
          <w:trHeight w:val="32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10.56</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August 28, 2004, by and between S.H.W. &amp; Co. Limited and Wynn Resorts, Limited. (6)</w:t>
            </w:r>
          </w:p>
        </w:tc>
      </w:tr>
      <w:tr>
        <w:trPr>
          <w:trHeight w:val="32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10.57</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September 1, 2004, by and between Classic Wave Limited and Wynn Resorts, Limited. (6)</w:t>
            </w:r>
          </w:p>
        </w:tc>
      </w:tr>
      <w:tr>
        <w:trPr>
          <w:trHeight w:val="32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10.58</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September 1, 2004, by and between L’Arc de Triomphe Limited and Wynn Resorts, Limited. (6)</w:t>
            </w:r>
          </w:p>
        </w:tc>
      </w:tr>
      <w:tr>
        <w:trPr>
          <w:trHeight w:val="32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10.59</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September 1, 2004, by and between SKKG Limited and Wynn Resorts, Limited. (6)</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10.60</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December 14, 2004, by and among Wynn Las Vegas, LLC, Wynn Las Vegas Capital Corp.,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Guarantor signatories thereto and Deutsche Bank Securities Inc., Banc of America Securities LLC, Bear, Stearns &amp; Co. Inc., J.P. Morgan Securities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Inc. and SG Americas Securities, LLC. (17)</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10.61</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November 6, 2007, by and among Wynn Las Vegas, LLC, Wynn Las Vegas Capital Corp., the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guarantors party thereto, Deutsche Bank Securities Inc. and Banc of America Securities LLC. (33)</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10.62</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Registration Rights Agreement, dated as of October 19, 2009, by and among Wynn Las Vegas, LLC, Wynn Las Vegas Capital Corp., the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Guarantors set forth therein, Deutsche Bank Securities Inc. and Banc of America Securities LLC. (51)</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10.63</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Registration Rights Agreement, dated as of April 28, 2010, by and among Wynn Las Vegas, LLC, Wynn Las Vegas Capital Corp., the Guarantors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set forth therein, Deutsche Bank Securities Inc., Banc of America Securities LLC and J.P. Morgan Securities Inc. (55)</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10.64</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Registration Rights Agreement, dated as of August 4, 2010, by and among Wynn Las Vegas, LLC, Wynn Las Vegas Capital Corp., the Guarantors,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Deutsche Bank Securities Inc., Banc of America Securities LLC, J.P. Morgan Securities Inc., Morgan Stanley &amp; Co. Incorporated, RBS Securities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Inc. and UBS Securities LLC.(59)</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10.65</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Pledge and Security Agreement, dated as of July 7, 2003, by and between Wynn Resorts, Limited, as pledgor, and U.S. Bank National Association,</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as trustee and collateral agent. (3)</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10.66</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Collateral Pledge and Security Agreement, dated as of July 7, 2003, by and between Wynn Resorts Funding, LLC, as the pledgor, and U.S. Bank</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National Association, as collateral agent and trustee. (3)</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10.67</w:t>
            </w: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Supplement No. 1, dated as of July 30, 2003, to the Collateral Pledge and Security Agreement dated as of July 7, 2003, by and between Wynn</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Resorts Funding, LLC, as pledgor and U.S. Bank National Association, as collateral agent and trustee. (3)</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118</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800" w:type="dxa"/>
            <w:vAlign w:val="bottom"/>
          </w:tcPr>
          <w:p>
            <w:pPr>
              <w:spacing w:after="0"/>
              <w:rPr>
                <w:sz w:val="14"/>
                <w:szCs w:val="14"/>
                <w:color w:val="auto"/>
              </w:rPr>
            </w:pPr>
          </w:p>
        </w:tc>
      </w:tr>
      <w:tr>
        <w:trPr>
          <w:trHeight w:val="303"/>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10.68</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6"/>
              </w:rPr>
              <w:t>Acknowledgement and Agreement, dated as of September 1, 2004, among Wynn Las Vegas, LLC, Wells Fargo Bank, National Association and the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lenders named therein. (15)</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10.69</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Common Terms Agreement, dated as of September 14, 2004, among Wynn Resorts (Macau), S.A., certain financial institutions as Hotel Facility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Lenders, Project Facility Lenders and Revolving Credit Facility Lenders, Deutsche Bank AG, Hong Kong Branch and Societe Generale Asia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Limited as Global Coordinating Lead Arrangers and Societe Generale Asia Limited as Hotel Facility Agent, Project Facility Agent, Intercreditor</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Agent and Security Agent. (10)</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10.70</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Common Terms Agreement Amendment Agreement, dated as of September 14, 2005, between Wynn Resorts (Macau), S.A. as the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Certain Financial Institutions as Hotel Facility Lenders, Project Facility Lenders, Revolving Credit Facility Lenders and Hedging Counterparties,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Bank of America Securities Asia Limited, Deutsche Bank AG, Hong Kong Branch and Societe Generale Asia Limited as Global Coordinating</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Lead Arrangers, Societe Generale Asia Limited as Hotel Facility Agent and Project Facility Agent, Societe Generale Asia Limited as Intercreditor</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Agent, and Societe Generale, Hong Kong Branch as Security Agent. (22)</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10.71</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Second Amendment Agreement to the Common Terms Agreement dated June 27, 2007 among Wynn Resorts (Macau), S.A., certain financial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institutions as Hotel Facility Lenders, Project Facility Lenders, and Revolving Credit Facility Lenders, Banc of America Securities Asia Limited,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Deutsche Bank A.G. Hong Kong Branch, and Societe Generale Asia Limited as Global Lead Arrangers and Societe Generale Asia Limited as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Hotel Facility Agent and Project Facility Agent and Societe Generale Hong Kong Branch as Intercreditor Agent. (31)</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10.72</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Common Terms Agreement Third Amendment Agreement dated September 8, 2009 between, among others, Wynn Resorts (Macau) S.A. as the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company and Société Générale, Hong King Branch as security agent. (52)</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10.73</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Hotel Facility Agreement, dated as of September 14, 2004, among Wynn Resorts (Macau), S.A., Societe Generale Asia Limited as Hotel Facility</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Agent and the several Hotel Facility Lenders named therein. (10)</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10.74</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Hotel Facility Agreement Amendment Agreement, dated as of September 14, 2005, between Wynn Resorts (Macau), S.A. as Company, Societe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Generale Asia Limited, as Hotel Facility Agent and Certain Financial Institutions as Hotel Facility Lenders. (22)</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10.75</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Second Amendment Agreement to the Hotel Facility Agreement dated June 27, 2007 among Wynn Resorts (Macau), S.A., Societe Generale Asia</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Limited as Hotel Facility Agent, and certain financial institutions as Hotel Facility Lenders. (31)</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10.76</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Project Facility Agreement, dated as of September 14, 2004, among Wynn Resorts (Macau), S.A., Societe Generale Asia Limited as Project</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Facility Agent and the several Project Facility Lenders named therein. (10)</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10.77</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Project Facility Agreement Amendment Agreement, dated as of September 14, 2005, between Wynn Resorts (Macau), S.A. as Company, Societe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Generale Asia Limited, as Project Facility Agent and Certain Financial Institutions as Project Facility Lenders. (22)</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10.78</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Second Amendment Agreement to the Project Facility Agreement dated June 27, 2007 among Wynn Resorts (Macau), S.A., Societe Generale Asia</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Limited as Project Facility Agent, and certain financial institutions as Project Facility Lenders. (31)</w:t>
            </w:r>
          </w:p>
        </w:tc>
      </w:tr>
      <w:tr>
        <w:trPr>
          <w:trHeight w:val="312"/>
        </w:trPr>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10.79</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Revolving Credit Facility Agreement, dated as of September 14, 2004, among Wynn Resorts (Macau), S.A. and the several Revolving Credit</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Facility Lenders named therein. (10)</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119</w:t>
            </w:r>
          </w:p>
        </w:tc>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0"/>
              </w:rPr>
              <w:t>Exhibit</w:t>
            </w:r>
          </w:p>
        </w:tc>
        <w:tc>
          <w:tcPr>
            <w:tcW w:w="5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0" w:type="dxa"/>
            <w:vAlign w:val="bottom"/>
          </w:tcPr>
          <w:p>
            <w:pPr>
              <w:spacing w:after="0"/>
              <w:rPr>
                <w:sz w:val="13"/>
                <w:szCs w:val="13"/>
                <w:color w:val="auto"/>
              </w:rPr>
            </w:pPr>
          </w:p>
        </w:tc>
      </w:tr>
      <w:tr>
        <w:trPr>
          <w:trHeight w:val="165"/>
        </w:trPr>
        <w:tc>
          <w:tcPr>
            <w:tcW w:w="20" w:type="dxa"/>
            <w:vAlign w:val="bottom"/>
          </w:tcPr>
          <w:p>
            <w:pPr>
              <w:spacing w:after="0"/>
              <w:rPr>
                <w:sz w:val="14"/>
                <w:szCs w:val="14"/>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800" w:type="dxa"/>
            <w:vAlign w:val="bottom"/>
          </w:tcPr>
          <w:p>
            <w:pPr>
              <w:spacing w:after="0"/>
              <w:rPr>
                <w:sz w:val="14"/>
                <w:szCs w:val="14"/>
                <w:color w:val="auto"/>
              </w:rPr>
            </w:pPr>
          </w:p>
        </w:tc>
      </w:tr>
      <w:tr>
        <w:trPr>
          <w:trHeight w:val="303"/>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10.80</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Revolving Credit Facility Agreement Amendment Agreement, dated as of September 14, 2005, between Wynn Resorts (Macau), S.A. as Company</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and Certain Financial Institutions as Revolving Credit Facility Lenders. (22)</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10.81</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Revolving Credit Facility Second Amendment Agreement dated June 27, 2007 among Wynn Resorts (Macau), S.A. and Societe Generale, Hong</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Kong Branch as Revolving Credit Facility Agent and certain financial institutions as revolving credit facility lenders. (31)</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10.82</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Deed of Appointment and Priority, dated as of September 14, 2004, among Wynn Resorts (Macau), S.A., certain financial institutions as Original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First Ranking Lenders, Banco Nacional Ultramarino, S.A. as Second Ranking Finance Party, Wynn Group Asia, Inc. as Third Ranking Finance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Party, Societe Generale -Hong Kong Branch as Security Agent, Societe Generale Asia Limited as Intercreditor Agent and Hotel Facility Agent and</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Project Facility Agent and others. (10)</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10.83</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Floating Charge (unofficial English Translation), dated September 14, 2004 between Wynn Resorts (Macau), S.A. and Societe Generale, Hong</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Kong Branch as the Security Agent. (10)</w:t>
            </w:r>
          </w:p>
        </w:tc>
      </w:tr>
      <w:tr>
        <w:trPr>
          <w:trHeight w:val="324"/>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10.84</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Debenture, dated September 14, 2004 between Wynn Resorts (Macau), S.A. and Societe Generale, Hong Kong Branch as the Security Agent. (10)</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10.85</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Wynn Resorts Support Agreement, dated September 14, 2004 between Wynn Resorts, Limited, Wynn Resorts (Macau), S.A. and Societe Generale,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Hong Kong Branch as the Security Agent. (10)</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10.86</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Wynn Pledgors’ Guarantee, dated September 14, 2004 between Wynn Group Asia, Inc., Wynn Resorts International, Ltd., Wynn Resorts (Macau)</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Holdings, Ltd. and Wynn Resorts (Macau), Ltd. as Guarantors; and Societe Generale, Hong Kong Branch as the Security Agent. (10)</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10.87</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Sponsors’ Subordination Deed, dated September 14, 2004 between Wynn Resorts (Macau), S.A., Wynn Group Asia, Inc., Wynn Resorts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International, Ltd., Wynn Resorts (Macau) Holdings, Ltd. and Wynn Resorts (Macau), Ltd. as the Wynn Companies and Societe Generale, Hong</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Kong Branch as the Security Agent. (10)</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10.88</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Bank Guarantee Reimbursement Agreement, dated September 14, 2004, between Wynn Resorts (Macau), S.A. and Banco Nacional Ultramarino.</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spacing w:after="0"/>
              <w:rPr>
                <w:sz w:val="19"/>
                <w:szCs w:val="19"/>
                <w:color w:val="auto"/>
              </w:rPr>
            </w:pPr>
          </w:p>
        </w:tc>
        <w:tc>
          <w:tcPr>
            <w:tcW w:w="4800" w:type="dxa"/>
            <w:vAlign w:val="bottom"/>
          </w:tcPr>
          <w:p>
            <w:pPr>
              <w:spacing w:after="0"/>
              <w:rPr>
                <w:sz w:val="19"/>
                <w:szCs w:val="19"/>
                <w:color w:val="auto"/>
              </w:rPr>
            </w:pP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10.89</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Wynn Resorts Support Agreement Deed of Amendment, dated as of September 14, 2005, between Wynn Resorts (Macau), S.A. and Societe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Generale, Hong Kong Branch as Security Agent. (22)</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10.90</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Deed of Appointment and Priority Deed of Amendment, dated as of September 14, 2005, between Wynn Resorts (Macau), S.A. as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Certain Financial Institutions as Original First Ranking Lenders, Certain Financial Institutions as Original Hedging Counterparties, Banco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Nacional Ultramarino, S.A. as Second Ranking Finance Party, Wynn Group Asia, Inc. as Third Ranking Finance Party, Societe Generale Asia</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Limited as Security Agent, Societe Generale Asia Limited as Intercreditor Agent , Societe Generale Asia Limited as Hotel Facility Agent and</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Project Facility Agent, and Others. (22)</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10.91</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Deed of Trust, Assignment of Rents and Leases, Security Agreement and Fixture Filing, dated as of December 14, 2004, made by Wynn Las</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Vegas, LLC, as trustor, to Nevada Title Company, as trustee, for the benefit of Deutsche Bank Trust Company Americas, as collateral agent. (17)</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10.92</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Deed of Trust, Assignment of Rents and Leases, Security Agreement and Fixture Filing, dated as of December 14, 2004, made by Wynn Sunrise,</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LLC, as trustor, to Nevada Title Company, as trustee, for the benefit of Deutsche Bank Trust Company Americas, as collateral agent. (17)</w:t>
            </w:r>
          </w:p>
        </w:tc>
      </w:tr>
      <w:tr>
        <w:trPr>
          <w:trHeight w:val="312"/>
        </w:trPr>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10.93</w:t>
            </w: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Deed of Trust, Assignment of Rents and Leases, Security Agreement and Fixture Filing, dated as of December 14, 2004, made by Wynn Golf,</w:t>
            </w: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2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LLC, as trustor, to Nevada Title Company, as trustee, for the benefit of Deutsche Bank Trust Company Americas, as collateral agent. (17)</w:t>
            </w: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120</w:t>
            </w:r>
          </w:p>
        </w:tc>
        <w:tc>
          <w:tcPr>
            <w:tcW w:w="70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760" w:type="dxa"/>
            <w:vAlign w:val="bottom"/>
            <w:gridSpan w:val="3"/>
          </w:tcPr>
          <w:p>
            <w:pPr>
              <w:spacing w:after="0"/>
              <w:rPr>
                <w:sz w:val="14"/>
                <w:szCs w:val="14"/>
                <w:color w:val="auto"/>
              </w:rPr>
            </w:pPr>
          </w:p>
        </w:tc>
      </w:tr>
      <w:tr>
        <w:trPr>
          <w:trHeight w:val="30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10.94</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Guarantee and Collateral Agreement, dated as of December 14, 2004, made by Wynn Resorts Holdings, LLC, Wynn Las Vegas, LLC, Wynn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7"/>
              </w:rPr>
              <w:t>Show Performers, LLC, Wynn Las Vegas Capital Corp., Wynn Golf, LLC, World Travel, LLC, Las Vegas Jet, LLC, Wynn Sunrise, LLC and the</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other Grantors from time to time party thereto in favor of Deutsche Bank Trust Company Americas, as administrative agent. (17)</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10.95</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9"/>
              </w:rPr>
              <w:t>Amended and Restated Master Disbursement Agreement, dated as of October 25, 2007, by and among Wynn Las Vegas, LLC, Deutsche Bank</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Trust Company Americas, as the initial Bank Agent, and Deutsche Bank Trust Company America, as the initial Disbursement Agent. (34)</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10.96</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First Amendment to Amended and Restated Master Disbursement Agreement, dated as of October 31, 2007, by and among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LLC, Deutsche Bank Trust Company Americas, as the initial Bank Agent, and Deutsche Bank Trust Company America, as the initial</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Disbursement Agent. (32)</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10.97</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7"/>
              </w:rPr>
              <w:t>Second Amendment to Amended and Restated Master Disbursement Agreement, dated as of November 6, 2007, by and among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9"/>
              </w:rPr>
              <w:t>LLC, Deutsche Bank Trust Company Americas, as the Bank Agent, and Deutsche Bank Trust Company Americas, as the Disbursement Agent.</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0" w:type="dxa"/>
            <w:vAlign w:val="bottom"/>
          </w:tcPr>
          <w:p>
            <w:pPr>
              <w:spacing w:after="0"/>
              <w:rPr>
                <w:sz w:val="19"/>
                <w:szCs w:val="19"/>
                <w:color w:val="auto"/>
              </w:rPr>
            </w:pP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10.98</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9"/>
              </w:rPr>
              <w:t>Third Amendment to Amended and Restated Master Disbursement Agreement, dated October 19, 2009, by and among Wynn Las Vegas, LLC,</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9"/>
              </w:rPr>
              <w:t>Deutsche Bank Trust Company Americas, as the Bank Agent, and Deutsche Bank Trust Company Americas, as the Disbursement Agent. (51)</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10.99</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Fourth Amendment to Amended and Restated Master Disbursement Agreement, dated April 28, 2010, by and among Wynn Las Vegas, LLC,</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Deutsche Bank Trust Company Americas, as the Bank Agent, and Deutsche Bank Trust Company Americas, as the Disbursement Agent.(55)</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10.100</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8"/>
              </w:rPr>
              <w:t>Intercreditor Agreement, dated as of December 14, 2004, among Deutsche Bank Trust Company Americas, as bank agent, Deutsche Bank Trust</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Company Americas, as collateral agent, and U.S. Bank National Association, as trustee. (4)</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10.101</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9"/>
              </w:rPr>
              <w:t>Pledge and Security Agreement, dated as of December 14, 2004, made by Wynn Resorts Holdings, LLC, Wynn Las Vegas, LLC, Wynn Show</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7"/>
              </w:rPr>
              <w:t>Performers, LLC, Wynn Las Vegas Capital Corp., Wynn Golf, LLC, World Travel, LLC, Las Vegas Jet, LLC, Wynn Sunrise, LLC and the other</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Grantors from time to time party thereto in favor of Deutsche Bank Trust Company Americas, as administrative agent. (17)</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10.102</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Management Fees Subordination Agreement, dated as of December 14, 2004, by Wynn Resorts, Limited, Wynn Las Vegas, LLC, Wynn Las</w:t>
            </w: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20" w:type="dxa"/>
            <w:vAlign w:val="bottom"/>
            <w:gridSpan w:val="5"/>
          </w:tcPr>
          <w:p>
            <w:pPr>
              <w:ind w:left="580"/>
              <w:spacing w:after="0" w:line="190" w:lineRule="exact"/>
              <w:rPr>
                <w:sz w:val="20"/>
                <w:szCs w:val="20"/>
                <w:color w:val="auto"/>
              </w:rPr>
            </w:pPr>
            <w:r>
              <w:rPr>
                <w:rFonts w:ascii="Times New Roman" w:cs="Times New Roman" w:eastAsia="Times New Roman" w:hAnsi="Times New Roman"/>
                <w:sz w:val="18"/>
                <w:szCs w:val="18"/>
                <w:color w:val="auto"/>
              </w:rPr>
              <w:t>Vegas Capital Corp., and those subsidiaries of Wynn Las Vegas, LLC listed on Exhibit A hereto in favor of Deutsche Bank Trust Company</w:t>
            </w: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14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5"/>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Americas, as administrative agent, and U.S. Bank National Association, as trustee. (17)</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10.103</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7"/>
              </w:rPr>
              <w:t>Management Agreement, made as of December 14, 2004, by and among Wynn Las Vegas, LLC, Wynn Show Performers, LLC, Wynn Las Vegas</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Capital Corp., Wynn Golf, LLC, World Travel, LLC, Las Vegas Jet, LLC, Wynn Sunrise, LLC, and Wynn Resorts, Limited. (17)</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10.104</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8"/>
              </w:rPr>
              <w:t>Irrevocable Trust Agreement, dated as of December 14, 2004, by and among Wynn Las Vegas, LLC, Wynn Las Vegas Capital Corp., and Wells</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Fargo Bank, National Association, as Trustee. (17)</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10.105</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w w:val="96"/>
              </w:rPr>
              <w:t>Amended and Restated Project Administration Services Agreement, dated December 14, 2004, between Wynn Las Vegas, LLC and Wynn Design</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&amp; Development, LLC. (17)</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10.106</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Intellectual Property License Agreement, dated as of December 14, 2004, by and among Wynn Resorts Holdings, Wynn Resorts, Limited and</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Wynn Las Vegas, LLC. (17)</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10.107</w:t>
            </w:r>
          </w:p>
        </w:tc>
        <w:tc>
          <w:tcPr>
            <w:tcW w:w="1082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Agreement of Lease, dated January 10, 2005, by and between Stephen A. Wynn and Wynn Las Vegas, LLC. (18)</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121</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74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740" w:type="dxa"/>
            <w:vAlign w:val="bottom"/>
          </w:tcPr>
          <w:p>
            <w:pPr>
              <w:spacing w:after="0"/>
              <w:rPr>
                <w:sz w:val="14"/>
                <w:szCs w:val="14"/>
                <w:color w:val="auto"/>
              </w:rPr>
            </w:pPr>
          </w:p>
        </w:tc>
      </w:tr>
      <w:tr>
        <w:trPr>
          <w:trHeight w:val="316"/>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10.108</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No. 1 to Agreement of Lease, dated April 21, 2005, by and between Stephen A. Wynn and Wynn Las Vegas, LLC. (18)</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10.109</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Second Amendment to Agreement of Lease, made as of June 10, 2008, by and between Wynn Las Vegas, LLC and Stephen A. Wynn. (40)</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10.110</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Third Amendment to Agreement to Lease made as of March 18, 2009, by and between Wynn Las Vegas, LLC and Stephen A. Wynn. (44)</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10.111</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Agreement of Lease, dated as of March 17, 2010, by and between Wynn Las Vegas, LLC and Elaine P. Wynn.(54)</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10.112</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Amended and Restated Agreement of Lease made as of March 18, 2010, by and between Wynn Las Vegas and Stephen A. Wynn.(54)</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10.113</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Agreement of Termination, dated June 30, 2005, by and between Stephen A. Wynn and Wynn Las Vegas, LLC. (19)</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10.114</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Fifth Amended and Restated Art Rental and Licensing Agreement, dated as of July 1, 2007, between Stephen A. Wynn, as lessor, Wynn Gallery,</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LLC, as lessee. (62)</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10.115</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Aircraft Time Sharing Agreement dated as of November 25, 2002, by and between Las Vegas Jet, LLC and Stephen A. Wynn. (52)</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10.116</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Amendment No. 1 to Aircraft Time Sharing Agreement, entered into as of January 1, 2004, by and between Las Vegas Jet, LLC and Stephen A.</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Wynn. (52)</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10.117</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Amendment No. 2 to Aircraft Time Sharing Agreement, entered into as of October 31, 2009, by and between Las Vegas Jet, LLC and Stephen A.</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Wynn. (52)</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10.118</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Aircraft Time Sharing Agreement dated as of November 26, 2002, by and between Las Vegas Jet, LLC and Marc Schorr. (52)</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10.119</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6"/>
              </w:rPr>
              <w:t>Amendment No. 1 to Aircraft Time Sharing Agreement, entered into as of January 1, 2004, by and between Las Vegas Jet, LLC and Marc Schorr.</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(52)</w:t>
            </w:r>
          </w:p>
        </w:tc>
        <w:tc>
          <w:tcPr>
            <w:tcW w:w="700" w:type="dxa"/>
            <w:vAlign w:val="bottom"/>
          </w:tcPr>
          <w:p>
            <w:pPr>
              <w:spacing w:after="0"/>
              <w:rPr>
                <w:sz w:val="19"/>
                <w:szCs w:val="19"/>
                <w:color w:val="auto"/>
              </w:rPr>
            </w:pPr>
          </w:p>
        </w:tc>
        <w:tc>
          <w:tcPr>
            <w:tcW w:w="4740" w:type="dxa"/>
            <w:vAlign w:val="bottom"/>
          </w:tcPr>
          <w:p>
            <w:pPr>
              <w:spacing w:after="0"/>
              <w:rPr>
                <w:sz w:val="19"/>
                <w:szCs w:val="19"/>
                <w:color w:val="auto"/>
              </w:rPr>
            </w:pP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10.120</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Amendment No. 2 to Aircraft Time Sharing Agreement, entered into as of October 31, 2009, by and between Las Vegas Jet, LLC and Marc</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Schorr. (52)</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10.121</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Commitment to Pay Project Costs, dated as of March 31, 2006, by and between Wynn Resorts, Limited in favor of Deutsche Bank Trust</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Company Americas, as administrative agent, and US Bank National Association, as Trustee. (25)</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10.122</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Amended and Restated Credit Agreement, dated as of August 15, 2006 among Wynn Las Vegas, LLC, as the Borrower, several lenders and</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agents, and Deutsche Bank Trust Company Americas, as Administrative Agent. (28)</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10.123</w:t>
            </w: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First Amendment to Amended and Restated Credit Agreement dated April 9,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Corp., Wynn Show Performers, LLC, Wynn Golf, LLC, Wynn Sunrise, LLC, World Travel, LLC, Kevyn, LLC, Las Vegas Jet, LLC,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Deutsche Bank Trust Company Americas, as Administrative Agent on behalf of the several banks and other financial institutions or entities from</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time to time party to Wynn Las Vegas LLC’s Amended and Restated Credit Agreement, dated as of August 15, 2006. (31)</w:t>
            </w: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122</w:t>
            </w: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bl>
    <w:p>
      <w:pPr>
        <w:sectPr>
          <w:pgSz w:w="11900" w:h="16838" w:orient="portrait"/>
          <w:cols w:equalWidth="0" w:num="1">
            <w:col w:w="11380"/>
          </w:cols>
          <w:pgMar w:left="240" w:top="455" w:right="2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78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780" w:type="dxa"/>
            <w:vAlign w:val="bottom"/>
          </w:tcPr>
          <w:p>
            <w:pPr>
              <w:spacing w:after="0"/>
              <w:rPr>
                <w:sz w:val="14"/>
                <w:szCs w:val="14"/>
                <w:color w:val="auto"/>
              </w:rPr>
            </w:pPr>
          </w:p>
        </w:tc>
      </w:tr>
      <w:tr>
        <w:trPr>
          <w:trHeight w:val="303"/>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10.124</w:t>
            </w: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6"/>
              </w:rPr>
              <w:t>Second Amendment to Amended and Restated Credit Agreement dated October 31, 2007 among Wynn Las Vegas, LLC, Wynn Las Vegas Capital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Corp., Wynn Show Performers, LLC, Wynn Golf, LLC, Wynn Sunrise, LLC, World Travel, LLC, Kevyn, LLC, Las Vegas Jet, LLC, Wynn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Resorts Holdings, LLC, Wynn Completion Guarantors, LLC and Deutsche Bank Trust Company Americas, as Administrative Agent on behalf of</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the several banks and other financial institutions or entities from time to time party to Wynn Las Vegas LLC’s Amended and Restated Credit</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Agreement, dated as of August 15, 2006. (32)</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10.125</w:t>
            </w: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Third Amendment to Amended and Restated Credit Agreement dated as of September 17, 2008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Wynn Resorts Holdings, LLC, Wynn Completion Guarantor,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behalf of the several banks and other financial institutions or entities from time to time party to Wynn Las Vegas, LLC’s Amended and Restated</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Credit Agreement, dated as of August 15, 2006. (38)</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10.126</w:t>
            </w: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Fourth Amendment to Amended and Restated Credit Agreement, dated as of April 17, 2009, among Wynn Las Vegas, LLC and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Wynn Resorts Holdings, LLC, Wynn Completion Guarantors,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behalf of the several banks and other financial institutions or entities from time to time party to Wynn Las Vegas LLC’s Amended and Restated</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Credit Agreement, dated as of August 15, 2006. (47)</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10.127</w:t>
            </w: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Fifth Amendment to Amended and Restated Credit Agreement, dated as of September 10, 2009, among Wynn Las Vegas, LLC and Wynn Las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Vegas Capital Corp., Wynn Show Performers, LLC, Wynn Golf, LLC, Wynn Sunrise, LLC, World Travel, LLC, Kevyn, LLC, Las Vegas Jet,</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LLC, Wynn Resorts Holdings, LLC, Wynn Completion Guarantors, LLC and Deutsche Bank Trust Company Americas, as Administrative Agent</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on behalf of the several banks and other financial institutions or entities from time to time party to Wynn Las Vegas LLC’s Amended and</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Restated Credit Agreement, dated as of August 15, 2006. (48)</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10.128</w:t>
            </w: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Sixth Amendment to Amended and Restated Credit Agreement dated as of April 28, 2010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Capital Corp., Wynn Show Performers, LLC, Wynn Golf, LLC, Wynn Sunrise, LLC, World Travel, LLC, Kevyn, LLC, Las Vegas Jet, LLC,</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Wynn Resorts Holdings, LLC, Wynn Completion Guarantor, LLC and Deutsche Bank Trust Company Americas, as Administrative Agent.(55)</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10.129</w:t>
            </w: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Seventh Amendment to Amended and Restated Credit Agreement dated as of August 4, 2010 among Wynn Las Vegas, LLC, Wynn Las Vegas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Capital Corp., Wynn Show Performers, LLC, Wynn Golf, LLC, Wynn Sunrise, LLC, World Travel, LLC, Kevyn, LLC, Las Vegas Jet, LLC,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Wynn Resorts Holdings, LLC, Wynn Completion Guarantor, LLC and Deutsche Bank Trust Company Americas, as Administrative Agent 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behalf of the several banks and other financial institutions or entities from time to time party to Wynn Las Vegas, LLC’s Amended and Restated</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Credit Agreement, dated as of August 15, 2006. (59)</w:t>
            </w: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10.130</w:t>
            </w: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Credit Agreement dated June 21, 2007 among Wynn Resorts, Limited and Deutsche Bank Securities, Inc and Bank of America Securities LLC.</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12"/>
        </w:trPr>
        <w:tc>
          <w:tcPr>
            <w:tcW w:w="58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96"/>
              </w:rPr>
              <w:t>10.131</w:t>
            </w: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First Amendment to Credit Agreement, dated as of August 1, 2008, among Wynn Resorts, Limited and Deutsche Bank Trust Company Americas,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as Administrative Agent on behalf of the several banks and other financial institutions or entities from time to time party to the Credit Agreement.</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(36)</w:t>
            </w:r>
          </w:p>
        </w:tc>
        <w:tc>
          <w:tcPr>
            <w:tcW w:w="70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65"/>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60" w:type="dxa"/>
            <w:vAlign w:val="bottom"/>
          </w:tcPr>
          <w:p>
            <w:pPr>
              <w:ind w:left="5000"/>
              <w:spacing w:after="0"/>
              <w:rPr>
                <w:sz w:val="20"/>
                <w:szCs w:val="20"/>
                <w:color w:val="auto"/>
              </w:rPr>
            </w:pPr>
            <w:r>
              <w:rPr>
                <w:rFonts w:ascii="Times New Roman" w:cs="Times New Roman" w:eastAsia="Times New Roman" w:hAnsi="Times New Roman"/>
                <w:sz w:val="18"/>
                <w:szCs w:val="18"/>
                <w:color w:val="auto"/>
              </w:rPr>
              <w:t>123</w:t>
            </w:r>
          </w:p>
        </w:tc>
        <w:tc>
          <w:tcPr>
            <w:tcW w:w="70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8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53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4680" w:type="dxa"/>
            <w:vAlign w:val="bottom"/>
          </w:tcPr>
          <w:p>
            <w:pPr>
              <w:spacing w:after="0"/>
              <w:rPr>
                <w:sz w:val="14"/>
                <w:szCs w:val="14"/>
                <w:color w:val="auto"/>
              </w:rPr>
            </w:pPr>
          </w:p>
        </w:tc>
      </w:tr>
      <w:tr>
        <w:trPr>
          <w:trHeight w:val="303"/>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10.132</w:t>
            </w: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8"/>
              </w:rPr>
              <w:t>Second Amendment to Credit Agreement, dated as of November 13, 2008, among Wynn Resorts, Limited and Deutsche Bank Trust Company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Americas, as Administrative Agent on behalf of the several banks and other financial institutions or entities from time to time party to the Credit</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Agreement. (43)</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14.1</w:t>
            </w: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Code of Ethics for the Chief Executive Officer, President and Senior Financial Officers (adopted November 12, 2003) (16)</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Subsidiaries of the Registrant (62)</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Consent of Ernst &amp; Young LLP (62)</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 (62)</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 (62)</w:t>
            </w:r>
          </w:p>
        </w:tc>
      </w:tr>
      <w:tr>
        <w:trPr>
          <w:trHeight w:val="324"/>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7"/>
              </w:rPr>
              <w:t>Certification of CEO and CFO Pursuant to 18 U.S.C. Section 1350, as Adopted Pursuant to Section 906 of the Sarbanes-Oxley Act of 2002. (62)</w:t>
            </w:r>
          </w:p>
        </w:tc>
      </w:tr>
      <w:tr>
        <w:trPr>
          <w:trHeight w:val="3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The following financial information from the Company’s Annual Report on Form 10-K for the year ended December 31, 2010, filed with the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SEC on February 28, 2011 formatted in Extensible Business Reporting Language (XBRL): (i) the Consolidated Statements of Income for the</w:t>
            </w:r>
          </w:p>
        </w:tc>
      </w:tr>
      <w:tr>
        <w:trPr>
          <w:trHeight w:val="228"/>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7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years ended December 31, 2010, 2009 and 2008, (ii) the Consolidated Balance Sheets at December 31, 2010 and December 31, 2009, (iii) the</w:t>
            </w:r>
          </w:p>
        </w:tc>
      </w:tr>
    </w:tbl>
    <w:p>
      <w:pPr>
        <w:ind w:left="1160" w:right="920"/>
        <w:spacing w:after="0" w:line="323" w:lineRule="auto"/>
        <w:rPr>
          <w:sz w:val="20"/>
          <w:szCs w:val="20"/>
          <w:color w:val="auto"/>
        </w:rPr>
      </w:pPr>
      <w:r>
        <w:rPr>
          <w:rFonts w:ascii="Times New Roman" w:cs="Times New Roman" w:eastAsia="Times New Roman" w:hAnsi="Times New Roman"/>
          <w:sz w:val="16"/>
          <w:szCs w:val="16"/>
          <w:color w:val="auto"/>
        </w:rPr>
        <w:t>Consolidated Statements of Cash Flows for the years ended December 31, 2010, 2009 and 2008, (iv) the Consolidated Statements of Stockholders’ Equity at December 31, 2010, 2009 and 2008, and (v)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53" w:lineRule="exact"/>
        <w:rPr>
          <w:sz w:val="20"/>
          <w:szCs w:val="20"/>
          <w:color w:val="auto"/>
        </w:rPr>
      </w:pPr>
    </w:p>
    <w:p>
      <w:pPr>
        <w:ind w:left="460" w:hanging="452"/>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1" w:lineRule="exact"/>
        <w:rPr>
          <w:sz w:val="20"/>
          <w:szCs w:val="20"/>
          <w:color w:val="auto"/>
        </w:rPr>
      </w:pPr>
    </w:p>
    <w:p>
      <w:pPr>
        <w:ind w:left="460" w:hanging="452"/>
        <w:spacing w:after="0" w:line="281" w:lineRule="auto"/>
        <w:tabs>
          <w:tab w:leader="none" w:pos="4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406T of Regulation S-T, the XBRL related information in Exhibit 101 to this Annual Report on Form 10-K shall be deemed to be “filed” for purposes of Section 18 of the Exchange Act, or otherwise subject to the liability of that section, and shall not be deemed part of a registration statement,</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prospectus or other document filed under the Securities Act or the Exchange Act, except as shall be expressly set forth by specific reference in such filings.</w:t>
      </w:r>
    </w:p>
    <w:p>
      <w:pPr>
        <w:spacing w:after="0" w:line="32" w:lineRule="exact"/>
        <w:rPr>
          <w:sz w:val="20"/>
          <w:szCs w:val="20"/>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Amendment No. 4 to the Form S-1 filed by the Registrant on October 7, 2002 (File No. 333-90600).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November 18, 2002.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August 14, 2003.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December 17, 2004.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June 13, 2003.</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Registration Statement on Form S-3 filed by the Registrant on September 1, 2004 (File No. 333-118741).</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Form S-1 filed by the Registrant on June 17, 2002.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Amendment No. 1 to the Form S-1 filed by the Registrant on August 20, 2002 (File No. 333-90600).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August 3, 2004.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November 4, 2004.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May 15, 2003.</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80"/>
          </w:cols>
          <w:pgMar w:left="240" w:top="455" w:right="27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Amendment No. 3 to the Form S-1 filed by the Registrant on September 18, 2002 (File No. 333-90600).</w:t>
      </w:r>
    </w:p>
    <w:p>
      <w:pPr>
        <w:spacing w:after="0" w:line="44"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Amendment No. 5 to the Form S-1 filed by the Registrant on October 21, 2002 (File No. 333-90600).</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Form S-8 filed by the Registrant on October 31, 2002.</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September 8, 2004.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Annual Report on Form 10-K filed by the Registrant on March 15, 2004.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Annual Report on Form 10-K filed by the Registrant on March 15,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May 8,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August 3,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June 29,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November 8,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September 1, 2005.</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May 10, 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used.</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March 4, 2008.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November 9, 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November 2, 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November 14, 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August 9,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November 1,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November 13,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October 31,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Annual Report on Form 10-K filed by the Registrant on March 1, 2007.</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August 5, 2008.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September 15, 2008.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September 19, 2008.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March 28, 2008.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June 12, 2008.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May 7, 2008.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Annual Report on Form 10-K filed by the Registrant on March 2, 2009.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November 13, 2008.</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May 11, 2009.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March 9, 2009.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March 23, 2009.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April 21, 2009.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September 14, 2009.</w:t>
      </w:r>
    </w:p>
    <w:p>
      <w:pPr>
        <w:spacing w:after="0" w:line="1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219"/>
          </w:cols>
          <w:pgMar w:left="240" w:top="455" w:right="1440"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August 3, 2009.</w:t>
      </w:r>
    </w:p>
    <w:p>
      <w:pPr>
        <w:spacing w:after="0" w:line="2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August 19, 2009.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October 20, 2009.</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January 6,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February 5,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March 19,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April 28,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Quarterly Report on Form 10-Q filed by the Registrant on May 7,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May 18,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Registration Statement on Form S-8 filed by the Registrant on July 27, 2010.</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Current Report on Form 8-K filed by the Registrant on August 5, 2010.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Current Report on Form 8-K filed by the Registrant on November 26, 2010.</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Incorporated by reference from the Current Report on Form 8-K filed by the Registrant on December 15, 2010.</w:t>
      </w:r>
    </w:p>
    <w:p>
      <w:pPr>
        <w:spacing w:after="0" w:line="32"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herein.</w:t>
      </w:r>
    </w:p>
    <w:p>
      <w:pPr>
        <w:spacing w:after="0" w:line="1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219"/>
          </w:cols>
          <w:pgMar w:left="240" w:top="455" w:right="1440"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3"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227" w:lineRule="exact"/>
        <w:rPr>
          <w:sz w:val="20"/>
          <w:szCs w:val="20"/>
          <w:color w:val="auto"/>
        </w:rPr>
      </w:pPr>
    </w:p>
    <w:p>
      <w:pPr>
        <w:spacing w:after="0"/>
        <w:tabs>
          <w:tab w:leader="none" w:pos="5260" w:val="left"/>
          <w:tab w:leader="none" w:pos="7480" w:val="left"/>
          <w:tab w:leader="none" w:pos="7820" w:val="left"/>
        </w:tabs>
        <w:rPr>
          <w:sz w:val="20"/>
          <w:szCs w:val="20"/>
          <w:color w:val="auto"/>
        </w:rPr>
      </w:pPr>
      <w:r>
        <w:rPr>
          <w:rFonts w:ascii="Times New Roman" w:cs="Times New Roman" w:eastAsia="Times New Roman" w:hAnsi="Times New Roman"/>
          <w:sz w:val="18"/>
          <w:szCs w:val="18"/>
          <w:color w:val="auto"/>
        </w:rPr>
        <w:t>Dated: February 28, 2011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W</w:t>
      </w:r>
      <w:r>
        <w:rPr>
          <w:rFonts w:ascii="Times New Roman" w:cs="Times New Roman" w:eastAsia="Times New Roman" w:hAnsi="Times New Roman"/>
          <w:sz w:val="14"/>
          <w:szCs w:val="14"/>
          <w:color w:val="auto"/>
        </w:rPr>
        <w:t>YNN</w:t>
      </w:r>
    </w:p>
    <w:p>
      <w:pPr>
        <w:spacing w:after="0" w:line="21"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-100330</wp:posOffset>
            </wp:positionV>
            <wp:extent cx="37560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756025" cy="8890"/>
                    </a:xfrm>
                    <a:prstGeom prst="rect">
                      <a:avLst/>
                    </a:prstGeom>
                    <a:noFill/>
                  </pic:spPr>
                </pic:pic>
              </a:graphicData>
            </a:graphic>
          </wp:anchor>
        </w:drawing>
      </w:r>
    </w:p>
    <w:p>
      <w:pPr>
        <w:jc w:val="center"/>
        <w:ind w:left="5620"/>
        <w:spacing w:after="0" w:line="227" w:lineRule="auto"/>
        <w:rPr>
          <w:sz w:val="20"/>
          <w:szCs w:val="20"/>
          <w:color w:val="auto"/>
        </w:rPr>
      </w:pPr>
      <w:r>
        <w:rPr>
          <w:rFonts w:ascii="Times New Roman" w:cs="Times New Roman" w:eastAsia="Times New Roman" w:hAnsi="Times New Roman"/>
          <w:sz w:val="14"/>
          <w:szCs w:val="14"/>
          <w:b w:val="1"/>
          <w:bCs w:val="1"/>
          <w:color w:val="auto"/>
        </w:rPr>
        <w:t>Chairman of the Board and Chief Executive Officer</w:t>
      </w: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35"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4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18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W</w:t>
            </w:r>
            <w:r>
              <w:rPr>
                <w:rFonts w:ascii="Times New Roman" w:cs="Times New Roman" w:eastAsia="Times New Roman" w:hAnsi="Times New Roman"/>
                <w:sz w:val="14"/>
                <w:szCs w:val="14"/>
                <w:color w:val="auto"/>
              </w:rPr>
              <w:t>YNN</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Chairman of the Board and</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84"/>
        </w:trPr>
        <w:tc>
          <w:tcPr>
            <w:tcW w:w="1820" w:type="dxa"/>
            <w:vAlign w:val="bottom"/>
          </w:tcPr>
          <w:p>
            <w:pPr>
              <w:spacing w:after="0"/>
              <w:rPr>
                <w:sz w:val="15"/>
                <w:szCs w:val="15"/>
                <w:color w:val="auto"/>
              </w:rPr>
            </w:pPr>
          </w:p>
        </w:tc>
        <w:tc>
          <w:tcPr>
            <w:tcW w:w="32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Stephen A. Wynn</w:t>
            </w:r>
          </w:p>
        </w:tc>
        <w:tc>
          <w:tcPr>
            <w:tcW w:w="4360" w:type="dxa"/>
            <w:vAlign w:val="bottom"/>
            <w:gridSpan w:val="3"/>
          </w:tcPr>
          <w:p>
            <w:pPr>
              <w:ind w:left="440"/>
              <w:spacing w:after="0" w:line="184" w:lineRule="exact"/>
              <w:rPr>
                <w:sz w:val="20"/>
                <w:szCs w:val="20"/>
                <w:color w:val="auto"/>
              </w:rPr>
            </w:pPr>
            <w:r>
              <w:rPr>
                <w:rFonts w:ascii="Times New Roman" w:cs="Times New Roman" w:eastAsia="Times New Roman" w:hAnsi="Times New Roman"/>
                <w:sz w:val="18"/>
                <w:szCs w:val="18"/>
                <w:color w:val="auto"/>
              </w:rPr>
              <w:t>Chief Executive Officer (Principal Executive</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8"/>
        </w:trPr>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3"/>
        </w:trPr>
        <w:tc>
          <w:tcPr>
            <w:tcW w:w="182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8"/>
                <w:szCs w:val="18"/>
                <w:color w:val="auto"/>
                <w:w w:val="93"/>
              </w:rPr>
              <w:t>/s/</w:t>
            </w: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K</w:t>
            </w:r>
            <w:r>
              <w:rPr>
                <w:rFonts w:ascii="Times New Roman" w:cs="Times New Roman" w:eastAsia="Times New Roman" w:hAnsi="Times New Roman"/>
                <w:sz w:val="14"/>
                <w:szCs w:val="14"/>
                <w:color w:val="auto"/>
              </w:rPr>
              <w:t>AZUO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KADA</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Vice Chairman of the Board</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6"/>
              </w:rPr>
              <w:t>Kazuo Okada</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5040" w:type="dxa"/>
            <w:vAlign w:val="bottom"/>
            <w:tcBorders>
              <w:bottom w:val="single" w:sz="8" w:color="auto"/>
            </w:tcBorders>
            <w:gridSpan w:val="4"/>
          </w:tcPr>
          <w:p>
            <w:pPr>
              <w:ind w:left="1740"/>
              <w:spacing w:after="0"/>
              <w:rPr>
                <w:sz w:val="20"/>
                <w:szCs w:val="20"/>
                <w:color w:val="auto"/>
              </w:rPr>
            </w:pPr>
            <w:r>
              <w:rPr>
                <w:rFonts w:ascii="Times New Roman" w:cs="Times New Roman" w:eastAsia="Times New Roman" w:hAnsi="Times New Roman"/>
                <w:sz w:val="18"/>
                <w:szCs w:val="18"/>
                <w:color w:val="auto"/>
              </w:rPr>
              <w:t>/s/  L</w:t>
            </w:r>
            <w:r>
              <w:rPr>
                <w:rFonts w:ascii="Times New Roman" w:cs="Times New Roman" w:eastAsia="Times New Roman" w:hAnsi="Times New Roman"/>
                <w:sz w:val="14"/>
                <w:szCs w:val="14"/>
                <w:color w:val="auto"/>
              </w:rPr>
              <w:t>INDA</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HEN</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President, Wynn International Marketing and Director</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5"/>
              </w:rPr>
              <w:t>Linda Chen</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5040" w:type="dxa"/>
            <w:vAlign w:val="bottom"/>
            <w:tcBorders>
              <w:bottom w:val="single" w:sz="8" w:color="auto"/>
            </w:tcBorders>
            <w:gridSpan w:val="4"/>
          </w:tcPr>
          <w:p>
            <w:pPr>
              <w:ind w:left="14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USSELL</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OLDSMITH</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5"/>
              </w:rPr>
              <w:t>Russell Goldsmith</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18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3"/>
              </w:rPr>
              <w:t>Dr. Ray R. Irani</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18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18"/>
                <w:szCs w:val="18"/>
                <w:color w:val="auto"/>
              </w:rPr>
              <w:t xml:space="preserve"> J. M</w:t>
            </w:r>
            <w:r>
              <w:rPr>
                <w:rFonts w:ascii="Times New Roman" w:cs="Times New Roman" w:eastAsia="Times New Roman" w:hAnsi="Times New Roman"/>
                <w:sz w:val="14"/>
                <w:szCs w:val="14"/>
                <w:color w:val="auto"/>
              </w:rPr>
              <w:t>ILLER</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4"/>
              </w:rPr>
              <w:t>Robert J. Miller</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18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/s/</w:t>
            </w:r>
          </w:p>
        </w:tc>
        <w:tc>
          <w:tcPr>
            <w:tcW w:w="3220" w:type="dxa"/>
            <w:vAlign w:val="bottom"/>
            <w:tcBorders>
              <w:bottom w:val="single" w:sz="8" w:color="auto"/>
            </w:tcBorders>
            <w:gridSpan w:val="3"/>
          </w:tcPr>
          <w:p>
            <w:pPr>
              <w:jc w:val="center"/>
              <w:ind w:right="1760"/>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OHN</w:t>
            </w:r>
            <w:r>
              <w:rPr>
                <w:rFonts w:ascii="Times New Roman" w:cs="Times New Roman" w:eastAsia="Times New Roman" w:hAnsi="Times New Roman"/>
                <w:sz w:val="18"/>
                <w:szCs w:val="18"/>
                <w:color w:val="auto"/>
              </w:rPr>
              <w:t xml:space="preserve"> A. M</w:t>
            </w:r>
            <w:r>
              <w:rPr>
                <w:rFonts w:ascii="Times New Roman" w:cs="Times New Roman" w:eastAsia="Times New Roman" w:hAnsi="Times New Roman"/>
                <w:sz w:val="14"/>
                <w:szCs w:val="14"/>
                <w:color w:val="auto"/>
              </w:rPr>
              <w:t>ORAN</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6"/>
              </w:rPr>
              <w:t>John A. Moran</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18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/s/</w:t>
            </w:r>
          </w:p>
        </w:tc>
        <w:tc>
          <w:tcPr>
            <w:tcW w:w="3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CHORR</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8"/>
              </w:rPr>
              <w:t>Marc Schorr</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18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LVIN</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HOEMAKER</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5"/>
              </w:rPr>
              <w:t>Alvin V. Shoemaker</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18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/s/</w:t>
            </w:r>
          </w:p>
        </w:tc>
        <w:tc>
          <w:tcPr>
            <w:tcW w:w="3220" w:type="dxa"/>
            <w:vAlign w:val="bottom"/>
            <w:tcBorders>
              <w:bottom w:val="single" w:sz="8" w:color="auto"/>
            </w:tcBorders>
            <w:gridSpan w:val="3"/>
          </w:tcPr>
          <w:p>
            <w:pPr>
              <w:jc w:val="center"/>
              <w:ind w:right="1780"/>
              <w:spacing w:after="0"/>
              <w:rPr>
                <w:sz w:val="20"/>
                <w:szCs w:val="20"/>
                <w:color w:val="auto"/>
              </w:rPr>
            </w:pPr>
            <w:r>
              <w:rPr>
                <w:rFonts w:ascii="Times New Roman" w:cs="Times New Roman" w:eastAsia="Times New Roman" w:hAnsi="Times New Roman"/>
                <w:sz w:val="18"/>
                <w:szCs w:val="18"/>
                <w:color w:val="auto"/>
              </w:rPr>
              <w:t>D. B</w:t>
            </w:r>
            <w:r>
              <w:rPr>
                <w:rFonts w:ascii="Times New Roman" w:cs="Times New Roman" w:eastAsia="Times New Roman" w:hAnsi="Times New Roman"/>
                <w:sz w:val="14"/>
                <w:szCs w:val="14"/>
                <w:color w:val="auto"/>
              </w:rPr>
              <w:t>OONE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AYSON</w:t>
            </w:r>
          </w:p>
        </w:tc>
        <w:tc>
          <w:tcPr>
            <w:tcW w:w="43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40" w:type="dxa"/>
            <w:vAlign w:val="bottom"/>
            <w:gridSpan w:val="3"/>
          </w:tcPr>
          <w:p>
            <w:pPr>
              <w:jc w:val="center"/>
              <w:ind w:left="2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20" w:type="dxa"/>
            <w:vAlign w:val="bottom"/>
          </w:tcPr>
          <w:p>
            <w:pPr>
              <w:spacing w:after="0"/>
              <w:rPr>
                <w:sz w:val="15"/>
                <w:szCs w:val="15"/>
                <w:color w:val="auto"/>
              </w:rPr>
            </w:pPr>
          </w:p>
        </w:tc>
        <w:tc>
          <w:tcPr>
            <w:tcW w:w="3220" w:type="dxa"/>
            <w:vAlign w:val="bottom"/>
            <w:gridSpan w:val="3"/>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4"/>
              </w:rPr>
              <w:t>D. Boone Wayson</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46"/>
        </w:trPr>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4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2"/>
              </w:rPr>
              <w:t>Date</w:t>
            </w:r>
          </w:p>
        </w:tc>
      </w:tr>
      <w:tr>
        <w:trPr>
          <w:trHeight w:val="20"/>
        </w:trPr>
        <w:tc>
          <w:tcPr>
            <w:tcW w:w="1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5"/>
        </w:trPr>
        <w:tc>
          <w:tcPr>
            <w:tcW w:w="18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Borders>
              <w:bottom w:val="single" w:sz="8" w:color="auto"/>
            </w:tcBorders>
            <w:gridSpan w:val="3"/>
          </w:tcPr>
          <w:p>
            <w:pPr>
              <w:jc w:val="center"/>
              <w:ind w:right="184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LAINE</w:t>
            </w:r>
            <w:r>
              <w:rPr>
                <w:rFonts w:ascii="Times New Roman" w:cs="Times New Roman" w:eastAsia="Times New Roman" w:hAnsi="Times New Roman"/>
                <w:sz w:val="18"/>
                <w:szCs w:val="18"/>
                <w:color w:val="auto"/>
              </w:rPr>
              <w:t xml:space="preserve"> P. W</w:t>
            </w:r>
            <w:r>
              <w:rPr>
                <w:rFonts w:ascii="Times New Roman" w:cs="Times New Roman" w:eastAsia="Times New Roman" w:hAnsi="Times New Roman"/>
                <w:sz w:val="14"/>
                <w:szCs w:val="14"/>
                <w:color w:val="auto"/>
              </w:rPr>
              <w:t>YNN</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tcPr>
          <w:p>
            <w:pPr>
              <w:jc w:val="center"/>
              <w:ind w:left="4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80" w:type="dxa"/>
            <w:vAlign w:val="bottom"/>
          </w:tcPr>
          <w:p>
            <w:pPr>
              <w:spacing w:after="0"/>
              <w:rPr>
                <w:sz w:val="15"/>
                <w:szCs w:val="15"/>
                <w:color w:val="auto"/>
              </w:rPr>
            </w:pPr>
          </w:p>
        </w:tc>
        <w:tc>
          <w:tcPr>
            <w:tcW w:w="316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w w:val="93"/>
              </w:rPr>
              <w:t>Elaine P. Wynn</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5"/>
        </w:trPr>
        <w:tc>
          <w:tcPr>
            <w:tcW w:w="188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Borders>
              <w:bottom w:val="single" w:sz="8" w:color="auto"/>
            </w:tcBorders>
            <w:gridSpan w:val="3"/>
          </w:tcPr>
          <w:p>
            <w:pPr>
              <w:jc w:val="center"/>
              <w:ind w:right="18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LLAN</w:t>
            </w:r>
            <w:r>
              <w:rPr>
                <w:rFonts w:ascii="Times New Roman" w:cs="Times New Roman" w:eastAsia="Times New Roman" w:hAnsi="Times New Roman"/>
                <w:sz w:val="18"/>
                <w:szCs w:val="18"/>
                <w:color w:val="auto"/>
              </w:rPr>
              <w:t xml:space="preserve"> Z</w:t>
            </w:r>
            <w:r>
              <w:rPr>
                <w:rFonts w:ascii="Times New Roman" w:cs="Times New Roman" w:eastAsia="Times New Roman" w:hAnsi="Times New Roman"/>
                <w:sz w:val="14"/>
                <w:szCs w:val="14"/>
                <w:color w:val="auto"/>
              </w:rPr>
              <w:t>EMAN</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gridSpan w:val="3"/>
          </w:tcPr>
          <w:p>
            <w:pPr>
              <w:jc w:val="center"/>
              <w:ind w:left="4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173"/>
        </w:trPr>
        <w:tc>
          <w:tcPr>
            <w:tcW w:w="1880" w:type="dxa"/>
            <w:vAlign w:val="bottom"/>
          </w:tcPr>
          <w:p>
            <w:pPr>
              <w:spacing w:after="0"/>
              <w:rPr>
                <w:sz w:val="15"/>
                <w:szCs w:val="15"/>
                <w:color w:val="auto"/>
              </w:rPr>
            </w:pPr>
          </w:p>
        </w:tc>
        <w:tc>
          <w:tcPr>
            <w:tcW w:w="316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w w:val="97"/>
              </w:rPr>
              <w:t>Allan Zeman</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414"/>
        </w:trPr>
        <w:tc>
          <w:tcPr>
            <w:tcW w:w="188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/s/</w:t>
            </w:r>
          </w:p>
        </w:tc>
        <w:tc>
          <w:tcPr>
            <w:tcW w:w="3160" w:type="dxa"/>
            <w:vAlign w:val="bottom"/>
            <w:tcBorders>
              <w:bottom w:val="single" w:sz="8" w:color="auto"/>
            </w:tcBorders>
            <w:gridSpan w:val="3"/>
          </w:tcPr>
          <w:p>
            <w:pPr>
              <w:jc w:val="center"/>
              <w:ind w:right="18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ATT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ADDOX</w:t>
            </w:r>
          </w:p>
        </w:tc>
        <w:tc>
          <w:tcPr>
            <w:tcW w:w="4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 and Treasurer (Principal</w:t>
            </w:r>
          </w:p>
        </w:tc>
        <w:tc>
          <w:tcPr>
            <w:tcW w:w="1840" w:type="dxa"/>
            <w:vAlign w:val="bottom"/>
            <w:gridSpan w:val="3"/>
          </w:tcPr>
          <w:p>
            <w:pPr>
              <w:jc w:val="center"/>
              <w:ind w:left="472"/>
              <w:spacing w:after="0"/>
              <w:rPr>
                <w:sz w:val="20"/>
                <w:szCs w:val="20"/>
                <w:color w:val="auto"/>
              </w:rPr>
            </w:pPr>
            <w:r>
              <w:rPr>
                <w:rFonts w:ascii="Times New Roman" w:cs="Times New Roman" w:eastAsia="Times New Roman" w:hAnsi="Times New Roman"/>
                <w:sz w:val="18"/>
                <w:szCs w:val="18"/>
                <w:color w:val="auto"/>
                <w:w w:val="96"/>
              </w:rPr>
              <w:t>February 28, 2011</w:t>
            </w:r>
          </w:p>
        </w:tc>
      </w:tr>
      <w:tr>
        <w:trPr>
          <w:trHeight w:val="208"/>
        </w:trPr>
        <w:tc>
          <w:tcPr>
            <w:tcW w:w="1880" w:type="dxa"/>
            <w:vAlign w:val="bottom"/>
          </w:tcPr>
          <w:p>
            <w:pPr>
              <w:spacing w:after="0"/>
              <w:rPr>
                <w:sz w:val="18"/>
                <w:szCs w:val="18"/>
                <w:color w:val="auto"/>
              </w:rPr>
            </w:pPr>
          </w:p>
        </w:tc>
        <w:tc>
          <w:tcPr>
            <w:tcW w:w="3160" w:type="dxa"/>
            <w:vAlign w:val="bottom"/>
            <w:gridSpan w:val="3"/>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w w:val="96"/>
              </w:rPr>
              <w:t>Matt Maddox</w:t>
            </w:r>
          </w:p>
        </w:tc>
        <w:tc>
          <w:tcPr>
            <w:tcW w:w="41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Financial and Accounting Officer)</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352"/>
        </w:trPr>
        <w:tc>
          <w:tcPr>
            <w:tcW w:w="1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40" w:type="dxa"/>
            <w:vAlign w:val="bottom"/>
          </w:tcPr>
          <w:p>
            <w:pPr>
              <w:jc w:val="right"/>
              <w:ind w:right="1152"/>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040"/>
          </w:cols>
          <w:pgMar w:left="240" w:top="455" w:right="61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10.114</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FIFTH AMENDED AND RESTATED</w:t>
      </w:r>
    </w:p>
    <w:p>
      <w:pPr>
        <w:spacing w:after="0" w:line="19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ART RENTAL</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LICENSING AGREEMENT</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STEPHEN A. WYNN</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WYNN LAS VEGAS, LLC</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(Lessee)</w:t>
      </w:r>
    </w:p>
    <w:p>
      <w:pPr>
        <w:spacing w:after="0" w:line="17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Dated July 1, 2007</w:t>
      </w:r>
    </w:p>
    <w:p>
      <w:pPr>
        <w:sectPr>
          <w:pgSz w:w="11900" w:h="16838" w:orient="portrait"/>
          <w:cols w:equalWidth="0" w:num="1">
            <w:col w:w="10220"/>
          </w:cols>
          <w:pgMar w:left="1440" w:top="123" w:right="239" w:bottom="1440" w:gutter="0" w:footer="0" w:header="0"/>
        </w:sectPr>
      </w:pPr>
    </w:p>
    <w:bookmarkStart w:id="129" w:name="page130"/>
    <w:bookmarkEnd w:id="12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FIFTH AMENDED AND RESTATED</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 RENTAL AND LICENSING AGREEMENT</w:t>
      </w:r>
    </w:p>
    <w:p>
      <w:pPr>
        <w:spacing w:after="0" w:line="157"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8"/>
          <w:szCs w:val="18"/>
          <w:color w:val="auto"/>
        </w:rPr>
        <w:t>This Fifth Amended and Restated Art Rental and Licensing Agreement (“Agreement”), is entered into this 1st day of July, 2007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STEPHEN A. WYNN (“</w:t>
      </w:r>
      <w:r>
        <w:rPr>
          <w:rFonts w:ascii="Times New Roman" w:cs="Times New Roman" w:eastAsia="Times New Roman" w:hAnsi="Times New Roman"/>
          <w:sz w:val="18"/>
          <w:szCs w:val="18"/>
          <w:b w:val="1"/>
          <w:bCs w:val="1"/>
          <w:color w:val="auto"/>
        </w:rPr>
        <w:t>Lessor</w:t>
      </w:r>
      <w:r>
        <w:rPr>
          <w:rFonts w:ascii="Times New Roman" w:cs="Times New Roman" w:eastAsia="Times New Roman" w:hAnsi="Times New Roman"/>
          <w:sz w:val="18"/>
          <w:szCs w:val="18"/>
          <w:color w:val="auto"/>
        </w:rPr>
        <w:t>”) and WYNN LAS VEGAS, LLC (“</w:t>
      </w:r>
      <w:r>
        <w:rPr>
          <w:rFonts w:ascii="Times New Roman" w:cs="Times New Roman" w:eastAsia="Times New Roman" w:hAnsi="Times New Roman"/>
          <w:sz w:val="18"/>
          <w:szCs w:val="18"/>
          <w:b w:val="1"/>
          <w:bCs w:val="1"/>
          <w:color w:val="auto"/>
        </w:rPr>
        <w:t>Lessee</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R E C I T A L S</w:t>
      </w:r>
    </w:p>
    <w:p>
      <w:pPr>
        <w:spacing w:after="0" w:line="171" w:lineRule="exact"/>
        <w:rPr>
          <w:sz w:val="20"/>
          <w:szCs w:val="20"/>
          <w:color w:val="auto"/>
        </w:rPr>
      </w:pPr>
    </w:p>
    <w:p>
      <w:pPr>
        <w:jc w:val="both"/>
        <w:ind w:right="1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A. Lessor is the owner of the paintings and other art works identified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by this reference (collectively, the “</w:t>
      </w:r>
      <w:r>
        <w:rPr>
          <w:rFonts w:ascii="Times New Roman" w:cs="Times New Roman" w:eastAsia="Times New Roman" w:hAnsi="Times New Roman"/>
          <w:sz w:val="18"/>
          <w:szCs w:val="18"/>
          <w:b w:val="1"/>
          <w:bCs w:val="1"/>
          <w:color w:val="auto"/>
        </w:rPr>
        <w:t>Works</w:t>
      </w:r>
      <w:r>
        <w:rPr>
          <w:rFonts w:ascii="Times New Roman" w:cs="Times New Roman" w:eastAsia="Times New Roman" w:hAnsi="Times New Roman"/>
          <w:sz w:val="18"/>
          <w:szCs w:val="18"/>
          <w:color w:val="auto"/>
        </w:rPr>
        <w:t>”), which may be updated from time to time in accordance with this Agreement. Works shall only include Works deemed to be on display by Lessee as provided in Section 7.</w:t>
      </w:r>
    </w:p>
    <w:p>
      <w:pPr>
        <w:spacing w:after="0" w:line="132"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B. Lessor wishes to lease to Lessee, and Lessee wishes to lease from Lessor, the Works, in order to publicly display the Works at various public locations within the Wynn Las Vegas resort at 3131 Las Vegas Boulevard South, Las Vegas, Nevada (the “</w:t>
      </w:r>
      <w:r>
        <w:rPr>
          <w:rFonts w:ascii="Times New Roman" w:cs="Times New Roman" w:eastAsia="Times New Roman" w:hAnsi="Times New Roman"/>
          <w:sz w:val="18"/>
          <w:szCs w:val="18"/>
          <w:b w:val="1"/>
          <w:bCs w:val="1"/>
          <w:color w:val="auto"/>
        </w:rPr>
        <w:t>Resort</w:t>
      </w:r>
      <w:r>
        <w:rPr>
          <w:rFonts w:ascii="Times New Roman" w:cs="Times New Roman" w:eastAsia="Times New Roman" w:hAnsi="Times New Roman"/>
          <w:sz w:val="18"/>
          <w:szCs w:val="18"/>
          <w:color w:val="auto"/>
        </w:rPr>
        <w:t>”), as well as public locations located within any connected addition or expansion of the Resort, including but not limited to the Encore expansion of the Resort.</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C. By publicly displaying the Works, Lessor and Lessee desire to promote the Works and to enhance the cultural and educational opportunities for Nevada residents and visitors.</w:t>
      </w:r>
    </w:p>
    <w:p>
      <w:pPr>
        <w:spacing w:after="0" w:line="2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A G R E E M E N T</w:t>
      </w:r>
    </w:p>
    <w:p>
      <w:pPr>
        <w:spacing w:after="0" w:line="1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Based upon the foregoing and the following terms and conditions, the parties hereto agree that the foregoing recitals are true and correct and as follows:</w:t>
      </w:r>
    </w:p>
    <w:p>
      <w:pPr>
        <w:spacing w:after="0" w:line="171" w:lineRule="exact"/>
        <w:rPr>
          <w:sz w:val="20"/>
          <w:szCs w:val="20"/>
          <w:color w:val="auto"/>
        </w:rPr>
      </w:pPr>
    </w:p>
    <w:p>
      <w:pPr>
        <w:ind w:right="60" w:firstLine="464"/>
        <w:spacing w:after="0" w:line="275" w:lineRule="auto"/>
        <w:tabs>
          <w:tab w:leader="none" w:pos="6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Rental</w:t>
      </w:r>
      <w:r>
        <w:rPr>
          <w:rFonts w:ascii="Times New Roman" w:cs="Times New Roman" w:eastAsia="Times New Roman" w:hAnsi="Times New Roman"/>
          <w:sz w:val="18"/>
          <w:szCs w:val="18"/>
          <w:color w:val="auto"/>
        </w:rPr>
        <w:t>. Upon the terms and subject to the conditions of this Agreement, Lessor hereby grants to Lessee a continuing right to publicly display the Works in the Resort, and Lessee hereby accepts from Lessor the rental of the works. The installation</w:t>
      </w:r>
    </w:p>
    <w:p>
      <w:pPr>
        <w:spacing w:after="0" w:line="106"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340"/>
          </w:cols>
          <w:pgMar w:left="240" w:top="272"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layout and plan for the Works shall be subject to Lessor’s prior approval.</w:t>
      </w:r>
    </w:p>
    <w:p>
      <w:pPr>
        <w:spacing w:after="0" w:line="171" w:lineRule="exact"/>
        <w:rPr>
          <w:sz w:val="20"/>
          <w:szCs w:val="20"/>
          <w:color w:val="auto"/>
        </w:rPr>
      </w:pPr>
    </w:p>
    <w:p>
      <w:pPr>
        <w:jc w:val="both"/>
        <w:ind w:right="40" w:firstLine="464"/>
        <w:spacing w:after="0" w:line="262" w:lineRule="auto"/>
        <w:tabs>
          <w:tab w:leader="none" w:pos="6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Lessee agrees to maintain the Works on public display, make the Resort available for student tours, and take such other actions as may be necessary or appropriate for meeting the requirements of Sections 361.068, 361.186, 374.291 and 374.2911 of the Nevada Revised Statutes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xml:space="preserve">”), and agrees to comply with NRS 597.720,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all other applicable laws.</w:t>
      </w:r>
    </w:p>
    <w:p>
      <w:pPr>
        <w:spacing w:after="0" w:line="132" w:lineRule="exact"/>
        <w:rPr>
          <w:rFonts w:ascii="Times New Roman" w:cs="Times New Roman" w:eastAsia="Times New Roman" w:hAnsi="Times New Roman"/>
          <w:sz w:val="18"/>
          <w:szCs w:val="18"/>
          <w:color w:val="auto"/>
        </w:rPr>
      </w:pPr>
    </w:p>
    <w:p>
      <w:pPr>
        <w:ind w:right="200" w:firstLine="464"/>
        <w:spacing w:after="0" w:line="262" w:lineRule="auto"/>
        <w:tabs>
          <w:tab w:leader="none" w:pos="6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Exhibition and Promotion</w:t>
      </w:r>
      <w:r>
        <w:rPr>
          <w:rFonts w:ascii="Times New Roman" w:cs="Times New Roman" w:eastAsia="Times New Roman" w:hAnsi="Times New Roman"/>
          <w:sz w:val="18"/>
          <w:szCs w:val="18"/>
          <w:color w:val="auto"/>
        </w:rPr>
        <w:t>. Lessee agrees (a) to exhibit the Works in a manner approved by Lessor, (b) to transport, handle, care for, and display the Works in a manner consistent with the world-class quality of the Works, (c) to maintain the Resort as a first-class facility, and (d) to promote the Works through “Openings,” “Receptions,” and public events.</w:t>
      </w:r>
    </w:p>
    <w:p>
      <w:pPr>
        <w:spacing w:after="0" w:line="132" w:lineRule="exact"/>
        <w:rPr>
          <w:rFonts w:ascii="Times New Roman" w:cs="Times New Roman" w:eastAsia="Times New Roman" w:hAnsi="Times New Roman"/>
          <w:sz w:val="18"/>
          <w:szCs w:val="18"/>
          <w:color w:val="auto"/>
        </w:rPr>
      </w:pPr>
    </w:p>
    <w:p>
      <w:pPr>
        <w:ind w:firstLine="464"/>
        <w:spacing w:after="0" w:line="253" w:lineRule="auto"/>
        <w:tabs>
          <w:tab w:leader="none" w:pos="63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Merchandising</w:t>
      </w:r>
      <w:r>
        <w:rPr>
          <w:rFonts w:ascii="Times New Roman" w:cs="Times New Roman" w:eastAsia="Times New Roman" w:hAnsi="Times New Roman"/>
          <w:sz w:val="18"/>
          <w:szCs w:val="18"/>
          <w:color w:val="auto"/>
        </w:rPr>
        <w:t xml:space="preserve">. To the extent, if any, that he possesses the required rights, Lessor hereby authorizes Lessee to develop, manufacture (by subcontract or otherwise), and sell such merchandising and promotional items based upon the Works as Lessee may determine in its best business judgment. To the extent, if any, that he possesses any such rights in any Work, Lessor hereby grants to Lessee a nonexclusive license for such purposes for the period of the rental of such Work hereunder. In the event that any Work is withdrawn or rental terminated, the corresponding license shall automatically terminate;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following such termination, Lessee shall have the right to sell its remaining inventory of the applicable merchandise. The merchandise and promotional items based on the Works may include, but are not limited to, educational catalogues, educational works (including audiovisual and audio recordings), fine art reproductions, and retail merchandise based upon the Works. Lessee shall be solely responsible for clearing and/or obtaining such rights, for obtaining all required permissions, and for taking all reasonable steps necessary to obtain intellectual property protection for said items based on the Works, all of which shall, with respect to any Work, inure to the benefit of Lessee during the rental of such</w:t>
      </w:r>
    </w:p>
    <w:p>
      <w:pPr>
        <w:spacing w:after="0" w:line="129"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420"/>
          </w:cols>
          <w:pgMar w:left="240" w:top="274" w:right="239" w:bottom="1440" w:gutter="0" w:footer="0" w:header="0"/>
        </w:sectPr>
      </w:pPr>
    </w:p>
    <w:bookmarkStart w:id="131" w:name="page132"/>
    <w:bookmarkEnd w:id="131"/>
    <w:p>
      <w:pPr>
        <w:jc w:val="both"/>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Work hereunder and to the benefit of Lessor thereafter. Notwithstanding any other provision of this Agreement (including without limitation this Section 4 and Section 11 below), Lessor does not make (and hereby disclaims) any and all representations and/or warranties to Lessee or otherwise in respect of the Works or any rights in the Works, including, but not limited to, title, quiet enjoyment, authenticity, copyright, or moral rights. Lessor shall not have any liability to Lessee in respect of any, and Lessee hereby expressly and to the full extent permitted by law waives as against Lessor all, claims. damages, expenses, fees, or losses that may be incurred by or threatened against Lessee as a result of the Works being leased to Lessee, in the possession of Lessee during the term hereof, displayed at the Resort and/or reproduced (by, on behalf of, or with the consent of Lessee) in merchandising, promotional, or other items relating to the Works.</w:t>
      </w:r>
    </w:p>
    <w:p>
      <w:pPr>
        <w:spacing w:after="0" w:line="111" w:lineRule="exact"/>
        <w:rPr>
          <w:sz w:val="20"/>
          <w:szCs w:val="20"/>
          <w:color w:val="auto"/>
        </w:rPr>
      </w:pPr>
    </w:p>
    <w:p>
      <w:pPr>
        <w:ind w:left="640" w:hanging="17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Rental Fees</w:t>
      </w:r>
      <w:r>
        <w:rPr>
          <w:rFonts w:ascii="Times New Roman" w:cs="Times New Roman" w:eastAsia="Times New Roman" w:hAnsi="Times New Roman"/>
          <w:sz w:val="18"/>
          <w:szCs w:val="18"/>
          <w:color w:val="auto"/>
        </w:rPr>
        <w:t>. Lessee agrees to pay to Lessor a rental fee of One Dollar ($1.00) on the Effective Date and each anniversary of the Effective Date.</w:t>
      </w:r>
    </w:p>
    <w:p>
      <w:pPr>
        <w:spacing w:after="0" w:line="171" w:lineRule="exact"/>
        <w:rPr>
          <w:rFonts w:ascii="Times New Roman" w:cs="Times New Roman" w:eastAsia="Times New Roman" w:hAnsi="Times New Roman"/>
          <w:sz w:val="18"/>
          <w:szCs w:val="18"/>
          <w:color w:val="auto"/>
        </w:rPr>
      </w:pPr>
    </w:p>
    <w:p>
      <w:pPr>
        <w:ind w:firstLine="464"/>
        <w:spacing w:after="0" w:line="291" w:lineRule="auto"/>
        <w:tabs>
          <w:tab w:leader="none" w:pos="632"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Additions, Withdrawals, and Termination</w:t>
      </w:r>
      <w:r>
        <w:rPr>
          <w:rFonts w:ascii="Times New Roman" w:cs="Times New Roman" w:eastAsia="Times New Roman" w:hAnsi="Times New Roman"/>
          <w:sz w:val="16"/>
          <w:szCs w:val="16"/>
          <w:color w:val="auto"/>
        </w:rPr>
        <w:t xml:space="preserve">. Lessor and Lessee may, by mutual agreement, add other art works from time to time to the Works covered by this Agreement. Lessor shall have the right to withdraw any but not all of the Works from this Agreement and terminate the rental of such Work(s) hereunder on fifteen (15) days’ written notice to Lessee. Lessee shall have the right to return any or all Works covered by this Agreement and terminate the rental of such Work(s) hereunder on thirty (30) days’ written notice to Lessor. Upon termination of the rental of any Work hereunder, Lessee shall have no further right or license with respect to such Work, except to the extent that, under Section 4 and Section 11 hereof, Lessee is specifically provided with a six-month period to discontinue sales and use of merchandise. The parties shall periodically update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 to reflect Works added to or withdrawn from this Agreement. The parties shall also maintain separate records indicating which Works are added to or withdrawn from the Agreement. Notwithstanding the foregoing, and</w:t>
      </w:r>
    </w:p>
    <w:p>
      <w:pPr>
        <w:spacing w:after="0" w:line="99" w:lineRule="exact"/>
        <w:rPr>
          <w:rFonts w:ascii="Times New Roman" w:cs="Times New Roman" w:eastAsia="Times New Roman" w:hAnsi="Times New Roman"/>
          <w:sz w:val="16"/>
          <w:szCs w:val="16"/>
          <w:color w:val="auto"/>
        </w:rPr>
      </w:pPr>
    </w:p>
    <w:p>
      <w:pPr>
        <w:ind w:left="5680" w:hanging="112"/>
        <w:spacing w:after="0"/>
        <w:tabs>
          <w:tab w:leader="none" w:pos="56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320"/>
          </w:cols>
          <w:pgMar w:left="240" w:top="274" w:right="339" w:bottom="1440" w:gutter="0" w:footer="0" w:header="0"/>
        </w:sectPr>
      </w:pPr>
    </w:p>
    <w:bookmarkStart w:id="132" w:name="page133"/>
    <w:bookmarkEnd w:id="1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prejudice to any other rights or remedies that Lessor may have hereunder, Lessor may terminate the rental of all Works hereunder (a) by delivery of notice to Lessee no less than ninety (90) days in advance of the date selected by Lessor for termination, or (b) immediately by delivery of notice to Lessee at any time if any of the following events occurs: (i) Lessor ceases to be the Chairman of the Board and Chief Executive Officer of Wynn Resorts, Limited (“</w:t>
      </w:r>
      <w:r>
        <w:rPr>
          <w:rFonts w:ascii="Times New Roman" w:cs="Times New Roman" w:eastAsia="Times New Roman" w:hAnsi="Times New Roman"/>
          <w:sz w:val="18"/>
          <w:szCs w:val="18"/>
          <w:b w:val="1"/>
          <w:bCs w:val="1"/>
          <w:color w:val="auto"/>
        </w:rPr>
        <w:t>Wynn Resorts</w:t>
      </w:r>
      <w:r>
        <w:rPr>
          <w:rFonts w:ascii="Times New Roman" w:cs="Times New Roman" w:eastAsia="Times New Roman" w:hAnsi="Times New Roman"/>
          <w:sz w:val="18"/>
          <w:szCs w:val="18"/>
          <w:color w:val="auto"/>
        </w:rPr>
        <w:t>”), or any successor company; (ii) there is filed any petition in bankruptcy by or against Lessee or any of Wynn Resorts’ other subsidiary companies (collectively, the “</w:t>
      </w:r>
      <w:r>
        <w:rPr>
          <w:rFonts w:ascii="Times New Roman" w:cs="Times New Roman" w:eastAsia="Times New Roman" w:hAnsi="Times New Roman"/>
          <w:sz w:val="18"/>
          <w:szCs w:val="18"/>
          <w:b w:val="1"/>
          <w:bCs w:val="1"/>
          <w:color w:val="auto"/>
        </w:rPr>
        <w:t>Lessee Parties</w:t>
      </w:r>
      <w:r>
        <w:rPr>
          <w:rFonts w:ascii="Times New Roman" w:cs="Times New Roman" w:eastAsia="Times New Roman" w:hAnsi="Times New Roman"/>
          <w:sz w:val="18"/>
          <w:szCs w:val="18"/>
          <w:color w:val="auto"/>
        </w:rPr>
        <w:t>”), which petition is not dismissed within ninety (90) days of its filing, or there is appointed a receiver or trustee to take possession of any of the Lessee Parties or of all or substantially all of the assets of any Lessee Parties, or there is a general assignment by any of the Lessee Parties for the benefit of creditors, or any action is taken by or against any of the Lessee Parties under any state or federal insolvency or bankruptcy act, or any similar law now or hereafter in effect, including, without limitation, the filing of execution or attachment against any of the Lessee Parties and such levy continues in effect for a period of sixty (60) calendar days; or (iii) Lessee defaults under any material provision of this Agreement and fails to cure such default within seven (7) days after it receives written notice of such default from Lessor unless such default relates to the care, custody, or protection of any of the Works, in which event such default must be cured immediately upon notice from Lessor. Upon termination of the rental of all Works hereunder, this Agreement shall automatically terminate; provided, however, that the termination of this Agreement shall not affect the obligations of the parties under Sections 5, 7, 9 or 10 hereof or any other provision that can be fulfilled only after the termination date.</w:t>
      </w:r>
    </w:p>
    <w:p>
      <w:pPr>
        <w:spacing w:after="0" w:line="146" w:lineRule="exact"/>
        <w:rPr>
          <w:sz w:val="20"/>
          <w:szCs w:val="20"/>
          <w:color w:val="auto"/>
        </w:rPr>
      </w:pPr>
    </w:p>
    <w:p>
      <w:pPr>
        <w:ind w:right="380" w:firstLine="464"/>
        <w:spacing w:after="0" w:line="275" w:lineRule="auto"/>
        <w:tabs>
          <w:tab w:leader="none" w:pos="6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Lessee shall, at its expense, insure the Works on a “wall-to-wall” basis, for the full rental period hereunder (including, without limitation, terrorism insurance), in an amount equal to the value of the Works as stipulated in writing by</w:t>
      </w:r>
    </w:p>
    <w:p>
      <w:pPr>
        <w:spacing w:after="0" w:line="106"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420"/>
          </w:cols>
          <w:pgMar w:left="240" w:top="274" w:right="239" w:bottom="1440" w:gutter="0" w:footer="0" w:header="0"/>
        </w:sectPr>
      </w:pPr>
    </w:p>
    <w:bookmarkStart w:id="133" w:name="page134"/>
    <w:bookmarkEnd w:id="13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Lessor, provided, however that Lessee shall not be responsible for insuring the Works during any period when the Works are not on display or are in transit to or from the Resort (the “</w:t>
      </w:r>
      <w:r>
        <w:rPr>
          <w:rFonts w:ascii="Times New Roman" w:cs="Times New Roman" w:eastAsia="Times New Roman" w:hAnsi="Times New Roman"/>
          <w:sz w:val="18"/>
          <w:szCs w:val="18"/>
          <w:b w:val="1"/>
          <w:bCs w:val="1"/>
          <w:color w:val="auto"/>
        </w:rPr>
        <w:t>Non-Displayed Period</w:t>
      </w:r>
      <w:r>
        <w:rPr>
          <w:rFonts w:ascii="Times New Roman" w:cs="Times New Roman" w:eastAsia="Times New Roman" w:hAnsi="Times New Roman"/>
          <w:sz w:val="18"/>
          <w:szCs w:val="18"/>
          <w:color w:val="auto"/>
        </w:rPr>
        <w:t>”). The parties agree that for purposes of this Section 7 the Non-Display Period shall also include, and the Works shall be deemed to not be on display, any time the Works are on display in the offices of Lessor (including adjacent conference room), Lessor’s executive assistants, Elaine Wynn or Elaine Wynn’s executive assistant. The parties also agree that for purposes of this Section 7, the Works shall be deemed to on display any time the Works appear in any public area of the Resort, including within the offices of any executive located in the Resort, other than the offices of Lessor (including adjacent conference room), Lessor’s executive assistants, Elaine Wynn or Elaine Wynn’s executive assistant. Upon reasonable prior notice to Lessee, Lessor shall have the right from time to time to reasonably increase the stated value of any one or more of the Works, and require Lessee to increase the amount of insurance required by this Section 7. Lessor shall be named as an additional insured on Lessee’s insurance policy. A certificate of insurance and a copy of those portions of the insurance policy covering the Works and setting forth any exclusions to coverage shall be furnished by Lessee to Lessor, and shall be subject to Lessor’s reasonable approval as to form and content (including, without limitation, any deductible). The foregoing insurance policy shall include coverage against all risk of physical loss or damage from any external cause while in transit and on location in the Resort during the rental period hereunder. Lessee shall bear sole responsibility and shall be liable to Lessor for all loss, damage, or destruction of the Works and any of them during the rental period hereunder (including, without limitation, loss, damage, or destruction incurred during packing or crating or while in transit) other than during any Non-Displayed Period, regardless of any exceptions, exclusions, or limitations to its insurance policy covering the Works, regardless of fault or the degree of care exercised by Lessee, and regardless of the presence or supervision of, or any direction or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400"/>
          </w:cols>
          <w:pgMar w:left="240" w:top="274" w:right="259" w:bottom="1440" w:gutter="0" w:footer="0" w:header="0"/>
        </w:sectPr>
      </w:pPr>
    </w:p>
    <w:bookmarkStart w:id="134" w:name="page135"/>
    <w:bookmarkEnd w:id="13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approval by, Lessor or any Lessor’s representative; provided, however, that Lessee’s liability in the event of such loss, damage, or destruction shall not exceed the value of the Works as stipulated in writing by Lessor. Lessee shall be responsible to pay any and all deductibles relating to the insurance coverage required by this Section 7. In the event any Work is lost or stolen, and then recovered after Lessor has obtained insurance proceeds, Lessor shall have the option to exchange those insurance proceeds for such Work. In the event any Work is damaged but not destroyed, Lessee agrees to be responsible for both the cost of repairing and restoring such Work and the loss in value of such Work as determined by an appraiser mutually agreed upon by the parties.</w:t>
      </w:r>
    </w:p>
    <w:p>
      <w:pPr>
        <w:spacing w:after="0" w:line="139" w:lineRule="exact"/>
        <w:rPr>
          <w:sz w:val="20"/>
          <w:szCs w:val="20"/>
          <w:color w:val="auto"/>
        </w:rPr>
      </w:pPr>
    </w:p>
    <w:p>
      <w:pPr>
        <w:ind w:firstLine="464"/>
        <w:spacing w:after="0" w:line="293" w:lineRule="auto"/>
        <w:tabs>
          <w:tab w:leader="none" w:pos="63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Security</w:t>
      </w:r>
      <w:r>
        <w:rPr>
          <w:rFonts w:ascii="Times New Roman" w:cs="Times New Roman" w:eastAsia="Times New Roman" w:hAnsi="Times New Roman"/>
          <w:sz w:val="16"/>
          <w:szCs w:val="16"/>
          <w:color w:val="auto"/>
        </w:rPr>
        <w:t>. Lessee agrees to take all reasonable steps necessary to secure and protect the Works from loss, theft or injury and to treat them in a manner consistent with maintaining its own most valuable assets at all times the Works are in its possession, control or custody, or in transit to or from Lessor. Without limiting the generality of the foregoing, Lessee shall provide for an adequate number of guards to be on duty in and around the Resort at all times while the Works are in the Resort. All Works shall be within direct sight lines of at least one guard and under direct video surveillance at all times during the rental period hereunder. Lessee shall comply with further reasonable security restrictions and arrangements as directed in writing by Lessor. Lessee represents and warrants to Lessor that the Resort is and shall be equipped with adequate fire detection/prevention systems and protected by alarm systems that are activated at all times.</w:t>
      </w:r>
    </w:p>
    <w:p>
      <w:pPr>
        <w:spacing w:after="0" w:line="110" w:lineRule="exact"/>
        <w:rPr>
          <w:rFonts w:ascii="Times New Roman" w:cs="Times New Roman" w:eastAsia="Times New Roman" w:hAnsi="Times New Roman"/>
          <w:sz w:val="16"/>
          <w:szCs w:val="16"/>
          <w:color w:val="auto"/>
        </w:rPr>
      </w:pPr>
    </w:p>
    <w:p>
      <w:pPr>
        <w:ind w:left="640" w:hanging="17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Lessee shall indemnify, defend, protect, and hold harmless Lessor, his agents, heirs, assigns, and successors (collectively,</w:t>
      </w:r>
    </w:p>
    <w:p>
      <w:pPr>
        <w:spacing w:after="0" w:line="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claims, damages, liabilities, losses, actions, complaints, or judgments, including, without limitation, attorneys’ fees, threatened against, incurred, or suffered by the Indemnitees, arising out of Lessee’s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420"/>
          </w:cols>
          <w:pgMar w:left="240" w:top="274" w:right="239" w:bottom="1440" w:gutter="0" w:footer="0" w:header="0"/>
        </w:sectPr>
      </w:pPr>
    </w:p>
    <w:bookmarkStart w:id="135" w:name="page136"/>
    <w:bookmarkEnd w:id="135"/>
    <w:p>
      <w:pPr>
        <w:ind w:right="1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breach of or failure to perform, under this Agreement, the inaccuracy when made of any representation or warranty made by Lessee, or any act or omission by or on behalf of Lessee or its respective officers, agents, employees, contractors, or representatives, relating to the Works or this Agreement.</w:t>
      </w:r>
    </w:p>
    <w:p>
      <w:pPr>
        <w:spacing w:after="0" w:line="120" w:lineRule="exact"/>
        <w:rPr>
          <w:sz w:val="20"/>
          <w:szCs w:val="20"/>
          <w:color w:val="auto"/>
        </w:rPr>
      </w:pPr>
    </w:p>
    <w:p>
      <w:pPr>
        <w:ind w:right="60" w:firstLine="464"/>
        <w:spacing w:after="0" w:line="291" w:lineRule="auto"/>
        <w:tabs>
          <w:tab w:leader="none" w:pos="7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Taxes</w:t>
      </w:r>
      <w:r>
        <w:rPr>
          <w:rFonts w:ascii="Times New Roman" w:cs="Times New Roman" w:eastAsia="Times New Roman" w:hAnsi="Times New Roman"/>
          <w:sz w:val="16"/>
          <w:szCs w:val="16"/>
          <w:color w:val="auto"/>
        </w:rPr>
        <w:t>. Lessee shall pay all of the following Nevada state and local taxes, along with all interest, penalties, and other additions related thereto: (a) sales and use taxes applicable to the rental of the Works pursuant hereto; and (b) except to the extent provided otherwise in the following sentence, personal property taxes applicable to each of the Works for each fiscal year during which Lessee is renting such Work hereunder. In the event that Lessor withdraws any Work from this Agreement and terminates the rental of such Work hereunder pursuant to the second sentence of Section 6 hereof, Lessor and Lessee shall make an equitable allocation of the personal property taxes applicable to such Work for the fiscal year in which such withdrawal occurs. For purposes of explanation and clarification of this Section 10, the personal property tax obligations of Lessee shall include Works that are on display in the offices of any executive located in the Resort, other than offices of Lessor (including adjacent conference room), Lessor’s executive assistants, Elaine Wynn or Elaine Wynn’s executive assistant.</w:t>
      </w:r>
    </w:p>
    <w:p>
      <w:pPr>
        <w:spacing w:after="0" w:line="113" w:lineRule="exact"/>
        <w:rPr>
          <w:rFonts w:ascii="Times New Roman" w:cs="Times New Roman" w:eastAsia="Times New Roman" w:hAnsi="Times New Roman"/>
          <w:sz w:val="16"/>
          <w:szCs w:val="16"/>
          <w:color w:val="auto"/>
        </w:rPr>
      </w:pPr>
    </w:p>
    <w:p>
      <w:pPr>
        <w:ind w:firstLine="464"/>
        <w:spacing w:after="0" w:line="256" w:lineRule="auto"/>
        <w:tabs>
          <w:tab w:leader="none" w:pos="71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Properties</w:t>
      </w:r>
      <w:r>
        <w:rPr>
          <w:rFonts w:ascii="Times New Roman" w:cs="Times New Roman" w:eastAsia="Times New Roman" w:hAnsi="Times New Roman"/>
          <w:sz w:val="18"/>
          <w:szCs w:val="18"/>
          <w:color w:val="auto"/>
        </w:rPr>
        <w:t>. Lessor consents to the photography, filming, videotaping and recordation of the Works for the purpose of obtaining photographic and other copyrights in the new derivative works, which shall be owned and controlled by Lessor, but which is hereby licensed to Lessee for use in advertising, promotion, and merchandising of, and education relating to, the Works, such license to run concurrently, with respect to any Work, with the rental of such Work hereunder. In the event that any Work is withdrawn or rental terminated, the corresponding license shall automatically terminate; provided, however, that following such termination, Lessee shall have six (6) months to discontinue sales and use of the applicable merchandise.</w:t>
      </w:r>
    </w:p>
    <w:p>
      <w:pPr>
        <w:spacing w:after="0" w:line="125" w:lineRule="exact"/>
        <w:rPr>
          <w:rFonts w:ascii="Times New Roman" w:cs="Times New Roman" w:eastAsia="Times New Roman" w:hAnsi="Times New Roman"/>
          <w:sz w:val="18"/>
          <w:szCs w:val="18"/>
          <w:color w:val="auto"/>
        </w:rPr>
      </w:pPr>
    </w:p>
    <w:p>
      <w:pPr>
        <w:ind w:left="5680" w:hanging="112"/>
        <w:spacing w:after="0"/>
        <w:tabs>
          <w:tab w:leader="none" w:pos="56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420"/>
          </w:cols>
          <w:pgMar w:left="240" w:top="274" w:right="239" w:bottom="1440" w:gutter="0" w:footer="0" w:header="0"/>
        </w:sectPr>
      </w:pPr>
    </w:p>
    <w:bookmarkStart w:id="136" w:name="page137"/>
    <w:bookmarkEnd w:id="136"/>
    <w:p>
      <w:pPr>
        <w:ind w:left="-460" w:right="20" w:firstLine="464"/>
        <w:spacing w:after="0" w:line="256" w:lineRule="auto"/>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r>
        <w:rPr>
          <w:rFonts w:ascii="Times New Roman" w:cs="Times New Roman" w:eastAsia="Times New Roman" w:hAnsi="Times New Roman"/>
          <w:sz w:val="18"/>
          <w:szCs w:val="18"/>
          <w:color w:val="auto"/>
        </w:rPr>
        <w:t>. Any notice to be given pursuant to this Agreement by either party to the other shall be in writing and may be effected either by personal delivery, by mail, registered or certified, postage prepaid, with return receipt requested, or by facsimile. Notice by mail shall be sent concurrently with any facsimile notice. Notices shall be addressed to the parties at the address specified below, but each party may change such party’s address by written notice in accordance with this Section 12. Notices delivered personally shall be deemed communicated as of actual receipt; and mailed notices and facsimile notices (with a concurrent mailing) shall be deemed communicated three (3) days after mailing. Notices shall be given as follows:</w:t>
      </w:r>
    </w:p>
    <w:p>
      <w:pPr>
        <w:sectPr>
          <w:pgSz w:w="11900" w:h="16838" w:orient="portrait"/>
          <w:cols w:equalWidth="0" w:num="1">
            <w:col w:w="10860"/>
          </w:cols>
          <w:pgMar w:left="700" w:top="274"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702-770-7000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Stephen A. Wynn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Wynn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3131 Las Vegas Boulevard South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702-770-7700</w:t>
      </w:r>
    </w:p>
    <w:p>
      <w:pPr>
        <w:spacing w:after="0" w:line="159" w:lineRule="exact"/>
        <w:rPr>
          <w:sz w:val="20"/>
          <w:szCs w:val="20"/>
          <w:color w:val="auto"/>
        </w:rPr>
      </w:pPr>
    </w:p>
    <w:p>
      <w:pPr>
        <w:sectPr>
          <w:pgSz w:w="11900" w:h="16838" w:orient="portrait"/>
          <w:cols w:equalWidth="0" w:num="2">
            <w:col w:w="4860" w:space="720"/>
            <w:col w:w="5280"/>
          </w:cols>
          <w:pgMar w:left="700" w:top="274" w:right="339" w:bottom="1440" w:gutter="0" w:footer="0" w:header="0"/>
          <w:type w:val="continuous"/>
        </w:sectPr>
      </w:pPr>
    </w:p>
    <w:p>
      <w:pPr>
        <w:ind w:left="-460" w:firstLine="464"/>
        <w:spacing w:after="0" w:line="256"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between the parties and supersedes any oral or written communications between Lessor and Lessee, with respect to its subject matter, including, without limitation, that certain Fourth Amended and Restated Art Rental Licensing Agreement, as amended, between Lessor and Lessee’s affiliate, Wynn Gallery, LLC, and that certain Second Amended and Restated Art Rental and Licensing Agreement, as amended, between Lessor and Lessee’s affiliate, Wynn Resorts Holdings, LLC. This Agreement may be amended only if such amendment is set forth in writing and executed by each of the parties.</w:t>
      </w:r>
    </w:p>
    <w:p>
      <w:pPr>
        <w:spacing w:after="0" w:line="138" w:lineRule="exact"/>
        <w:rPr>
          <w:rFonts w:ascii="Times New Roman" w:cs="Times New Roman" w:eastAsia="Times New Roman" w:hAnsi="Times New Roman"/>
          <w:sz w:val="18"/>
          <w:szCs w:val="18"/>
          <w:color w:val="auto"/>
        </w:rPr>
      </w:pPr>
    </w:p>
    <w:p>
      <w:pPr>
        <w:ind w:left="-460" w:right="80" w:firstLine="464"/>
        <w:spacing w:after="0" w:line="275" w:lineRule="auto"/>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in all respects be construed according to the laws of the State of Nevada, regardless of the choice or conflict of laws provisions of Nevada or any other jurisdiction.</w:t>
      </w:r>
    </w:p>
    <w:p>
      <w:pPr>
        <w:spacing w:after="0" w:line="106" w:lineRule="exact"/>
        <w:rPr>
          <w:rFonts w:ascii="Times New Roman" w:cs="Times New Roman" w:eastAsia="Times New Roman" w:hAnsi="Times New Roman"/>
          <w:sz w:val="18"/>
          <w:szCs w:val="18"/>
          <w:color w:val="auto"/>
        </w:rPr>
      </w:pPr>
    </w:p>
    <w:p>
      <w:pPr>
        <w:ind w:left="5220" w:hanging="112"/>
        <w:spacing w:after="0"/>
        <w:tabs>
          <w:tab w:leader="none" w:pos="52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860"/>
          </w:cols>
          <w:pgMar w:left="700" w:top="274" w:right="339" w:bottom="1440" w:gutter="0" w:footer="0" w:header="0"/>
          <w:type w:val="continuous"/>
        </w:sectPr>
      </w:pPr>
    </w:p>
    <w:bookmarkStart w:id="137" w:name="page138"/>
    <w:bookmarkEnd w:id="137"/>
    <w:p>
      <w:pPr>
        <w:ind w:left="-60" w:right="20" w:firstLine="464"/>
        <w:spacing w:after="0" w:line="25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Binding Effect</w:t>
      </w:r>
      <w:r>
        <w:rPr>
          <w:rFonts w:ascii="Times New Roman" w:cs="Times New Roman" w:eastAsia="Times New Roman" w:hAnsi="Times New Roman"/>
          <w:sz w:val="18"/>
          <w:szCs w:val="18"/>
          <w:color w:val="auto"/>
        </w:rPr>
        <w:t>. Lessor may assign any or all of his rights and obligations under this Agreement. Lessee may not assign all or any portion of its rights or obligations under this Agreement without Lessor’s prior consent. Subject to the preceding sentence, this Agreement shall be binding upon, inure to the benefit of, and be enforceable by the parties hereto and their respective heirs, legal representatives, successors, and assigns. This Agreement does not create, and shall not be construed or deemed to create, any rights or benefits enforceable by or for the benefit of any person or entity other than the parties hereto and their respective heirs, legal representatives, successors, and permitted assigns.</w:t>
      </w:r>
    </w:p>
    <w:p>
      <w:pPr>
        <w:spacing w:after="0" w:line="138" w:lineRule="exact"/>
        <w:rPr>
          <w:rFonts w:ascii="Times New Roman" w:cs="Times New Roman" w:eastAsia="Times New Roman" w:hAnsi="Times New Roman"/>
          <w:sz w:val="18"/>
          <w:szCs w:val="18"/>
          <w:color w:val="auto"/>
        </w:rPr>
      </w:pPr>
    </w:p>
    <w:p>
      <w:pPr>
        <w:ind w:left="-60" w:right="40" w:firstLine="464"/>
        <w:spacing w:after="0" w:line="26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Context</w:t>
      </w:r>
      <w:r>
        <w:rPr>
          <w:rFonts w:ascii="Times New Roman" w:cs="Times New Roman" w:eastAsia="Times New Roman" w:hAnsi="Times New Roman"/>
          <w:sz w:val="18"/>
          <w:szCs w:val="18"/>
          <w:color w:val="auto"/>
        </w:rPr>
        <w:t>. All headings herein are inserted only for convenience and ease of reference and shall not be considered in the construction or interpretation of any provision of this Agreement. Whenever used in this Agreement, the singular shall include the plural and the plural shall include the singular, and the neuter gender shall include the male and female as well as an entity, all as the context and meaning of this Agreement may require.</w:t>
      </w:r>
    </w:p>
    <w:p>
      <w:pPr>
        <w:spacing w:after="0" w:line="132" w:lineRule="exact"/>
        <w:rPr>
          <w:rFonts w:ascii="Times New Roman" w:cs="Times New Roman" w:eastAsia="Times New Roman" w:hAnsi="Times New Roman"/>
          <w:sz w:val="18"/>
          <w:szCs w:val="18"/>
          <w:color w:val="auto"/>
        </w:rPr>
      </w:pPr>
    </w:p>
    <w:p>
      <w:pPr>
        <w:ind w:left="-60" w:firstLine="464"/>
        <w:spacing w:after="0" w:line="275"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each of which shall be deemed an original, but all of which shall constitute one and the same instrument.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320"/>
          </w:cols>
          <w:pgMar w:left="300" w:top="274" w:right="279"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Effective Date.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A. Wynn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Nevada limited liability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Andrew Pascal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President</w:t>
      </w:r>
    </w:p>
    <w:p>
      <w:pPr>
        <w:spacing w:after="0" w:line="14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0219"/>
          </w:cols>
          <w:pgMar w:left="240" w:top="274"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WORKS OF ART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8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546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4"/>
                <w:szCs w:val="14"/>
                <w:b w:val="1"/>
                <w:bCs w:val="1"/>
                <w:color w:val="auto"/>
              </w:rPr>
              <w:t>Artist</w:t>
            </w:r>
          </w:p>
        </w:tc>
      </w:tr>
      <w:tr>
        <w:trPr>
          <w:trHeight w:val="196"/>
        </w:trPr>
        <w:tc>
          <w:tcPr>
            <w:tcW w:w="20" w:type="dxa"/>
            <w:vAlign w:val="bottom"/>
          </w:tcPr>
          <w:p>
            <w:pPr>
              <w:spacing w:after="0"/>
              <w:rPr>
                <w:sz w:val="17"/>
                <w:szCs w:val="17"/>
                <w:color w:val="auto"/>
              </w:rPr>
            </w:pPr>
          </w:p>
        </w:tc>
        <w:tc>
          <w:tcPr>
            <w:tcW w:w="58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7"/>
              </w:rPr>
              <w:t>Rembrandt Self Portrait with Shaded Eyes, 1634. Signed and dated Rembrandt. F/</w:t>
            </w:r>
          </w:p>
        </w:tc>
        <w:tc>
          <w:tcPr>
            <w:tcW w:w="140" w:type="dxa"/>
            <w:vAlign w:val="bottom"/>
          </w:tcPr>
          <w:p>
            <w:pPr>
              <w:spacing w:after="0"/>
              <w:rPr>
                <w:sz w:val="17"/>
                <w:szCs w:val="17"/>
                <w:color w:val="auto"/>
              </w:rPr>
            </w:pPr>
          </w:p>
        </w:tc>
        <w:tc>
          <w:tcPr>
            <w:tcW w:w="54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Rembrandt, Harmensz van Rinj</w:t>
            </w:r>
          </w:p>
        </w:tc>
      </w:tr>
      <w:tr>
        <w:trPr>
          <w:trHeight w:val="22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1634 lower right. Oil on oak panel 27 7/8 X 21 3/4 inches.</w:t>
            </w:r>
          </w:p>
        </w:tc>
        <w:tc>
          <w:tcPr>
            <w:tcW w:w="1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1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Myths, 1981 (portfolio of 10 screen prints valued at $10,000 each - Garbo, Aunt</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Warhol, Andy</w:t>
            </w:r>
          </w:p>
        </w:tc>
      </w:tr>
      <w:tr>
        <w:trPr>
          <w:trHeight w:val="21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Jemima, Superman, Uncle Sam, Santa Claus, Silhouette of Any Warhol, Witch,</w:t>
            </w:r>
          </w:p>
        </w:tc>
        <w:tc>
          <w:tcPr>
            <w:tcW w:w="140" w:type="dxa"/>
            <w:vAlign w:val="bottom"/>
          </w:tcPr>
          <w:p>
            <w:pPr>
              <w:spacing w:after="0"/>
              <w:rPr>
                <w:sz w:val="18"/>
                <w:szCs w:val="18"/>
                <w:color w:val="auto"/>
              </w:rPr>
            </w:pPr>
          </w:p>
        </w:tc>
        <w:tc>
          <w:tcPr>
            <w:tcW w:w="5460" w:type="dxa"/>
            <w:vAlign w:val="bottom"/>
          </w:tcPr>
          <w:p>
            <w:pPr>
              <w:spacing w:after="0"/>
              <w:rPr>
                <w:sz w:val="18"/>
                <w:szCs w:val="18"/>
                <w:color w:val="auto"/>
              </w:rPr>
            </w:pPr>
          </w:p>
        </w:tc>
      </w:tr>
      <w:tr>
        <w:trPr>
          <w:trHeight w:val="228"/>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Dracula, Mickey Mouse, Howdy Doody)</w:t>
            </w:r>
          </w:p>
        </w:tc>
        <w:tc>
          <w:tcPr>
            <w:tcW w:w="1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32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Master of Ceremonies</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Shapiro, Miriam</w:t>
            </w:r>
          </w:p>
        </w:tc>
      </w:tr>
      <w:tr>
        <w:trPr>
          <w:trHeight w:val="32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 Dancin’ as Fast as I can, 1984</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Shapiro, Miriam</w:t>
            </w:r>
          </w:p>
        </w:tc>
      </w:tr>
      <w:tr>
        <w:trPr>
          <w:trHeight w:val="32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Magritte II, 1998 - Sculpture</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Marisol Escobar</w:t>
            </w:r>
          </w:p>
        </w:tc>
      </w:tr>
      <w:tr>
        <w:trPr>
          <w:trHeight w:val="32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Picasso’s Studio (Bateau Lavoir, 1908). Oil on canvas, 42 X 72 inches.</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Elwes, Damian</w:t>
            </w:r>
          </w:p>
        </w:tc>
      </w:tr>
      <w:tr>
        <w:trPr>
          <w:trHeight w:val="32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Composition with glass</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Yasani, Masoud</w:t>
            </w:r>
          </w:p>
        </w:tc>
      </w:tr>
      <w:tr>
        <w:trPr>
          <w:trHeight w:val="32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Nude After Bathus</w:t>
            </w:r>
          </w:p>
        </w:tc>
        <w:tc>
          <w:tcPr>
            <w:tcW w:w="14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Ludwig, Daniel</w:t>
            </w:r>
          </w:p>
        </w:tc>
      </w:tr>
    </w:tbl>
    <w:p>
      <w:pPr>
        <w:sectPr>
          <w:pgSz w:w="11900" w:h="16838" w:orient="portrait"/>
          <w:cols w:equalWidth="0" w:num="1">
            <w:col w:w="11420"/>
          </w:cols>
          <w:pgMar w:left="240" w:top="274"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WYNN RESORTS, LIMITED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Rambas Marketing Co., LLC</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International Marketing, LLC (an Isle of Man limited liability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Toasty, LLC (a Delaware limited liability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B/W Clothiers, LLC (a 50% owned joint venture)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Valvino Lamore,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Gallery,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Travel G-IV,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Chamber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WLV IG,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Vacations,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Aircraft,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Worldwide Wynn,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 Realty Associates,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Design &amp;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PA,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Wynn/PEDP GP,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Wynn/PEDP LP,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Hotel Marketing &amp; Sales (Asia),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Group Asia, Inc.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WM Cayman Holdings Limited I (a Cayman Islands company)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Wynn Macau, Limited (a Cayman Islands company)</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WM Cayman Holdings Limited II (a Cayman Islands company)</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Wynn Resorts, International, Ltd. (an Isle of Man company)</w:t>
      </w:r>
    </w:p>
    <w:p>
      <w:pPr>
        <w:spacing w:after="0" w:line="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Wynn Resorts (Macau) Holdings, Ltd. (an Isle of Man company)</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Wynn Resorts (Macau), Ltd. (a Hong Kong Limited company)</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Wynn Resorts (Macau), S.A. (a Macau SA company)</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Palo Real Estate Company Ltd. (a Macau SA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Macau Development Company,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Cotai Holding Company, Ltd. (an Isle of Man corporation)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Cotai Partner, Ltd. (an Isle of Man company)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Cotai Land Development Company (a Macau SA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IOM Holdco I, Ltd. (an Isle of Man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IOM Holdco II, Ltd. (as Isle of Man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Manpower, Limited (a Macau limited company)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 Hoteleria Limitada (a Macau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Funding,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Holdings, LLC</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Wynn Las Vegas,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Las Vegas Jet,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World Travel,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Wynn Completion Guarantor,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Wynn Golf, LLC</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Wynn Las Vegas Capital Corp.</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Wynn Show Performers,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Wynn Sunrise, LLC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Kevyn, LLC</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PW automotive, LLC (a Delaware Limited Liability Company and 50% owned joint venture)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subsidiaries are formed in the State of Nevada and wholly-owned unless otherwise specifically identified.</w:t>
      </w:r>
    </w:p>
    <w:p>
      <w:pPr>
        <w:sectPr>
          <w:pgSz w:w="11900" w:h="16838" w:orient="portrait"/>
          <w:cols w:equalWidth="0" w:num="1">
            <w:col w:w="11420"/>
          </w:cols>
          <w:pgMar w:left="240" w:top="123"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S-3 No. 333-170098) of Wynn Resorts, Limited and the Registration Statement (Form S-8 No. 333-168323) pertaining to the Stock Incentive Plan of Wynn Resorts, Limited of our reports dated February 28, 2011 with respect to the consolidated financial statements and schedules of Wynn Resorts, Limited and the effectiveness of internal control over financial reporting of Wynn Resorts, Limited included in this Annual Report (Form 10-K) of Wynn Resorts, Limited for the year ended December 31, 2010.</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2011</w:t>
      </w:r>
    </w:p>
    <w:p>
      <w:pPr>
        <w:sectPr>
          <w:pgSz w:w="11900" w:h="16838" w:orient="portrait"/>
          <w:cols w:equalWidth="0" w:num="1">
            <w:col w:w="11420"/>
          </w:cols>
          <w:pgMar w:left="240" w:top="123"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Wynn, certify that:</w:t>
      </w:r>
    </w:p>
    <w:p>
      <w:pPr>
        <w:spacing w:after="0" w:line="90" w:lineRule="exact"/>
        <w:rPr>
          <w:sz w:val="20"/>
          <w:szCs w:val="20"/>
          <w:color w:val="auto"/>
        </w:rPr>
      </w:pPr>
    </w:p>
    <w:p>
      <w:pPr>
        <w:ind w:left="460" w:hanging="452"/>
        <w:spacing w:after="0"/>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2011</w:t>
      </w:r>
    </w:p>
    <w:p>
      <w:pPr>
        <w:spacing w:after="0" w:line="21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/s/ Stephen A. Wynn</w:t>
      </w:r>
    </w:p>
    <w:p>
      <w:pPr>
        <w:spacing w:after="0" w:line="34"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-99695</wp:posOffset>
            </wp:positionV>
            <wp:extent cx="289877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Chairman of the Board and</w:t>
      </w:r>
    </w:p>
    <w:p>
      <w:pPr>
        <w:jc w:val="center"/>
        <w:ind w:left="6860"/>
        <w:spacing w:after="0" w:line="224"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123" w:right="2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Maddox, certify that:</w:t>
      </w:r>
    </w:p>
    <w:p>
      <w:pPr>
        <w:spacing w:after="0" w:line="90" w:lineRule="exact"/>
        <w:rPr>
          <w:sz w:val="20"/>
          <w:szCs w:val="20"/>
          <w:color w:val="auto"/>
        </w:rPr>
      </w:pPr>
    </w:p>
    <w:p>
      <w:pPr>
        <w:ind w:left="460" w:hanging="452"/>
        <w:spacing w:after="0"/>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Wynn Resorts, Limited;</w:t>
      </w:r>
    </w:p>
    <w:p>
      <w:pPr>
        <w:spacing w:after="0" w:line="90" w:lineRule="exact"/>
        <w:rPr>
          <w:rFonts w:ascii="Times New Roman" w:cs="Times New Roman" w:eastAsia="Times New Roman" w:hAnsi="Times New Roman"/>
          <w:sz w:val="18"/>
          <w:szCs w:val="18"/>
          <w:color w:val="auto"/>
        </w:rPr>
      </w:pPr>
    </w:p>
    <w:p>
      <w:pPr>
        <w:ind w:left="460" w:right="260" w:hanging="452"/>
        <w:spacing w:after="0" w:line="334" w:lineRule="auto"/>
        <w:tabs>
          <w:tab w:leader="none" w:pos="4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8"/>
          <w:szCs w:val="18"/>
          <w:color w:val="auto"/>
        </w:rPr>
      </w:pPr>
    </w:p>
    <w:p>
      <w:pPr>
        <w:ind w:left="460" w:right="200" w:hanging="452"/>
        <w:spacing w:after="0" w:line="262"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1" w:lineRule="exact"/>
        <w:rPr>
          <w:rFonts w:ascii="Times New Roman" w:cs="Times New Roman" w:eastAsia="Times New Roman" w:hAnsi="Times New Roman"/>
          <w:sz w:val="18"/>
          <w:szCs w:val="18"/>
          <w:color w:val="auto"/>
        </w:rPr>
      </w:pPr>
    </w:p>
    <w:p>
      <w:pPr>
        <w:ind w:left="900" w:right="60" w:hanging="446"/>
        <w:spacing w:after="0" w:line="262" w:lineRule="auto"/>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51" w:lineRule="exact"/>
        <w:rPr>
          <w:rFonts w:ascii="Times New Roman" w:cs="Times New Roman" w:eastAsia="Times New Roman" w:hAnsi="Times New Roman"/>
          <w:sz w:val="18"/>
          <w:szCs w:val="18"/>
          <w:color w:val="auto"/>
        </w:rPr>
      </w:pPr>
    </w:p>
    <w:p>
      <w:pPr>
        <w:ind w:left="900" w:right="100" w:hanging="446"/>
        <w:spacing w:after="0" w:line="275" w:lineRule="auto"/>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1" w:lineRule="exact"/>
        <w:rPr>
          <w:rFonts w:ascii="Times New Roman" w:cs="Times New Roman" w:eastAsia="Times New Roman" w:hAnsi="Times New Roman"/>
          <w:sz w:val="18"/>
          <w:szCs w:val="18"/>
          <w:color w:val="auto"/>
        </w:rPr>
      </w:pPr>
    </w:p>
    <w:p>
      <w:pPr>
        <w:ind w:left="460" w:right="640" w:hanging="452"/>
        <w:spacing w:after="0" w:line="275" w:lineRule="auto"/>
        <w:tabs>
          <w:tab w:leader="none" w:pos="4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Times New Roman" w:cs="Times New Roman" w:eastAsia="Times New Roman" w:hAnsi="Times New Roman"/>
          <w:sz w:val="18"/>
          <w:szCs w:val="18"/>
          <w:color w:val="auto"/>
        </w:rPr>
      </w:pPr>
    </w:p>
    <w:p>
      <w:pPr>
        <w:ind w:left="900" w:right="20" w:hanging="446"/>
        <w:spacing w:after="0" w:line="275" w:lineRule="auto"/>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2011</w:t>
      </w:r>
    </w:p>
    <w:p>
      <w:pPr>
        <w:spacing w:after="0" w:line="212"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4"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Matt Maddox</w:t>
      </w:r>
    </w:p>
    <w:p>
      <w:pPr>
        <w:jc w:val="center"/>
        <w:ind w:left="6860"/>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 and Treasurer</w:t>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123" w:right="2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9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2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Wynn Resorts, Limited (the “Company”) for the year ended December 31, 2010 as filed with the Securities and Exchange Commission on the date hereof (the “Report”), Stephen A. Wynn, as Chief Executive Officer of the Company, and Matt Maddox, as Chief Financial Officer of the Company, each hereby certifies, pursuant to 18 U.S.C. Section 1350, as adopted pursuant to Section 906 of the Sarbanes-Oxley Act of 2002, that, to the best of his knowledge:</w:t>
      </w:r>
    </w:p>
    <w:p>
      <w:pPr>
        <w:spacing w:after="0" w:line="55" w:lineRule="exact"/>
        <w:rPr>
          <w:sz w:val="20"/>
          <w:szCs w:val="20"/>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 Stephen A. Wynn</w:t>
            </w: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Stephen A. Wynn</w:t>
            </w:r>
          </w:p>
        </w:tc>
      </w:tr>
      <w:tr>
        <w:trPr>
          <w:trHeight w:val="21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and Chief Executive Officer (Principal</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2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2011</w:t>
            </w:r>
          </w:p>
        </w:tc>
      </w:tr>
      <w:tr>
        <w:trPr>
          <w:trHeight w:val="420"/>
        </w:trPr>
        <w:tc>
          <w:tcPr>
            <w:tcW w:w="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/s/ Matt Maddox</w:t>
            </w: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Matt Maddox</w:t>
            </w:r>
          </w:p>
        </w:tc>
      </w:tr>
      <w:tr>
        <w:trPr>
          <w:trHeight w:val="216"/>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 and Treasurer (Principal</w:t>
            </w:r>
          </w:p>
        </w:tc>
      </w:tr>
      <w:tr>
        <w:trPr>
          <w:trHeight w:val="216"/>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2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2011</w:t>
            </w:r>
          </w:p>
        </w:tc>
      </w:tr>
    </w:tbl>
    <w:p>
      <w:pPr>
        <w:spacing w:after="0" w:line="150" w:lineRule="exact"/>
        <w:rPr>
          <w:sz w:val="20"/>
          <w:szCs w:val="20"/>
          <w:color w:val="auto"/>
        </w:rPr>
      </w:pPr>
    </w:p>
    <w:p>
      <w:pPr>
        <w:jc w:val="both"/>
        <w:ind w:right="280"/>
        <w:spacing w:after="0" w:line="26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lvl w:ilvl="1">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decimal"/>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decimal"/>
      <w:start w:val="2"/>
    </w:lvl>
  </w:abstractNum>
  <w:abstractNum w:abstractNumId="28">
    <w:nsid w:val="2D517796"/>
    <w:multiLevelType w:val="hybridMultilevel"/>
    <w:lvl w:ilvl="0">
      <w:lvlJc w:val="left"/>
      <w:lvlText w:val="%1."/>
      <w:numFmt w:val="decimal"/>
      <w:start w:val="9"/>
    </w:lvl>
  </w:abstractNum>
  <w:abstractNum w:abstractNumId="29">
    <w:nsid w:val="580BD78F"/>
    <w:multiLevelType w:val="hybridMultilevel"/>
    <w:lvl w:ilvl="0">
      <w:lvlJc w:val="left"/>
      <w:lvlText w:val="%1."/>
      <w:numFmt w:val="decimal"/>
      <w:start w:val="14"/>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lowerLetter"/>
      <w:start w:val="1"/>
    </w:lvl>
  </w:abstractNum>
  <w:abstractNum w:abstractNumId="32">
    <w:nsid w:val="70A64E2A"/>
    <w:multiLevelType w:val="hybridMultilevel"/>
    <w:lvl w:ilvl="0">
      <w:lvlJc w:val="left"/>
      <w:lvlText w:val="(%1)"/>
      <w:numFmt w:val="lowerLetter"/>
      <w:start w:val="3"/>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2"/>
    </w:lvl>
  </w:abstractNum>
  <w:abstractNum w:abstractNumId="38">
    <w:nsid w:val="57E4CCAF"/>
    <w:multiLevelType w:val="hybridMultilevel"/>
    <w:lvl w:ilvl="0">
      <w:lvlJc w:val="left"/>
      <w:lvlText w:val="(%1)"/>
      <w:numFmt w:val="decimal"/>
      <w:start w:val="49"/>
    </w:lvl>
  </w:abstractNum>
  <w:abstractNum w:abstractNumId="39">
    <w:nsid w:val="7A6D8D3C"/>
    <w:multiLevelType w:val="hybridMultilevel"/>
    <w:lvl w:ilvl="0">
      <w:lvlJc w:val="left"/>
      <w:lvlText w:val="%1."/>
      <w:numFmt w:val="decimal"/>
      <w:start w:val="1"/>
    </w:lvl>
    <w:lvl w:ilvl="1">
      <w:lvlJc w:val="left"/>
      <w:lvlText w:val="-"/>
      <w:numFmt w:val="bullet"/>
      <w:start w:val="1"/>
    </w:lvl>
  </w:abstractNum>
  <w:abstractNum w:abstractNumId="40">
    <w:nsid w:val="4B588F54"/>
    <w:multiLevelType w:val="hybridMultilevel"/>
    <w:lvl w:ilvl="0">
      <w:lvlJc w:val="left"/>
      <w:lvlText w:val="%1."/>
      <w:numFmt w:val="decimal"/>
      <w:start w:val="2"/>
    </w:lvl>
    <w:lvl w:ilvl="1">
      <w:lvlJc w:val="left"/>
      <w:lvlText w:val="-"/>
      <w:numFmt w:val="bullet"/>
      <w:start w:val="1"/>
    </w:lvl>
  </w:abstractNum>
  <w:abstractNum w:abstractNumId="41">
    <w:nsid w:val="542289EC"/>
    <w:multiLevelType w:val="hybridMultilevel"/>
    <w:lvl w:ilvl="0">
      <w:lvlJc w:val="left"/>
      <w:lvlText w:val="%1."/>
      <w:numFmt w:val="decimal"/>
      <w:start w:val="5"/>
    </w:lvl>
    <w:lvl w:ilvl="1">
      <w:lvlJc w:val="left"/>
      <w:lvlText w:val="-"/>
      <w:numFmt w:val="bullet"/>
      <w:start w:val="1"/>
    </w:lvl>
  </w:abstractNum>
  <w:abstractNum w:abstractNumId="42">
    <w:nsid w:val="6DE91B18"/>
    <w:multiLevelType w:val="hybridMultilevel"/>
    <w:lvl w:ilvl="0">
      <w:lvlJc w:val="left"/>
      <w:lvlText w:val="%1."/>
      <w:numFmt w:val="decimal"/>
      <w:start w:val="7"/>
    </w:lvl>
    <w:lvl w:ilvl="1">
      <w:lvlJc w:val="left"/>
      <w:lvlText w:val="-"/>
      <w:numFmt w:val="bullet"/>
      <w:start w:val="1"/>
    </w:lvl>
  </w:abstractNum>
  <w:abstractNum w:abstractNumId="43">
    <w:nsid w:val="38437FDB"/>
    <w:multiLevelType w:val="hybridMultilevel"/>
    <w:lvl w:ilvl="0">
      <w:lvlJc w:val="left"/>
      <w:lvlText w:val="%1."/>
      <w:numFmt w:val="decimal"/>
      <w:start w:val="8"/>
    </w:lvl>
  </w:abstractNum>
  <w:abstractNum w:abstractNumId="44">
    <w:nsid w:val="7644A45C"/>
    <w:multiLevelType w:val="hybridMultilevel"/>
    <w:lvl w:ilvl="0">
      <w:lvlJc w:val="left"/>
      <w:lvlText w:val="%1."/>
      <w:numFmt w:val="decimal"/>
      <w:start w:val="10"/>
    </w:lvl>
    <w:lvl w:ilvl="1">
      <w:lvlJc w:val="left"/>
      <w:lvlText w:val="-"/>
      <w:numFmt w:val="bullet"/>
      <w:start w:val="1"/>
    </w:lvl>
  </w:abstractNum>
  <w:abstractNum w:abstractNumId="45">
    <w:nsid w:val="32FFF902"/>
    <w:multiLevelType w:val="hybridMultilevel"/>
    <w:lvl w:ilvl="0">
      <w:lvlJc w:val="left"/>
      <w:lvlText w:val="%1."/>
      <w:numFmt w:val="decimal"/>
      <w:start w:val="12"/>
    </w:lvl>
  </w:abstractNum>
  <w:abstractNum w:abstractNumId="46">
    <w:nsid w:val="684A481A"/>
    <w:multiLevelType w:val="hybridMultilevel"/>
    <w:lvl w:ilvl="0">
      <w:lvlJc w:val="left"/>
      <w:lvlText w:val="%1."/>
      <w:numFmt w:val="decimal"/>
      <w:start w:val="13"/>
    </w:lvl>
    <w:lvl w:ilvl="1">
      <w:lvlJc w:val="left"/>
      <w:lvlText w:val="-"/>
      <w:numFmt w:val="bullet"/>
      <w:start w:val="1"/>
    </w:lvl>
  </w:abstractNum>
  <w:abstractNum w:abstractNumId="47">
    <w:nsid w:val="579478FE"/>
    <w:multiLevelType w:val="hybridMultilevel"/>
    <w:lvl w:ilvl="0">
      <w:lvlJc w:val="left"/>
      <w:lvlText w:val="%1."/>
      <w:numFmt w:val="decimal"/>
      <w:start w:val="15"/>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2019-12-15T07:54:00Z</dcterms:created>
  <dcterms:modified xsi:type="dcterms:W3CDTF">2019-12-15T07:54:00Z</dcterms:modified>
</cp:coreProperties>
</file>