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6, 2010</w:t>
      </w:r>
    </w:p>
    <w:p>
      <w:pPr>
        <w:spacing w:after="0" w:line="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53" w:lineRule="exact"/>
        <w:rPr>
          <w:sz w:val="24"/>
          <w:szCs w:val="24"/>
          <w:color w:val="auto"/>
        </w:rPr>
      </w:pPr>
    </w:p>
    <w:tbl>
      <w:tblPr>
        <w:tblLayout w:type="fixed"/>
        <w:tblInd w:w="108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63"/>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88-0494875</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1"/>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rPr>
                <w:sz w:val="20"/>
                <w:szCs w:val="20"/>
                <w:color w:val="auto"/>
              </w:rPr>
            </w:pPr>
            <w:r>
              <w:rPr>
                <w:rFonts w:ascii="Arial" w:cs="Arial" w:eastAsia="Arial" w:hAnsi="Arial"/>
                <w:sz w:val="14"/>
                <w:szCs w:val="14"/>
                <w:b w:val="1"/>
                <w:bCs w:val="1"/>
                <w:color w:val="auto"/>
                <w:w w:val="89"/>
              </w:rPr>
              <w:t>Identification No.)</w:t>
            </w:r>
          </w:p>
        </w:tc>
      </w:tr>
      <w:tr>
        <w:trPr>
          <w:trHeight w:val="393"/>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74"/>
        </w:trPr>
        <w:tc>
          <w:tcPr>
            <w:tcW w:w="2120" w:type="dxa"/>
            <w:vAlign w:val="bottom"/>
          </w:tcPr>
          <w:p>
            <w:pPr>
              <w:spacing w:after="0"/>
              <w:rPr>
                <w:sz w:val="15"/>
                <w:szCs w:val="15"/>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5"/>
                <w:szCs w:val="15"/>
                <w:color w:val="auto"/>
              </w:rPr>
            </w:pPr>
          </w:p>
        </w:tc>
      </w:tr>
      <w:tr>
        <w:trPr>
          <w:trHeight w:val="177"/>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 Code Number)</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Casey T. Fleck,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becomes effective.</w:t>
      </w:r>
    </w:p>
    <w:p>
      <w:pPr>
        <w:spacing w:after="0" w:line="13" w:lineRule="exact"/>
        <w:rPr>
          <w:sz w:val="24"/>
          <w:szCs w:val="24"/>
          <w:color w:val="auto"/>
        </w:rPr>
      </w:pPr>
    </w:p>
    <w:p>
      <w:pPr>
        <w:jc w:val="center"/>
        <w:ind w:right="-99"/>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68"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260" w:firstLine="342"/>
        <w:spacing w:after="0" w:line="168"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7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0"/>
        </w:trPr>
        <w:tc>
          <w:tcPr>
            <w:tcW w:w="20" w:type="dxa"/>
            <w:vAlign w:val="bottom"/>
          </w:tcPr>
          <w:p>
            <w:pPr>
              <w:spacing w:after="0"/>
              <w:rPr>
                <w:sz w:val="9"/>
                <w:szCs w:val="9"/>
                <w:color w:val="auto"/>
              </w:rPr>
            </w:pPr>
          </w:p>
        </w:tc>
        <w:tc>
          <w:tcPr>
            <w:tcW w:w="47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13"/>
              <w:spacing w:after="0" w:line="110" w:lineRule="exact"/>
              <w:rPr>
                <w:sz w:val="20"/>
                <w:szCs w:val="20"/>
                <w:color w:val="auto"/>
              </w:rPr>
            </w:pPr>
            <w:r>
              <w:rPr>
                <w:rFonts w:ascii="Arial" w:cs="Arial" w:eastAsia="Arial" w:hAnsi="Arial"/>
                <w:sz w:val="12"/>
                <w:szCs w:val="12"/>
                <w:b w:val="1"/>
                <w:bCs w:val="1"/>
                <w:color w:val="auto"/>
              </w:rPr>
              <w:t>Proposed maximum</w:t>
            </w:r>
          </w:p>
        </w:tc>
        <w:tc>
          <w:tcPr>
            <w:tcW w:w="1940" w:type="dxa"/>
            <w:vAlign w:val="bottom"/>
            <w:tcBorders>
              <w:right w:val="single" w:sz="8" w:color="auto"/>
            </w:tcBorders>
          </w:tcPr>
          <w:p>
            <w:pPr>
              <w:spacing w:after="0"/>
              <w:rPr>
                <w:sz w:val="9"/>
                <w:szCs w:val="9"/>
                <w:color w:val="auto"/>
              </w:rPr>
            </w:pP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4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16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33"/>
              <w:spacing w:after="0" w:line="149" w:lineRule="exact"/>
              <w:rPr>
                <w:sz w:val="20"/>
                <w:szCs w:val="20"/>
                <w:color w:val="auto"/>
              </w:rPr>
            </w:pPr>
            <w:r>
              <w:rPr>
                <w:rFonts w:ascii="Arial" w:cs="Arial" w:eastAsia="Arial" w:hAnsi="Arial"/>
                <w:sz w:val="14"/>
                <w:szCs w:val="14"/>
                <w:b w:val="1"/>
                <w:bCs w:val="1"/>
                <w:color w:val="auto"/>
                <w:w w:val="88"/>
              </w:rPr>
              <w:t>offering price per</w:t>
            </w:r>
          </w:p>
        </w:tc>
        <w:tc>
          <w:tcPr>
            <w:tcW w:w="1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Proposed maximum</w:t>
            </w:r>
          </w:p>
        </w:tc>
        <w:tc>
          <w:tcPr>
            <w:tcW w:w="15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20" w:type="dxa"/>
            <w:vAlign w:val="bottom"/>
          </w:tcPr>
          <w:p>
            <w:pPr>
              <w:spacing w:after="0"/>
              <w:rPr>
                <w:sz w:val="14"/>
                <w:szCs w:val="14"/>
                <w:color w:val="auto"/>
              </w:rPr>
            </w:pP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5"/>
              </w:rPr>
              <w:t>security</w:t>
            </w:r>
          </w:p>
        </w:tc>
        <w:tc>
          <w:tcPr>
            <w:tcW w:w="19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aggregate offering price</w:t>
            </w:r>
          </w:p>
        </w:tc>
        <w:tc>
          <w:tcPr>
            <w:tcW w:w="15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47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1"/>
                <w:szCs w:val="11"/>
                <w:color w:val="auto"/>
              </w:rPr>
              <w:t xml:space="preserve">7 </w:t>
            </w:r>
            <w:r>
              <w:rPr>
                <w:rFonts w:ascii="Arial" w:cs="Arial" w:eastAsia="Arial" w:hAnsi="Arial"/>
                <w:sz w:val="16"/>
                <w:szCs w:val="16"/>
                <w:color w:val="auto"/>
                <w:vertAlign w:val="superscript"/>
              </w:rPr>
              <w:t>3</w:t>
            </w:r>
            <w:r>
              <w:rPr>
                <w:rFonts w:ascii="Arial" w:cs="Arial" w:eastAsia="Arial" w:hAnsi="Arial"/>
                <w:sz w:val="11"/>
                <w:szCs w:val="11"/>
                <w:color w:val="auto"/>
              </w:rPr>
              <w:t>/4 % First Mortgage Notes due 2020</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6"/>
              </w:rPr>
              <w:t>$1,320,000,000</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89"/>
              </w:rPr>
              <w:t>100%</w:t>
            </w:r>
          </w:p>
        </w:tc>
        <w:tc>
          <w:tcPr>
            <w:tcW w:w="19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$1,320,000,000(1)</w:t>
            </w:r>
          </w:p>
        </w:tc>
        <w:tc>
          <w:tcPr>
            <w:tcW w:w="156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5"/>
              </w:rPr>
              <w:t>$94,116.00</w:t>
            </w:r>
          </w:p>
        </w:tc>
      </w:tr>
      <w:tr>
        <w:trPr>
          <w:trHeight w:val="142"/>
        </w:trPr>
        <w:tc>
          <w:tcPr>
            <w:tcW w:w="47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 xml:space="preserve">Guarantees related to the 7 </w:t>
            </w:r>
            <w:r>
              <w:rPr>
                <w:rFonts w:ascii="Arial" w:cs="Arial" w:eastAsia="Arial" w:hAnsi="Arial"/>
                <w:sz w:val="16"/>
                <w:szCs w:val="16"/>
                <w:color w:val="auto"/>
                <w:vertAlign w:val="superscript"/>
              </w:rPr>
              <w:t>3</w:t>
            </w:r>
            <w:r>
              <w:rPr>
                <w:rFonts w:ascii="Arial" w:cs="Arial" w:eastAsia="Arial" w:hAnsi="Arial"/>
                <w:sz w:val="11"/>
                <w:szCs w:val="11"/>
                <w:color w:val="auto"/>
              </w:rPr>
              <w:t>/4% First Mortgage Notes due 2020</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N/A</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rPr>
              <w:t>N/A</w:t>
            </w:r>
          </w:p>
        </w:tc>
        <w:tc>
          <w:tcPr>
            <w:tcW w:w="194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N/A</w:t>
            </w:r>
          </w:p>
        </w:tc>
        <w:tc>
          <w:tcPr>
            <w:tcW w:w="156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8"/>
              </w:rPr>
              <w:t>N/A(2)</w:t>
            </w:r>
          </w:p>
        </w:tc>
      </w:tr>
      <w:tr>
        <w:trPr>
          <w:trHeight w:val="142"/>
        </w:trPr>
        <w:tc>
          <w:tcPr>
            <w:tcW w:w="472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6"/>
              </w:rPr>
              <w:t>$1,320,000,000</w:t>
            </w:r>
          </w:p>
        </w:tc>
        <w:tc>
          <w:tcPr>
            <w:tcW w:w="1600" w:type="dxa"/>
            <w:vAlign w:val="bottom"/>
            <w:tcBorders>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rPr>
              <w:t>N/A</w:t>
            </w:r>
          </w:p>
        </w:tc>
        <w:tc>
          <w:tcPr>
            <w:tcW w:w="1940" w:type="dxa"/>
            <w:vAlign w:val="bottom"/>
            <w:tcBorders>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N/A</w:t>
            </w:r>
          </w:p>
        </w:tc>
        <w:tc>
          <w:tcPr>
            <w:tcW w:w="1560" w:type="dxa"/>
            <w:vAlign w:val="bottom"/>
          </w:tcPr>
          <w:p>
            <w:pPr>
              <w:jc w:val="center"/>
              <w:ind w:left="12"/>
              <w:spacing w:after="0" w:line="142" w:lineRule="exact"/>
              <w:rPr>
                <w:sz w:val="20"/>
                <w:szCs w:val="20"/>
                <w:color w:val="auto"/>
              </w:rPr>
            </w:pPr>
            <w:r>
              <w:rPr>
                <w:rFonts w:ascii="Arial" w:cs="Arial" w:eastAsia="Arial" w:hAnsi="Arial"/>
                <w:sz w:val="14"/>
                <w:szCs w:val="14"/>
                <w:color w:val="auto"/>
                <w:w w:val="85"/>
              </w:rPr>
              <w:t>$94,116.00</w:t>
            </w: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457(f) promulgated under the Securities Act of 1933, as amended.</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457(n), no additional fee is being paid in respect of the Guarantees. The Guarantees are not traded separately.</w:t>
      </w:r>
    </w:p>
    <w:p>
      <w:pPr>
        <w:spacing w:after="0" w:line="14"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60" w:type="dxa"/>
            <w:vAlign w:val="bottom"/>
            <w:gridSpan w:val="2"/>
          </w:tcPr>
          <w:p>
            <w:pPr>
              <w:ind w:left="1280"/>
              <w:spacing w:after="0"/>
              <w:rPr>
                <w:sz w:val="20"/>
                <w:szCs w:val="20"/>
                <w:color w:val="auto"/>
              </w:rPr>
            </w:pPr>
            <w:r>
              <w:rPr>
                <w:rFonts w:ascii="Arial" w:cs="Arial" w:eastAsia="Arial" w:hAnsi="Arial"/>
                <w:sz w:val="14"/>
                <w:szCs w:val="14"/>
                <w:b w:val="1"/>
                <w:bCs w:val="1"/>
                <w:color w:val="auto"/>
              </w:rPr>
              <w:t>TABLE OF ADDITIONAL REGISTRANTS</w:t>
            </w:r>
          </w:p>
        </w:tc>
        <w:tc>
          <w:tcPr>
            <w:tcW w:w="7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0"/>
        </w:trPr>
        <w:tc>
          <w:tcPr>
            <w:tcW w:w="17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7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7"/>
              </w:rPr>
              <w:t>State or Other Jurisdiction of</w:t>
            </w:r>
          </w:p>
        </w:tc>
        <w:tc>
          <w:tcPr>
            <w:tcW w:w="76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1"/>
              </w:rPr>
              <w:t>Primary Standard Industrial</w:t>
            </w:r>
          </w:p>
        </w:tc>
        <w:tc>
          <w:tcPr>
            <w:tcW w:w="760" w:type="dxa"/>
            <w:vAlign w:val="bottom"/>
          </w:tcPr>
          <w:p>
            <w:pPr>
              <w:spacing w:after="0"/>
              <w:rPr>
                <w:sz w:val="13"/>
                <w:szCs w:val="13"/>
                <w:color w:val="auto"/>
              </w:rPr>
            </w:pPr>
          </w:p>
        </w:tc>
        <w:tc>
          <w:tcPr>
            <w:tcW w:w="1040" w:type="dxa"/>
            <w:vAlign w:val="bottom"/>
            <w:gridSpan w:val="2"/>
          </w:tcPr>
          <w:p>
            <w:pPr>
              <w:jc w:val="center"/>
              <w:ind w:right="20"/>
              <w:spacing w:after="0" w:line="150" w:lineRule="exact"/>
              <w:rPr>
                <w:sz w:val="20"/>
                <w:szCs w:val="20"/>
                <w:color w:val="auto"/>
              </w:rPr>
            </w:pPr>
            <w:r>
              <w:rPr>
                <w:rFonts w:ascii="Arial" w:cs="Arial" w:eastAsia="Arial" w:hAnsi="Arial"/>
                <w:sz w:val="14"/>
                <w:szCs w:val="14"/>
                <w:b w:val="1"/>
                <w:bCs w:val="1"/>
                <w:color w:val="auto"/>
                <w:w w:val="91"/>
              </w:rPr>
              <w:t>I.R.S. Employer</w:t>
            </w:r>
          </w:p>
        </w:tc>
      </w:tr>
      <w:tr>
        <w:trPr>
          <w:trHeight w:val="16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 of Additional Registrant*</w:t>
            </w:r>
          </w:p>
        </w:tc>
        <w:tc>
          <w:tcPr>
            <w:tcW w:w="23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Formation</w:t>
            </w:r>
          </w:p>
        </w:tc>
        <w:tc>
          <w:tcPr>
            <w:tcW w:w="7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1800" w:type="dxa"/>
            <w:vAlign w:val="bottom"/>
            <w:gridSpan w:val="3"/>
          </w:tcPr>
          <w:p>
            <w:pPr>
              <w:jc w:val="center"/>
              <w:ind w:left="672"/>
              <w:spacing w:after="0"/>
              <w:rPr>
                <w:sz w:val="20"/>
                <w:szCs w:val="20"/>
                <w:color w:val="auto"/>
              </w:rPr>
            </w:pPr>
            <w:r>
              <w:rPr>
                <w:rFonts w:ascii="Arial" w:cs="Arial" w:eastAsia="Arial" w:hAnsi="Arial"/>
                <w:sz w:val="14"/>
                <w:szCs w:val="14"/>
                <w:b w:val="1"/>
                <w:bCs w:val="1"/>
                <w:color w:val="auto"/>
                <w:w w:val="89"/>
              </w:rPr>
              <w:t>Identification No.</w:t>
            </w:r>
          </w:p>
        </w:tc>
      </w:tr>
      <w:tr>
        <w:trPr>
          <w:trHeight w:val="131"/>
        </w:trPr>
        <w:tc>
          <w:tcPr>
            <w:tcW w:w="17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Las Vegas Jet, LLC</w:t>
            </w:r>
          </w:p>
        </w:tc>
        <w:tc>
          <w:tcPr>
            <w:tcW w:w="14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7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2"/>
              </w:rPr>
              <w:t>Nevada</w:t>
            </w:r>
          </w:p>
        </w:tc>
        <w:tc>
          <w:tcPr>
            <w:tcW w:w="76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9"/>
              </w:rPr>
              <w:t>7990</w:t>
            </w:r>
          </w:p>
        </w:tc>
        <w:tc>
          <w:tcPr>
            <w:tcW w:w="760" w:type="dxa"/>
            <w:vAlign w:val="bottom"/>
          </w:tcPr>
          <w:p>
            <w:pPr>
              <w:spacing w:after="0"/>
              <w:rPr>
                <w:sz w:val="11"/>
                <w:szCs w:val="11"/>
                <w:color w:val="auto"/>
              </w:rPr>
            </w:pP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88-0460935</w:t>
            </w:r>
          </w:p>
        </w:tc>
        <w:tc>
          <w:tcPr>
            <w:tcW w:w="20" w:type="dxa"/>
            <w:vAlign w:val="bottom"/>
          </w:tcPr>
          <w:p>
            <w:pPr>
              <w:spacing w:after="0"/>
              <w:rPr>
                <w:sz w:val="11"/>
                <w:szCs w:val="1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World Travel, LLC</w:t>
            </w:r>
          </w:p>
        </w:tc>
        <w:tc>
          <w:tcPr>
            <w:tcW w:w="23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82"/>
              </w:rPr>
              <w:t>Nevada</w:t>
            </w:r>
          </w:p>
        </w:tc>
        <w:tc>
          <w:tcPr>
            <w:tcW w:w="244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9"/>
              </w:rPr>
              <w:t>7990</w:t>
            </w:r>
          </w:p>
        </w:tc>
        <w:tc>
          <w:tcPr>
            <w:tcW w:w="178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8"/>
              </w:rPr>
              <w:t>47-0846667</w:t>
            </w:r>
          </w:p>
        </w:tc>
        <w:tc>
          <w:tcPr>
            <w:tcW w:w="20" w:type="dxa"/>
            <w:vAlign w:val="bottom"/>
          </w:tcPr>
          <w:p>
            <w:pPr>
              <w:spacing w:after="0"/>
              <w:rPr>
                <w:sz w:val="12"/>
                <w:szCs w:val="12"/>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Golf, LLC</w:t>
            </w:r>
          </w:p>
        </w:tc>
        <w:tc>
          <w:tcPr>
            <w:tcW w:w="23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82"/>
              </w:rPr>
              <w:t>Nevada</w:t>
            </w:r>
          </w:p>
        </w:tc>
        <w:tc>
          <w:tcPr>
            <w:tcW w:w="244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9"/>
              </w:rPr>
              <w:t>7990</w:t>
            </w:r>
          </w:p>
        </w:tc>
        <w:tc>
          <w:tcPr>
            <w:tcW w:w="178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8"/>
              </w:rPr>
              <w:t>20-1267401</w:t>
            </w:r>
          </w:p>
        </w:tc>
        <w:tc>
          <w:tcPr>
            <w:tcW w:w="20" w:type="dxa"/>
            <w:vAlign w:val="bottom"/>
          </w:tcPr>
          <w:p>
            <w:pPr>
              <w:spacing w:after="0"/>
              <w:rPr>
                <w:sz w:val="12"/>
                <w:szCs w:val="12"/>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Show Performers, LLC</w:t>
            </w:r>
          </w:p>
        </w:tc>
        <w:tc>
          <w:tcPr>
            <w:tcW w:w="23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82"/>
              </w:rPr>
              <w:t>Nevada</w:t>
            </w:r>
          </w:p>
        </w:tc>
        <w:tc>
          <w:tcPr>
            <w:tcW w:w="244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9"/>
              </w:rPr>
              <w:t>7990</w:t>
            </w:r>
          </w:p>
        </w:tc>
        <w:tc>
          <w:tcPr>
            <w:tcW w:w="178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8"/>
              </w:rPr>
              <w:t>20-0475541</w:t>
            </w:r>
          </w:p>
        </w:tc>
        <w:tc>
          <w:tcPr>
            <w:tcW w:w="20" w:type="dxa"/>
            <w:vAlign w:val="bottom"/>
          </w:tcPr>
          <w:p>
            <w:pPr>
              <w:spacing w:after="0"/>
              <w:rPr>
                <w:sz w:val="12"/>
                <w:szCs w:val="12"/>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Sunrise, LLC</w:t>
            </w:r>
          </w:p>
        </w:tc>
        <w:tc>
          <w:tcPr>
            <w:tcW w:w="23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82"/>
              </w:rPr>
              <w:t>Nevada</w:t>
            </w:r>
          </w:p>
        </w:tc>
        <w:tc>
          <w:tcPr>
            <w:tcW w:w="244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9"/>
              </w:rPr>
              <w:t>7990</w:t>
            </w:r>
          </w:p>
        </w:tc>
        <w:tc>
          <w:tcPr>
            <w:tcW w:w="1780" w:type="dxa"/>
            <w:vAlign w:val="bottom"/>
            <w:gridSpan w:val="2"/>
          </w:tcPr>
          <w:p>
            <w:pPr>
              <w:jc w:val="center"/>
              <w:ind w:left="692"/>
              <w:spacing w:after="0" w:line="149" w:lineRule="exact"/>
              <w:rPr>
                <w:sz w:val="20"/>
                <w:szCs w:val="20"/>
                <w:color w:val="auto"/>
              </w:rPr>
            </w:pPr>
            <w:r>
              <w:rPr>
                <w:rFonts w:ascii="Arial" w:cs="Arial" w:eastAsia="Arial" w:hAnsi="Arial"/>
                <w:sz w:val="14"/>
                <w:szCs w:val="14"/>
                <w:color w:val="auto"/>
                <w:w w:val="88"/>
              </w:rPr>
              <w:t>20-1366675</w:t>
            </w:r>
          </w:p>
        </w:tc>
        <w:tc>
          <w:tcPr>
            <w:tcW w:w="20" w:type="dxa"/>
            <w:vAlign w:val="bottom"/>
          </w:tcPr>
          <w:p>
            <w:pPr>
              <w:spacing w:after="0"/>
              <w:rPr>
                <w:sz w:val="12"/>
                <w:szCs w:val="12"/>
                <w:color w:val="auto"/>
              </w:rPr>
            </w:pPr>
          </w:p>
        </w:tc>
      </w:tr>
      <w:tr>
        <w:trPr>
          <w:trHeight w:val="172"/>
        </w:trPr>
        <w:tc>
          <w:tcPr>
            <w:tcW w:w="3140" w:type="dxa"/>
            <w:vAlign w:val="bottom"/>
            <w:gridSpan w:val="2"/>
          </w:tcPr>
          <w:p>
            <w:pPr>
              <w:spacing w:after="0"/>
              <w:rPr>
                <w:sz w:val="20"/>
                <w:szCs w:val="20"/>
                <w:color w:val="auto"/>
              </w:rPr>
            </w:pPr>
            <w:r>
              <w:rPr>
                <w:rFonts w:ascii="Arial" w:cs="Arial" w:eastAsia="Arial" w:hAnsi="Arial"/>
                <w:sz w:val="14"/>
                <w:szCs w:val="14"/>
                <w:color w:val="auto"/>
              </w:rPr>
              <w:t>Kevyn, LLC</w:t>
            </w:r>
          </w:p>
        </w:tc>
        <w:tc>
          <w:tcPr>
            <w:tcW w:w="23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82"/>
              </w:rPr>
              <w:t>Nevada</w:t>
            </w:r>
          </w:p>
        </w:tc>
        <w:tc>
          <w:tcPr>
            <w:tcW w:w="2440" w:type="dxa"/>
            <w:vAlign w:val="bottom"/>
            <w:gridSpan w:val="2"/>
          </w:tcPr>
          <w:p>
            <w:pPr>
              <w:jc w:val="center"/>
              <w:ind w:left="692"/>
              <w:spacing w:after="0"/>
              <w:rPr>
                <w:sz w:val="20"/>
                <w:szCs w:val="20"/>
                <w:color w:val="auto"/>
              </w:rPr>
            </w:pPr>
            <w:r>
              <w:rPr>
                <w:rFonts w:ascii="Arial" w:cs="Arial" w:eastAsia="Arial" w:hAnsi="Arial"/>
                <w:sz w:val="14"/>
                <w:szCs w:val="14"/>
                <w:color w:val="auto"/>
                <w:w w:val="89"/>
              </w:rPr>
              <w:t>7990</w:t>
            </w:r>
          </w:p>
        </w:tc>
        <w:tc>
          <w:tcPr>
            <w:tcW w:w="1780" w:type="dxa"/>
            <w:vAlign w:val="bottom"/>
            <w:gridSpan w:val="2"/>
          </w:tcPr>
          <w:p>
            <w:pPr>
              <w:jc w:val="center"/>
              <w:ind w:left="692"/>
              <w:spacing w:after="0"/>
              <w:rPr>
                <w:sz w:val="20"/>
                <w:szCs w:val="20"/>
                <w:color w:val="auto"/>
              </w:rPr>
            </w:pPr>
            <w:r>
              <w:rPr>
                <w:rFonts w:ascii="Arial" w:cs="Arial" w:eastAsia="Arial" w:hAnsi="Arial"/>
                <w:sz w:val="14"/>
                <w:szCs w:val="14"/>
                <w:color w:val="auto"/>
                <w:w w:val="88"/>
              </w:rPr>
              <w:t>88-0464939</w:t>
            </w:r>
          </w:p>
        </w:tc>
        <w:tc>
          <w:tcPr>
            <w:tcW w:w="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4"/>
          <w:szCs w:val="24"/>
          <w:color w:val="auto"/>
        </w:rPr>
      </w:pPr>
    </w:p>
    <w:p>
      <w:pPr>
        <w:ind w:left="120" w:right="240" w:hanging="112"/>
        <w:spacing w:after="0" w:line="196" w:lineRule="auto"/>
        <w:tabs>
          <w:tab w:leader="none" w:pos="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Address and telephone number of principal executive offices are the same as Wynn Las Vegas, LLC. The 7 </w:t>
      </w:r>
      <w:r>
        <w:rPr>
          <w:rFonts w:ascii="Arial" w:cs="Arial" w:eastAsia="Arial" w:hAnsi="Arial"/>
          <w:sz w:val="22"/>
          <w:szCs w:val="22"/>
          <w:color w:val="auto"/>
          <w:vertAlign w:val="superscript"/>
        </w:rPr>
        <w:t>3</w:t>
      </w:r>
      <w:r>
        <w:rPr>
          <w:rFonts w:ascii="Arial" w:cs="Arial" w:eastAsia="Arial" w:hAnsi="Arial"/>
          <w:sz w:val="14"/>
          <w:szCs w:val="14"/>
          <w:color w:val="auto"/>
        </w:rPr>
        <w:t>/4% First Mortgage Notes due 2020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C062A"/>
        </w:rPr>
        <w:t>Subject to completion, dated October 6,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Offer to Exchange $1,320,000,000 of their outstanding</w:t>
      </w:r>
    </w:p>
    <w:p>
      <w:pPr>
        <w:spacing w:after="0" w:line="14" w:lineRule="exact"/>
        <w:rPr>
          <w:sz w:val="20"/>
          <w:szCs w:val="20"/>
          <w:color w:val="auto"/>
        </w:rPr>
      </w:pPr>
    </w:p>
    <w:p>
      <w:pPr>
        <w:ind w:left="3860" w:right="3840" w:firstLine="96"/>
        <w:spacing w:after="0" w:line="269" w:lineRule="auto"/>
        <w:tabs>
          <w:tab w:leader="none" w:pos="4135" w:val="left"/>
        </w:tabs>
        <w:numPr>
          <w:ilvl w:val="0"/>
          <w:numId w:val="4"/>
        </w:numPr>
        <w:rPr>
          <w:rFonts w:ascii="Arial" w:cs="Arial" w:eastAsia="Arial" w:hAnsi="Arial"/>
          <w:sz w:val="21"/>
          <w:szCs w:val="21"/>
          <w:b w:val="1"/>
          <w:bCs w:val="1"/>
          <w:color w:val="auto"/>
        </w:rPr>
      </w:pPr>
      <w:r>
        <w:rPr>
          <w:rFonts w:ascii="Arial" w:cs="Arial" w:eastAsia="Arial" w:hAnsi="Arial"/>
          <w:sz w:val="14"/>
          <w:szCs w:val="14"/>
          <w:b w:val="1"/>
          <w:bCs w:val="1"/>
          <w:color w:val="auto"/>
        </w:rPr>
        <w:t>3</w:t>
      </w:r>
      <w:r>
        <w:rPr>
          <w:rFonts w:ascii="Arial" w:cs="Arial" w:eastAsia="Arial" w:hAnsi="Arial"/>
          <w:sz w:val="20"/>
          <w:szCs w:val="20"/>
          <w:b w:val="1"/>
          <w:bCs w:val="1"/>
          <w:color w:val="auto"/>
        </w:rPr>
        <w:t>/</w:t>
      </w:r>
      <w:r>
        <w:rPr>
          <w:rFonts w:ascii="Arial" w:cs="Arial" w:eastAsia="Arial" w:hAnsi="Arial"/>
          <w:sz w:val="16"/>
          <w:szCs w:val="16"/>
          <w:b w:val="1"/>
          <w:bCs w:val="1"/>
          <w:color w:val="auto"/>
        </w:rPr>
        <w:t>4</w:t>
      </w:r>
      <w:r>
        <w:rPr>
          <w:rFonts w:ascii="Arial" w:cs="Arial" w:eastAsia="Arial" w:hAnsi="Arial"/>
          <w:sz w:val="20"/>
          <w:szCs w:val="20"/>
          <w:b w:val="1"/>
          <w:bCs w:val="1"/>
          <w:color w:val="auto"/>
        </w:rPr>
        <w:t>% First Mortgage Notes due 2020</w:t>
      </w:r>
      <w:r>
        <w:rPr>
          <w:rFonts w:ascii="Arial" w:cs="Arial" w:eastAsia="Arial" w:hAnsi="Arial"/>
          <w:sz w:val="14"/>
          <w:szCs w:val="14"/>
          <w:b w:val="1"/>
          <w:bCs w:val="1"/>
          <w:color w:val="auto"/>
        </w:rPr>
        <w:t xml:space="preserve"> </w:t>
      </w:r>
      <w:r>
        <w:rPr>
          <w:rFonts w:ascii="Arial" w:cs="Arial" w:eastAsia="Arial" w:hAnsi="Arial"/>
          <w:sz w:val="20"/>
          <w:szCs w:val="20"/>
          <w:b w:val="1"/>
          <w:bCs w:val="1"/>
          <w:color w:val="auto"/>
        </w:rPr>
        <w:t>(CUSIPs 983130 AQ8 and U98347 AG9)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w:t>
      </w:r>
    </w:p>
    <w:p>
      <w:pPr>
        <w:spacing w:after="0" w:line="71" w:lineRule="exact"/>
        <w:rPr>
          <w:sz w:val="20"/>
          <w:szCs w:val="20"/>
          <w:color w:val="auto"/>
        </w:rPr>
      </w:pPr>
    </w:p>
    <w:p>
      <w:pPr>
        <w:ind w:left="4140" w:hanging="184"/>
        <w:spacing w:after="0"/>
        <w:tabs>
          <w:tab w:leader="none" w:pos="4140" w:val="left"/>
        </w:tabs>
        <w:numPr>
          <w:ilvl w:val="0"/>
          <w:numId w:val="5"/>
        </w:numPr>
        <w:rPr>
          <w:rFonts w:ascii="Arial" w:cs="Arial" w:eastAsia="Arial" w:hAnsi="Arial"/>
          <w:sz w:val="22"/>
          <w:szCs w:val="22"/>
          <w:b w:val="1"/>
          <w:bCs w:val="1"/>
          <w:color w:val="auto"/>
        </w:rPr>
      </w:pPr>
      <w:r>
        <w:rPr>
          <w:rFonts w:ascii="Arial" w:cs="Arial" w:eastAsia="Arial" w:hAnsi="Arial"/>
          <w:sz w:val="15"/>
          <w:szCs w:val="15"/>
          <w:b w:val="1"/>
          <w:bCs w:val="1"/>
          <w:color w:val="auto"/>
        </w:rPr>
        <w:t>3</w:t>
      </w:r>
      <w:r>
        <w:rPr>
          <w:rFonts w:ascii="Arial" w:cs="Arial" w:eastAsia="Arial" w:hAnsi="Arial"/>
          <w:sz w:val="21"/>
          <w:szCs w:val="21"/>
          <w:b w:val="1"/>
          <w:bCs w:val="1"/>
          <w:color w:val="auto"/>
        </w:rPr>
        <w:t>/</w:t>
      </w:r>
      <w:r>
        <w:rPr>
          <w:rFonts w:ascii="Arial" w:cs="Arial" w:eastAsia="Arial" w:hAnsi="Arial"/>
          <w:sz w:val="17"/>
          <w:szCs w:val="17"/>
          <w:b w:val="1"/>
          <w:bCs w:val="1"/>
          <w:color w:val="auto"/>
        </w:rPr>
        <w:t>4</w:t>
      </w:r>
      <w:r>
        <w:rPr>
          <w:rFonts w:ascii="Arial" w:cs="Arial" w:eastAsia="Arial" w:hAnsi="Arial"/>
          <w:sz w:val="21"/>
          <w:szCs w:val="21"/>
          <w:b w:val="1"/>
          <w:bCs w:val="1"/>
          <w:color w:val="auto"/>
        </w:rPr>
        <w:t>% First Mortgage Notes due 2020</w:t>
      </w:r>
    </w:p>
    <w:p>
      <w:pPr>
        <w:spacing w:after="0" w:line="14" w:lineRule="exact"/>
        <w:rPr>
          <w:rFonts w:ascii="Arial" w:cs="Arial" w:eastAsia="Arial" w:hAnsi="Arial"/>
          <w:sz w:val="22"/>
          <w:szCs w:val="22"/>
          <w:b w:val="1"/>
          <w:bCs w:val="1"/>
          <w:color w:val="auto"/>
        </w:rPr>
      </w:pPr>
    </w:p>
    <w:p>
      <w:pPr>
        <w:ind w:left="49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(CUSIP)</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4" w:lineRule="exact"/>
        <w:rPr>
          <w:sz w:val="20"/>
          <w:szCs w:val="20"/>
          <w:color w:val="auto"/>
        </w:rPr>
      </w:pPr>
    </w:p>
    <w:p>
      <w:pPr>
        <w:ind w:left="360"/>
        <w:spacing w:after="0"/>
        <w:tabs>
          <w:tab w:leader="none" w:pos="630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5"/>
          <w:szCs w:val="15"/>
          <w:b w:val="1"/>
          <w:bCs w:val="1"/>
          <w:color w:val="auto"/>
        </w:rPr>
        <w:t>, 2010, unless we extend the exchange offer.</w:t>
      </w:r>
    </w:p>
    <w:p>
      <w:pPr>
        <w:spacing w:after="0" w:line="96" w:lineRule="exact"/>
        <w:rPr>
          <w:sz w:val="20"/>
          <w:szCs w:val="20"/>
          <w:color w:val="auto"/>
        </w:rPr>
      </w:pPr>
    </w:p>
    <w:p>
      <w:pPr>
        <w:jc w:val="both"/>
        <w:ind w:right="140" w:firstLine="342"/>
        <w:spacing w:after="0" w:line="357" w:lineRule="auto"/>
        <w:rPr>
          <w:sz w:val="20"/>
          <w:szCs w:val="20"/>
          <w:color w:val="auto"/>
        </w:rPr>
      </w:pPr>
      <w:r>
        <w:rPr>
          <w:rFonts w:ascii="Arial" w:cs="Arial" w:eastAsia="Arial" w:hAnsi="Arial"/>
          <w:sz w:val="15"/>
          <w:szCs w:val="15"/>
          <w:color w:val="auto"/>
        </w:rPr>
        <w:t xml:space="preserve">We refer to the registered notes offered in this exchange offer as the “new notes.” We refer to all outstanding $1,320,000,000 aggregate principal amount of our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first mortgage notes due 2020 issued on August 4, 2010 as the “old notes.” The old notes were issued under an indenture, dated as of August 4, 2010.</w:t>
      </w:r>
    </w:p>
    <w:p>
      <w:pPr>
        <w:ind w:right="120" w:firstLine="342"/>
        <w:spacing w:after="0" w:line="256" w:lineRule="auto"/>
        <w:rPr>
          <w:sz w:val="20"/>
          <w:szCs w:val="20"/>
          <w:color w:val="auto"/>
        </w:rPr>
      </w:pPr>
      <w:r>
        <w:rPr>
          <w:rFonts w:ascii="Arial" w:cs="Arial" w:eastAsia="Arial" w:hAnsi="Arial"/>
          <w:sz w:val="18"/>
          <w:szCs w:val="18"/>
          <w:color w:val="auto"/>
        </w:rPr>
        <w:t xml:space="preserve">The old notes are, and, upon consummation of the exchange offer, the new notes will be, pari passu with our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2017 (the “2017 notes,” which term includes both the unregistered 2017 notes and the registered 2017 notes, each as defined herein), our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(the “existing 2020 notes,” which term includes both the unregistered existing 2020 notes and the registered existing 2020 notes, each as defined herein) and our obligations under our credit facilities.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Terms of the exchange offer:</w:t>
      </w:r>
    </w:p>
    <w:p>
      <w:pPr>
        <w:spacing w:after="0" w:line="90" w:lineRule="exact"/>
        <w:rPr>
          <w:sz w:val="20"/>
          <w:szCs w:val="20"/>
          <w:color w:val="auto"/>
        </w:rPr>
      </w:pPr>
    </w:p>
    <w:p>
      <w:pPr>
        <w:ind w:left="780" w:right="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exchange the new notes for all outstanding old notes that are validly tendered pursuant to the exchange offer and not properly withdrawn prior to the expiration of the exchange offer.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50" w:lineRule="exact"/>
        <w:rPr>
          <w:rFonts w:ascii="Arial" w:cs="Arial" w:eastAsia="Arial" w:hAnsi="Arial"/>
          <w:sz w:val="18"/>
          <w:szCs w:val="18"/>
          <w:color w:val="auto"/>
        </w:rPr>
      </w:pPr>
    </w:p>
    <w:p>
      <w:pPr>
        <w:ind w:left="780" w:right="58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90"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established trading market for the new notes.</w:t>
      </w:r>
    </w:p>
    <w:p>
      <w:pPr>
        <w:spacing w:after="0" w:line="90" w:lineRule="exact"/>
        <w:rPr>
          <w:sz w:val="20"/>
          <w:szCs w:val="20"/>
          <w:color w:val="auto"/>
        </w:rPr>
      </w:pPr>
    </w:p>
    <w:p>
      <w:pPr>
        <w:ind w:firstLine="342"/>
        <w:spacing w:after="0" w:line="254" w:lineRule="auto"/>
        <w:rPr>
          <w:sz w:val="20"/>
          <w:szCs w:val="20"/>
          <w:color w:val="auto"/>
        </w:rPr>
      </w:pPr>
      <w:r>
        <w:rPr>
          <w:rFonts w:ascii="Arial" w:cs="Arial" w:eastAsia="Arial" w:hAnsi="Arial"/>
          <w:sz w:val="18"/>
          <w:szCs w:val="18"/>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SEC no-action letter (publicly available May 13, 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0"/>
          <w:szCs w:val="20"/>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w:t>
      </w:r>
      <w:hyperlink w:anchor="page2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16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0"/>
          <w:szCs w:val="20"/>
          <w:color w:val="auto"/>
        </w:rPr>
      </w:pPr>
    </w:p>
    <w:p>
      <w:pPr>
        <w:ind w:right="500" w:firstLine="342"/>
        <w:spacing w:after="0" w:line="268" w:lineRule="auto"/>
        <w:rPr>
          <w:sz w:val="20"/>
          <w:szCs w:val="20"/>
          <w:color w:val="auto"/>
        </w:rPr>
      </w:pPr>
      <w:r>
        <w:rPr>
          <w:rFonts w:ascii="Arial" w:cs="Arial" w:eastAsia="Arial" w:hAnsi="Arial"/>
          <w:sz w:val="18"/>
          <w:szCs w:val="18"/>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1" w:lineRule="exact"/>
        <w:rPr>
          <w:sz w:val="20"/>
          <w:szCs w:val="20"/>
          <w:color w:val="auto"/>
        </w:rPr>
      </w:pPr>
    </w:p>
    <w:p>
      <w:pPr>
        <w:jc w:val="both"/>
        <w:ind w:right="40" w:firstLine="342"/>
        <w:spacing w:after="0" w:line="259" w:lineRule="auto"/>
        <w:rPr>
          <w:sz w:val="20"/>
          <w:szCs w:val="20"/>
          <w:color w:val="auto"/>
        </w:rPr>
      </w:pPr>
      <w:r>
        <w:rPr>
          <w:rFonts w:ascii="Arial" w:cs="Arial" w:eastAsia="Arial" w:hAnsi="Arial"/>
          <w:sz w:val="18"/>
          <w:szCs w:val="18"/>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9" w:lineRule="exact"/>
        <w:rPr>
          <w:sz w:val="20"/>
          <w:szCs w:val="20"/>
          <w:color w:val="auto"/>
        </w:rPr>
      </w:pPr>
    </w:p>
    <w:tbl>
      <w:tblPr>
        <w:tblLayout w:type="fixed"/>
        <w:tblInd w:w="3980" w:type="dxa"/>
        <w:tblCellMar>
          <w:top w:w="0" w:type="dxa"/>
          <w:left w:w="0" w:type="dxa"/>
          <w:bottom w:w="0" w:type="dxa"/>
          <w:right w:w="0" w:type="dxa"/>
        </w:tblCellMar>
      </w:tblP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20" w:type="dxa"/>
            <w:vAlign w:val="bottom"/>
          </w:tcPr>
          <w:p>
            <w:pPr>
              <w:jc w:val="right"/>
              <w:spacing w:after="0"/>
              <w:rPr>
                <w:sz w:val="20"/>
                <w:szCs w:val="20"/>
                <w:color w:val="auto"/>
              </w:rPr>
            </w:pPr>
            <w:r>
              <w:rPr>
                <w:rFonts w:ascii="Arial" w:cs="Arial" w:eastAsia="Arial" w:hAnsi="Arial"/>
                <w:sz w:val="18"/>
                <w:szCs w:val="18"/>
                <w:color w:val="auto"/>
              </w:rPr>
              <w:t>, 2010</w:t>
            </w: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this prospectus.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6"/>
          </w:tcPr>
          <w:p>
            <w:pPr>
              <w:spacing w:after="0"/>
              <w:rPr>
                <w:sz w:val="17"/>
                <w:szCs w:val="17"/>
                <w:color w:val="auto"/>
              </w:rPr>
            </w:pPr>
          </w:p>
        </w:tc>
        <w:tc>
          <w:tcPr>
            <w:tcW w:w="8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Management’s Discussion And Analysis of Financial Condition and Results of Operations</w:t>
              </w:r>
            </w:hyperlink>
          </w:p>
        </w:tc>
        <w:tc>
          <w:tcPr>
            <w:tcW w:w="4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5">
              <w:r>
                <w:rPr>
                  <w:rFonts w:ascii="Arial" w:cs="Arial" w:eastAsia="Arial" w:hAnsi="Arial"/>
                  <w:sz w:val="18"/>
                  <w:szCs w:val="18"/>
                  <w:color w:val="0000EE"/>
                  <w:w w:val="84"/>
                </w:rPr>
                <w:t>Business</w:t>
              </w:r>
            </w:hyperlink>
          </w:p>
        </w:tc>
        <w:tc>
          <w:tcPr>
            <w:tcW w:w="1042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Further Information Concerning the Board of Directors of Wynn Resorts</w:t>
              </w:r>
            </w:hyperlink>
          </w:p>
        </w:tc>
        <w:tc>
          <w:tcPr>
            <w:tcW w:w="59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Security Ownership of Certain Beneficial Owners and Management</w:t>
              </w:r>
            </w:hyperlink>
          </w:p>
        </w:tc>
        <w:tc>
          <w:tcPr>
            <w:tcW w:w="62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Certain Relationships and Related Transactions</w:t>
              </w:r>
            </w:hyperlink>
          </w:p>
        </w:tc>
        <w:tc>
          <w:tcPr>
            <w:tcW w:w="77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Description of the New Notes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Description of Certain Indebtedness</w:t>
              </w:r>
            </w:hyperlink>
          </w:p>
        </w:tc>
        <w:tc>
          <w:tcPr>
            <w:tcW w:w="85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Intercreditor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92">
              <w:r>
                <w:rPr>
                  <w:rFonts w:ascii="Arial" w:cs="Arial" w:eastAsia="Arial" w:hAnsi="Arial"/>
                  <w:sz w:val="18"/>
                  <w:szCs w:val="18"/>
                  <w:color w:val="0000EE"/>
                  <w:w w:val="88"/>
                </w:rPr>
                <w:t>Material United States Federal Income Tax Considerations</w:t>
              </w:r>
            </w:hyperlink>
          </w:p>
        </w:tc>
        <w:tc>
          <w:tcPr>
            <w:tcW w:w="69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Index to Consolidated Financial Statements</w:t>
              </w:r>
            </w:hyperlink>
          </w:p>
        </w:tc>
        <w:tc>
          <w:tcPr>
            <w:tcW w:w="79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a natural disaster may have on the travel and leisure industry;</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16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 xml:space="preserve">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(the “guarantors”). Unless the context otherwise requires, all references in this prospectus to the “Company,” “we,” “us” or “our,” or similar terms, refer to Wynn Las Vegas, LLC and its consolidated subsidiaries (other than Wynn Completion Guarantor, LLC). The 7 </w:t>
      </w:r>
      <w:r>
        <w:rPr>
          <w:rFonts w:ascii="Arial" w:cs="Arial" w:eastAsia="Arial" w:hAnsi="Arial"/>
          <w:sz w:val="10"/>
          <w:szCs w:val="10"/>
          <w:i w:val="1"/>
          <w:iCs w:val="1"/>
          <w:color w:val="auto"/>
        </w:rPr>
        <w:t>3</w:t>
      </w:r>
      <w:r>
        <w:rPr>
          <w:rFonts w:ascii="Arial" w:cs="Arial" w:eastAsia="Arial" w:hAnsi="Arial"/>
          <w:sz w:val="16"/>
          <w:szCs w:val="16"/>
          <w:i w:val="1"/>
          <w:iCs w:val="1"/>
          <w:color w:val="auto"/>
        </w:rPr>
        <w:t xml:space="preserve"> /</w:t>
      </w:r>
      <w:r>
        <w:rPr>
          <w:rFonts w:ascii="Arial" w:cs="Arial" w:eastAsia="Arial" w:hAnsi="Arial"/>
          <w:sz w:val="12"/>
          <w:szCs w:val="12"/>
          <w:i w:val="1"/>
          <w:iCs w:val="1"/>
          <w:color w:val="auto"/>
        </w:rPr>
        <w:t>4</w:t>
      </w:r>
      <w:r>
        <w:rPr>
          <w:rFonts w:ascii="Arial" w:cs="Arial" w:eastAsia="Arial" w:hAnsi="Arial"/>
          <w:sz w:val="16"/>
          <w:szCs w:val="16"/>
          <w:i w:val="1"/>
          <w:iCs w:val="1"/>
          <w:color w:val="auto"/>
        </w:rPr>
        <w:t>% first mortgage notes due 2020 are sometimes referred to herein as the “notes,” which term, except with respect to discussions of income tax consequences and unless the context otherwise requires, includes the new notes and the old notes. The sole member of Wynn Las Vegas, LLC is Wynn Resorts Holdings, LLC (“Wynn Holdings”), and the sole member of Wynn Holdings is Wynn Resorts, Limited (“Wynn Resorts”).</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200" w:firstLine="443"/>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07"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Wynn Las Vegas’s approximately 110,000 square foot casino features approximately 140 table games, a baccarat salon, private VIP gaming rooms, a poker room, approximately 1,860 slot machines, and a race and sports book. The resort’s 21 food and beverage outlets feature six fine dining restaurants, including restaurants helmed by award winning chefs. Wynn Las Vegas also offers a showroom,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Vertu and others. Wynn Las Vegas also has a showroom which features “Le Rêve,” a water-based theatrical production. We believe that the unique experience of Wynn Las Vegas drives the significant visitation experienced since opening.</w:t>
      </w:r>
    </w:p>
    <w:p>
      <w:pPr>
        <w:spacing w:after="0" w:line="118"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Encore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five-star and AAA five-diamond awards. The Spa at Encore also earned five-star recognition from Forbes. The resort’s 13 food and beverage outlets include five restaurants, many of which feature award winning chefs. Encore also</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324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4324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20"/>
        <w:spacing w:after="0" w:line="256" w:lineRule="auto"/>
        <w:rPr>
          <w:sz w:val="20"/>
          <w:szCs w:val="20"/>
          <w:color w:val="auto"/>
        </w:rPr>
      </w:pPr>
      <w:r>
        <w:rPr>
          <w:rFonts w:ascii="Arial" w:cs="Arial" w:eastAsia="Arial" w:hAnsi="Arial"/>
          <w:sz w:val="18"/>
          <w:szCs w:val="18"/>
          <w:color w:val="auto"/>
        </w:rPr>
        <w:t>offers a beach club, a showroom, two night clubs,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w:t>
      </w:r>
    </w:p>
    <w:p>
      <w:pPr>
        <w:spacing w:after="0" w:line="38"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Tender Offer for, and Redemption of, 2014 Notes</w:t>
      </w:r>
    </w:p>
    <w:p>
      <w:pPr>
        <w:spacing w:after="0" w:line="96"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 xml:space="preserve">On July 21, 2010, Wynn Las Vegas commenced an offer to purchase for cash any and all of the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and a solicitation of consents to amend the indenture and the intercreditor agreement related to the 2014 notes. Concurrently, Wynn Las Vegas announced its intent to subsequently redeem any untendered 2014 notes. Pursuant to the tender offer, we offered $1,004.38 for each $1,000 principal amount of 2014 notes validly tendered and not validly withdrawn on or before the expiration date of such tender offer, plus an additional $30 to holders who tendered their 2014 notes prior to a consent deadline, in each case, including accrued and unpaid interest up to, but not including, the applicable payment date. The consummation of the private offering of the old notes described below was a condition to our obligation to accept for purchase and pay for the 2014 notes pursuant to our offer to purchase and consent solicitation and to redeem any 2014 notes not tendered.</w:t>
      </w:r>
    </w:p>
    <w:p>
      <w:pPr>
        <w:spacing w:after="0" w:line="118" w:lineRule="exact"/>
        <w:rPr>
          <w:sz w:val="20"/>
          <w:szCs w:val="20"/>
          <w:color w:val="auto"/>
        </w:rPr>
      </w:pPr>
    </w:p>
    <w:p>
      <w:pPr>
        <w:ind w:left="200" w:right="240" w:firstLine="443"/>
        <w:spacing w:after="0" w:line="306" w:lineRule="auto"/>
        <w:rPr>
          <w:sz w:val="20"/>
          <w:szCs w:val="20"/>
          <w:color w:val="auto"/>
        </w:rPr>
      </w:pPr>
      <w:r>
        <w:rPr>
          <w:rFonts w:ascii="Arial" w:cs="Arial" w:eastAsia="Arial" w:hAnsi="Arial"/>
          <w:sz w:val="16"/>
          <w:szCs w:val="16"/>
          <w:color w:val="auto"/>
        </w:rPr>
        <w:t>On August 4, 2010, the Issuers issued the old notes at par. The old notes were offered only to qualified institutional buyers and outside the U.S. in accordance with Rule 144A and Regulation S, respectively, under the Securities Act. Wynn Las Vegas used the net proceeds of the offering along with the proceeds of a capital contribution from Wynn Resorts to purchase, and, as applicable, make consent payments for, any and all of the</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80"/>
        <w:spacing w:after="0" w:line="268" w:lineRule="auto"/>
        <w:rPr>
          <w:sz w:val="20"/>
          <w:szCs w:val="20"/>
          <w:color w:val="auto"/>
        </w:rPr>
      </w:pPr>
      <w:r>
        <w:rPr>
          <w:rFonts w:ascii="Arial" w:cs="Arial" w:eastAsia="Arial" w:hAnsi="Arial"/>
          <w:sz w:val="18"/>
          <w:szCs w:val="18"/>
          <w:color w:val="auto"/>
        </w:rPr>
        <w:t>2014 notes that were validly tendered and accepted for payment pursuant to Wynn Las Vegas’s concurrent offer to purchase and consent solicitation with respect to the 2014 notes and to redeem any 2014 notes not tendered.</w:t>
      </w:r>
    </w:p>
    <w:p>
      <w:pPr>
        <w:spacing w:after="0" w:line="132"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On August 4, 2010, Wynn Las Vegas received and accepted the requisite consents from holders of the 2014 notes in connection with its consent solicitation to amend the 2014 notes indenture and related documents pursuant to which the 2014 notes were issued. Wynn Las Vegas accepted for payment all 2014 notes validly tendered and not validly withdrawn on or prior to the consent deadline. On August 4, 2010, tendering holders received the tender offer consideration in the amount of $1,004.38, plus a consent payment in the amount of $30, for each $1,000 principal amount of 2014 notes.</w:t>
      </w:r>
    </w:p>
    <w:p>
      <w:pPr>
        <w:spacing w:after="0" w:line="113" w:lineRule="exact"/>
        <w:rPr>
          <w:sz w:val="20"/>
          <w:szCs w:val="20"/>
          <w:color w:val="auto"/>
        </w:rPr>
      </w:pPr>
    </w:p>
    <w:p>
      <w:pPr>
        <w:ind w:left="200" w:right="260" w:firstLine="443"/>
        <w:spacing w:after="0" w:line="306" w:lineRule="auto"/>
        <w:rPr>
          <w:sz w:val="20"/>
          <w:szCs w:val="20"/>
          <w:color w:val="auto"/>
        </w:rPr>
      </w:pPr>
      <w:r>
        <w:rPr>
          <w:rFonts w:ascii="Arial" w:cs="Arial" w:eastAsia="Arial" w:hAnsi="Arial"/>
          <w:sz w:val="16"/>
          <w:szCs w:val="16"/>
          <w:color w:val="auto"/>
        </w:rPr>
        <w:t>Also on August 4, 2010, the trustee for the 2014 notes, at the request of the Issuers, gave notice of redemption of any and all of the 2014 notes pursuant to the redemption provisions of the 2014 notes indenture. The redemption price was equal to 103.313% of the aggregate principal amount of the 2014 notes redeemed plus accrued and unpaid interest thereon to September 3, 2010, the date of redemption.</w:t>
      </w:r>
    </w:p>
    <w:p>
      <w:pPr>
        <w:spacing w:after="0" w:line="107" w:lineRule="exact"/>
        <w:rPr>
          <w:sz w:val="20"/>
          <w:szCs w:val="20"/>
          <w:color w:val="auto"/>
        </w:rPr>
      </w:pPr>
    </w:p>
    <w:p>
      <w:pPr>
        <w:ind w:left="200" w:right="100" w:firstLine="443"/>
        <w:spacing w:after="0" w:line="254" w:lineRule="auto"/>
        <w:rPr>
          <w:sz w:val="20"/>
          <w:szCs w:val="20"/>
          <w:color w:val="auto"/>
        </w:rPr>
      </w:pPr>
      <w:r>
        <w:rPr>
          <w:rFonts w:ascii="Arial" w:cs="Arial" w:eastAsia="Arial" w:hAnsi="Arial"/>
          <w:sz w:val="18"/>
          <w:szCs w:val="18"/>
          <w:color w:val="auto"/>
        </w:rPr>
        <w:t>Concurrently with the issuance of the old notes, Wynn Las Vegas, LLC entered into a seventh amendment dated August 4, 2010 to the Wynn Las Vegas Amended and Restated Credit Agreement. After giving effect to this amendment, the maturity date with respect to a portion of Wynn Las Vegas’s revolving credit facility and its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144" w:lineRule="exact"/>
        <w:rPr>
          <w:sz w:val="20"/>
          <w:szCs w:val="20"/>
          <w:color w:val="auto"/>
        </w:rPr>
      </w:pPr>
    </w:p>
    <w:p>
      <w:pPr>
        <w:jc w:val="both"/>
        <w:ind w:left="200" w:right="60" w:firstLine="443"/>
        <w:spacing w:after="0" w:line="306" w:lineRule="auto"/>
        <w:rPr>
          <w:sz w:val="20"/>
          <w:szCs w:val="20"/>
          <w:color w:val="auto"/>
        </w:rPr>
      </w:pPr>
      <w:r>
        <w:rPr>
          <w:rFonts w:ascii="Arial" w:cs="Arial" w:eastAsia="Arial" w:hAnsi="Arial"/>
          <w:sz w:val="16"/>
          <w:szCs w:val="16"/>
          <w:color w:val="auto"/>
        </w:rPr>
        <w:t>On August 19, 2010, Wynn Las Vegas completed its offer to purchase any and all of the 2014 notes. In connection with the tender offer, in addition to the 2014 notes repurchased on August 4, 2010, Wynn Las Vegas accepted for payment an additional $812,000 aggregate principal amount of the 2014 notes that had been validly tendered and not validly withdrawn prior to the expiration date of the tender offer.</w:t>
      </w:r>
    </w:p>
    <w:p>
      <w:pPr>
        <w:spacing w:after="0" w:line="10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Effective as of September 3, 2010, the 2014 notes indenture was satisfied and discharged in accordance with its terms by the Issuers. On September 3, 2010, the Issuers completed the previously announced redemption of the outstanding 2014 notes. In connection with the redemption of the outstanding 2014 notes, the Issuers deposited a total of approximately $347 million with the trustee for the 2014 notes to repay all amounts outstanding under the 2014 notes and to satisfy and discharge the 2014 notes indenture.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Exchange Offer</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 xml:space="preserve">On September 3, 2010, the Issuers completed an offer to exchange their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issued on October 19, 2009 due 2017 (the “unregistered 2017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“registered 2017 notes”) that have been registered under the Securities Act and their outstanding unregistered existing 2020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“registered existing 2020 notes”) that have been registered under the Securities Act. The exchange offer was made in order to satisfy certain obligations of the Issuers contained in a registration rights agreement, dated as of October 19, 2009 and a registration rights agreement, dated as of April 28, 2010.</w:t>
      </w:r>
    </w:p>
    <w:p>
      <w:pPr>
        <w:spacing w:after="0" w:line="11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The exchange offer expired at 5:00 p.m., New York City time, on August 30, 2010. $499,650,000 in aggregate principal amount of the unregistered 2017 notes and $380,513,000 in aggregate principal amount of unregistered existing 2020 notes were exchanged. The registered 2017 notes and the registered existing 2020 notes are substantially identical to the unregistered 2017 notes and the unregistered existing 2020 notes, respectively, except that the registered 2017 notes and the registered existing 2020 notes have been registered</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90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990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332" w:lineRule="auto"/>
        <w:rPr>
          <w:sz w:val="20"/>
          <w:szCs w:val="20"/>
          <w:color w:val="auto"/>
        </w:rPr>
      </w:pPr>
      <w:r>
        <w:rPr>
          <w:rFonts w:ascii="Arial" w:cs="Arial" w:eastAsia="Arial" w:hAnsi="Arial"/>
          <w:sz w:val="16"/>
          <w:szCs w:val="16"/>
          <w:color w:val="auto"/>
        </w:rPr>
        <w:t>under the Securities Act, and, as a result, the transfer restrictions and registration rights provisions applicable to the unregistered 2017 notes and the unregistered existing 2020 notes do not apply to the registered 2017 notes and the registered existing 2020 notes.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Capital Contribution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2, 2010, Wynn Las Vegas received a $50.0 million capital contribution from Wynn Resorts.</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240" w:top="45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340" w:type="dxa"/>
            <w:vAlign w:val="bottom"/>
            <w:tcBorders>
              <w:top w:val="single" w:sz="8" w:color="auto"/>
              <w:left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The Exchange Offer</w:t>
            </w:r>
          </w:p>
        </w:tc>
        <w:tc>
          <w:tcPr>
            <w:tcW w:w="336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Notes</w:t>
            </w: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2"/>
              </w:rPr>
              <w:t xml:space="preserve">7 </w:t>
            </w:r>
            <w:r>
              <w:rPr>
                <w:rFonts w:ascii="Arial" w:cs="Arial" w:eastAsia="Arial" w:hAnsi="Arial"/>
                <w:sz w:val="11"/>
                <w:szCs w:val="11"/>
                <w:color w:val="auto"/>
                <w:w w:val="92"/>
              </w:rPr>
              <w:t>3</w:t>
            </w:r>
            <w:r>
              <w:rPr>
                <w:rFonts w:ascii="Arial" w:cs="Arial" w:eastAsia="Arial" w:hAnsi="Arial"/>
                <w:sz w:val="18"/>
                <w:szCs w:val="18"/>
                <w:color w:val="auto"/>
                <w:w w:val="92"/>
              </w:rPr>
              <w:t>/</w:t>
            </w:r>
            <w:r>
              <w:rPr>
                <w:rFonts w:ascii="Arial" w:cs="Arial" w:eastAsia="Arial" w:hAnsi="Arial"/>
                <w:sz w:val="13"/>
                <w:szCs w:val="13"/>
                <w:color w:val="auto"/>
                <w:w w:val="92"/>
              </w:rPr>
              <w:t>4</w:t>
            </w:r>
            <w:r>
              <w:rPr>
                <w:rFonts w:ascii="Arial" w:cs="Arial" w:eastAsia="Arial" w:hAnsi="Arial"/>
                <w:sz w:val="18"/>
                <w:szCs w:val="18"/>
                <w:color w:val="auto"/>
                <w:w w:val="92"/>
              </w:rPr>
              <w:t>% First Mortgage Notes due 2020, which we issued on August 4, 2010. The old notes were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rPr>
              <w:t>issued under the indenture, dated as of August 4, 2010. The old notes are, and, upon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2"/>
              </w:rPr>
              <w:t>consummation of the exchange offer, the new notes will be, pari passu with the 2017 notes, the</w:t>
            </w:r>
          </w:p>
        </w:tc>
      </w:tr>
      <w:tr>
        <w:trPr>
          <w:trHeight w:val="222"/>
        </w:trPr>
        <w:tc>
          <w:tcPr>
            <w:tcW w:w="3340" w:type="dxa"/>
            <w:vAlign w:val="bottom"/>
            <w:tcBorders>
              <w:left w:val="single" w:sz="8" w:color="auto"/>
            </w:tcBorders>
          </w:tcPr>
          <w:p>
            <w:pPr>
              <w:spacing w:after="0"/>
              <w:rPr>
                <w:sz w:val="19"/>
                <w:szCs w:val="19"/>
                <w:color w:val="auto"/>
              </w:rPr>
            </w:pPr>
          </w:p>
        </w:tc>
        <w:tc>
          <w:tcPr>
            <w:tcW w:w="6780" w:type="dxa"/>
            <w:vAlign w:val="bottom"/>
            <w:gridSpan w:val="3"/>
          </w:tcPr>
          <w:p>
            <w:pPr>
              <w:ind w:left="1060"/>
              <w:spacing w:after="0"/>
              <w:rPr>
                <w:sz w:val="20"/>
                <w:szCs w:val="20"/>
                <w:color w:val="auto"/>
              </w:rPr>
            </w:pPr>
            <w:r>
              <w:rPr>
                <w:rFonts w:ascii="Arial" w:cs="Arial" w:eastAsia="Arial" w:hAnsi="Arial"/>
                <w:sz w:val="18"/>
                <w:szCs w:val="18"/>
                <w:color w:val="auto"/>
              </w:rPr>
              <w:t>existing 2020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Notes</w:t>
            </w: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3</w:t>
            </w:r>
            <w:r>
              <w:rPr>
                <w:rFonts w:ascii="Arial" w:cs="Arial" w:eastAsia="Arial" w:hAnsi="Arial"/>
                <w:sz w:val="18"/>
                <w:szCs w:val="18"/>
                <w:color w:val="auto"/>
                <w:w w:val="96"/>
              </w:rPr>
              <w:t>/</w:t>
            </w:r>
            <w:r>
              <w:rPr>
                <w:rFonts w:ascii="Arial" w:cs="Arial" w:eastAsia="Arial" w:hAnsi="Arial"/>
                <w:sz w:val="13"/>
                <w:szCs w:val="13"/>
                <w:color w:val="auto"/>
                <w:w w:val="96"/>
              </w:rPr>
              <w:t>4</w:t>
            </w:r>
            <w:r>
              <w:rPr>
                <w:rFonts w:ascii="Arial" w:cs="Arial" w:eastAsia="Arial" w:hAnsi="Arial"/>
                <w:sz w:val="18"/>
                <w:szCs w:val="18"/>
                <w:color w:val="auto"/>
                <w:w w:val="96"/>
              </w:rPr>
              <w:t>% First Mortgage Notes due 2020, the issuance of which has been registered under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9"/>
              </w:rPr>
              <w:t>old notes, except that the transfer restrictions, registration rights and liquidated damages</w:t>
            </w:r>
          </w:p>
        </w:tc>
      </w:tr>
      <w:tr>
        <w:trPr>
          <w:trHeight w:val="222"/>
        </w:trPr>
        <w:tc>
          <w:tcPr>
            <w:tcW w:w="3340" w:type="dxa"/>
            <w:vAlign w:val="bottom"/>
            <w:tcBorders>
              <w:left w:val="single" w:sz="8" w:color="auto"/>
            </w:tcBorders>
          </w:tcPr>
          <w:p>
            <w:pPr>
              <w:spacing w:after="0"/>
              <w:rPr>
                <w:sz w:val="19"/>
                <w:szCs w:val="19"/>
                <w:color w:val="auto"/>
              </w:rPr>
            </w:pPr>
          </w:p>
        </w:tc>
        <w:tc>
          <w:tcPr>
            <w:tcW w:w="6780" w:type="dxa"/>
            <w:vAlign w:val="bottom"/>
            <w:gridSpan w:val="3"/>
          </w:tcPr>
          <w:p>
            <w:pPr>
              <w:ind w:left="1060"/>
              <w:spacing w:after="0"/>
              <w:rPr>
                <w:sz w:val="20"/>
                <w:szCs w:val="20"/>
                <w:color w:val="auto"/>
              </w:rPr>
            </w:pPr>
            <w:r>
              <w:rPr>
                <w:rFonts w:ascii="Arial" w:cs="Arial" w:eastAsia="Arial" w:hAnsi="Arial"/>
                <w:sz w:val="18"/>
                <w:szCs w:val="18"/>
                <w:color w:val="auto"/>
              </w:rPr>
              <w:t>provisions relating to the old notes do not apply to the new notes.</w:t>
            </w:r>
          </w:p>
        </w:tc>
        <w:tc>
          <w:tcPr>
            <w:tcW w:w="1340" w:type="dxa"/>
            <w:vAlign w:val="bottom"/>
            <w:tcBorders>
              <w:right w:val="single" w:sz="8" w:color="auto"/>
            </w:tcBorders>
          </w:tcPr>
          <w:p>
            <w:pPr>
              <w:spacing w:after="0"/>
              <w:rPr>
                <w:sz w:val="19"/>
                <w:szCs w:val="19"/>
                <w:color w:val="auto"/>
              </w:rPr>
            </w:pP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Notes</w:t>
            </w: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8"/>
              </w:rPr>
              <w:t>We are offering to issue up to $1,320,000,000 aggregate principal amount of new notes in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2"/>
              </w:rPr>
              <w:t>exchange for a like principal amount of old notes to satisfy our obligations under the registration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rPr>
              <w:t>rights agreement that we entered into when the old notes were issued in transactions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6"/>
              </w:rPr>
              <w:t>consummated in reliance upon the exemptions from registration provided by Rule 144A and</w:t>
            </w:r>
          </w:p>
        </w:tc>
      </w:tr>
      <w:tr>
        <w:trPr>
          <w:trHeight w:val="222"/>
        </w:trPr>
        <w:tc>
          <w:tcPr>
            <w:tcW w:w="3340" w:type="dxa"/>
            <w:vAlign w:val="bottom"/>
            <w:tcBorders>
              <w:left w:val="single" w:sz="8" w:color="auto"/>
            </w:tcBorders>
          </w:tcPr>
          <w:p>
            <w:pPr>
              <w:spacing w:after="0"/>
              <w:rPr>
                <w:sz w:val="19"/>
                <w:szCs w:val="19"/>
                <w:color w:val="auto"/>
              </w:rPr>
            </w:pPr>
          </w:p>
        </w:tc>
        <w:tc>
          <w:tcPr>
            <w:tcW w:w="6780" w:type="dxa"/>
            <w:vAlign w:val="bottom"/>
            <w:gridSpan w:val="3"/>
          </w:tcPr>
          <w:p>
            <w:pPr>
              <w:ind w:left="1060"/>
              <w:spacing w:after="0"/>
              <w:rPr>
                <w:sz w:val="20"/>
                <w:szCs w:val="20"/>
                <w:color w:val="auto"/>
              </w:rPr>
            </w:pPr>
            <w:r>
              <w:rPr>
                <w:rFonts w:ascii="Arial" w:cs="Arial" w:eastAsia="Arial" w:hAnsi="Arial"/>
                <w:sz w:val="18"/>
                <w:szCs w:val="18"/>
                <w:color w:val="auto"/>
              </w:rPr>
              <w:t>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6780" w:type="dxa"/>
            <w:vAlign w:val="bottom"/>
            <w:gridSpan w:val="3"/>
          </w:tcPr>
          <w:p>
            <w:pPr>
              <w:ind w:left="1060"/>
              <w:spacing w:after="0"/>
              <w:rPr>
                <w:sz w:val="20"/>
                <w:szCs w:val="20"/>
                <w:color w:val="auto"/>
              </w:rPr>
            </w:pPr>
            <w:r>
              <w:rPr>
                <w:rFonts w:ascii="Arial" w:cs="Arial" w:eastAsia="Arial" w:hAnsi="Arial"/>
                <w:sz w:val="18"/>
                <w:szCs w:val="18"/>
                <w:color w:val="auto"/>
              </w:rPr>
              <w:t>The exchange offer will expire at 5:00 p.m., New York City time, on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2010, unless</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w w:val="90"/>
              </w:rPr>
              <w:t>you are not our “affiliate,” as defined in Rule 405 under the Securities Act;</w:t>
            </w:r>
          </w:p>
        </w:tc>
        <w:tc>
          <w:tcPr>
            <w:tcW w:w="1340" w:type="dxa"/>
            <w:vAlign w:val="bottom"/>
            <w:tcBorders>
              <w:right w:val="single" w:sz="8" w:color="auto"/>
            </w:tcBorders>
          </w:tcPr>
          <w:p>
            <w:pPr>
              <w:spacing w:after="0"/>
              <w:rPr>
                <w:sz w:val="24"/>
                <w:szCs w:val="24"/>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1"/>
              </w:rPr>
              <w:t>any new notes you receive in the exchange offer are being acquired by you in the ordinary</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w w:val="98"/>
              </w:rPr>
              <w:t>course of your business;</w:t>
            </w:r>
          </w:p>
        </w:tc>
        <w:tc>
          <w:tcPr>
            <w:tcW w:w="3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at the time of the commencement of the exchange offer, neither you nor, to your</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2"/>
              </w:rPr>
              <w:t>knowledge, anyone receiving new notes from you, has any arrangement or understanding</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6"/>
              </w:rPr>
              <w:t>with any person to participate in the distribution, as defined in the Securities Act, of the</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new notes in violation of the Securities Act;</w:t>
            </w:r>
          </w:p>
        </w:tc>
        <w:tc>
          <w:tcPr>
            <w:tcW w:w="134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if you are a broker-dealer, you will receive the new notes for your own account in</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6"/>
              </w:rPr>
              <w:t>exchange for old notes that were acquired by you as a result of your market-making or</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2"/>
              </w:rPr>
              <w:t>other trading activities and that you will deliver a prospectus in connection with any resale</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2"/>
              </w:rPr>
              <w:t>of the new notes you receive; for further information regarding resales of the new notes by</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5"/>
              </w:rPr>
              <w:t>participating broker-dealers, see the discussion under the caption “Plan of Distribution”;</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120" w:type="dxa"/>
            <w:vAlign w:val="bottom"/>
          </w:tcPr>
          <w:p>
            <w:pPr>
              <w:ind w:left="180"/>
              <w:spacing w:after="0"/>
              <w:rPr>
                <w:sz w:val="20"/>
                <w:szCs w:val="20"/>
                <w:color w:val="auto"/>
              </w:rPr>
            </w:pPr>
            <w:r>
              <w:rPr>
                <w:rFonts w:ascii="Arial" w:cs="Arial" w:eastAsia="Arial" w:hAnsi="Arial"/>
                <w:sz w:val="18"/>
                <w:szCs w:val="18"/>
                <w:color w:val="auto"/>
              </w:rPr>
              <w:t>and</w:t>
            </w:r>
          </w:p>
        </w:tc>
        <w:tc>
          <w:tcPr>
            <w:tcW w:w="3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w w:val="92"/>
              </w:rPr>
              <w:t>if you are not a broker-dealer, you are not engaged in, and do not intend to engage in, the</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distribution of the new notes, as defined in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Non-Acceptance</w:t>
            </w:r>
          </w:p>
        </w:tc>
        <w:tc>
          <w:tcPr>
            <w:tcW w:w="8120" w:type="dxa"/>
            <w:vAlign w:val="bottom"/>
            <w:tcBorders>
              <w:right w:val="single" w:sz="8" w:color="auto"/>
            </w:tcBorders>
            <w:gridSpan w:val="4"/>
          </w:tcPr>
          <w:p>
            <w:pPr>
              <w:ind w:left="1060"/>
              <w:spacing w:after="0"/>
              <w:rPr>
                <w:sz w:val="20"/>
                <w:szCs w:val="20"/>
                <w:color w:val="auto"/>
              </w:rPr>
            </w:pPr>
            <w:r>
              <w:rPr>
                <w:rFonts w:ascii="Arial" w:cs="Arial" w:eastAsia="Arial" w:hAnsi="Arial"/>
                <w:sz w:val="18"/>
                <w:szCs w:val="18"/>
                <w:color w:val="auto"/>
                <w:w w:val="93"/>
              </w:rPr>
              <w:t>You may withdraw any old notes tendered in the exchange offer at any time prior to 5:00 p.m.,</w:t>
            </w:r>
          </w:p>
        </w:tc>
      </w:tr>
      <w:tr>
        <w:trPr>
          <w:trHeight w:val="216"/>
        </w:trPr>
        <w:tc>
          <w:tcPr>
            <w:tcW w:w="3340" w:type="dxa"/>
            <w:vAlign w:val="bottom"/>
            <w:tcBorders>
              <w:left w:val="single" w:sz="8" w:color="auto"/>
            </w:tcBorders>
          </w:tcPr>
          <w:p>
            <w:pPr>
              <w:spacing w:after="0"/>
              <w:rPr>
                <w:sz w:val="18"/>
                <w:szCs w:val="18"/>
                <w:color w:val="auto"/>
              </w:rPr>
            </w:pPr>
          </w:p>
        </w:tc>
        <w:tc>
          <w:tcPr>
            <w:tcW w:w="3420" w:type="dxa"/>
            <w:vAlign w:val="bottom"/>
            <w:gridSpan w:val="2"/>
          </w:tcPr>
          <w:p>
            <w:pPr>
              <w:ind w:left="1060"/>
              <w:spacing w:after="0"/>
              <w:rPr>
                <w:sz w:val="20"/>
                <w:szCs w:val="20"/>
                <w:color w:val="auto"/>
              </w:rPr>
            </w:pPr>
            <w:r>
              <w:rPr>
                <w:rFonts w:ascii="Arial" w:cs="Arial" w:eastAsia="Arial" w:hAnsi="Arial"/>
                <w:sz w:val="18"/>
                <w:szCs w:val="18"/>
                <w:color w:val="auto"/>
              </w:rPr>
              <w:t>New York City time, on</w:t>
            </w:r>
          </w:p>
        </w:tc>
        <w:tc>
          <w:tcPr>
            <w:tcW w:w="47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2010, which date we may extend if we extend the</w:t>
            </w:r>
          </w:p>
        </w:tc>
      </w:tr>
      <w:tr>
        <w:trPr>
          <w:trHeight w:val="222"/>
        </w:trPr>
        <w:tc>
          <w:tcPr>
            <w:tcW w:w="3340" w:type="dxa"/>
            <w:vAlign w:val="bottom"/>
            <w:tcBorders>
              <w:left w:val="single" w:sz="8" w:color="auto"/>
            </w:tcBorders>
          </w:tcPr>
          <w:p>
            <w:pPr>
              <w:spacing w:after="0"/>
              <w:rPr>
                <w:sz w:val="19"/>
                <w:szCs w:val="19"/>
                <w:color w:val="auto"/>
              </w:rPr>
            </w:pPr>
          </w:p>
        </w:tc>
        <w:tc>
          <w:tcPr>
            <w:tcW w:w="3420" w:type="dxa"/>
            <w:vAlign w:val="bottom"/>
            <w:gridSpan w:val="2"/>
          </w:tcPr>
          <w:p>
            <w:pPr>
              <w:ind w:left="1060"/>
              <w:spacing w:after="0"/>
              <w:rPr>
                <w:sz w:val="20"/>
                <w:szCs w:val="20"/>
                <w:color w:val="auto"/>
              </w:rPr>
            </w:pPr>
            <w:r>
              <w:rPr>
                <w:rFonts w:ascii="Arial" w:cs="Arial" w:eastAsia="Arial" w:hAnsi="Arial"/>
                <w:sz w:val="18"/>
                <w:szCs w:val="18"/>
                <w:color w:val="auto"/>
              </w:rPr>
              <w:t>exchange offer. If</w:t>
            </w:r>
          </w:p>
        </w:tc>
        <w:tc>
          <w:tcPr>
            <w:tcW w:w="3360" w:type="dxa"/>
            <w:vAlign w:val="bottom"/>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r>
      <w:tr>
        <w:trPr>
          <w:trHeight w:val="161"/>
        </w:trPr>
        <w:tc>
          <w:tcPr>
            <w:tcW w:w="3340" w:type="dxa"/>
            <w:vAlign w:val="bottom"/>
            <w:tcBorders>
              <w:left w:val="single" w:sz="8" w:color="auto"/>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r>
      <w:tr>
        <w:trPr>
          <w:trHeight w:val="359"/>
        </w:trPr>
        <w:tc>
          <w:tcPr>
            <w:tcW w:w="3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20" w:type="dxa"/>
            <w:vAlign w:val="bottom"/>
          </w:tcPr>
          <w:p>
            <w:pPr>
              <w:ind w:left="1040"/>
              <w:spacing w:after="0"/>
              <w:rPr>
                <w:sz w:val="20"/>
                <w:szCs w:val="20"/>
                <w:color w:val="auto"/>
              </w:rPr>
            </w:pPr>
            <w:r>
              <w:rPr>
                <w:rFonts w:ascii="Arial" w:cs="Arial" w:eastAsia="Arial" w:hAnsi="Arial"/>
                <w:sz w:val="18"/>
                <w:szCs w:val="18"/>
                <w:color w:val="auto"/>
              </w:rPr>
              <w:t>5</w:t>
            </w:r>
          </w:p>
        </w:tc>
        <w:tc>
          <w:tcPr>
            <w:tcW w:w="33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52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80"/>
        <w:spacing w:after="0" w:line="253" w:lineRule="auto"/>
        <w:rPr>
          <w:sz w:val="20"/>
          <w:szCs w:val="20"/>
          <w:color w:val="auto"/>
        </w:rPr>
      </w:pPr>
      <w:r>
        <w:rPr>
          <w:rFonts w:ascii="Arial" w:cs="Arial" w:eastAsia="Arial" w:hAnsi="Arial"/>
          <w:sz w:val="18"/>
          <w:szCs w:val="18"/>
          <w:color w:val="auto"/>
        </w:rPr>
        <w:t>we decide for any reason not to accept any old notes tendered for exchange, the old notes will be returned to the registered holder at our expense promptly after the expiration or termination of the exchange offer. In the case of old notes tendered by book-entry transfer into the exchange agent’s account at The Depository Trust Company (“DTC”), any withdrawn or unaccepted old notes will be credited to the tendering holder’s account at DTC. For further information regarding the withdrawal of tendered old notes, see “The Exchange Offer—Terms of the Exchange Offer; Period for Tendering Old Notes” and “The Exchange Offer—Withdrawal Rights.”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the expiration of the exchange offer: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the SEC;</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governmental agency that might materially impair our or the guarantors’ ability to proceed</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with the exchange offer;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offer.</w:t>
            </w:r>
          </w:p>
        </w:tc>
      </w:tr>
      <w:tr>
        <w:trPr>
          <w:trHeight w:val="372"/>
        </w:trPr>
        <w:tc>
          <w:tcPr>
            <w:tcW w:w="3560" w:type="dxa"/>
            <w:vAlign w:val="bottom"/>
          </w:tcPr>
          <w:p>
            <w:pPr>
              <w:spacing w:after="0"/>
              <w:rPr>
                <w:sz w:val="24"/>
                <w:szCs w:val="24"/>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0"/>
              </w:rPr>
              <w:t>We may waive any of the above conditions in our reasonable discretion. See the discussion below</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under the caption “The Exchange Offer—Conditions to the Exchange Offer” for more</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information regarding the conditions to the exchange offer.</w:t>
            </w:r>
          </w:p>
        </w:tc>
      </w:tr>
      <w:tr>
        <w:trPr>
          <w:trHeight w:val="412"/>
        </w:trPr>
        <w:tc>
          <w:tcPr>
            <w:tcW w:w="3560" w:type="dxa"/>
            <w:vAlign w:val="bottom"/>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3"/>
              </w:rPr>
              <w:t>Unless you comply with the procedure described below under the caption “The Exchange Offer</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tender your old notes by sending (i) the certificates for your old notes (in proper form for</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transfer), (ii) a properly completed and duly executed letter of transmittal and (iii) all other</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documents required by the letter of transmittal to U.S. Bank National Association, as</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exchange agent, at one of the addresses listed below under the caption “The Exchange</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Offer—Exchange Agent”; or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tender your old notes by using the book-entry transfer procedures described below and</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6"/>
              </w:rPr>
              <w:t>transmitting a properly completed and duly executed letter of transmittal, or an agent’s</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message instead of the letter of transmittal, to the exchange agent. For a book-entry</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transfer to constitute a valid tender of</w:t>
            </w:r>
          </w:p>
        </w:tc>
      </w:tr>
      <w:tr>
        <w:trPr>
          <w:trHeight w:val="161"/>
        </w:trPr>
        <w:tc>
          <w:tcPr>
            <w:tcW w:w="3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20" w:type="dxa"/>
            <w:vAlign w:val="bottom"/>
          </w:tcPr>
          <w:p>
            <w:pPr>
              <w:ind w:left="10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18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2184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40"/>
        <w:spacing w:after="0" w:line="286" w:lineRule="auto"/>
        <w:rPr>
          <w:sz w:val="20"/>
          <w:szCs w:val="20"/>
          <w:color w:val="auto"/>
        </w:rPr>
      </w:pPr>
      <w:r>
        <w:rPr>
          <w:rFonts w:ascii="Arial" w:cs="Arial" w:eastAsia="Arial" w:hAnsi="Arial"/>
          <w:sz w:val="16"/>
          <w:szCs w:val="16"/>
          <w:color w:val="auto"/>
        </w:rPr>
        <w:t>your old notes in the exchange offer, U.S. Bank National Association, as exchange agent, must receive a confirmation of book-entry transfer of your old notes into the exchange agent’s account at DTC prior to the expiration or termination of the exchange offer. For more information regarding the use of book-entry transfer procedures, including a description of the required agent’s message, see the discussion below under the caption “The Exchange Offer—Book-Entry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260"/>
          </w:cols>
          <w:pgMar w:left="240" w:top="459" w:right="399" w:bottom="1440" w:gutter="0" w:footer="0" w:header="0"/>
        </w:sectPr>
      </w:pPr>
    </w:p>
    <w:p>
      <w:pPr>
        <w:spacing w:after="0" w:line="1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are a registered holder of old notes and wish to tender your old notes in the exchange offer, but:</w:t>
      </w:r>
    </w:p>
    <w:p>
      <w:pPr>
        <w:spacing w:after="0" w:line="5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old notes are not immediately available;</w:t>
      </w:r>
    </w:p>
    <w:p>
      <w:pPr>
        <w:spacing w:after="0" w:line="113" w:lineRule="exact"/>
        <w:rPr>
          <w:sz w:val="20"/>
          <w:szCs w:val="20"/>
          <w:color w:val="auto"/>
        </w:rPr>
      </w:pPr>
    </w:p>
    <w:p>
      <w:pPr>
        <w:sectPr>
          <w:pgSz w:w="11900" w:h="16838" w:orient="portrait"/>
          <w:cols w:equalWidth="0" w:num="2">
            <w:col w:w="4460" w:space="360"/>
            <w:col w:w="644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332" w:lineRule="auto"/>
        <w:rPr>
          <w:sz w:val="20"/>
          <w:szCs w:val="20"/>
          <w:color w:val="auto"/>
        </w:rPr>
      </w:pPr>
      <w:r>
        <w:rPr>
          <w:rFonts w:ascii="Arial" w:cs="Arial" w:eastAsia="Arial" w:hAnsi="Arial"/>
          <w:sz w:val="16"/>
          <w:szCs w:val="16"/>
          <w:color w:val="auto"/>
        </w:rPr>
        <w:t>time will not permit your old notes or other required documents to reach the exchange agent before the expiration or termination of the exchange offer; or</w:t>
      </w:r>
    </w:p>
    <w:p>
      <w:pPr>
        <w:spacing w:after="0" w:line="4" w:lineRule="exact"/>
        <w:rPr>
          <w:sz w:val="20"/>
          <w:szCs w:val="20"/>
          <w:color w:val="auto"/>
        </w:rPr>
      </w:pPr>
    </w:p>
    <w:p>
      <w:pPr>
        <w:sectPr>
          <w:pgSz w:w="11900" w:h="16838" w:orient="portrait"/>
          <w:cols w:equalWidth="0" w:num="2">
            <w:col w:w="4460" w:space="360"/>
            <w:col w:w="644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60"/>
        <w:spacing w:after="0" w:line="268" w:lineRule="auto"/>
        <w:rPr>
          <w:sz w:val="20"/>
          <w:szCs w:val="20"/>
          <w:color w:val="auto"/>
        </w:rPr>
      </w:pPr>
      <w:r>
        <w:rPr>
          <w:rFonts w:ascii="Arial" w:cs="Arial" w:eastAsia="Arial" w:hAnsi="Arial"/>
          <w:sz w:val="18"/>
          <w:szCs w:val="18"/>
          <w:color w:val="auto"/>
        </w:rPr>
        <w:t>the procedure for book-entry transfer cannot be completed prior to the expiration or termination of the exchange offer;</w:t>
      </w:r>
    </w:p>
    <w:p>
      <w:pPr>
        <w:spacing w:after="0" w:line="51" w:lineRule="exact"/>
        <w:rPr>
          <w:sz w:val="20"/>
          <w:szCs w:val="20"/>
          <w:color w:val="auto"/>
        </w:rPr>
      </w:pPr>
    </w:p>
    <w:p>
      <w:pPr>
        <w:sectPr>
          <w:pgSz w:w="11900" w:h="16838" w:orient="portrait"/>
          <w:cols w:equalWidth="0" w:num="2">
            <w:col w:w="4460" w:space="360"/>
            <w:col w:w="6440"/>
          </w:cols>
          <w:pgMar w:left="240" w:top="459" w:right="399" w:bottom="1440" w:gutter="0" w:footer="0" w:header="0"/>
          <w:type w:val="continuous"/>
        </w:sectPr>
      </w:pPr>
    </w:p>
    <w:p>
      <w:pPr>
        <w:ind w:left="4400" w:right="26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260"/>
          </w:cols>
          <w:pgMar w:left="240" w:top="459" w:right="399" w:bottom="1440" w:gutter="0" w:footer="0" w:header="0"/>
          <w:type w:val="continuous"/>
        </w:sectPr>
      </w:pPr>
    </w:p>
    <w:p>
      <w:pPr>
        <w:spacing w:after="0" w:line="17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If you are a beneficial owner whose old notes are registered in the name of a broker, dealer, commercial bank, trust company or other nominee and you wish to tender your old notes in the</w:t>
      </w:r>
    </w:p>
    <w:p>
      <w:pPr>
        <w:spacing w:after="0" w:line="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260"/>
        <w:spacing w:after="0" w:line="290" w:lineRule="auto"/>
        <w:rPr>
          <w:sz w:val="20"/>
          <w:szCs w:val="20"/>
          <w:color w:val="auto"/>
        </w:rPr>
      </w:pPr>
      <w:r>
        <w:rPr>
          <w:rFonts w:ascii="Arial" w:cs="Arial" w:eastAsia="Arial" w:hAnsi="Arial"/>
          <w:sz w:val="16"/>
          <w:szCs w:val="16"/>
          <w:color w:val="auto"/>
        </w:rPr>
        <w:t>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ind w:left="4400" w:right="8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56" w:lineRule="exact"/>
        <w:rPr>
          <w:sz w:val="20"/>
          <w:szCs w:val="20"/>
          <w:color w:val="auto"/>
        </w:rPr>
      </w:pPr>
    </w:p>
    <w:p>
      <w:pPr>
        <w:ind w:left="4400" w:right="16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4" w:lineRule="exact"/>
        <w:rPr>
          <w:sz w:val="20"/>
          <w:szCs w:val="20"/>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90" w:lineRule="exact"/>
        <w:rPr>
          <w:rFonts w:ascii="Arial" w:cs="Arial" w:eastAsia="Arial" w:hAnsi="Arial"/>
          <w:sz w:val="18"/>
          <w:szCs w:val="18"/>
          <w:color w:val="auto"/>
        </w:rPr>
      </w:pPr>
    </w:p>
    <w:p>
      <w:pPr>
        <w:ind w:left="4820" w:hanging="423"/>
        <w:spacing w:after="0"/>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not be entitled to tender your old notes in the exchange offer; and</w:t>
      </w:r>
    </w:p>
    <w:p>
      <w:pPr>
        <w:spacing w:after="0" w:line="90" w:lineRule="exact"/>
        <w:rPr>
          <w:rFonts w:ascii="Arial" w:cs="Arial" w:eastAsia="Arial" w:hAnsi="Arial"/>
          <w:sz w:val="18"/>
          <w:szCs w:val="18"/>
          <w:color w:val="auto"/>
        </w:rPr>
      </w:pPr>
    </w:p>
    <w:p>
      <w:pPr>
        <w:ind w:left="4820" w:right="300" w:hanging="423"/>
        <w:spacing w:after="0" w:line="268"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32" w:lineRule="exact"/>
        <w:rPr>
          <w:sz w:val="20"/>
          <w:szCs w:val="20"/>
          <w:color w:val="auto"/>
        </w:r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ind w:left="4820" w:hanging="423"/>
        <w:spacing w:after="0" w:line="298" w:lineRule="auto"/>
        <w:tabs>
          <w:tab w:leader="none" w:pos="4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7"/>
              </w:rPr>
              <w:t>must also be named as a selling noteholder in connection with the registration and</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prospectus delivery requirements of the Securities Act relating to any resale transaction.</w:t>
            </w:r>
          </w:p>
        </w:tc>
      </w:tr>
      <w:tr>
        <w:trPr>
          <w:trHeight w:val="412"/>
        </w:trPr>
        <w:tc>
          <w:tcPr>
            <w:tcW w:w="3780" w:type="dxa"/>
            <w:vAlign w:val="bottom"/>
          </w:tcPr>
          <w:p>
            <w:pPr>
              <w:spacing w:after="0"/>
              <w:rPr>
                <w:sz w:val="20"/>
                <w:szCs w:val="20"/>
                <w:color w:val="auto"/>
              </w:rPr>
            </w:pPr>
            <w:r>
              <w:rPr>
                <w:rFonts w:ascii="Arial" w:cs="Arial" w:eastAsia="Arial" w:hAnsi="Arial"/>
                <w:sz w:val="18"/>
                <w:szCs w:val="18"/>
                <w:color w:val="auto"/>
              </w:rPr>
              <w:t>Broker-Dealers</w:t>
            </w: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0"/>
              </w:rPr>
              <w:t>Each broker-dealer that receives new notes for its own account pursuant to the exchange offer</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3"/>
              </w:rPr>
              <w:t>must acknowledge that it will deliver a prospectus in connection with any resale of such new</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1"/>
              </w:rPr>
              <w:t>notes. The letter of transmittal states that by so acknowledging and delivering a prospectus, a</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2"/>
              </w:rPr>
              <w:t>broker-dealer will not be deemed to admit that it is an “underwriter” within the meaning of the</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0"/>
              </w:rPr>
              <w:t>Securities Act. This prospectus, as it may be amended or supplemented from time to time, may</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9"/>
              </w:rPr>
              <w:t>be used by a broker-dealer in connection with resales of new notes received in exchange for old</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2"/>
              </w:rPr>
              <w:t>notes which were received by the broker-dealer as a result of market-making or other trading</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9"/>
              </w:rPr>
              <w:t>activities. Under the registration rights agreements, we have agreed that for a period of up to the</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1"/>
              </w:rPr>
              <w:t>later of (i) 180 days following the 30th business day after the registration statement containing</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0"/>
              </w:rPr>
              <w:t>this prospectus is declared effective, and (ii) 180 days following the 10th business day after the</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1"/>
              </w:rPr>
              <w:t>exchange offer expires, we will make this prospectus available to any broker-dealer for use in</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4"/>
              </w:rPr>
              <w:t>connection with any such resale. See “Plan of Distribution” beginning on page 189 for more</w:t>
            </w:r>
          </w:p>
        </w:tc>
      </w:tr>
      <w:tr>
        <w:trPr>
          <w:trHeight w:val="222"/>
        </w:trPr>
        <w:tc>
          <w:tcPr>
            <w:tcW w:w="378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information.</w:t>
            </w:r>
          </w:p>
        </w:tc>
      </w:tr>
      <w:tr>
        <w:trPr>
          <w:trHeight w:val="412"/>
        </w:trPr>
        <w:tc>
          <w:tcPr>
            <w:tcW w:w="3780" w:type="dxa"/>
            <w:vAlign w:val="bottom"/>
          </w:tcPr>
          <w:p>
            <w:pPr>
              <w:spacing w:after="0"/>
              <w:rPr>
                <w:sz w:val="20"/>
                <w:szCs w:val="20"/>
                <w:color w:val="auto"/>
              </w:rPr>
            </w:pPr>
            <w:r>
              <w:rPr>
                <w:rFonts w:ascii="Arial" w:cs="Arial" w:eastAsia="Arial" w:hAnsi="Arial"/>
                <w:sz w:val="18"/>
                <w:szCs w:val="18"/>
                <w:color w:val="auto"/>
                <w:w w:val="99"/>
              </w:rPr>
              <w:t>Registration Rights Agreement for the old notes</w:t>
            </w: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8"/>
              </w:rPr>
              <w:t>When we issued the old notes on August 4, 2010, we entered into a registration rights agreement</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9"/>
              </w:rPr>
              <w:t>with the initial purchasers of the old notes. Under the terms of the registration rights agreement,</w:t>
            </w:r>
          </w:p>
        </w:tc>
      </w:tr>
      <w:tr>
        <w:trPr>
          <w:trHeight w:val="222"/>
        </w:trPr>
        <w:tc>
          <w:tcPr>
            <w:tcW w:w="378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we agreed to:</w:t>
            </w:r>
          </w:p>
        </w:tc>
      </w:tr>
      <w:tr>
        <w:trPr>
          <w:trHeight w:val="297"/>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file the exchange offer registration statement with the SEC on or prior to March 2, 2010;</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89"/>
              </w:rPr>
              <w:t>use all commercially reasonable efforts to cause the exchange offer registration statement</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to be declared effective no later than May 31, 2011;</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5"/>
              </w:rPr>
              <w:t>use all commercially reasonable efforts to consummate the exchange offer within 30</w:t>
            </w:r>
          </w:p>
        </w:tc>
      </w:tr>
      <w:tr>
        <w:trPr>
          <w:trHeight w:val="216"/>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88"/>
              </w:rPr>
              <w:t>business days after the date on which the exchange offer registration statement is declared</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0"/>
              </w:rPr>
              <w:t>use all commercially reasonable efforts to file a shelf registration statement for the resale</w:t>
            </w:r>
          </w:p>
        </w:tc>
      </w:tr>
      <w:tr>
        <w:trPr>
          <w:trHeight w:val="216"/>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0"/>
              </w:rPr>
              <w:t>of the old notes if we cannot effect an exchange offer within the time periods listed above</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and in certain other circumstances; and</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89"/>
              </w:rPr>
              <w:t>if we fail to meet our registration obligations, we will pay liquidated damages in an amount</w:t>
            </w:r>
          </w:p>
        </w:tc>
      </w:tr>
      <w:tr>
        <w:trPr>
          <w:trHeight w:val="216"/>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equal to $0.05 per week per $1,000 of the principal amount of old notes held by a holder</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for each day that we default on our registration obligations during the first 90-day period</w:t>
            </w:r>
          </w:p>
        </w:tc>
      </w:tr>
    </w:tbl>
    <w:p>
      <w:pPr>
        <w:ind w:left="4820" w:right="220"/>
        <w:spacing w:after="0" w:line="261" w:lineRule="auto"/>
        <w:rPr>
          <w:sz w:val="20"/>
          <w:szCs w:val="20"/>
          <w:color w:val="auto"/>
        </w:rPr>
      </w:pPr>
      <w:r>
        <w:rPr>
          <w:rFonts w:ascii="Arial" w:cs="Arial" w:eastAsia="Arial" w:hAnsi="Arial"/>
          <w:sz w:val="18"/>
          <w:szCs w:val="18"/>
          <w:color w:val="auto"/>
        </w:rPr>
        <w:t>immediately following the occurrence of such default, increasing by an additional $0.05 per week per</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22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2722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spacing w:after="0" w:line="259" w:lineRule="auto"/>
        <w:rPr>
          <w:sz w:val="20"/>
          <w:szCs w:val="20"/>
          <w:color w:val="auto"/>
        </w:rPr>
      </w:pPr>
      <w:r>
        <w:rPr>
          <w:rFonts w:ascii="Arial" w:cs="Arial" w:eastAsia="Arial" w:hAnsi="Arial"/>
          <w:sz w:val="18"/>
          <w:szCs w:val="18"/>
          <w:color w:val="auto"/>
        </w:rPr>
        <w:t>$1,000 of the principal amount of old notes for each subsequent 90-day period our registration obligations are not met, up to a maximum of liquidated damages equal to $0.50 per week per $1,000 of the principal amount of old notes.</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terms of the new notes and those of the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Issuers</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Securities Offered</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9"/>
              </w:rPr>
              <w:t xml:space="preserve">$1,320,000,000 aggregate principal amount of 7 </w:t>
            </w:r>
            <w:r>
              <w:rPr>
                <w:rFonts w:ascii="Arial" w:cs="Arial" w:eastAsia="Arial" w:hAnsi="Arial"/>
                <w:sz w:val="11"/>
                <w:szCs w:val="11"/>
                <w:color w:val="auto"/>
                <w:w w:val="99"/>
              </w:rPr>
              <w:t>3</w:t>
            </w:r>
            <w:r>
              <w:rPr>
                <w:rFonts w:ascii="Arial" w:cs="Arial" w:eastAsia="Arial" w:hAnsi="Arial"/>
                <w:sz w:val="18"/>
                <w:szCs w:val="18"/>
                <w:color w:val="auto"/>
                <w:w w:val="99"/>
              </w:rPr>
              <w:t>/</w:t>
            </w:r>
            <w:r>
              <w:rPr>
                <w:rFonts w:ascii="Arial" w:cs="Arial" w:eastAsia="Arial" w:hAnsi="Arial"/>
                <w:sz w:val="13"/>
                <w:szCs w:val="13"/>
                <w:color w:val="auto"/>
                <w:w w:val="99"/>
              </w:rPr>
              <w:t>4</w:t>
            </w:r>
            <w:r>
              <w:rPr>
                <w:rFonts w:ascii="Arial" w:cs="Arial" w:eastAsia="Arial" w:hAnsi="Arial"/>
                <w:sz w:val="18"/>
                <w:szCs w:val="18"/>
                <w:color w:val="auto"/>
                <w:w w:val="99"/>
              </w:rPr>
              <w:t>% First Mortgage Notes due 2020.</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Maturity</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August 15, 2020.</w:t>
            </w:r>
          </w:p>
        </w:tc>
      </w:tr>
      <w:tr>
        <w:trPr>
          <w:trHeight w:val="426"/>
        </w:trPr>
        <w:tc>
          <w:tcPr>
            <w:tcW w:w="2920" w:type="dxa"/>
            <w:vAlign w:val="bottom"/>
          </w:tcPr>
          <w:p>
            <w:pPr>
              <w:spacing w:after="0"/>
              <w:rPr>
                <w:sz w:val="20"/>
                <w:szCs w:val="20"/>
                <w:color w:val="auto"/>
              </w:rPr>
            </w:pPr>
            <w:r>
              <w:rPr>
                <w:rFonts w:ascii="Arial" w:cs="Arial" w:eastAsia="Arial" w:hAnsi="Arial"/>
                <w:sz w:val="18"/>
                <w:szCs w:val="18"/>
                <w:color w:val="auto"/>
              </w:rPr>
              <w:t>Subsidiary Guarantees</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1"/>
              </w:rPr>
              <w:t>The new notes will be jointly and severally guaranteed by all of our subsidiaries (except Wynn</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0"/>
              </w:rPr>
              <w:t>Capital, which is a co-issuer of the new notes, and Wynn Completion Guarantor, LLC) and will</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9"/>
              </w:rPr>
              <w:t>rank equal in right of payment with all other senior indebtedness of the guarantors, including the</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7"/>
              </w:rPr>
              <w:t>credit facilities, the 2017 notes, the existing 2020 notes and the old notes. The guarantees may be</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9"/>
              </w:rPr>
              <w:t>released if the lenders under our credit facilities release the corresponding guarantees provided</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0"/>
              </w:rPr>
              <w:t>by such guarantors in respect of our credit facilities and certain other conditions set forth in the</w:t>
            </w:r>
          </w:p>
        </w:tc>
      </w:tr>
      <w:tr>
        <w:trPr>
          <w:trHeight w:val="222"/>
        </w:trPr>
        <w:tc>
          <w:tcPr>
            <w:tcW w:w="2920" w:type="dxa"/>
            <w:vAlign w:val="bottom"/>
          </w:tcPr>
          <w:p>
            <w:pPr>
              <w:spacing w:after="0"/>
              <w:rPr>
                <w:sz w:val="19"/>
                <w:szCs w:val="19"/>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indenture governing the notes are satisfied.</w:t>
            </w:r>
          </w:p>
        </w:tc>
      </w:tr>
      <w:tr>
        <w:trPr>
          <w:trHeight w:val="419"/>
        </w:trPr>
        <w:tc>
          <w:tcPr>
            <w:tcW w:w="2920" w:type="dxa"/>
            <w:vAlign w:val="bottom"/>
          </w:tcPr>
          <w:p>
            <w:pPr>
              <w:spacing w:after="0"/>
              <w:rPr>
                <w:sz w:val="20"/>
                <w:szCs w:val="20"/>
                <w:color w:val="auto"/>
              </w:rPr>
            </w:pPr>
            <w:r>
              <w:rPr>
                <w:rFonts w:ascii="Arial" w:cs="Arial" w:eastAsia="Arial" w:hAnsi="Arial"/>
                <w:sz w:val="18"/>
                <w:szCs w:val="18"/>
                <w:color w:val="auto"/>
              </w:rPr>
              <w:t>Interest rate</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year.</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February 15 and August 15 of each year, beginning on February 15, 2011.</w:t>
            </w:r>
          </w:p>
        </w:tc>
      </w:tr>
      <w:tr>
        <w:trPr>
          <w:trHeight w:val="426"/>
        </w:trPr>
        <w:tc>
          <w:tcPr>
            <w:tcW w:w="2920" w:type="dxa"/>
            <w:vAlign w:val="bottom"/>
          </w:tcPr>
          <w:p>
            <w:pPr>
              <w:spacing w:after="0"/>
              <w:rPr>
                <w:sz w:val="20"/>
                <w:szCs w:val="20"/>
                <w:color w:val="auto"/>
              </w:rPr>
            </w:pPr>
            <w:r>
              <w:rPr>
                <w:rFonts w:ascii="Arial" w:cs="Arial" w:eastAsia="Arial" w:hAnsi="Arial"/>
                <w:sz w:val="18"/>
                <w:szCs w:val="18"/>
                <w:color w:val="auto"/>
              </w:rPr>
              <w:t>Ranking</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6"/>
              </w:rPr>
              <w:t>The new notes will be senior obligations of the issuers and will rank pari passu in right of</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1"/>
              </w:rPr>
              <w:t>payment with all other senior indebtedness of the Issuers, including our obligations under our</w:t>
            </w:r>
          </w:p>
        </w:tc>
      </w:tr>
      <w:tr>
        <w:trPr>
          <w:trHeight w:val="222"/>
        </w:trPr>
        <w:tc>
          <w:tcPr>
            <w:tcW w:w="2920" w:type="dxa"/>
            <w:vAlign w:val="bottom"/>
          </w:tcPr>
          <w:p>
            <w:pPr>
              <w:spacing w:after="0"/>
              <w:rPr>
                <w:sz w:val="19"/>
                <w:szCs w:val="19"/>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2017 notes, the existing 2020 notes and the old notes.</w:t>
            </w:r>
          </w:p>
        </w:tc>
      </w:tr>
      <w:tr>
        <w:trPr>
          <w:trHeight w:val="412"/>
        </w:trPr>
        <w:tc>
          <w:tcPr>
            <w:tcW w:w="2920" w:type="dxa"/>
            <w:vAlign w:val="bottom"/>
          </w:tcPr>
          <w:p>
            <w:pPr>
              <w:spacing w:after="0"/>
              <w:rPr>
                <w:sz w:val="20"/>
                <w:szCs w:val="20"/>
                <w:color w:val="auto"/>
              </w:rPr>
            </w:pPr>
            <w:r>
              <w:rPr>
                <w:rFonts w:ascii="Arial" w:cs="Arial" w:eastAsia="Arial" w:hAnsi="Arial"/>
                <w:sz w:val="18"/>
                <w:szCs w:val="18"/>
                <w:color w:val="auto"/>
              </w:rPr>
              <w:t>Security</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2"/>
              </w:rPr>
              <w:t>To the extent permitted by gaming and other applicable laws and subject to certain permitted</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9"/>
              </w:rPr>
              <w:t>liens, the new notes will be secured on an equal and ratable basis (with certain exceptions) with</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2"/>
              </w:rPr>
              <w:t>our obligations under our credit facilities, the 2017 notes, the existing 2020 notes and the old</w:t>
            </w:r>
          </w:p>
        </w:tc>
      </w:tr>
      <w:tr>
        <w:trPr>
          <w:trHeight w:val="222"/>
        </w:trPr>
        <w:tc>
          <w:tcPr>
            <w:tcW w:w="2920" w:type="dxa"/>
            <w:vAlign w:val="bottom"/>
          </w:tcPr>
          <w:p>
            <w:pPr>
              <w:spacing w:after="0"/>
              <w:rPr>
                <w:sz w:val="19"/>
                <w:szCs w:val="19"/>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29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580" w:type="dxa"/>
            <w:vAlign w:val="bottom"/>
          </w:tcPr>
          <w:p>
            <w:pPr>
              <w:ind w:left="180"/>
              <w:spacing w:after="0"/>
              <w:rPr>
                <w:sz w:val="20"/>
                <w:szCs w:val="20"/>
                <w:color w:val="auto"/>
              </w:rPr>
            </w:pPr>
            <w:r>
              <w:rPr>
                <w:rFonts w:ascii="Arial" w:cs="Arial" w:eastAsia="Arial" w:hAnsi="Arial"/>
                <w:sz w:val="18"/>
                <w:szCs w:val="18"/>
                <w:color w:val="auto"/>
                <w:w w:val="89"/>
              </w:rPr>
              <w:t>a perfected first priority lien on substantially all of our existing and future assets, including</w:t>
            </w:r>
          </w:p>
        </w:tc>
      </w:tr>
      <w:tr>
        <w:trPr>
          <w:trHeight w:val="222"/>
        </w:trPr>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29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580" w:type="dxa"/>
            <w:vAlign w:val="bottom"/>
          </w:tcPr>
          <w:p>
            <w:pPr>
              <w:ind w:left="180"/>
              <w:spacing w:after="0"/>
              <w:rPr>
                <w:sz w:val="20"/>
                <w:szCs w:val="20"/>
                <w:color w:val="auto"/>
              </w:rPr>
            </w:pPr>
            <w:r>
              <w:rPr>
                <w:rFonts w:ascii="Arial" w:cs="Arial" w:eastAsia="Arial" w:hAnsi="Arial"/>
                <w:sz w:val="18"/>
                <w:szCs w:val="18"/>
                <w:color w:val="auto"/>
                <w:w w:val="94"/>
              </w:rPr>
              <w:t>a perfected first priority pledge of the equity interests in Wynn Las Vegas, LLC, Wynn</w:t>
            </w:r>
          </w:p>
        </w:tc>
      </w:tr>
      <w:tr>
        <w:trPr>
          <w:trHeight w:val="216"/>
        </w:trPr>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3"/>
              </w:rPr>
              <w:t>Capital, and the guarantors (which pledge, in the case of equity interests in Wynn Las</w:t>
            </w:r>
          </w:p>
        </w:tc>
      </w:tr>
      <w:tr>
        <w:trPr>
          <w:trHeight w:val="222"/>
        </w:trPr>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bl>
    <w:p>
      <w:pPr>
        <w:spacing w:after="0" w:line="196" w:lineRule="exact"/>
        <w:rPr>
          <w:sz w:val="20"/>
          <w:szCs w:val="20"/>
          <w:color w:val="auto"/>
        </w:rPr>
      </w:pPr>
    </w:p>
    <w:p>
      <w:pPr>
        <w:ind w:left="4400" w:right="360"/>
        <w:spacing w:after="0" w:line="306"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notes will be secured, on an equal and ratable basis (with certain exceptions) with such</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72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140"/>
        <w:spacing w:after="0" w:line="259" w:lineRule="auto"/>
        <w:rPr>
          <w:sz w:val="20"/>
          <w:szCs w:val="20"/>
          <w:color w:val="auto"/>
        </w:rPr>
      </w:pPr>
      <w:r>
        <w:rPr>
          <w:rFonts w:ascii="Arial" w:cs="Arial" w:eastAsia="Arial" w:hAnsi="Arial"/>
          <w:sz w:val="18"/>
          <w:szCs w:val="18"/>
          <w:color w:val="auto"/>
        </w:rPr>
        <w:t>guarantors’ obligations under the guarantees of our credit facilities, the 2017 notes, the existing 2020 notes and the old notes, by a perfected first priority lien on substantially all of the existing and future assets of the subsidiary guarantors.</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security interests in all of the collateral securing our obligations under the new notes and the obligations of the subsidiary guarantors under the subsidiary guarantees, including the golf course land, may be released under certain circumstances if:</w:t>
      </w:r>
    </w:p>
    <w:p>
      <w:pPr>
        <w:spacing w:after="0" w:line="26"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40"/>
        <w:spacing w:after="0" w:line="305" w:lineRule="auto"/>
        <w:rPr>
          <w:sz w:val="20"/>
          <w:szCs w:val="20"/>
          <w:color w:val="auto"/>
        </w:rPr>
      </w:pPr>
      <w:r>
        <w:rPr>
          <w:rFonts w:ascii="Arial" w:cs="Arial" w:eastAsia="Arial" w:hAnsi="Arial"/>
          <w:sz w:val="15"/>
          <w:szCs w:val="15"/>
          <w:color w:val="auto"/>
        </w:rPr>
        <w:t>the lenders under each other outstanding class of secured debt (other than capital lease obligations, mortgage financings and purchase money indebtedness) have released their</w:t>
      </w:r>
    </w:p>
    <w:p>
      <w:pPr>
        <w:spacing w:after="0" w:line="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820"/>
        <w:spacing w:after="0" w:line="302" w:lineRule="auto"/>
        <w:rPr>
          <w:sz w:val="20"/>
          <w:szCs w:val="20"/>
          <w:color w:val="auto"/>
        </w:rPr>
      </w:pPr>
      <w:r>
        <w:rPr>
          <w:rFonts w:ascii="Arial" w:cs="Arial" w:eastAsia="Arial" w:hAnsi="Arial"/>
          <w:sz w:val="16"/>
          <w:szCs w:val="16"/>
          <w:color w:val="auto"/>
        </w:rPr>
        <w:t>security interest in such collateral (which release is required from each of the 2017 notes and the existing 2020 notes once the lenders under our existing credit facilities release their security interest in such collateral (other than in connection with a refinancing)).</w:t>
      </w:r>
    </w:p>
    <w:p>
      <w:pPr>
        <w:spacing w:after="0" w:line="10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60" w:hanging="423"/>
        <w:spacing w:after="0" w:line="306"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lenders under all other outstanding indebtedness secured by the golf course land (other than capital lease obligations, mortgage financings and purchase money indebtedness) have released their security interest in the golf course land.</w:t>
      </w:r>
    </w:p>
    <w:p>
      <w:pPr>
        <w:spacing w:after="0" w:line="107" w:lineRule="exact"/>
        <w:rPr>
          <w:sz w:val="20"/>
          <w:szCs w:val="20"/>
          <w:color w:val="auto"/>
        </w:rPr>
      </w:pPr>
    </w:p>
    <w:p>
      <w:pPr>
        <w:ind w:left="4400" w:right="100"/>
        <w:spacing w:after="0" w:line="291" w:lineRule="auto"/>
        <w:rPr>
          <w:sz w:val="20"/>
          <w:szCs w:val="20"/>
          <w:color w:val="auto"/>
        </w:rPr>
      </w:pPr>
      <w:r>
        <w:rPr>
          <w:rFonts w:ascii="Arial" w:cs="Arial" w:eastAsia="Arial" w:hAnsi="Arial"/>
          <w:sz w:val="16"/>
          <w:szCs w:val="16"/>
          <w:color w:val="auto"/>
        </w:rPr>
        <w:t>However, if we incur or guarantee debt to finance costs related to the designing, developing and constructing of a project on the golf course parcel pursuant to the debt incurrence baskets described below under the caption “Description of the New Notes—Certain Covenants— Incurrence of Indebtedness and Issuance of Disqualified Stock,” then the security interest in the golf course land may not be released without obtaining the consent of holders of at least 90% of the outstanding principal amount of the notes.</w:t>
      </w:r>
    </w:p>
    <w:p>
      <w:pPr>
        <w:spacing w:after="0" w:line="161" w:lineRule="exact"/>
        <w:rPr>
          <w:sz w:val="20"/>
          <w:szCs w:val="20"/>
          <w:color w:val="auto"/>
        </w:rPr>
      </w:pPr>
    </w:p>
    <w:p>
      <w:pPr>
        <w:ind w:left="4400" w:right="400"/>
        <w:spacing w:after="0" w:line="259" w:lineRule="auto"/>
        <w:rPr>
          <w:sz w:val="20"/>
          <w:szCs w:val="20"/>
          <w:color w:val="auto"/>
        </w:rPr>
      </w:pPr>
      <w:r>
        <w:rPr>
          <w:rFonts w:ascii="Arial" w:cs="Arial" w:eastAsia="Arial" w:hAnsi="Arial"/>
          <w:sz w:val="18"/>
          <w:szCs w:val="18"/>
          <w:color w:val="auto"/>
        </w:rPr>
        <w:t>If our credit facilities are terminated or if the lenders under our credit facilities concurrently release their lien on approximately 20 acres of the golf course land granted by one of our subsidiaries (other than</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400"/>
        <w:spacing w:after="0" w:line="268" w:lineRule="auto"/>
        <w:rPr>
          <w:sz w:val="20"/>
          <w:szCs w:val="20"/>
          <w:color w:val="auto"/>
        </w:rPr>
      </w:pPr>
      <w:r>
        <w:rPr>
          <w:rFonts w:ascii="Arial" w:cs="Arial" w:eastAsia="Arial" w:hAnsi="Arial"/>
          <w:sz w:val="18"/>
          <w:szCs w:val="18"/>
          <w:color w:val="auto"/>
        </w:rPr>
        <w:t>pursuant to a secured refinancing) and no default or event of default exists or is continuing, the security interest in the golf course land may be released.</w:t>
      </w:r>
    </w:p>
    <w:p>
      <w:pPr>
        <w:spacing w:after="0" w:line="145" w:lineRule="exact"/>
        <w:rPr>
          <w:sz w:val="20"/>
          <w:szCs w:val="20"/>
          <w:color w:val="auto"/>
        </w:rPr>
      </w:pPr>
    </w:p>
    <w:p>
      <w:pPr>
        <w:ind w:left="4400" w:right="480"/>
        <w:spacing w:after="0" w:line="256" w:lineRule="auto"/>
        <w:rPr>
          <w:sz w:val="20"/>
          <w:szCs w:val="20"/>
          <w:color w:val="auto"/>
        </w:rPr>
      </w:pPr>
      <w:r>
        <w:rPr>
          <w:rFonts w:ascii="Arial" w:cs="Arial" w:eastAsia="Arial" w:hAnsi="Arial"/>
          <w:sz w:val="18"/>
          <w:szCs w:val="18"/>
          <w:color w:val="auto"/>
        </w:rPr>
        <w:t>In addition, the indenture governing the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ind w:left="200"/>
              <w:spacing w:after="0"/>
              <w:rPr>
                <w:sz w:val="20"/>
                <w:szCs w:val="20"/>
                <w:color w:val="auto"/>
              </w:rPr>
            </w:pPr>
            <w:r>
              <w:rPr>
                <w:rFonts w:ascii="Arial" w:cs="Arial" w:eastAsia="Arial" w:hAnsi="Arial"/>
                <w:sz w:val="18"/>
                <w:szCs w:val="18"/>
                <w:color w:val="auto"/>
                <w:w w:val="94"/>
              </w:rPr>
              <w:t>Optional Redemption After Qualified Equity Offerings</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3"/>
              </w:rPr>
              <w:t>At any time prior to August 15, 2013, we may, on one or more occasions, redeem up to 35% of</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9"/>
              </w:rPr>
              <w:t>the outstanding new notes at a redemption price of 107.75% of the principal amount, plus</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at least 65% of the aggregate principal amount of notes issued under the indenture</w:t>
            </w:r>
          </w:p>
        </w:tc>
      </w:tr>
      <w:tr>
        <w:trPr>
          <w:trHeight w:val="216"/>
        </w:trPr>
        <w:tc>
          <w:tcPr>
            <w:tcW w:w="4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governing the notes remains outstanding immediately after the occurrence of such</w:t>
            </w:r>
          </w:p>
        </w:tc>
      </w:tr>
      <w:tr>
        <w:trPr>
          <w:trHeight w:val="222"/>
        </w:trPr>
        <w:tc>
          <w:tcPr>
            <w:tcW w:w="4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2"/>
              </w:rPr>
              <w:t>Except pursuant to a qualified equity offering, we cannot redeem the new notes until August 15,</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3"/>
              </w:rPr>
              <w:t>2015. On or after August 15, 2015, we may redeem some or all of the new notes at a premium</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declining ratably to zero, plus accrued and unpaid interest.</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The new notes will be subject to redemption requirements imposed by gaming laws and</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9"/>
              </w:rPr>
              <w:t>If a change of control occurs, we must offer to repurchase the new notes at 101% of their</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Asset Sales and Events of Loss</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2"/>
              </w:rPr>
              <w:t>If we or any of our restricted subsidiaries sell certain assets or experience certain events of loss,</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1"/>
              </w:rPr>
              <w:t>we may be required to offer to repurchase the notes, the 2017 notes and the existing 2020 notes</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and repay indebtedness under our credit facilities on a pro rata basis.</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Certain Indenture Provisions</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subsidiaries’ ability to:</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161"/>
        </w:trPr>
        <w:tc>
          <w:tcPr>
            <w:tcW w:w="4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4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940" w:type="dxa"/>
            <w:vAlign w:val="bottom"/>
          </w:tcPr>
          <w:p>
            <w:pPr>
              <w:spacing w:after="0"/>
              <w:rPr>
                <w:sz w:val="19"/>
                <w:szCs w:val="19"/>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2940" w:type="dxa"/>
            <w:vAlign w:val="bottom"/>
          </w:tcPr>
          <w:p>
            <w:pPr>
              <w:spacing w:after="0"/>
              <w:rPr>
                <w:sz w:val="20"/>
                <w:szCs w:val="20"/>
                <w:color w:val="auto"/>
              </w:rPr>
            </w:pPr>
            <w:r>
              <w:rPr>
                <w:rFonts w:ascii="Arial" w:cs="Arial" w:eastAsia="Arial" w:hAnsi="Arial"/>
                <w:sz w:val="18"/>
                <w:szCs w:val="18"/>
                <w:color w:val="auto"/>
              </w:rPr>
              <w:t>Intercreditor Agreement</w:t>
            </w:r>
          </w:p>
        </w:tc>
        <w:tc>
          <w:tcPr>
            <w:tcW w:w="8100" w:type="dxa"/>
            <w:vAlign w:val="bottom"/>
            <w:gridSpan w:val="2"/>
          </w:tcPr>
          <w:p>
            <w:pPr>
              <w:ind w:left="1260"/>
              <w:spacing w:after="0"/>
              <w:rPr>
                <w:sz w:val="20"/>
                <w:szCs w:val="20"/>
                <w:color w:val="auto"/>
              </w:rPr>
            </w:pPr>
            <w:r>
              <w:rPr>
                <w:rFonts w:ascii="Arial" w:cs="Arial" w:eastAsia="Arial" w:hAnsi="Arial"/>
                <w:sz w:val="18"/>
                <w:szCs w:val="18"/>
                <w:color w:val="auto"/>
                <w:w w:val="87"/>
              </w:rPr>
              <w:t>The trustee under the indenture for the 2017 notes, the trustee under the indenture for the existing</w:t>
            </w:r>
          </w:p>
        </w:tc>
      </w:tr>
      <w:tr>
        <w:trPr>
          <w:trHeight w:val="222"/>
        </w:trPr>
        <w:tc>
          <w:tcPr>
            <w:tcW w:w="2940" w:type="dxa"/>
            <w:vAlign w:val="bottom"/>
          </w:tcPr>
          <w:p>
            <w:pPr>
              <w:spacing w:after="0"/>
              <w:rPr>
                <w:sz w:val="19"/>
                <w:szCs w:val="19"/>
                <w:color w:val="auto"/>
              </w:rPr>
            </w:pPr>
          </w:p>
        </w:tc>
        <w:tc>
          <w:tcPr>
            <w:tcW w:w="8100" w:type="dxa"/>
            <w:vAlign w:val="bottom"/>
            <w:gridSpan w:val="2"/>
          </w:tcPr>
          <w:p>
            <w:pPr>
              <w:ind w:left="1260"/>
              <w:spacing w:after="0"/>
              <w:rPr>
                <w:sz w:val="20"/>
                <w:szCs w:val="20"/>
                <w:color w:val="auto"/>
              </w:rPr>
            </w:pPr>
            <w:r>
              <w:rPr>
                <w:rFonts w:ascii="Arial" w:cs="Arial" w:eastAsia="Arial" w:hAnsi="Arial"/>
                <w:sz w:val="18"/>
                <w:szCs w:val="18"/>
                <w:color w:val="auto"/>
                <w:w w:val="98"/>
              </w:rPr>
              <w:t>2020 notes and the agent for the lenders under our credit facilities have entered into an</w:t>
            </w:r>
          </w:p>
        </w:tc>
      </w:tr>
    </w:tbl>
    <w:p>
      <w:pPr>
        <w:ind w:left="4400" w:right="20"/>
        <w:spacing w:after="0" w:line="284" w:lineRule="auto"/>
        <w:rPr>
          <w:sz w:val="20"/>
          <w:szCs w:val="20"/>
          <w:color w:val="auto"/>
        </w:rPr>
      </w:pPr>
      <w:r>
        <w:rPr>
          <w:rFonts w:ascii="Arial" w:cs="Arial" w:eastAsia="Arial" w:hAnsi="Arial"/>
          <w:sz w:val="16"/>
          <w:szCs w:val="16"/>
          <w:color w:val="auto"/>
        </w:rPr>
        <w:t>intercreditor agreement and the trustee under the indenture governing the notes entered into a joinder agreement and became party to the intercreditor agreement. The intercreditor agreement governs the relationship among the holders of the 2017 notes, the holders of the existing 2020 notes, the holders of the notes, the lenders under our credit facilities and holders of permitted senior and junior indebtedness. By accepting the notes, the holders of the notes, in addition to the trustee, are bound by the terms of the intercreditor agreement. Under the intercreditor agreement, the trustee on behalf of the holders of the 2017 notes, the trustee on behalf of the holders of the existing 2020 notes, the trustee on behalf of the holders of the notes and the agent for the lenders under our credit facilities have appointed a collateral agent with respect to the collateral granted in favor of the holders of the notes, the holders of the 2017 notes, the holders of the 2020 notes, and the lenders under our credit facilities. The liens on the collateral that secure the notes, pursuant to the terms of the intercreditor agreement, rank pari passu with the liens on such collateral that secure our credit facilities, the 2017 notes, the 2020 notes and any other permitted senior secured debt, and rank prior to the liens on such collateral that secure any permitted junior debt. Further, the intercreditor agreement permits us to make certain debt we are otherwise permitted to incur pari passu with the notes.</w:t>
      </w:r>
    </w:p>
    <w:p>
      <w:pPr>
        <w:spacing w:after="0" w:line="130" w:lineRule="exact"/>
        <w:rPr>
          <w:sz w:val="20"/>
          <w:szCs w:val="20"/>
          <w:color w:val="auto"/>
        </w:rPr>
      </w:pPr>
    </w:p>
    <w:p>
      <w:pPr>
        <w:ind w:left="4400" w:right="60"/>
        <w:spacing w:after="0" w:line="290" w:lineRule="auto"/>
        <w:rPr>
          <w:sz w:val="20"/>
          <w:szCs w:val="20"/>
          <w:color w:val="auto"/>
        </w:rPr>
      </w:pPr>
      <w:r>
        <w:rPr>
          <w:rFonts w:ascii="Arial" w:cs="Arial" w:eastAsia="Arial" w:hAnsi="Arial"/>
          <w:sz w:val="16"/>
          <w:szCs w:val="16"/>
          <w:color w:val="auto"/>
        </w:rPr>
        <w:t>The intercreditor agreement provides that, each of the agent under our new credit facilities and, from and after the expiration of 30 days after a payment default or acceleration under any of the indentures governing the 2017 notes, the existing 2020 notes or the notes, holders of a majority in aggregate principal amount of all first-lien debt (excluding the debt under our credit facilities, but including the 2017 notes, the existing 2020 notes and the notes) or the agent under our credit facilities, may instruct the collateral agent to commence the exercise of remedies against the collateral.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28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New notes issued in book-entry form will be issued to Cede &amp; Co. as nominee of DTC.</w:t>
            </w:r>
          </w:p>
        </w:tc>
      </w:tr>
      <w:tr>
        <w:trPr>
          <w:trHeight w:val="432"/>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16,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new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June 30, 2010, we had total outstanding debt of approximately $2.6 billion. In addition, our credit agreement and indentures permit us to incur additional indebtedness in the future. Our substantial indebtedness could have important consequences. For example:</w:t>
      </w:r>
    </w:p>
    <w:p>
      <w:pPr>
        <w:spacing w:after="0" w:line="59" w:lineRule="exact"/>
        <w:rPr>
          <w:sz w:val="20"/>
          <w:szCs w:val="20"/>
          <w:color w:val="auto"/>
        </w:rPr>
      </w:pPr>
    </w:p>
    <w:p>
      <w:pPr>
        <w:ind w:left="900" w:right="20" w:hanging="446"/>
        <w:spacing w:after="0" w:line="35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the 2017 notes, the existing 2020 notes and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a financial covenant and other covenants that restrict our ability to engage in certain transactions and may impair our ability to respond to changing business and economic conditions.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debt facilities require us to satisfy a minimum interest coverage ratio. If our operations fail to generate adequate cash flow, we may violate this covenant causing a default in our agreements. Future indebtedness or other contracts could contain covenants more restrictive than those contained in our existing debt facilities.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 prospects of debt refinancing, availability of credit to us and to our customers and the profitability of our business.</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There was continued instability in financial and credit markets worldwide in 2009 and 2010.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Wynn Resorts’ property in Macau, could draw Asian gaming customers away from Las Vegas.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During the first six months of 2010, the occupancy rates across Las Vegas have declined by approximately 3%, average daily rooms rates have increased slightly by 0.6% and Las Vegas Strip gaming revenue has increased approximately 2.6%, all compared to the first six months of 2009. If these trends continue, our financial condition, results of operations and cash flows will be adversely affected.</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$1.5 billion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2020 notes, the 2017 notes and the 2014 notes and would constitute an event of default under our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37.4%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then ownership of 11,076,709 shares of the Wynn Resorts’ common stock. Under the amended and restated stockholders’ agreement, Mr. Wynn, Elaine P. Wynn, and Aruze USA, Inc., have agreed to vote their shares of Wynn Resorts’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bylaws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pursuant to the acquisition of controlling interest statutes,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operations and are subject to various reporting and anti-money laundering regulations. Any violation of anti-money laundering laws or regulations by any of our properties could have a negative effect on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default occurs with respect to the notes, the value of the collateral may not be sufficient to repay the holders of the notes.</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As of September 10, 2010, after giving effect to the issuance of the old notes and the concurrent amendment of our credit facilities, reductions in our revolving credit commitments, conversions by lenders of term loans maturing in 2013 to term loans maturing in 2015 and conversions by lenders of revolving commitments maturing in 2013 to revolving commitments maturing in 2015, we had approximately $306.9 million of available undrawn commitments and approximately $414.9 million outstanding under our senior secured credit facility, consisting of approximately $44.3 million outstanding under the portion of our senior secured term loan credit facility maturing in 2013, approximately $330.6 million outstanding under the portion of our senior secured term loan credit facility maturing in 2015, approximately $5.1 million outstanding under the portion of our revolving credit facility maturing in 2013 and approximately</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$34.9 million outstanding under the portion of our revolving credit facility maturing in 2015. See “Description of Certain Indebtedness.” As of the same date, after giving effect to the redemption of all issued and outstanding 2014 notes, we had (i) $500.0 million principal amount of 2017 notes outstanding and</w:t>
      </w:r>
    </w:p>
    <w:p>
      <w:pPr>
        <w:spacing w:after="0" w:line="1" w:lineRule="exact"/>
        <w:rPr>
          <w:sz w:val="20"/>
          <w:szCs w:val="20"/>
          <w:color w:val="auto"/>
        </w:rPr>
      </w:pPr>
    </w:p>
    <w:p>
      <w:pPr>
        <w:ind w:right="40" w:firstLine="8"/>
        <w:spacing w:after="0" w:line="292" w:lineRule="auto"/>
        <w:tabs>
          <w:tab w:leader="none" w:pos="2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$382.0 million principal amount of existing 2020 notes outstanding, which included $30.0 million principal amount of existing 2020 notes payable to an affiliate. Under the indenture governing the notes, we may be permitted to incur additional indebtedness that could be secured by first priority liens on the collateral, which liens would, pursuant to the intercreditor agreement, be pari passu with the liens securing the notes, the 2017 notes, the existing 2020 notes and our credit facilities. We are also permitted to incur additional indebtedness subject to compliance with certain covenants in the indentures governing the notes, the 2017 notes, the existing 2020 notes and our existing credit facilities.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2017 notes, the existing 2020 notes, the notes and the amounts outstanding under our credit facilities. If these proceeds were not sufficient to repay amounts outstanding under the notes, after paying any higher priority creditors and sharing pari passu with obligations under the 2017 notes, the existing 2020 notes and our credit facilities, then holders of the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appraisals of any of the collateral have been prepared by us or on behalf of us in connection with the exchange offer. The fair market value of this collateral is subject to fluctuations based on factors that include, among others, our ability to implement our business strategy, the ability to sell the collateral in an orderly sale, general economic conditions, the availability of buyers and similar factors.</w:t>
      </w:r>
    </w:p>
    <w:p>
      <w:pPr>
        <w:spacing w:after="0" w:line="22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note holders’ liens on all or part of the collateral will be released without their consent if the lenders under our credit facilities release their liens and certain other conditions are met.</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liens on all of the collateral securing the 2017 notes, the existing 2020 notes and the notes, including the golf course land, will be released if the lenders under our credit facilities release their liens on such collateral (other than in connection with a secured refinancing) and (i) no default or event of default has occurred and (ii) the lenders under any other outstanding class of secured debt (other than capital lease obligations, mortgage financings and purchase money indebtedness) have released their security interest in such collateral (which release is required from each of the 2017 notes and the existing 2020 notes once the lenders under our existing credit facilities release their security interest in such collateral (other than in connection with a refinancing)). As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September 10, 2010, after giving effect to (i) the issuance of the old notes and the concurrent amendment of our credit facilities, (ii) reductions in our revolving credit commitments, (iii) conversions by lenders of term loans maturing in 2013 to term loans maturing in 2015, (iv) conversions by lenders of revolving commitments maturing in 2013 to revolving commitments maturing in 2015 and (v) the redemption of all outstanding 2014 notes, the total indebtedness outstanding under our credit facilities was $414.9 million and the total principal amount of the 2017 notes and the existing 2020 notes was $882.0 million.</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the liens on the golf course land and related water rights may be released if (i) no default or event of default has occurred and is continuing immediately prior to or after giving effect to such release and (ii) the lenders under all other outstanding indebtedness secured by the golf course land (other than capital lease obligations, mortgage financings and purchase money indebtedness) have released their security interest in the golf course land.</w:t>
      </w:r>
    </w:p>
    <w:p>
      <w:pPr>
        <w:spacing w:after="0" w:line="1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In the event that the security interests on all of the collateral are released, the notes will become our unsecured obligations. As our senior unsecured obligations, the notes would be effectively subordinated to any secured indebtedness of the Issuers and the guarantors up to the value of the collateral securing such indebtedness, would rank senior in right of payment to any subordinated indebtedness of the Issuers and the guarantors, and would rank equal in right of payment to any existing and future unsecured senior indebtedness of the Issuers and the guarantors. In the event that only the security interests in the golf course land and the related water rights are released, the holders of the notes, the existing 2020 notes and the 2017 notes will have a first priority lien on the assets comprising the hotel and casino, and subject to prior gaming approval, the equity interest of Wynn Las Vegas and the equity interest in our restricted subsidiaries.</w:t>
      </w:r>
    </w:p>
    <w:p>
      <w:pPr>
        <w:spacing w:after="0" w:line="10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addition, the indenture governing the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6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The intercreditor agreement permits the agent under our credit facilities to amend the terms of, and waive defaults under, the security documents and to amend certain provisions of the intercreditor agreement without the consent of the holders of the notes.</w:t>
      </w:r>
    </w:p>
    <w:p>
      <w:pPr>
        <w:spacing w:after="0" w:line="4"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The security documents create liens on the collateral in favor of a collateral agent to secure our obligations under the credit facilities, the indentures, the 2017 notes, the existing 2020 notes and the notes. However, the intercreditor agreement grants the agent under our credit facilities certain rights that may adversely affect the interest of the holders of the notes under the security documents. The intercreditor agreement permits the agent under our credit facilities, without the consent of the holders of the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agent under our credit facilities is entitled, at any time when the amount outstanding under our credit facilities equals or exceeds</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$100 million and without the consent of 2017 notes trustee or holders of the 2017 notes, the existing 2020 notes trustee or holders of the existing 2020 notes, or the notes trustee or holders of the notes, to amend the subordination provisions of the intercreditor agreement that apply to any permitted junior secured debt that we may incur, provided that such amendment does not affect the provisions governing the relationship between the lenders under our credit facilities, the holders of the 2017 notes, the holders of the existing 2020 notes and the holders of the notes. Any such amendment could increase, perhaps significantly, the rights of any holders of junior debt under the intercreditor agreement to the detriment of the holders of the notes. Any such amendment could also adversely affect the ability of the notes trustee or the holders of the notes to enforce remedies against the collateral and recover the proceeds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Under the intercreditor agreement, the holders of the notes will not be able to control decisions regarding the collateral and to take enforcement actions.</w:t>
      </w:r>
    </w:p>
    <w:p>
      <w:pPr>
        <w:spacing w:after="0" w:line="1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intercreditor agreement provides that, except under very limited circumstances, none of the notes trustee, the holders of the notes, the 2017 notes trustee, the holders of the 2017 notes, the existing 2020 notes trustee or holders of the existing 2020 notes will have the right to direct the collateral agent to enforce remedies against the collateral. As long as any indebtedness is outstanding under our credit facilities, the holders of a majority of the aggregate amount of loans under our credit facilities may instruct the collateral agent to commence the exercise of remedies against the collateral. However, following any event of default under the credit facilities, the agent for the lenders may direct the collateral agent to commence enforcement actions against the collateral without the consent or direction of the notes trustee, the holders of the notes, the 2017 notes trustee, the holders of the 2017 notes, the existing 2020 notes trustee or the holders of the existing 2020 notes. Given that the amount of loans advanced by the lenders under our credit facilities may, from time to time, be substantially different than the outstanding amount of the notes, the lenders’ interests may not be aligned with those of the holders of the notes and the lenders may have different motives or strategies to protect their investment. As such, the lenders under our credit facilities may choose to instruct the collateral agent to enforce the various security interests or may initiate the exercise of other remedies against the collateral at any given time even though allowing us additional time to resolve any issues or take any other actions could increase the likelihood of repayment of the notes. In addition, the intercreditor agreement includes certain provisions, such as waivers of certain rights or consents to certain proceedings in bankruptcy, that may not be enforceable in bankruptcy.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connection with an exercise of remedies, the lenders under our credit facilities, and subject to the terms of the intercreditor agreement, the holders of the 2017 notes, the holders of the existing 2020 notes or the holders of the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notes to additional risks, including, without limitation, additional restrictions on exercising rights against collateral and on otherwise pursuing or obtaining repayment of the notes. See “—Bankruptcy laws may significantly impair your rights to repossess and dispose of collateral securing the notes, and otherwise collect on any amounts due thereunder.”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gaming restrictions, in any foreclosure sale of Wynn Las Vegas or Encore, the purchaser or the operator of the facility would need to be licensed to operate the resort’s casino under the Nevada gaming laws and regulations. If the 2017 notes trustee, the existing 2020 notes trustee, the notes trustee or the lenders under our credit facilities purchased Wynn Las Vegas or Encore at a foreclosure sale, the 2017 notes trustee, the existing 2020 notes trustee, the notes trustee or such lenders would not be permitted to continue gaming operations at either casino unless they retained an entity licensed under the Nevada gaming laws to conduct gaming operations at the facility. The holders of the notes may have to be licensed or found suitable in any event.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notes trustee must obtain prior approval from, and may be required to be licensed by, the Nevada gaming authorities before the notes trustee can foreclose on the pledged equity interests in our restricted subsidiaries.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 price for, the collateral. The ability to take possession and dispose of the collateral securing the notes upon acceleration of the notes,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otherwise pursue or obtain repayment of the notes, is likely to be significantly impaired or delayed by applicable bankruptcy law if a bankruptcy case is commenced by or against us prior to a taking of possession or disposition of the collateral securing the notes by the notes trustee for the benefit of the holders of the notes.</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notes and the related guarantees.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 project relate back to the date on which any contractor first commenced work. Accordingly, contractors, subcontractors and suppliers providing goods and services in connection with the project to refurbish and upgrade the rooms and suites at Wynn Las Vegas (which commenced in July 2010) who after recordation of the deed of trust securing the notes otherwise comply with the applicable requirements of Nevada law may have a lien on the property senior in priority to the lien securing the notes until they are paid in full. In the event of a liquidation, proceeds from the sale of collateral will be used to pay the holders of any mechanics’ liens then in existence before holders of the notes.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 and to otherwise collect on any amounts due thereunder.</w:t>
      </w:r>
    </w:p>
    <w:p>
      <w:pPr>
        <w:spacing w:after="0" w:line="51"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If a bankruptcy case were to be commenced by or against us prior to the repossession and disposition of the note collateral, the right of the trustee of the notes to repossess and dispose of the note collateral upon the occurrence of an event of default under the indenture is likely to be significantly impaired by applicable bankruptcy law. A bankruptcy case may be commenced by us or by certain unsecured creditors as provided in the United States Bankruptcy Code.</w:t>
      </w:r>
    </w:p>
    <w:p>
      <w:pPr>
        <w:spacing w:after="0" w:line="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notes, the 2017 notes, the existing 2020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note 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notes trustee could repossess or dispose of the collateral or whether or to what extent, through the requirement of “adequate protection,” the holders of the notes would be compensated for any delay in payment or loss of value of the collateral.</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United States Bankruptcy Code, a claim is a secured claim up to the value of the collateral that secures it. In most cases, interest stops accruing on the date of commencement of the bankruptcy case, but if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might bear on the recovery by the holders of the notes in these circumstances, among others, would include:</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notes. For example, under certain circumstances, a bankruptcy court could approve our or third parties’ motions for sales of collateral on terms favorable to us, require you to accept subordinated or other securities in exchange for the notes, or order substantive consolidation of us with Wynn Resorts in a bankruptcy in which Wynn Resorts was debtor.</w:t>
      </w:r>
    </w:p>
    <w:p>
      <w:pPr>
        <w:spacing w:after="0" w:line="143"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notes would be made; whether or when the trustee could foreclose upon or sell the collateral; whether the terms and conditions of the notes or any rights of the holders of the notes could be altered in a bankruptcy case without the trustee’s or your consent; whether the trustee or you would be able to enforce your rights against the subsidiary guarantors under their guarantees; and whether and to what extent holders of the notes would be compensated for any delay in payment or decline in the collateral’s value.</w:t>
      </w:r>
    </w:p>
    <w:p>
      <w:pPr>
        <w:spacing w:after="0" w:line="18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notes will not have the benefit of a first priority pledge on any equity interests of Wynn Las Vegas until we receive approval from the Nevada Gaming Commission.</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borrowings under our credit facilities, the 2017 notes, the existing 2020 notes and the notes are secured by a first priority pledge of the equity interests of Wynn Las Vegas by its parent, Wynn Holdings. Wynn Holdings has agreed to secure the notes by a first priority lien on the equity interests of Wynn Las Vegas. However, such lien with respect to the equity interests of Wynn Las Vegas cannot be effective to secure the notes without the prior approval from the Nevada Gaming Commission, upon a recommendation from the Nevada State Gaming Control Board. This lien will not be effective unless and until we receive such approval. While we have applied for such approval, we cannot give any assurance that such approval will be granted within any particular time period or at all. The delay between the issuance of the notes and the granting of any regulatory approval necessary to establish the lien on the equity interests may result in rendering the lien subject to avoidance by a bankruptcy trustee if (i) the obligations with respect to the notes constitute “antecedent debt” for purposes of the Bankruptcy Code, (ii) the pledge occurs at a time when Wynn Holdings and its subsidiaries, on a consolidated basis, are insolvent, (iii) the pledge is deemed to occur within 90 days of the commencement of a bankruptcy proceeding of Wynn Holdings and (iv) as a result of such pledge the holders of the notes (or any insider-creditor for whose benefit the transfer is made) would receive more, in light of the pledge, than they would have received in liquidation under chapter 7 of the Bankruptcy Code, if the pledge had not been granted.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notes have no liens on certain assets.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holders of the notes do not have a lien on our gaming or liquor licenses, because under the Nevada gaming laws they may not be pledged as collateral. In addition, the notes, the 2017 notes, the existing 2020 notes and our credit facilities are not secured by any assets related to Wynn Macau, and the holders of the notes have no claim against those assets. The notes also are not secured by, among other things, World Travel, LLC’s aircraft. Accordingly, such assets are not available to the holders upon an exercise of remedies under the collateral documents.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liens on collateral provided after the notes are issued could also be avoided as preferential transfers.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indenture governing the notes provides that certain future restricted subsidiaries will guarantee the notes and secure their guarantees with liens on their assets. The indenture also requires us to grant liens on certain assets that we and the existing guarantors acquire after the notes are issued. If the entity granting an additional lien was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2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guarantees and liens, and to require holders of the notes to return payments received from us or the guarantors.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creditors or the creditors of the guarantors could challenge the issuance of the notes or the guarantors’ issuance of their guarantees, and the liens on the assets that secure the notes and guarantees, respectively, as fraudulent conveyances or on other grounds. Under the federal bankruptcy law and similar provisions of state fraudulent transfer laws, the issuance of the notes, the delivery of the guarantees and the granting of liens could be avoided (that is, cancelled) as fraudulent transfers, or claims in respect of a note or guarantee could be subordinated to all of our other debts or all of the other debts of the applicable guarantor, if a court determined that the issuer, at the time it issued the notes or granted the liens, or the guarantor, at the time it issued the guarantee or granted the liens (or, in some jurisdictions, when payment became due under the guarantee):</w:t>
      </w:r>
    </w:p>
    <w:p>
      <w:pPr>
        <w:spacing w:after="0" w:line="3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issued the notes or guarantees, as the case may be, or granted the liens with the intent to hinder, delay or defraud its existing or future creditors; or</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issued the notes, issued the guarantee or granted the liens;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A court likely would find that a guarantor did not receive reasonably equivalent value or fair consideration for its guaranty or pledge of assets unless it benefited directly or indirectly from the issuance of the notes. If the guarantees were avoided or limited under fraudulent transfer or other laws, any claim you may make against the guarantors for amounts payable on the notes would be unenforceable to the extent of such avoidance or limitation.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holders of the notes may be adversely affected by the failure to perfect security interests in the collateral and other issues generally associated with the realization of security interests in collateral.</w:t>
      </w:r>
    </w:p>
    <w:p>
      <w:pPr>
        <w:spacing w:after="0" w:line="51" w:lineRule="exact"/>
        <w:rPr>
          <w:sz w:val="20"/>
          <w:szCs w:val="20"/>
          <w:color w:val="auto"/>
        </w:rPr>
      </w:pPr>
    </w:p>
    <w:p>
      <w:pPr>
        <w:ind w:right="120" w:firstLine="456"/>
        <w:spacing w:after="0" w:line="307" w:lineRule="auto"/>
        <w:rPr>
          <w:sz w:val="20"/>
          <w:szCs w:val="20"/>
          <w:color w:val="auto"/>
        </w:rPr>
      </w:pPr>
      <w:r>
        <w:rPr>
          <w:rFonts w:ascii="Arial" w:cs="Arial" w:eastAsia="Arial" w:hAnsi="Arial"/>
          <w:sz w:val="15"/>
          <w:szCs w:val="15"/>
          <w:color w:val="auto"/>
        </w:rPr>
        <w:t>Applicable law requires that a security interest in certain tangible and intangible assets can only be properly perfected and its priority retained through certain actions undertaken by the secured party. The liens in the collateral securing the notes may not be perfected with respect to the claims of notes if the collateral agent is not able to take the actions necessary to perfect any of these liens on or prior to the date of the indenture governing the notes. In addition, applicable law requires that certain property and rights acquired after the grant of a general security interest, such as real property, can only be perfected at the time such property and rights are acquired and identified and additional steps to perfect in such property and rights are taken. The Issuers and the guarantors will have limited obligations to perfect the security interest of the holders of the notes in specified collateral. There can be no assurance that the trustee or the collateral agent for the notes will monitor, or that the Issuers will inform such trustee or collateral agent of, the future acquisition of property and rights that constitute collateral, and that the necessary action will be taken to properly perfect the security interest in such after-acquired collateral. The collateral agent for the notes has no obligation to monitor the acquisition of additional property or rights that constitute collateral or the perfection of any security interest. Such failure may result in the loss of the security interest in the collateral or the priority of the security interest in favor of notes against third parties. Circumstances may exist that cause liens to lose perfection or priority, such as, among other things, the passage of time, movement of collateral, changes in name or entity type.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security interest of the collateral agent will be subject to practical challenges generally associated with the realization of security interests in collateral. For example, the collateral agent may need to obtain the consent of third parties and make additional filings. If we are unable to obtain these consents or make these filings, the security interests may be invalid and the holders will not be entitled to the collateral or any recovery with respect thereto. We cannot assure you that the collateral agent will be able to obtain any such consent. We also cannot assure you that the consents of any third parties will be given when required to facilitate a foreclosure on such assets. Accordingly, the collateral agent may not have the ability to foreclose upon those assets and the value of the collateral may significantly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 —Change of Control.”</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notes under certain circumstances. If these change of control events or similar events occur at a time when we are prohibited from repurchasing the notes, we may seek the consent of our lenders to purchase the notes or could attempt to refinance the obligations that contain these prohibitions or restrictions. If we do not obtain our lenders’ consent or refinance these obligations, we will not be able to repurchase the notes. Accordingly, the holders of the notes may not receive the change of control purchase price for their notes in the event of a sale or other change of control, which will give the trustee for the notes and the holders of the notes the right to declare an event of default and accelerate the repayment of the notes. See “Description of the New Notes—Events of Default and Remedies.”</w:t>
      </w:r>
    </w:p>
    <w:p>
      <w:pPr>
        <w:spacing w:after="0" w:line="20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holders of the notes should expect payments on the notes to be delayed and/or reduced.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notes.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notes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2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or such beneficial owner fail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notes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acquire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20" w:hanging="547"/>
        <w:spacing w:after="0" w:line="268"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notify the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existing title insurance may not be sufficient to cover all of our secured obligations.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issuance of the old notes, we obtained title insurance on August 5, 2010 in an amount equal to the aggregate principal amount of notes. While we have obtained title insurance in connection with the issuance of the notes, the notes indenture does not require us to maintain, modify or increase the coverage of any title insurance policy we may have from time to time, and the amount of our secured debt, including obligations under our existing or additional hedging agreements, may from time to time be greater than the amount of our title insurance. In addition, certain transactions that we may enter into may have an adverse effect on the coverage provided by any such title insurance policy. Accordingly, the coverage afforded by the title policy previously obtained or any additional title policies we may obtain at any time may not be adequate to cover losses or damages incurred by the holders of the notes as a result of the lack of lien or priority of the mortgages. We did not obtain a survey of the real property collateral in connection with the issuance of the notes. A current survey of the real property collateral may reveal issues that could materially affect the use or value of such real property. Furthermore, we may from time to time obtain or maintain title insurance policies that benefit the lenders under our credit facilities, the holders of the 2017 notes, the existing 2020 notes or other indebtedness, but not the notes. In addition, under certain circumstances, the holders of the notes may be required to share certain proceeds of title insurance that benefit such holders with the lenders under our credit facilities, the holders of the 2017 notes, the existing 2020 notes or other indebtedness. See “Intercreditor Agreement— Application of Proceeds.”</w:t>
      </w:r>
    </w:p>
    <w:p>
      <w:pPr>
        <w:spacing w:after="0" w:line="12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we obtained title insurance on August 5, 2010 in an amount equal to the outstanding principal amount of our loans and commitments under the credit facilities. However, the notes indenture does not require us to maintain, modify or increase the coverage of such title insurance policy in the future, and the amount of our secured debt, including obligations under our existing or additional hedging agreements, may from time to time be greater than the amount of our title insurance obtained in connection with the credit facilities. In addition, certain transactions that we may have entered into after the issuance of the notes or that we may enter into after the date hereof, may have an adverse effect on the coverage provided by such title insurance policy.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new notes are a new issue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20" w:hanging="446"/>
        <w:spacing w:after="0" w:line="35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six months ended June 30, 2010 and for the years ended December 31, 2009, 2008, 2007, 2006 and 2005,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For the Six Months Ended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left="46"/>
              <w:spacing w:after="0"/>
              <w:rPr>
                <w:sz w:val="20"/>
                <w:szCs w:val="20"/>
                <w:color w:val="auto"/>
              </w:rPr>
            </w:pPr>
            <w:r>
              <w:rPr>
                <w:rFonts w:ascii="Arial" w:cs="Arial" w:eastAsia="Arial" w:hAnsi="Arial"/>
                <w:sz w:val="14"/>
                <w:szCs w:val="14"/>
                <w:b w:val="1"/>
                <w:bCs w:val="1"/>
                <w:color w:val="auto"/>
                <w:w w:val="88"/>
              </w:rPr>
              <w:t>For the Year Ended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22"/>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920" w:type="dxa"/>
            <w:vAlign w:val="bottom"/>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10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01"/>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earnings to fixed</w:t>
            </w:r>
          </w:p>
        </w:tc>
        <w:tc>
          <w:tcPr>
            <w:tcW w:w="9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charges(1)</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12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(140,387)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$(284,944)</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$(195,762)</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 (73,381)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on a consolidated basis, as of June 30, 2010:</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as adjusted basis after giving effect to (i) the issuance of the old notes, (ii) the repurchase and redemption of the 2014 notes, (iii) the amendment of our credit facilities, (iv) reductions in our revolving credit commitments, (v) conversions by lenders of term loans maturing in 2013 to term loans maturing in 2015, (vi) conversions by lenders of revolving commitments maturing in 2013 to revolving commitments maturing in 2015 and (vii) the $50.0 million capital contribution from Wynn Resorts.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data in the table should be read in conjunction with “Management’s Discussion and Analysis of Financial Condition and Results of Operations” and our consolidated financial statements and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June 30, 2010</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center"/>
              <w:ind w:right="534"/>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 First Mortgage Notes due 2020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left="12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2020 net of original issue discount of $2,576 at June 30, 2010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2017 net of original issue discount of $10,196 at June 30, 2010</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489,804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489,804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2014 net of original issue discount of $4,982 at June 30, 2010</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1,277,238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Credit facilities(1)</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414,941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Aircraft financing</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Payable to affiliate(2)</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2,591,806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Total members’ equity</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1,241,092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1,226,881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3,832,898</w:t>
            </w:r>
          </w:p>
        </w:tc>
        <w:tc>
          <w:tcPr>
            <w:tcW w:w="300" w:type="dxa"/>
            <w:vAlign w:val="bottom"/>
            <w:gridSpan w:val="2"/>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3,868,510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8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June 30, 2010, the available undrawn commitments under the revolving credit facility were approximately $146.3 million. As of September 10, 2010, after giving effect to the issuance of the old notes and the concurrent amendment of our credit facilities, reductions in our revolving credit commitments, conversions by lenders of term loans maturing in 2013 to term loans maturing in 2015 and conversions by lenders of revolving commitments maturing in 2013 to revolving commitments maturing in 2015, we had approximately $306.9 million of available undrawn commitments and approximately</w:t>
      </w:r>
    </w:p>
    <w:p>
      <w:pPr>
        <w:spacing w:after="0" w:line="2" w:lineRule="exact"/>
        <w:rPr>
          <w:rFonts w:ascii="Arial" w:cs="Arial" w:eastAsia="Arial" w:hAnsi="Arial"/>
          <w:sz w:val="16"/>
          <w:szCs w:val="16"/>
          <w:color w:val="auto"/>
        </w:rPr>
      </w:pPr>
    </w:p>
    <w:p>
      <w:pPr>
        <w:ind w:left="460" w:right="220"/>
        <w:spacing w:after="0" w:line="281" w:lineRule="auto"/>
        <w:rPr>
          <w:rFonts w:ascii="Arial" w:cs="Arial" w:eastAsia="Arial" w:hAnsi="Arial"/>
          <w:sz w:val="16"/>
          <w:szCs w:val="16"/>
          <w:color w:val="auto"/>
        </w:rPr>
      </w:pPr>
      <w:r>
        <w:rPr>
          <w:rFonts w:ascii="Arial" w:cs="Arial" w:eastAsia="Arial" w:hAnsi="Arial"/>
          <w:sz w:val="16"/>
          <w:szCs w:val="16"/>
          <w:color w:val="auto"/>
        </w:rPr>
        <w:t>$414.9 million outstanding under our senior secured credit facility, consisting of approximately $44.3 million outstanding under the portion of our senior secured term loan credit facility maturing in 2013, approximately $330.6 million outstanding under the portion of our senior secured term loan credit facility maturing in 2015, approximately $5.1 million outstanding under the portion of our revolving credit facility maturing in 2013 and approximately $34.9 million outstanding under the portion of our revolving credit facility maturing in 2015.</w:t>
      </w:r>
    </w:p>
    <w:p>
      <w:pPr>
        <w:spacing w:after="0" w:line="2" w:lineRule="exact"/>
        <w:rPr>
          <w:rFonts w:ascii="Arial" w:cs="Arial" w:eastAsia="Arial" w:hAnsi="Arial"/>
          <w:sz w:val="16"/>
          <w:szCs w:val="16"/>
          <w:color w:val="auto"/>
        </w:rPr>
      </w:pPr>
    </w:p>
    <w:p>
      <w:pPr>
        <w:ind w:left="460" w:right="180" w:hanging="452"/>
        <w:spacing w:after="0" w:line="29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The purchase of the notes by Wynn Resorts has not been contributed to Wynn Las Vegas and the notes have not been retired. Wynn Resorts tendered $30 million of these 2014 notes for existing 2020 notes. Accordingly, $35.8 million of the 2014 notes and $30 million of the existing 2020 notes held by Wynn Resorts remained on Wynn Las Vegas’ balance sheet as of June 30, 2010, as a payable to affiliate within Long-term Debt. As part of the transaction noted above, Wynn Resorts tendered its $35.8 million of 2014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selected data presented below as of and for the six months ended June 30, 2010 and 2009 is derived from our unaudited consolidated financial statements. The selected data presented below as of and for the years ended December 31, 2009, 2008, 2007, 2006 and 2005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780" w:type="dxa"/>
            <w:vAlign w:val="bottom"/>
            <w:gridSpan w:val="6"/>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260" w:type="dxa"/>
            <w:vAlign w:val="bottom"/>
          </w:tcPr>
          <w:p>
            <w:pPr>
              <w:spacing w:after="0"/>
              <w:rPr>
                <w:sz w:val="14"/>
                <w:szCs w:val="14"/>
                <w:color w:val="auto"/>
              </w:rPr>
            </w:pPr>
          </w:p>
        </w:tc>
        <w:tc>
          <w:tcPr>
            <w:tcW w:w="178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1"/>
          </w:tcPr>
          <w:p>
            <w:pPr>
              <w:jc w:val="right"/>
              <w:ind w:right="100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700" w:type="dxa"/>
            <w:vAlign w:val="bottom"/>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88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revenues(1)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$ 636,928</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$ 604,481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$1,230,120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$1,099,891</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$1,295,851</w:t>
            </w:r>
          </w:p>
        </w:tc>
        <w:tc>
          <w:tcPr>
            <w:tcW w:w="1220" w:type="dxa"/>
            <w:vAlign w:val="bottom"/>
            <w:gridSpan w:val="5"/>
          </w:tcPr>
          <w:p>
            <w:pPr>
              <w:jc w:val="right"/>
              <w:ind w:right="200"/>
              <w:spacing w:after="0"/>
              <w:rPr>
                <w:sz w:val="20"/>
                <w:szCs w:val="20"/>
                <w:color w:val="auto"/>
              </w:rPr>
            </w:pPr>
            <w:r>
              <w:rPr>
                <w:rFonts w:ascii="Arial" w:cs="Arial" w:eastAsia="Arial" w:hAnsi="Arial"/>
                <w:sz w:val="18"/>
                <w:szCs w:val="18"/>
                <w:color w:val="auto"/>
              </w:rPr>
              <w:t>$1,139,348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$722,292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72,373</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2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2,020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67,454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Operating (loss) income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(51,707)</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(66,730)</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(144,279)</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(58,616)</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199,825</w:t>
            </w:r>
          </w:p>
        </w:tc>
        <w:tc>
          <w:tcPr>
            <w:tcW w:w="1220" w:type="dxa"/>
            <w:vAlign w:val="bottom"/>
            <w:gridSpan w:val="5"/>
          </w:tcPr>
          <w:p>
            <w:pPr>
              <w:jc w:val="right"/>
              <w:ind w:right="200"/>
              <w:spacing w:after="0"/>
              <w:rPr>
                <w:sz w:val="20"/>
                <w:szCs w:val="20"/>
                <w:color w:val="auto"/>
              </w:rPr>
            </w:pPr>
            <w:r>
              <w:rPr>
                <w:rFonts w:ascii="Arial" w:cs="Arial" w:eastAsia="Arial" w:hAnsi="Arial"/>
                <w:sz w:val="18"/>
                <w:szCs w:val="18"/>
                <w:color w:val="auto"/>
              </w:rPr>
              <w:t>115,047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12,446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(150,439)</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(141,647)</w:t>
            </w: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(309,870)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2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9,808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(45,274)</w:t>
            </w:r>
          </w:p>
        </w:tc>
      </w:tr>
      <w:tr>
        <w:trPr>
          <w:trHeight w:val="351"/>
        </w:trPr>
        <w:tc>
          <w:tcPr>
            <w:tcW w:w="4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w w:val="82"/>
              </w:rPr>
              <w:t>As of June 30,</w:t>
            </w: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center"/>
              <w:ind w:left="32"/>
              <w:spacing w:after="0"/>
              <w:rPr>
                <w:sz w:val="20"/>
                <w:szCs w:val="20"/>
                <w:color w:val="auto"/>
              </w:rPr>
            </w:pPr>
            <w:r>
              <w:rPr>
                <w:rFonts w:ascii="Arial" w:cs="Arial" w:eastAsia="Arial" w:hAnsi="Arial"/>
                <w:sz w:val="14"/>
                <w:szCs w:val="14"/>
                <w:b w:val="1"/>
                <w:bCs w:val="1"/>
                <w:color w:val="auto"/>
                <w:w w:val="86"/>
              </w:rPr>
              <w:t>As of December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40" w:type="dxa"/>
            <w:vAlign w:val="bottom"/>
          </w:tcPr>
          <w:p>
            <w:pPr>
              <w:spacing w:after="0"/>
              <w:rPr>
                <w:sz w:val="12"/>
                <w:szCs w:val="12"/>
                <w:color w:val="auto"/>
              </w:rPr>
            </w:pPr>
          </w:p>
        </w:tc>
        <w:tc>
          <w:tcPr>
            <w:tcW w:w="8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rPr>
              <w:t>50,318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66,354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123,315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3"/>
              </w:rPr>
              <w:t>$  146,521</w:t>
            </w:r>
          </w:p>
        </w:tc>
        <w:tc>
          <w:tcPr>
            <w:tcW w:w="24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   93,820</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   87,777</w:t>
            </w:r>
          </w:p>
        </w:tc>
      </w:tr>
      <w:tr>
        <w:trPr>
          <w:trHeight w:val="20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investments(2)</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2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197,517</w:t>
            </w: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394,757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rPr>
              <w:t>5,710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23,973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865,130</w:t>
            </w:r>
          </w:p>
        </w:tc>
        <w:tc>
          <w:tcPr>
            <w:tcW w:w="24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214,574</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30,996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w w:val="87"/>
              </w:rPr>
              <w:t>4,138,885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4"/>
              </w:rPr>
              <w:t>4,254,324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4,584,271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3,647,256</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3,119,888</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3,195,828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w w:val="87"/>
              </w:rPr>
              <w:t>2,691,435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4"/>
              </w:rPr>
              <w:t>2,638,083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2,897,328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2,034,603</w:t>
            </w:r>
          </w:p>
        </w:tc>
        <w:tc>
          <w:tcPr>
            <w:tcW w:w="24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1,678,597</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1,749,267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w w:val="87"/>
              </w:rPr>
              <w:t>1,241,092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4"/>
              </w:rPr>
              <w:t>1,385,553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1,257,563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1,242,770</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1,224,829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an interest rate swap.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 destination casino resort located adjacent to and connected to Wynn Las Vegas, which opened on December 22, 2008. Until the opening of Wynn Las Vegas in 2005, we were solely a development stage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September 15,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Hotel Rooms &amp;</w:t>
            </w:r>
          </w:p>
        </w:tc>
        <w:tc>
          <w:tcPr>
            <w:tcW w:w="9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spacing w:after="0"/>
              <w:rPr>
                <w:sz w:val="14"/>
                <w:szCs w:val="14"/>
                <w:color w:val="auto"/>
              </w:rPr>
            </w:pP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32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Encore</w:t>
            </w:r>
          </w:p>
        </w:tc>
        <w:tc>
          <w:tcPr>
            <w:tcW w:w="900" w:type="dxa"/>
            <w:vAlign w:val="bottom"/>
          </w:tcPr>
          <w:p>
            <w:pPr>
              <w:jc w:val="right"/>
              <w:spacing w:after="0"/>
              <w:rPr>
                <w:sz w:val="20"/>
                <w:szCs w:val="20"/>
                <w:color w:val="auto"/>
              </w:rPr>
            </w:pPr>
            <w:r>
              <w:rPr>
                <w:rFonts w:ascii="Arial" w:cs="Arial" w:eastAsia="Arial" w:hAnsi="Arial"/>
                <w:sz w:val="18"/>
                <w:szCs w:val="18"/>
                <w:color w:val="auto"/>
              </w:rPr>
              <w:t>2,034</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3240" w:type="dxa"/>
            <w:vAlign w:val="bottom"/>
            <w:gridSpan w:val="3"/>
          </w:tcPr>
          <w:p>
            <w:pPr>
              <w:jc w:val="right"/>
              <w:ind w:right="980"/>
              <w:spacing w:after="0"/>
              <w:rPr>
                <w:sz w:val="20"/>
                <w:szCs w:val="20"/>
                <w:color w:val="auto"/>
              </w:rPr>
            </w:pPr>
            <w:r>
              <w:rPr>
                <w:rFonts w:ascii="Arial" w:cs="Arial" w:eastAsia="Arial" w:hAnsi="Arial"/>
                <w:sz w:val="18"/>
                <w:szCs w:val="18"/>
                <w:color w:val="auto"/>
              </w:rPr>
              <w:t>90</w:t>
            </w:r>
          </w:p>
        </w:tc>
        <w:tc>
          <w:tcPr>
            <w:tcW w:w="128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21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 full service spa and salon;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features:</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baccarat salons and a sports book;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 full service spa and salon;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 July 2010, we commenced a project to refurbish and upgrade the rooms and suites at Wynn Las Vegas. The total project budget is approximately</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$83 million and is expected to be completed early in the second quarter of 2011. As a part of this project we are temporarily removing floors from service which reduces our total number of rooms available during the construction period.</w:t>
      </w:r>
    </w:p>
    <w:p>
      <w:pPr>
        <w:spacing w:after="0" w:line="13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Approximately 142 acres of land immediately adjacent to both Wynn Las Vegas and Encore is currently improved with a golf course. While we may develop this property in the future, due to the current economic environment and certain restrictions in our credit facilities, we have no immediate plans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slowdown was particularly significant in the fourth quarter of 2008 and has continued throughout 2009 and the first half of 2010. Based on our experience over this past year and current market conditions, we believe that Wynn Las Vegas and Encore have, and are likely to continue to experience lower than historical room rates, casino volumes and accordingly lower departmental profitability. In addition, significant new supply in Las Vegas will put additional pressure on occupancy and room rates during 2010.</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results of operations for the periods presented are not comparable as the year ended December 31, 2009 includes a full year of operations for Encore, whereas in 2008, Encore was open for only 10 days. Encore did not significantly impact our results of operations for the year ended December 31, 2008. We also believe that our operating results at both properties for the six months ended June 30, 2010, were adversely impacted by the weakened economy and significant new supply that was added to the Las Vegas market in late 2009. In addition, we believe that our operating results at both properties for the six months ended June 30, 2010 and 2009 and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a net loss for the quarter ended June 30, 2010 of $68.7 million compared to a net loss of $46.2 million recorded during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June 30, 2009. For the six months ended June 30, 2010 we recorded a net loss of $150.4 million compared to a net loss of $141.6 million for the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16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We recorded a net loss for the year ended December 31, 2009 of $309.9 million, which represents a $180.1 million increase from the net loss of</w:t>
      </w:r>
    </w:p>
    <w:p>
      <w:pPr>
        <w:spacing w:after="0" w:line="38"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2010 compared to the three months ended June 30,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1040" w:firstLine="456"/>
        <w:spacing w:after="0" w:line="335" w:lineRule="auto"/>
        <w:rPr>
          <w:sz w:val="20"/>
          <w:szCs w:val="20"/>
          <w:color w:val="auto"/>
        </w:rPr>
      </w:pPr>
      <w:r>
        <w:rPr>
          <w:rFonts w:ascii="Arial" w:cs="Arial" w:eastAsia="Arial" w:hAnsi="Arial"/>
          <w:sz w:val="15"/>
          <w:szCs w:val="15"/>
          <w:color w:val="auto"/>
        </w:rPr>
        <w:t>Net revenues for the three months ended June 30, 2010 are comprised of $117.2 million in casino revenues (36.8% of total net revenues) and $201.1 million of net non-casino revenues (63.2% of total net revenues). Net revenues for the three months ended June 30, 2009 were comprised of $124.3 million in casino revenues (39.7% of total net revenues) and $188.7 million of net non-casino revenues (60.3% of total net revenues).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$7.1 million (or 5.8%) to $117.2 million for the three months ended June 30, 2010, compared to $124.3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2009. During the three months ended June 30, 2010, we experienced a 1.8% decrease in drop and a decrease in the average table games win percentage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compared to the prior year quarter. Our average table games win percentage (before discounts) of 20% was below the expected range of 21% to 24% for the three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2010. For the three months ended June 30, 2009, our average table games win percentage (before discounts) was 20.7%. Slot handle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19.7% during the three months ended June 30, 2010 compared to the prior year quarter; however, slot win declined only 1.6% as more play shifted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hold machines.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three months ended June 30, 2010, room revenues were approximately $78.8 million, which represents a $2.6 million (or 3.2%) decrease over the $81.5 million generated in the three months ended June 30, 2009. We continued to experience a decrease in room rates during the three months ended June 30, 2010, compared to the three months ended June 30,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86.6%</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June 30, 2010 include: food and beverage revenues of approximately $111.5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$21.5 million, entertainment revenues of approximately $15.6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$16.8 million. Other non-gaming revenues for the three months ended June 30,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$99.9 million, retail revenues of approximately $22.1 million, entertainment revenues of approximately $12.3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$16.1 million. The increase in food and beverage revenue is due primarily to business in our nightclubs including the opening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Encore Beach Club and Surrender nightclub in May 2010. Entertainment revenues increased over the prior year quarter primarily due to performances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Garth Brooks in the Encore Theater which started in December 2009, as well as increased revenue from our Le Rêve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three months ended June 30, 2010, departmental expenses included casino expenses of $68.6 million, room expenses of $30.9 million, food and beverage expenses of $68.4 million, and entertainment, retail and other expenses of $33.6 million. Also included are general and administrative expenses of approximately $57.1 million and approximately $2.6 million charged as a provision for doubtful accounts receivable. During the three months ended June 30, 2009, departmental expenses included casino expenses of $60.7 million, room expenses of $26.7 million, food and beverage expenses of $61.8 million, and entertainment, retail and other expenses of $33.6 million. Also included are general and administrative expenses of approximately $57.6 million and approximately $4.5 million charged as a provision for doubtful accounts receivable. The increase in casino and room expenses were primarily attributable to additional customer acquisition and marketing costs as well as increased employee benefit expenses. Food and beverage expenses increased commensurate with the increase in revenue.</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Entertainment, retail and other expenses in aggregate remained constant compared to the prior year quarter. Entertainment expenses increased primarily as a result of performances by Garth Brooks but were offset by lower expenses associated with our retail operations. General and administrative expenses decreased as a result of lower advertising expenses offset partially by higher repairs and replacement expenses associated with general property maintenance. Our provision for doubtful accounts receivable decreased during the three months ended June 30, 2010, compared to the prior year’s quarter.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$4.8 million for the quarter ended June 30, 2010, compared to $4.7 million for the quarter ended June 30,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During the three months ended June 30, 2010, we incurred $1.6 million of pre-opening costs. We incurred no pre-opening costs for the three months ended June 30, 2009. Pre-opening costs incurred during the three months ended June 30, 2010, were related the Encore Beach Club which opened on May 28,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2010 was $67.6 million compared to $78.4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2009. This decrease is primarily due to assets with a 5-year life being fully depreciated as of April 2010 at Wynn Las Vegas.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2010, were $0.5 million compared to a net gain of $6.6 million for the three months ended June 30, 2009. Property charges and other for the three months ended June 30, 2010 related to miscellaneous renovations and abandonments at Wynn Las Vegas and Encore.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three months ended June 30, 2009, include the write-off of $13.4 million of aircraft purchase deposits. On February 19, 2009, we cancelled an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was $46.2 million, net of capitalized interest of $0.4 million, for the three months ended June 30, 2010, compared to $37.7 million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June 30, 2009. There was no interest capitalized during the three months ended June 30, 2009. Interest expense increased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 million primarily due to increased interest related to the 2017 notes, offset by lower average borrowings outstanding on the Wynn Las Vegas credit facilities.</w:t>
      </w:r>
    </w:p>
    <w:p>
      <w:pPr>
        <w:spacing w:after="0" w:line="18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June 30, 2010, resulting from the decrease in the fair value of our interest rate swap from March 31, 2010 to June 30, 2010. We had no interest rate swaps during the prior year quarter.</w:t>
      </w:r>
    </w:p>
    <w:p>
      <w:pPr>
        <w:spacing w:after="0" w:line="14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connection with the offer to exchange the then outstanding 2014 notes for unregistered existing 2020 notes (the “2014/2020 exchange offer”) consummated in April 2010, the direct costs incurred with third parties of $3.2 million were expensed.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June 30, 2010 compared to the six months ended June 30,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revenues for the six months ended June 30, 2010 are comprised of $256.7 million in casino revenues (40.3% of total net revenues) and $380.2 million of net non-casino revenues (59.7% of total net revenues). Net revenues for the six months ended June 30, 2009 were comprised of $241.8 million in casino revenues (40% of total net revenues) and $362.7 million of net non-casino revenues (60% of total net revenues).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$14.9 million (or 6.2%) to $256.7 million for the six months ended June 30, 2010, compared to $241.8 million for the six months ended June 30, 2009. During the six months ended June 30, 2010, we experienced a 2.8% increase in drop and an increase in the average table games win percentage compared to the prior year. Our average table games win percentage (before discounts) of 21.7% was within the expected range of 21% to 24% for the six months ended June 30, 2010. For the six months ended June 30, 2009, our average table games win percentage (before discounts) was 19.2%. Slot handle decreased 23.3% during the six months ended June 30, 2010 as compared to 2009; however slot win decreased only 12.8% compared to the prior year.</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six months ended June 30, 2010, room revenues were approximately $156.4 million, which represents a $10.1 million (or 6.1%) decrease over the $166.5 million generated in the six months ended June 30, 2009. We continued to experience a decrease in room rates during the six months ended June 30, 2010, compared to the six months ended June 30, 2009. We believe this is due to the current economic conditions in which we operate in the U.S. and the increased capacity in the Las Vegas market including the opening of a new large scale casino hotel in Las Vegas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non-casino revenues for the six months ended June 30, 2010 include: food and beverage revenues of approximately $207.4 million, retail revenues of approximately $40.4 million, entertainment revenues of approximately $33.7 million, and other revenues from outlets such as the spa and salon, of approximately $31.4 million. Other non-gaming revenues for the six months ended June 30, 2009 included food and beverage revenues of approximately $196.9 million, retail revenues of approximately $41.7 million, entertainment revenues of approximately $25 million, and other revenues from outlets, including the spa and salon, of approximately $30.1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six months ended June 30, 2010, departmental expenses included casino expenses of $145.4 million, room expenses of $61.5 million, food and beverage expenses of $126.4 million, and entertainment, retail and other expenses of $69.5 million. Also included are general and administrative expenses of approximately $116.9 million and approximately $9.3 million charged as a provision for doubtful accounts receivable. During the six months ended June 30, 2009, departmental expenses included casino expenses of $136.7 million, room expenses of $53 million, food and beverage expenses of $118.9 million, and entertainment, retail and other expenses of $63 million. Also included are general and administrative expenses of approximately $122.3 million and approximately $5.1 million charged as a provision for doubtful accounts receivable. The increase in casino and room expenses was primarily attributable to additional customer acquisition and marketing costs as well as increased employee benefit expenses. Food and beverage expenses increased commensurate with the increase in revenue.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General and administrative expenses decreased as a result of lower advertising expenses and our cost savings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initiatives offset partially by higher repairs and replacement expenses associated with general property maintenance. Our provision for doubtful accounts receivable increased during the six months ended June 30, 2010, compared to the prior year. This increase is primarily due to a reduction in the bad debt reserve taken in the first half of 2009 as a result of strong collection trends.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indentures governing the 2017 notes, the existing 2020 notes and the notes. Management fees were $9.6 million for the six months ended June 30, 2010, compared to $9.1 million for the six months ended June 30,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During the six months ended June 30, 2010, we incurred $2 million of pre-opening costs. We incurred no preopening costs for the six months ended June 30, 2009. Pre-opening costs incurred during the six months ended June 30, 2010, were related to the Encore Beach Club which opened on May 28,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Depreciation and amortization for the six months ended June 30, 2010 was $146.5 million compared to $155.9 million for the six months ended June 30, 2009. This decrease is primarily due to assets with a 5-year life being fully depreciated as of April 2010 at Wynn Las Vegas, offset by depreciation of the assets of the Encore Beach Club which were placed into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charges and other for the six months ended June 30, 2010, were $1.7 million compared to approximately $7.3 million for the six months ended June 30, 2009. Property charges and other for the six months ended June 30, 2010 related to miscellaneous renovations and abandonments at Wynn Las Vegas and Encore.</w:t>
      </w:r>
    </w:p>
    <w:p>
      <w:pPr>
        <w:spacing w:after="0" w:line="140"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Property charges and other for the six months ended June 30, 2009, include the write-off of $13.4 million of aircraft purchase deposits. On February 19, 2009, we cancelled an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9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Interest expense was $91.3 million, net of capitalized interest of $0.6 million, for the six months ended June 30, 2010, compared to $74.5 million for the six months ended June 30, 2009. There was no interest capitalized during the six months ended June 30, 2009. Interest expense increased approximately</w:t>
      </w:r>
    </w:p>
    <w:p>
      <w:pPr>
        <w:ind w:right="660"/>
        <w:spacing w:after="0" w:line="261" w:lineRule="auto"/>
        <w:rPr>
          <w:sz w:val="20"/>
          <w:szCs w:val="20"/>
          <w:color w:val="auto"/>
        </w:rPr>
      </w:pPr>
      <w:r>
        <w:rPr>
          <w:rFonts w:ascii="Arial" w:cs="Arial" w:eastAsia="Arial" w:hAnsi="Arial"/>
          <w:sz w:val="18"/>
          <w:szCs w:val="18"/>
          <w:color w:val="auto"/>
        </w:rPr>
        <w:t>$16.8 million primarily due to increased interest related to the 2017 notes, offset by lower average borrowings outstanding on the Wynn Las Vegas credit facilities.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$4.6 million for the six months ended June 30, 2010, resulting from the decrease in the fair value of our interest rate swap from December 31, 2009 to June 30, 2010. We had no interest rate swaps during the prior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2014/2020 exchange offer consummated in April 2010, the direct costs incurred with third parties of $3.2 million were expensed.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2009 compared to the year ended December 31, 2008.</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18"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 $268.5 million generated in the year ended December 31, 2008. This increase is a result of the addition of 2,034 suites at Encore which opened in</w:t>
      </w:r>
    </w:p>
    <w:p>
      <w:pPr>
        <w:ind w:right="400"/>
        <w:spacing w:after="0" w:line="261" w:lineRule="auto"/>
        <w:rPr>
          <w:sz w:val="20"/>
          <w:szCs w:val="20"/>
          <w:color w:val="auto"/>
        </w:rPr>
      </w:pPr>
      <w:r>
        <w:rPr>
          <w:rFonts w:ascii="Arial" w:cs="Arial" w:eastAsia="Arial" w:hAnsi="Arial"/>
          <w:sz w:val="18"/>
          <w:szCs w:val="18"/>
          <w:color w:val="auto"/>
        </w:rPr>
        <w:t>December 2008. We continued to experience a decrease in occupancy and room rates during the year ended December 31, 2009, compared to the year ended December 31, 2008. See the table below for key operating measures related to our room revenue.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$ 217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Occupancy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85.2%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 $248.5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our indentures. Management fees were $18.4 million for the year ended December 31, 2009, compared to $16.5 million for the year ended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unregistered 2017 notes issued in October 2009. These increases were offset by lower interest rates on our variable rate debt and lower average balances outstanding during 2009 compared to the prior year.</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from December 31, 2007 to December 31, 2008.</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the Wynn Las Vegas credit agreement,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2008 compared to financial results for the year ended December 31, 2007.</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4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7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2007</w:t>
            </w:r>
          </w:p>
        </w:tc>
        <w:tc>
          <w:tcPr>
            <w:tcW w:w="200" w:type="dxa"/>
            <w:vAlign w:val="bottom"/>
          </w:tcPr>
          <w:p>
            <w:pPr>
              <w:spacing w:after="0"/>
              <w:rPr>
                <w:sz w:val="12"/>
                <w:szCs w:val="12"/>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w w:val="88"/>
              </w:rPr>
              <w:t>$ 288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Occupancy</w:t>
            </w: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96.0%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w w:val="88"/>
              </w:rPr>
              <w:t>$ 265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of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year ended December 31, 2008, departmental expenses included casino expenses of $258 million, rooms expenses of $73.8 million, food and beverage expenses of $188.5 million,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entertainment, retail and other expenses of $132.9 million. General and administrative expenses of approximately $199.5 million and approximately $24.9 million charged as a provision for doubtful accounts receivable. During the year ended December 31, 2007, departmental expenses included casino expenses of</w:t>
      </w:r>
    </w:p>
    <w:p>
      <w:pPr>
        <w:ind w:right="240"/>
        <w:spacing w:after="0" w:line="292" w:lineRule="auto"/>
        <w:rPr>
          <w:sz w:val="20"/>
          <w:szCs w:val="20"/>
          <w:color w:val="auto"/>
        </w:rPr>
      </w:pPr>
      <w:r>
        <w:rPr>
          <w:rFonts w:ascii="Arial" w:cs="Arial" w:eastAsia="Arial" w:hAnsi="Arial"/>
          <w:sz w:val="16"/>
          <w:szCs w:val="16"/>
          <w:color w:val="auto"/>
        </w:rPr>
        <w:t>$276.5 million, room expenses of $75.8 million, food and beverage expenses of $192.5 million, and entertainment, retail and other expenses of $145.5 million. Also included are general and administrative expenses of approximately $199.8 million and approximately $21.1 million charged as a provision for doubtful accounts receivable. Departmental expenses decreased commensurate with the decrease in revenues. General and administrative expenses increased with the opening of Encore, offset by a reduction in employee bonuses for the year ended December 31, 2008. Our provision for doubtful accounts receivable increased compared to the prior year primarily due to an additional provision in light of global economic uncertainties.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$152.8 million incurred in the year ended December 31, 2007. This increase related primarily to shortened estimated lives, beginning in March 2008, of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hotel room furniture, fixtures and equipment at Wynn Las Vegas based on a planned room renovation and the opening of Encore.</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 million of 2014 notes issued in November 2007 and approximately $12.5 million net related to borrowings under our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that play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cash provided by operations for the six months ended June 30, 2010 was $27.1 million compared to $1.3 million used in operations for the six months ended June 30, 2009. Operating cash flows were positively impacted by an improvement in our operating loss and benefits from ordinary working capital changes.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June 30, 2010, we had approximately $50.3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June 30, 2010, we had approximately $146.3 million available to draw under our Wynn Las Vegas credit facilities.</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had $185 million of availability under our senior revolving credit facility.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scheduled quarterly payments on one note payable, we have no debt maturities until September 2012.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Capital expenditures were approximately $84.1 million for the six months ended June 30, 2010, and related primarily to the Encore Beach Club. 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Wynn Las Vegas, LLC loaned $80 million to Wynn Resorts. In July 2008, Wynn Resorts repaid the $80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30,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June 30, 2010, we had borrowed $291.7 million under the Wynn Las Vegas Revolver. We also had $19.9 million of outstanding letters of credit that reduce our availability under the Wynn Las Vegas Revolver. We had availability of $146.3 million under the Wynn Las Vegas Revolver as of June 30, 2010. On August 4, 2010, Wynn Las Vegas entered into a seventh amendment to the Credit Agreement. After giving effect to this amendment, the maturity date with respect to a portion of the Wynn Las Vegas Revolver and the Wynn Las Vegas Term Loan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10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March 26, 2010, the Issuers commenced the 2014/2020 exchange offer upon the terms and subject to the conditions set forth in an offering memorandum (the “2014/2020 offering memorandum”), and a related letter of transmittal. The 2014/2020 exchange offer was conditioned upon, among other things, the tender of at least $250 million aggregate principal amount of 2014 notes. The unregistered existing 2020 notes were offered only to qualified institutional buyers and outside the United States in accordance with Rule 144A and Regulation S, respectively, under the Securities Act. As of April 23, 2010, the exchange offer expiration date, approximately $382 million of the 2014 notes were validly tendered for exchange for unregistered existing 2020 notes. This includes $30 million of the 2014 notes that were purchased by Wynn Resorts in 2009. The 2014/2020 exchange offer closed on April 28, 2010.</w:t>
      </w:r>
    </w:p>
    <w:p>
      <w:pPr>
        <w:spacing w:after="0" w:line="12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As further described in the 2014/2020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existing 2020 notes.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August 2010, Wynn Las Vegas issued $1.32 billion of old notes and concurrently commenced a tender offer for all of its then outstanding 2014 notes. For a description of this transaction, see “Summary—Recent Developments—Cash Tender Offer for, and Redemption of, 2014 Notes.”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existing 2020 notes and the old notes rank pari passu in right of payment with borrowings under the Wynn Las Vegas Credit Facilities and the 2017 notes. The existing 2020 notes and the old notes are senior secured obligations of the Issuers, are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the Wynn Las Vegas Credit Facilities and the 2017 notes.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described below, during the year ended December 31, 2009, we (a) extended the maturity of the Wynn Las Vegas Revolver, (b) received relief from certain financial covenants, (c) increased the Wynn Las Vegas Revolver by $65 million, (d) repurchased $87.6 million of Wynn Las Vegas Revolver loans at a discount, and (e) used the net proceeds received from the issuance of the unregistered 2017 notes to repay amounts outstanding, including a permanent reduction in the Wynn Las Vegas Credit Facilities of $360 million.</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During the six months ended June 30, 2009, Wynn Resorts made capital contributions to us in the amount of $328.5 million. The proceeds from these contributions were used to fund construction costs of Encore paid during the six months ended June 30, 2009 and to fund paydowns on the Wynn Las Vegas Credit Facilities.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1.75:1 to 1.25:1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our Credit Agreement, we expanded the availability of the Wynn Las Vegas Revolver by $65 million.</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September 2009, we entered into a fifth amendment to our Credit Agreement. This amendment, among other things, permitted the issuance of the unregistered 2017 notes and required that 75% of the net cash proceeds from such issuance be applied to prepay loans and reduce commitments under the Credit Agreement.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October 2009, the Issuers issued, in a private offering, the unregistered 2017 notes at a price of 97.823% of the principal amount. The unregistered 2017 notes rank pari passu with the borrowing under the Wynn Las Vegas Credit Facilities and the outstanding unregistered existing 2020 notes issued by the Issuers. The unregistered 2017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Credit Agreement described above, we used the proceeds of this offering to repay amounts outstanding under the Wynn Las Vegas Revolver and Wynn Las Vegas Term Loan.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(x) in the case of the portion of the Wynn Las Vegas Term Loan maturing in August 2013, 1.875% and (y) in the case of the portion of the Wynn Las Vegas Term Loan maturing in August 2015, 3.00%, in each case on the outstanding balance.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Credit Agreement rank pari passu in right of payment with their existing and future senior indebtedness, including indebtedness with respect to the 2017 notes, the existing 2020 notes and the notes and senior in right of payment to all of their existing and future subordinated indebtedness.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Credit Agreement contains a requirement that we must make mandatory repayments of indebtedness from specified percentages of excess cash flow. If Wynn Las Vegas has a Consolidated Leverage Ratio, as defined in the Credit Agreement, of greater than 3.5:1, such repayment is defined as 50% of Excess Cash Flow, as defined in the Credit Agreement. If the Consolidated Leverage Ratio is equal to or less than 3.5:1,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1.25:1 as of June 30, 2010. Management believes that we were in compliance with all covenants at June 30, 2010. As of the last day of each fiscal quarter, we are required to maintain a minimum Consolidated Interest Coverage Ratio for the four quarter fiscal period ended as of such date of (x) at least 1.00:1 for each quarter ended through June 30, 2013, (y) at least 1.40:1 for the quarter ended September 30, 2013, and (z) at least 1.60:1 for each quarter ended thereafter through maturity.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2010, we had $19.9 million of outstanding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294.6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111.6</w:t>
            </w: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430.4</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2,332.8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restricted under the indentures governing the 2017 notes, the existing 2020 notes and the notes from making certain “restricted payments” as defined in the indentures. These restricted payments include the payment of dividends or distributions to any direct or indirect holders of equity interests of Wynn Las Vegas, LLC. The restricted payments may not be made until certain other financial and non-financial criteria have been satisfied. In addition, the Wynn Las Vegas Credit Facilities contain similar restrictions.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and Encore intend to fund their operations and capital requirements from operating cash flow and availability under the Wynn Las Vegas Credit Facilities. We cannot be sure that Wynn Las Vegas and Encore will generate sufficient cash flow from operations or that future borrowings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some foreign countries, but the United States assets of foreign customers may be used to satisfy judgments entered in the United States. At June 30, 2010, December 31, 2009 and December 31, 2008, approximately 67%, 68% and 69%, respectively, of our casino accounts receivable were owed by customers from foreign countries, primarily in Asia. The collectability of markers given by foreign customers is affected by a number of factors including changes in currency exchange rates, business or economic conditions or other significant events in the customers’ home countries.</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22"/>
              <w:spacing w:after="0"/>
              <w:rPr>
                <w:sz w:val="20"/>
                <w:szCs w:val="20"/>
                <w:color w:val="auto"/>
              </w:rPr>
            </w:pPr>
            <w:r>
              <w:rPr>
                <w:rFonts w:ascii="Arial" w:cs="Arial" w:eastAsia="Arial" w:hAnsi="Arial"/>
                <w:sz w:val="14"/>
                <w:szCs w:val="14"/>
                <w:b w:val="1"/>
                <w:bCs w:val="1"/>
                <w:color w:val="auto"/>
                <w:w w:val="82"/>
              </w:rPr>
              <w:t>June 30,</w:t>
            </w:r>
          </w:p>
        </w:tc>
        <w:tc>
          <w:tcPr>
            <w:tcW w:w="8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143,851</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149,786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69,839</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66,328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48.5%</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39.0%</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37.9%</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At June 30, 2010, a 100 basis-point change in the allowance for doubtful accounts as a percentage of casino accounts receivable would change the provision for doubtful accounts by approximately $1.4 million.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June 30, 2010, changes in the swap fair values are being recorded in our Consolidated Statements of Operations, as the swaps do not qualify for hedge accounting.</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color w:val="auto"/>
        </w:rPr>
        <w:t>variability of fluctuation between periods. We adjust this amount by applying a non-performance valuation, considering our creditworthiness or the creditworthiness of our counterparties at each settlement date, as applicable.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issued by Wynn Resorts.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granted by Wynn Resorts. We estimate the expected stock price volatility using a combination of implied and historical factors related to Wynn Resorts’ stock price in accordance with applicable accounting standards. As Wynn Resorts’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Wynn Resorts’ limited trading history as a public company we have elected to use the simplified method prescribed by applicable accounting standards, for companies with a limited trading history to estimate the expected term. Once Wynn Resorts has sufficient trading history, we will estimate the expected term using historical experience for options that have been granted to employees within Wynn Resorts’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2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six months ended June 30, 2010 and 2009, the Company recorded $6 million and $4.6 million, respectively, in share-based compensation with a corresponding credit to contributed capital. For the years ended December 31, 2009 and 2008, the Company recorded $8.4 million and $9.5 million, respectively, in share-based compensation with a corresponding credit to contributed capital.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June 2009, the Financial Accounting Standards Board (the “FASB”) issued new accounting standards regarding the consolidation of variable interest entities. These new accounting standards address the effects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adoption of these new accounting standards did not have a material effect on 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12"/>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June 30, 2010, we have one interest rate swap agreement to hedge a portion of the underlying interest rate risk on borrowings under the Credit Agreement. Under this swap agreement, we pay a fixed interest rate of 2.485% on borrowings of $250 million incurred under the Credit Agreement in exchange for receipts on the same amount at a variable interest rate based on the applicable LIBOR at the time of payment. This interest rate swap fixes the interest rate on $250 million of borrowings under the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June 30, 2010, our interest rate swap had an approximate liability fair value of $8.8 million and is included in long-term liabilities in the accompanying Consolidated Balance Sheets. The fair value approximates the amount we would have paid if this contract had settled at the valuation date. Fair value is estimated based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w w:val="91"/>
              </w:rPr>
              <w:t>Expected Maturity Date</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pay rate</w:t>
            </w:r>
          </w:p>
        </w:tc>
        <w:tc>
          <w:tcPr>
            <w:tcW w:w="116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2"/>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2010, approximately 94% of our long-term debt was based on fixed rates, including the notional amount related to our interest rate swap. Based on our borrowings as of June 30, 2010, an assumed 1% change in variable rates would cause our annual interest cost to change by approximately $1.6 million.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which is located adjacent to and is connected with Wynn Las Vegas. Wynn Las Vegas, LLC was formed on April 17, 2001 as a Nevada limited liability company. The sole member of the Wynn Las Vegas, LLC is Wynn Holdings. The sole member of Wynn Holdings is Wynn Resorts.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June 30, 2010, Wynn Las Vegas, LLC owned the one share that was issued and outstanding. Wynn Capital has neither any significant net assets nor any operating activity. Its sole function is to serve as the co-issuer of the notes, the existing 2020 notes and the 2017 notes.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room rates, casino volumes and profitability.</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Wynn Las Vegas opened on April 28, 2005. Wynn Las Vegas offers exceptional accommodations, amenities and service with 2,716 rooms and suites, including 36 fairway villas and 6 private-entry villas for our premium guests. The Tower Suites at Wynn Las Vegas has received both the Forbes five-star and</w:t>
      </w:r>
    </w:p>
    <w:p>
      <w:pPr>
        <w:ind w:firstLine="8"/>
        <w:spacing w:after="0" w:line="261"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approximately 110,000 square foot casino features approximately 140 table games, a baccarat salon, private VIP gaming rooms, a poker room, approximately 1,860 slot machines, and a race and sports book. The resort’s 21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Vertu and others. Wynn Las Vegas also has a showroom which features “Le Rêve,” a water-based theatrical production. We believe that the unique experience of Wynn Las Vegas drives the significant visitation experienced since opening.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Encore is located immediately adjacent to and is connected with Wynn Las Vegas and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five-star and AAA five-diamond awards. The Spa at Encore also earned five-star recognition from Forbes. The resort’s 13 food and beverage outlets include five restaurants, many of which feature award winning chefs. Encore also offers a night club, a spa and salon, approximately 60,000 square feet of meeting space and approximately 27,000 square feet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May 2010, we completed a project to replace Encore’s porte cochere on Las Vegas Boulevard with the Encore Beach Club that features pools, food and beverage and nightlife offerings.</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and is expected to be completed early in the second quarter of 2011. As a part of this project we are temporarily removing floors from service which reduces our total number of rooms available during the construction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Approximately 142 acres of land adjacent to both Wynn Las Vegas and Encore is currently improved with a golf course. While we may develop this property in the future, due to the economic environment and certain restrictions in our credit facilities, we have no immediate plans to do so.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customer. Wynn Las Vegas and Encore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0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Wynn Las Vegas and Encore face additional competition from new multi-billion dollar resorts including, without limitation, City Center which added approximately 6,000 rooms in 2009.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half of 2010. Based on our experience over this past year and current market conditions, we believe that our operations will continue to experience lower than historical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other action which the Nevada Gaming Commission finds to be inconsistent with holding the registered company’s voting securities for investment purposes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Activities which are not deemed to be inconsistent with holding voting securities for investment purposes only include:</w:t>
      </w:r>
    </w:p>
    <w:p>
      <w:pPr>
        <w:spacing w:after="0" w:line="8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6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446"/>
        <w:spacing w:after="0" w:line="357"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2010, we had a total of approximately 12,300 employees.</w:t>
      </w:r>
    </w:p>
    <w:p>
      <w:pPr>
        <w:spacing w:after="0" w:line="17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5,800 of our employees. In May 2007, the table games dealers at Wynn Las Vegas elected the Transportation Workers Union to represent them. Contract negotiations concluded November 2009 with the only open item at that time being the duration of the contract. The negotiated agreement was never submitted by the Transportation Workers Union to the Wynn Las Vegas dealers for ratification. Since November 2009, certain provisions of the proposed agreement have been implemented by Wynn Las Vegas and other working conditions issues have been brought back to the bargaining table by both parties. Certain other unions may seek to organize the workers at Wynn Las Vegas and Encore. Unionization, pressure to unionize, or other forms of collective bargaining could increase our labor costs.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most important marks are our trademarks and service marks that use the name “WYNN”. Wynn Holdings has filed applications with the PTO and various foreign patent and trademark registries, to register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the 2017 notes, the existing 2020 notes and the notes and our credit facilities.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40"/>
          </w:cols>
          <w:pgMar w:left="240" w:top="459" w:right="6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September 15, 2010.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8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w w:val="99"/>
              </w:rPr>
              <w:t>Chairman of the Board and Chief Executive Officer and President</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5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Wynn Resorts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Wynn Resorts, a position she has held since January 2005. In addition, Ms. Chen is the Chief Operating Officer of Wynn Resorts (Macau), S.A., a wholly owned indirect subsidiary of Wynn Resorts, a role she has served in since June 2002, and is a member of the Board of Directors of Wynn Macau. Ms. Chen is responsible for managing the Wynn Resorts’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Wynn Resorts’ Asian operations contributes to the Board’s ability to evaluate and make informed decisions that affect those operations. This experience becomes ever more important to Wynn Resorts and its stockholders as the percentage of the Wynn Resorts’ operational revenue and profits generated from its Macau operations increases.</w:t>
      </w:r>
    </w:p>
    <w:p>
      <w:pPr>
        <w:spacing w:after="0" w:line="134"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Wynn Resorts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his extensive knowledge of the Wynn Resorts’ background, development and financing arrangements and his experience with financing and equity markets, Mr. Moran provides the Board insight that is important to the Board’s oversight of the Wynn Resorts’ financial structure. His guidance in the evaluation of capital deployment and management of the Wynn Resorts’ balance sheet is especially valuable. In addition, he brings to the Board experience in political and public policy matters.</w:t>
      </w:r>
    </w:p>
    <w:p>
      <w:pPr>
        <w:spacing w:after="0" w:line="137"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62, serves as Chief Operating Officer of Wynn Resorts, a position he has held since June 2002, and is a member of Wynn</w:t>
      </w:r>
      <w:r>
        <w:rPr>
          <w:rFonts w:ascii="Arial" w:cs="Arial" w:eastAsia="Arial" w:hAnsi="Arial"/>
          <w:sz w:val="18"/>
          <w:szCs w:val="18"/>
          <w:b w:val="1"/>
          <w:bCs w:val="1"/>
          <w:color w:val="auto"/>
        </w:rPr>
        <w:t xml:space="preserve"> </w:t>
      </w:r>
      <w:r>
        <w:rPr>
          <w:rFonts w:ascii="Arial" w:cs="Arial" w:eastAsia="Arial" w:hAnsi="Arial"/>
          <w:sz w:val="18"/>
          <w:szCs w:val="18"/>
          <w:color w:val="auto"/>
        </w:rPr>
        <w:t>Resorts’ Gaming Compliance Committee. Mr. Schorr also serves as a member of the Board of Directors of Wynn Macau and as an officer of several of Wynn Resorts’ other subsidiaries.</w:t>
      </w:r>
    </w:p>
    <w:p>
      <w:pPr>
        <w:spacing w:after="0" w:line="13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Board considered Mr. Schorr’s importance to Wynn Resorts’ operations and marketing strategy and his tenure with Wynn Resorts in electing him to the Board in July 2010. Mr. Schorr has worked with Mr. Wynn and most of the senior management team at Wynn Resorts for over 20 years in many different jurisdictions.</w:t>
      </w:r>
    </w:p>
    <w:p>
      <w:pPr>
        <w:spacing w:after="0" w:line="13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Elaine Wynn, 68, has served as a director of Wynn Resorts since October 2002. In addition to her service as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0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Wynn Resorts’ properties. In addition, her significant community and philanthropic contributions have guided the Wynn Resorts’ efforts in these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Wynn Resorts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and as an officer and/or director of several of our subsidiaries. Mr. Wynn is the former husband of Elaine P. Wynn.</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Wynn Resorts. Mr. Wynn’s senior leadership experience also enables him to provide insights and guidance and to assess and respond to situations encountered in serving on Wynn Resorts’ Board.</w:t>
      </w:r>
    </w:p>
    <w:p>
      <w:pPr>
        <w:spacing w:after="0" w:line="13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Wynn Resorts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After the opening of Wynn Macau in 2006, Wynn Resorts sought additional representation on the Board by executives with experience in managing international operations and with keen insight into international relations, which are of increasing importance to Wynn Resorts.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10"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background, development and financing arrangements and his deep experience as a financial executive serving as the Chairman of First Boston, Mr. Shoemaker contributes particularly to the Board’s oversight of Wynn Resorts’ financial matters. Mr. Shoemaker’s experience in this respect has continued to be important to Wynn Resorts during the current financial crisis, and enables him to provide strong leadership of the Audit Committee.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Wynn Resorts since May 2008. Mr. Goldsmith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Wynn Resorts.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67, has served as Vice Chairman of the Board of Wynn Resorts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In 1969, Mr. Okada founded Universal Lease Co. Ltd., which became Aruze Corp. in 1998. In November 2009, the name of Aruze Corp. was changed to Universal Entertainment Corporation (“Universal”)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 suitable by the Nevada Gaming Commission as a major shareholder of Wynn Resorts.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18"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Wynn Resorts’ Vice Chairman, brings an international perspective that is essential to Wynn Resorts’ strategic vision. In addition, his primary business as a manufacturer and developer of gaming equipment adds significant value to our operations.</w:t>
      </w:r>
    </w:p>
    <w:p>
      <w:pPr>
        <w:spacing w:after="0" w:line="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Wynn Resorts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Wynn Resorts’ operations. In addition, his legal background and service as our Compliance Director and Chair of Wynn Resorts’ Compliance Committee is an important element of maintaining our regulatory structure and probity.</w:t>
      </w:r>
    </w:p>
    <w:p>
      <w:pPr>
        <w:spacing w:after="0" w:line="13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62, has served as a director of Wynn Resorts since October 2002. He is also Vice Chairman and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Macau.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Wynn Resorts’ background, development and marketing strategy in Asia contribute to the Board’s oversight of these aspects of Wynn Resorts’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had held since September 2002. Mr. Strzemp served as Wynn Resorts’ Treasurer from March 2003 to March 2006.</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Wynn Resorts’ Chief Financial Officer and Treasurer. Prior to his promotion in March 2008, Mr. Maddox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Senior Vice President of Business 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Wynn Resorts’ Treasurer and Vice President—Investor Relations.</w:t>
      </w:r>
    </w:p>
    <w:p>
      <w:pPr>
        <w:spacing w:after="0" w:line="13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Wynn Resorts, a position she has held since March 2006. Ms. Sinatra is also the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General Counsel of Worldwide Wynn, LLC, a wholly owned subsidiary of Wynn Resorts, a position she has held since January 2004. She also serves as an officer of several of Wynn Resorts’ subsidiaries.</w:t>
      </w:r>
    </w:p>
    <w:p>
      <w:pPr>
        <w:spacing w:after="0" w:line="13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position he has held since October 2005. From July 2005 through October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Mr. Pascal was the Executive Vice President and Chief Operating Officer of Wynn Las Vegas, LLC. Mr. Pascal served as the Senior Vice President—Product Marketing and Development for Wynn Resorts from August 2003 to July 2005. From March 2001 to September 2003, Mr. Pascal was Chief Executive Officer of WagerWorks, Inc. a developer and supplier of remote gaming applications.</w:t>
      </w:r>
    </w:p>
    <w:p>
      <w:pPr>
        <w:spacing w:after="0" w:line="136"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From April 2001 to September 2002, Mr. Peterson was Assistant Vice President—Finance of Wynn Holdings.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Seven of the eleven members of the Board of Directors in 2009 are independent under the listing standards of The NASDAQ Stock Market LLC (“NASDAQ”). In addition, the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or his or her immediate family member. None of the independent directors has any economic relationship with Wynn Resorts other than receipt of his director’s compensation. Additionally, all related party transactions are considered under Wynn Resorts’ related party policy (described in additional detail below). None of the independent directors is engaged in any related party transaction with Wynn Resorts. Mr. Wynn, Mr. Okada, Elaine P. Wynn and Ms. Chen have been determined not to be independent. On July 29, 2010, Mr. Schorr was appointed as the twelfth Director. Mr. Schorr is not independent under the listing standards of The NASDAQ.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Audit</w:t>
            </w:r>
          </w:p>
        </w:tc>
        <w:tc>
          <w:tcPr>
            <w:tcW w:w="1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16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484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1620" w:type="dxa"/>
            <w:vAlign w:val="bottom"/>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1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Chair</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4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  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60" w:hanging="452"/>
        <w:spacing w:after="0" w:line="30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stock-based compensation. See Wynn Resorts’ Annual Report on Form 10-K for the year ended December 31, 2009, Note 14 to its Consolidated Financial Statements for assumptions used in computing fair value.</w:t>
      </w:r>
    </w:p>
    <w:p>
      <w:pPr>
        <w:spacing w:after="0" w:line="25" w:lineRule="exact"/>
        <w:rPr>
          <w:rFonts w:ascii="Arial" w:cs="Arial" w:eastAsia="Arial" w:hAnsi="Arial"/>
          <w:sz w:val="16"/>
          <w:szCs w:val="16"/>
          <w:color w:val="auto"/>
        </w:rPr>
      </w:pPr>
    </w:p>
    <w:p>
      <w:pPr>
        <w:ind w:left="460" w:right="8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and a $20,000 annual retainer for his service as Wynn Resorts’ Compliance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5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Mr. Okada and Elaine P. Wynn, who each are greater than five percent beneficial owners of Wynn Resorts’ common stock, have not previously been granted equity awards for their service as directors.</w:t>
      </w:r>
    </w:p>
    <w:p>
      <w:pPr>
        <w:spacing w:after="0" w:line="5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71"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and for 2010 consisted of a grant of 5,000 stock options. All directors are provided complementary room, food and beverage privileges at our properties in connection with their attendance at board or committee meetings or other Wynn Resorts events and are reimbursed for any other out of pocket expenses related to attendance at meetings. Wynn Resorts does not provide non-equity incentive plan awards or deferred compensation or retirement plans for non-employee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Wynn Resorts’ compensation arrangements to assess whether they are appropriately structured to enable Wynn Resorts to attract and retain superior employees in key positions while rewarding achievement of financial, property development, and operating performance. To achieve these objectives, Wynn Resorts’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Wynn Resorts. Annually, the Committee reviews compensation data of those with whom Wynn Resorts competes for talent. The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Wynn Resorts to align rewards with performance. The Committee believes that Wynn Resorts’ peer companies are those companies with which Wynn Resorts competes for talent and stockholder investment. While cash bonuses are considered annually, reviews of base salary and equity incentives are conducted only on a periodic basis or in response to delivery of identified value creation for Wynn Resorts stockholders. When considering adjustments in base salary, or awards of cash bonuses or equity incentives, the Committee reviews both total compensation of peer companies and contribution to Wynn Resorts.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Wynn Resorts’ total direct compensation for named executive officers generally includes (a) base salary, (b) discretionary bonuses, (c) annual cash incentive compensation, and (d) long term equity incentives.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Wynn Resorts has not granted equity awards to Mr. Wynn, at his election. The Compensation Committee reviews total compensation annually, along with value created from past incentives, to assess whether Wynn Resorts’ compensation program achieves its objectives of attracting and retaining superior management while rewarding achievement of specific property and financial performance goals. Wynn Resorts’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Wynn Resorts and its stockholders.</w:t>
      </w:r>
    </w:p>
    <w:p>
      <w:pPr>
        <w:spacing w:after="0" w:line="14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Wynn Resorts’ goal of attracting and retaining high-quality and experienced executives, Wynn Resorts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Wynn Resorts’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Wynn Resorts management for 2009 outside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Wynn Resorts’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shares and success in adjusting Wynn Resorts’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Wynn Resorts’ named executive officers is eligible to participate in the Incentive Plan. Typically, within 90 days after the commencement of that year, the Compensation Committee identifies the executive 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 annual incentive under the Plan of 200% of Base Salary, and Mr. Wynn’s maximum annual incentive is 250%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his Base Salary. In light of the adverse economic conditions in 2009, the Compensation Committee did not establish targets or award annual incentives under the Incentive Plan in 2009.</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Long Term Incentives</w:t>
      </w:r>
      <w:r>
        <w:rPr>
          <w:rFonts w:ascii="Arial" w:cs="Arial" w:eastAsia="Arial" w:hAnsi="Arial"/>
          <w:sz w:val="16"/>
          <w:szCs w:val="16"/>
          <w:color w:val="auto"/>
        </w:rPr>
        <w:t>. 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Wynn Resorts,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Wynn Resorts’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Wynn Resorts’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Wynn Resorts who owns a large percentage of Wynn Resorts’ outstanding stock, does not participate in Wynn Resorts’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Wynn Resorts and Wynn Resorts terminates the executive without cause, such awards will vest pro-rata on a monthly basis to the termination date. These long term incentive grants were made after thorough analysis of Wynn Resorts’ overhang of equity grants, peer group compensation with the goal of retaining and rewarding Wynn Resorts’ most senior and valuable management. As Wynn Resorts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Wynn Resort’s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Wynn Resorts.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Wynn Resorts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Wynn Resorts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addition to base salary, annual incentive compensation and long term equity incentives, Wynn Resorts also provides certain of its named executive officers with a number of executive benefits. The primary executive benefits include certain health insurance coverage, life insurance premiums, discounts and complementary privileges with respect to Wynn Resorts’ properties which are described in the footnotes to the “2009 Summary Compensation Table.” In 2009, executives also received matching contributions under Wynn Resorts’ 401(k) program until March 16, 2009, when Wynn Resorts suspended 401(k) matches for all employees, including the named executive officers. In addition, Messrs. Wynn and Schorr have access to Wynn Resorts’ aircraft pursuant to time sharing agreements described in “Certain Relationships and Related Transactions—Aircraft Arrangements.” For security purposes, the Board of Directors requires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Wynn to travel on Wynn Resorts’ aircraft for both personal and business travel, and Wynn Resorts provides a car and driver (and security when necessary) for his personal use. Consistent with competitive practice in Macau, Ms. Chen receives a car and driver, certain housing and living expenses and assistance with tax preparation.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February 1, 2007 and September 15, 2008, which has a term expiring in 2020. Mr. Wynn, a holder of approximately 8.95% of Wynn Resorts’ common stock, has not received any equity awards as part of his compensation as Chief Executive Officer of Wynn Resorts. Mr. Wynn currently receives a base salary of $2,762,500 per year, and participates in the Incentive Plan. Mr. Wynn is provided with Wynn Resorts paid life insurance and disability policies, as well as participation in Wynn Resorts’ 401(k) plan. He also receives certain executive benefits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2,953,125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4,062,500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$ 1,370,206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$ 1,141,588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8,454,088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11,246,505</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5,650,000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248,067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17,664,896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Chief Operating Officer and, as of July 29,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2010, Director</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1,817,308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$ 1,153,817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1,947,115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26,079,058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646,033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5,896,033</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w w:val="91"/>
              </w:rPr>
              <w:t>President of Wynn International Marketing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858,565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23,868,559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3,651,079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8"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Wynn Resorts’ Annual Report on Form 10-K for the year ended December 31, 2009, Note 14 to its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0" w:lineRule="exact"/>
        <w:rPr>
          <w:rFonts w:ascii="Arial" w:cs="Arial" w:eastAsia="Arial" w:hAnsi="Arial"/>
          <w:sz w:val="18"/>
          <w:szCs w:val="18"/>
          <w:color w:val="auto"/>
        </w:rPr>
      </w:pPr>
    </w:p>
    <w:p>
      <w:pPr>
        <w:ind w:left="800" w:right="60" w:hanging="454"/>
        <w:spacing w:after="0" w:line="254" w:lineRule="auto"/>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personal use of Wynn Resorts’ aircraft of $1,198,056 (Mr. Wynn receives no tax-gross ups relating to the value of aircraft usage that is imputed to him as compensation);</w:t>
      </w:r>
    </w:p>
    <w:p>
      <w:pPr>
        <w:ind w:left="800" w:hanging="454"/>
        <w:spacing w:after="0"/>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$12,806;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90" w:lineRule="exact"/>
        <w:rPr>
          <w:sz w:val="20"/>
          <w:szCs w:val="20"/>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15" w:lineRule="exact"/>
        <w:rPr>
          <w:rFonts w:ascii="Arial" w:cs="Arial" w:eastAsia="Arial" w:hAnsi="Arial"/>
          <w:sz w:val="18"/>
          <w:szCs w:val="18"/>
          <w:color w:val="auto"/>
        </w:rPr>
      </w:pPr>
    </w:p>
    <w:p>
      <w:pPr>
        <w:jc w:val="both"/>
        <w:ind w:left="800" w:right="380" w:hanging="454"/>
        <w:spacing w:after="0" w:line="255"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90" w:lineRule="exact"/>
        <w:rPr>
          <w:sz w:val="20"/>
          <w:szCs w:val="20"/>
          <w:color w:val="auto"/>
        </w:rPr>
      </w:pPr>
    </w:p>
    <w:p>
      <w:pPr>
        <w:ind w:left="800" w:hanging="454"/>
        <w:spacing w:after="0" w:line="254"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personal use of Wynn Resorts’ aircraft of $103,421 (Mr. Schorr receives no tax-gross ups relating to the value of aircraft usage that is imputed to him as compensation);</w:t>
      </w: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9" w:lineRule="exact"/>
        <w:rPr>
          <w:rFonts w:ascii="Arial" w:cs="Arial" w:eastAsia="Arial" w:hAnsi="Arial"/>
          <w:sz w:val="18"/>
          <w:szCs w:val="18"/>
          <w:color w:val="auto"/>
        </w:rPr>
      </w:pPr>
    </w:p>
    <w:p>
      <w:pPr>
        <w:ind w:left="800" w:right="120" w:hanging="454"/>
        <w:spacing w:after="0" w:line="255"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90"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15"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80"/>
          </w:cols>
          <w:pgMar w:left="24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0" w:type="dxa"/>
            <w:vAlign w:val="bottom"/>
            <w:gridSpan w:val="2"/>
          </w:tcPr>
          <w:p>
            <w:pPr>
              <w:jc w:val="center"/>
              <w:ind w:left="236"/>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51.08</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$58.23 per share.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rPr>
              <w:t>$  658,313</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$ 1,034,250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Wynn Resorts’ common stock on the date the stock award vested or the stock options were exercised. Upon vesting of the stock awards, the executive also was paid an amount equal to the dividends that had accrued on the shares prior to their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Election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Disability(2)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Term(2)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Control(2)</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33,150,000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33,150,000</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20,312,500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52,812,500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52,812,500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33,912,649</w:t>
            </w:r>
          </w:p>
        </w:tc>
        <w:tc>
          <w:tcPr>
            <w:tcW w:w="20" w:type="dxa"/>
            <w:vAlign w:val="bottom"/>
          </w:tcPr>
          <w:p>
            <w:pPr>
              <w:spacing w:after="0"/>
              <w:rPr>
                <w:sz w:val="18"/>
                <w:szCs w:val="18"/>
                <w:color w:val="auto"/>
              </w:rPr>
            </w:pPr>
          </w:p>
        </w:tc>
      </w:tr>
      <w:tr>
        <w:trPr>
          <w:trHeight w:val="228"/>
        </w:trPr>
        <w:tc>
          <w:tcPr>
            <w:tcW w:w="74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377,655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377,655</w:t>
            </w: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3,916,667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3,916,667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3,195,833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3,195,833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6,563,669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3,116,652</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367,788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ind w:left="460" w:right="18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2009, the value of such 50,000 shares would have been $2,911,500 plus accrued dividends of $200,000.</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without Cause</w:t>
            </w:r>
          </w:p>
        </w:tc>
        <w:tc>
          <w:tcPr>
            <w:tcW w:w="6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Election</w:t>
            </w:r>
          </w:p>
        </w:tc>
        <w:tc>
          <w:tcPr>
            <w:tcW w:w="6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Control(5)</w:t>
            </w:r>
          </w:p>
        </w:tc>
        <w:tc>
          <w:tcPr>
            <w:tcW w:w="20" w:type="dxa"/>
            <w:vAlign w:val="bottom"/>
          </w:tcPr>
          <w:p>
            <w:pPr>
              <w:spacing w:after="0"/>
              <w:rPr>
                <w:sz w:val="14"/>
                <w:szCs w:val="14"/>
                <w:color w:val="auto"/>
              </w:rPr>
            </w:pPr>
          </w:p>
        </w:tc>
      </w:tr>
      <w:tr>
        <w:trPr>
          <w:trHeight w:val="201"/>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4,816,667</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4,816,667</w:t>
            </w:r>
          </w:p>
        </w:tc>
        <w:tc>
          <w:tcPr>
            <w:tcW w:w="2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9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7,666,667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7,666,667</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15,557,500</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14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Wynn Resorts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termination without cause 250,000 shares of restricted stock would vest on a pro-rated basis based on the number of months since the grant date, so long as the employee’s employment agreement with Wynn Resorts has not terminated or expired. Using the closing price on December 31, 2009, the value of such 38,265 shares would have been $2,228,189 plus accrued dividends of $153,060.</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1,583,333</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1,583,333</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2,583,000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2,583,333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9,607,999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5,386,510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6,223,000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00" w:hanging="452"/>
        <w:spacing w:after="0" w:line="286"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ind w:left="460" w:right="380" w:hanging="452"/>
        <w:spacing w:after="0" w:line="300" w:lineRule="auto"/>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2,394,167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2,394,167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1,555,750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409,127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ind w:left="460" w:right="4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Wynn Resorts has not terminated or expired. Using the closing price on December 31, 2009, the value of such restricted stock grants upon vesting would have been $1,455,750, plus accrued dividends of $100,000.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Wynn Resorts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1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wholly owned subsidiary of Wynn Holdings. Wynn Holdings is a wholly owned subsidiary of Wynn Resorts. The following table sets forth, as of September 28, 2010, (unless otherwise indicated), certain information regarding the shares of Wynn Resorts’ common stock beneficially owned by: (i) each director; (ii) each stockholder who is known by Wynn Resorts to beneficially own in excess of 5% of the outstanding shares of Wynn Resorts’ common stock based on information reported on Schedule 13D or 13G filed with the SEC; (iii) each of the executive officers of Wynn Resorts named in the Summary Compensation Table; and (iv) all executive officers of Wynn Resorts and directors of Wynn Resorts. There were 123,944,173 shares outstanding as of September 28,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720" w:type="dxa"/>
            <w:vAlign w:val="bottom"/>
          </w:tcPr>
          <w:p>
            <w:pPr>
              <w:spacing w:after="0"/>
              <w:rPr>
                <w:sz w:val="14"/>
                <w:szCs w:val="14"/>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 Of Shares(1)</w:t>
            </w: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11,026,708</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10,894,326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1200 17th Street, Suite 1600</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Moran(12)(13)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265,800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 Boone Wayson(12)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Matt Maddox(15)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97,000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Kim Sinatra(17)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(15 persons)(18)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47,915,056</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100" w:hanging="572"/>
        <w:spacing w:after="0" w:line="253"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4"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500" w:hanging="572"/>
        <w:spacing w:after="0" w:line="281"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1" w:lineRule="exact"/>
        <w:rPr>
          <w:rFonts w:ascii="Arial" w:cs="Arial" w:eastAsia="Arial" w:hAnsi="Arial"/>
          <w:sz w:val="16"/>
          <w:szCs w:val="16"/>
          <w:color w:val="auto"/>
        </w:rPr>
      </w:pPr>
    </w:p>
    <w:p>
      <w:pPr>
        <w:ind w:left="580" w:right="240" w:hanging="572"/>
        <w:spacing w:after="0" w:line="281"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Aruze USA, Inc. is a wholly owned subsidiary of Universal Entertainment Corporation (“Universal”)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580" w:right="120" w:hanging="572"/>
        <w:spacing w:after="0" w:line="300" w:lineRule="auto"/>
        <w:tabs>
          <w:tab w:leader="none" w:pos="5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1" w:lineRule="exact"/>
        <w:rPr>
          <w:rFonts w:ascii="Arial" w:cs="Arial" w:eastAsia="Arial" w:hAnsi="Arial"/>
          <w:sz w:val="15"/>
          <w:szCs w:val="15"/>
          <w:color w:val="auto"/>
        </w:rPr>
      </w:pPr>
    </w:p>
    <w:p>
      <w:pPr>
        <w:ind w:left="580" w:hanging="5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580" w:right="60" w:hanging="572"/>
        <w:spacing w:after="0" w:line="281"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Plan and subject to a Restricted Stock Agreement which provides such grant will vest on July 31, 2012; (ii) 100,000 shares of restricted stock granted pursuant to Wynn Resorts’ 2002 Stock Plan and subject to a Restricted Stock Agreement which provides such grant will vest on December 5, 2016; and (iii) 130,000 shares subject to an immediately exercisable option to purchase Wynn Resorts common stock granted pursuant to Wynn Resorts’ 2002 Stock Incentive Plan.</w:t>
      </w:r>
    </w:p>
    <w:p>
      <w:pPr>
        <w:spacing w:after="0" w:line="2"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(ii) 2,500 unvested shares of restricted stock of Wynn Resorts’ common stock granted pursuant to Wynn Resorts’ 2002 Stock Plan; and (iii) 3,800 shares owned by family members through trusts and companies for which Mr. Goldsmith disclaims beneficial ownership of 2,300 shares.</w:t>
      </w:r>
    </w:p>
    <w:p>
      <w:pPr>
        <w:spacing w:after="0" w:line="1" w:lineRule="exact"/>
        <w:rPr>
          <w:rFonts w:ascii="Arial" w:cs="Arial" w:eastAsia="Arial" w:hAnsi="Arial"/>
          <w:sz w:val="18"/>
          <w:szCs w:val="18"/>
          <w:color w:val="auto"/>
        </w:rPr>
      </w:pPr>
    </w:p>
    <w:p>
      <w:pPr>
        <w:jc w:val="both"/>
        <w:ind w:left="580" w:right="240" w:hanging="5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 11,000 shares subject to immediately exercisable options to purchase Wynn Resorts’ common stock granted pursuant to Wynn Resorts’ 2002 Stock Incentive Plan; and (ii) 7,500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 31,000 shares subject to immediately exercisable options to purchase Wynn Resorts’ common stock granted pursuant to Wynn Resorts’ 2002 Stock Incentive Plan; and (ii) 7,500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150,000 shares of the Wynn Resorts’ common stock held by John A. Moran, as Trustee.</w:t>
      </w:r>
    </w:p>
    <w:p>
      <w:pPr>
        <w:spacing w:after="0" w:line="9" w:lineRule="exact"/>
        <w:rPr>
          <w:rFonts w:ascii="Arial" w:cs="Arial" w:eastAsia="Arial" w:hAnsi="Arial"/>
          <w:sz w:val="18"/>
          <w:szCs w:val="18"/>
          <w:color w:val="auto"/>
        </w:rPr>
      </w:pPr>
    </w:p>
    <w:p>
      <w:pPr>
        <w:ind w:left="580" w:right="240" w:hanging="5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Plan and subject to a Restricted Stock Agreement which provides such grant will vest on December 5, 2016; and (ii) 15,800 shares owned in a family trust.</w:t>
      </w:r>
    </w:p>
    <w:p>
      <w:pPr>
        <w:ind w:left="580" w:right="440" w:hanging="572"/>
        <w:spacing w:after="0" w:line="261"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(i) 333 shares subject to immediately exercisable options to purchase Wynn Resorts common stock pursuant to Wynn Resorts’ 2002 Stock Incentive Plan; (ii) 50,000 shares of restricted stock granted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right="60"/>
        <w:spacing w:after="0" w:line="284" w:lineRule="auto"/>
        <w:rPr>
          <w:sz w:val="20"/>
          <w:szCs w:val="20"/>
          <w:color w:val="auto"/>
        </w:rPr>
      </w:pPr>
      <w:r>
        <w:rPr>
          <w:rFonts w:ascii="Arial" w:cs="Arial" w:eastAsia="Arial" w:hAnsi="Arial"/>
          <w:sz w:val="16"/>
          <w:szCs w:val="16"/>
          <w:color w:val="auto"/>
        </w:rPr>
        <w:t>pursuant to Wynn Resorts’ 2002 Stock Purchase Plan and subject to a Restricted Stock Agreement which provides such grant will vest on December 5, 2016; (iii) 10,000 shares of restricted stock granted pursuant to Wynn Resorts’ 2002 Stock Purchase Plan and subject to a Restricted Stock Agreement which provides such grant will vest on May 7, 2012; and (iv) 16,667 options that vest on November 7, 2010.</w:t>
      </w:r>
    </w:p>
    <w:p>
      <w:pPr>
        <w:spacing w:after="0" w:line="1"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spacing w:after="0" w:line="250" w:lineRule="auto"/>
        <w:rPr>
          <w:rFonts w:ascii="Arial" w:cs="Arial" w:eastAsia="Arial" w:hAnsi="Arial"/>
          <w:sz w:val="16"/>
          <w:szCs w:val="16"/>
          <w:color w:val="auto"/>
        </w:rPr>
      </w:pPr>
      <w:r>
        <w:rPr>
          <w:rFonts w:ascii="Arial" w:cs="Arial" w:eastAsia="Arial" w:hAnsi="Arial"/>
          <w:sz w:val="18"/>
          <w:szCs w:val="18"/>
          <w:color w:val="auto"/>
        </w:rPr>
        <w:t>(ii) 65,000 shares subject to immediately exercisable options to purchase Wynn Resorts common stock pursuant to Wynn Resorts’ 2002 Stock Incentive Plan.</w:t>
      </w:r>
    </w:p>
    <w:p>
      <w:pPr>
        <w:jc w:val="both"/>
        <w:ind w:left="580" w:right="180" w:hanging="572"/>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Wynn Resorts’ 2002 Stock Plan and subject to a Restricted Stock Agreement which provides such grant will vest on December 5, 2016; and (ii) 25,000 shares of restricted stock granted pursuant to Wynn Resorts’ 2002 Stock Plan and subject to a Restricted Stock Agreement which provides such grant will vest on July 31, 2011.</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352,333 shares subject to immediately exercisable stock options and 16,667 shares that will vest in the next 60 days.</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Wynn Resorts, and Aruze USA, a greater than 5% stockholder of Wynn Resorts, entered into an Amended and Restated Stockholders Agreement (the “Amended and Restated Stockholders Agreement”) whereby that certain Stockholders Agreement, entered into as of April 11, 2002, between Mr. Wynn and Aruze USA, as amended by that certain Amendment to Stockholders Agreement, entered into as of November 8, 2006, between Mr. Wynn and Aruze USA,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then 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Wynn Resorts held by them and subject to the terms of the Amended and Restated Stockholders Agreement in a manner so as to elect to the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Wynn Resorts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Wynn Resorts is responsible for all expenses incurred in exhibiting and safeguarding those works from The Wynn Collection that it exhibits in its properties, including the cost of insurance (including terrorism insurance) and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Holdings entered into agreements with Mr. Wynn that confirm and clarify</w:t>
      </w:r>
      <w:r>
        <w:rPr>
          <w:rFonts w:ascii="Arial" w:cs="Arial" w:eastAsia="Arial" w:hAnsi="Arial"/>
          <w:sz w:val="16"/>
          <w:szCs w:val="16"/>
          <w:b w:val="1"/>
          <w:bCs w:val="1"/>
          <w:color w:val="auto"/>
        </w:rPr>
        <w:t xml:space="preserve"> </w:t>
      </w:r>
      <w:r>
        <w:rPr>
          <w:rFonts w:ascii="Arial" w:cs="Arial" w:eastAsia="Arial" w:hAnsi="Arial"/>
          <w:sz w:val="16"/>
          <w:szCs w:val="16"/>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 Wynn Holdings has sub-licensed rights to the “Wynn” name, persona and marks to Wynn Resorts.</w:t>
      </w:r>
    </w:p>
    <w:p>
      <w:pPr>
        <w:spacing w:after="0" w:line="11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Wynn Resorts’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Wynn Resorts.</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Wynn Resorts to prepay any such items. These deposits are replenished on an ongoing basis as needed. At December 31, 2009, Mr. Wynn, Elaine P. Wynn and Mr. Schorr had credit balances with Wynn Resorts of $478,401, $162,449 and $26,531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2009, Wynn Macau purchased 10 slot machines, along with related parts and services, from Aruze USA, a corporation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Wynn Resorts’ directors, Mr. Okada, currently serves as Chairman and Treasurer, for use at Wynn Macau. The Aruze machines were purchased in an arm’s length transaction at market prices for a total purchase price of approximately $165,000.</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Elaine P. Wynn, as President of Wynn Las Vegas;</w:t>
      </w:r>
    </w:p>
    <w:p>
      <w:pPr>
        <w:spacing w:after="0" w:line="38" w:lineRule="exact"/>
        <w:rPr>
          <w:sz w:val="20"/>
          <w:szCs w:val="20"/>
          <w:color w:val="auto"/>
        </w:rPr>
      </w:pPr>
    </w:p>
    <w:p>
      <w:pPr>
        <w:ind w:right="60" w:firstLine="8"/>
        <w:spacing w:after="0" w:line="287"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Wynn Resorts,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Wynn Resorts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Wynn Resorts anticipates that these individuals will continue to serve in their respective positions during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terms and conditions detailed in this prospectus, we will accept for exchange old notes that are properly tendered prior to the expiration date</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and not withdrawn as permitted below. When we refer to the term expiration date, we mean 5:00 p.m., New York City time, , 2010.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the date of this prospectus, $1,320,000,000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102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conditions stated above are for our sole benefit and may be asserted by us regardless of the circumstances giving rise to any condition or may be waived by us in whole or in part at any time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reasonable discretion. Our failure at any time to exercise any of the foregoing rights will not be deemed a waiver of any such right and each such right will be deemed an ongoing right which may be asserted at any time.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notes under an indenture (as amended or supplemented from time to time, the “Indenture”), dated as of August 4, 2010, among the Issuers, as joint and several obligors, the Guarantors and U.S. Bank National Association, as trustee (the “trustee”). This is the same indenture under which the old notes were issued. The terms of the new notes will include those stated in the Indenture and those made part of the Indenture by reference to the Trust Indenture Act of 1939, as amended. The Collateral Documents referred to under the caption “— Security” define the terms of the collateral that will secure the new notes and the Note Guarantees. The term “Notes” shall also include the new notes and the old notes and the term “Note Guarantees” shall also include the guarantees of the new notes and the guarantees of the old notes.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Note Guarantees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Notes.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$1,320,000,000;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 mature on August 15, 2020;</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(based on a 360-day year of twelve 30-day months), which will accrue from the issue date of the Notes offered hereby, payable in arrears each February 15 and August 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August 15, 2015, at a premium declining ratably to par;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20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all of the Domestic Subsidiaries other than the Completion Guarantor, which is an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notes and the Note Guarantees offered hereby:</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will be secured, in the case of the Notes, by a perfected first priority lien on (1) substantially all of the existing and future assets of Wynn Las Vegas other than gaming and liquor licenses and other assets in which the grant of a security interest is restricted by their terms or by law, and (2) subject to the prior approval of the Nevada Gaming Authorities, the pledged Equity Interests held by Wynn Resorts Holdings in Wynn Las Vegas;</w:t>
      </w:r>
    </w:p>
    <w:p>
      <w:pPr>
        <w:spacing w:after="0" w:line="25" w:lineRule="exact"/>
        <w:rPr>
          <w:rFonts w:ascii="Arial" w:cs="Arial" w:eastAsia="Arial" w:hAnsi="Arial"/>
          <w:sz w:val="16"/>
          <w:szCs w:val="16"/>
          <w:color w:val="auto"/>
        </w:rPr>
      </w:pPr>
    </w:p>
    <w:p>
      <w:pPr>
        <w:jc w:val="both"/>
        <w:ind w:left="900" w:right="12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secured, in the case of the Note Guarantees, by a perfected first priority lien on substantially all of the Guarantors’ existing and future assets other than the Aircraft Assets and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900" w:right="52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under the Credit Agreement, the 2014 Notes, the 2017 Notes and the 2020 Notes, which borrowings, 2014 Notes, 2017 Notes and 2020 Notes are secured by a perfected first priority lien on the same assets as are subject to the lien securing the Notes and the Note Guarantees (subject to certain exceptions); and</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trustee has entered into the Intercreditor Agreement to govern the relations between the holders of the Notes, the holders of the 2017 Notes, the holders of the 2020 Notes,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Notes and the Note Guarantees under specified circumstances. All proceeds of the Collateral must be shared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lenders under our Credit Agreement, the holders of the Notes, the holders of the 2017 Notes, the holders of the 2020 Notes and any other Pari Passu Debt in accordance with the sharing provisions of the Intercreditor Agreement. See “Intercreditor Agreement.”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Indenture provides that under certain circumstances if (i) the lenders under the Credit Agreement release their first priority security interest in all of the Collateral and (ii)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holders of the Notes’ first priority security interest in all of the Collateral will also be released. See “—Security—Release of Collateral.”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the holders of the Notes’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securing the Notes may be released with the consent of the holders of 95% of the Notes then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Maturity and Interest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Issuers will issue up to $1,320,000,000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It is possible, however, that any such additional Notes will not be treated as part of the same issue for United States federal income tax purposes. The Issuers will issue new notes in denominations of $2,000 and integral multiples of $1,000 in excess of $2,000. The new notes will mature on August 15, 2020.</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Interest on the new notes will accrue at the rate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and is payable semiannually in arrears on February 15 and August 15, with the first interest payment date being February 15, 2011. Interest on overdue principal and interest and Liquidated Damages, if any, will accrue at a rate that is 1% higher than the then applicable interest rate on the new notes. The Issuers will make each interest payment to the holders of record on the immediately preceding February 1 and August 1.</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or, if interest has already been paid, from the date it was most recently paid. Interest will be computed on the basis of a 360-day year comprised of twelve 30-day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Methods of Receiving Payments on the Notes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payments on the Notes will be made at the office or agency of the paying agent and registrar within the City and State of New York unless the Issuers elect to make interest payments by check mailed to the holders of the Notes at their addresses set forth in the register of holders.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Paying Agent and Registrar for the Notes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Note Guarantees are joint and several obligations of the Guarantors. The obligations of each Guarantor under its Note Guarantee are limited as necessary to prevent such Note Guarantee from constituting a fraudulent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conveyance under applicable law. See “Risk Factors—Risks Related to the Notes.” Federal and state statutes allow courts, under specific circumstances, to void the guarantees, and require holders of the Notes to return payments received from us or the Guarantors.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Note Guarantees are secured by substantially all of the assets of the Guarantors (other than the Aircraft Assets and gaming and liquor licenses and other assets in which the grant of a security interest is prohibited by their terms or by law) as more fully described below under the caption “—Security—Security for the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80" w:firstLine="421"/>
        <w:spacing w:after="0" w:line="306" w:lineRule="auto"/>
        <w:tabs>
          <w:tab w:leader="none" w:pos="1579"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Note Guarantees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right="20" w:firstLine="443"/>
        <w:spacing w:after="0" w:line="291"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4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51" w:lineRule="exact"/>
        <w:rPr>
          <w:sz w:val="20"/>
          <w:szCs w:val="20"/>
          <w:color w:val="auto"/>
        </w:rPr>
      </w:pPr>
    </w:p>
    <w:p>
      <w:pPr>
        <w:ind w:left="460" w:right="40" w:firstLine="443"/>
        <w:spacing w:after="0" w:line="259"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Wynn Las Vegas Resort and Encore at Wynn Las Vegas, other than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perfected first priority pledge of the Equity Interests held by the Issuers in any of their respective existing or future Restricted Subsidiaries.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Subject to liens permitted by the Collateral Documents, and to the extent permitted by Gaming Laws and other applicable laws, the Note Guarantees are secured by, among other things, a perfected first priority security interest in substantially all of the existing and future assets (other than gaming and liquor licenses) of the Guarantors, provided that the Note Guarantee of World Travel, LLC is not secured by the Aircraft Assets.</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holders of the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306"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the Golf Course Land release their security interest in the Golf Course Land;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Issuers or the Guarantors grant any Lien on the Golf Course Land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Golf Course Land has been released as set forth in the first paragraph above,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Issuers or the Guarantors, as the case may be, will be required to grant security interests on the same assets to secure the Issuers’ obligations under the Notes and the Guarantors’ obligations under their respective Note Guarantees on an equal and ratable basis with such other Indebtedness, so long as such other Indebtedness is so secured.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holders of the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holders of the Notes’ security interest in the Home Site Land, Wynn Las Vegas or any of the Restricted Subsidiaries grants a security interest in any or all of the Home Site Land to secure other Indebtedness or any guarantee thereof, such Person will concurrently grant a first priority security interest on such portions of the Home Site Land in favor of the trustee for the benefit of the holders of the Notes to secure the Notes (or, if such Person is a Guarantor, its Note Guarantee of the Notes). That security interest in favor of the trustee for the benefit of the holders of the Notes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holders of the Notes and may determine to release their liens under different circumstances, which would nevertheless result in the automatic release of the first priority liens by the holders of the Notes.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firstLine="443"/>
        <w:spacing w:after="0" w:line="332" w:lineRule="auto"/>
        <w:tabs>
          <w:tab w:leader="none" w:pos="1147"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the Issuers or any of the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66"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1"/>
          <w:numId w:val="86"/>
        </w:numPr>
        <w:rPr>
          <w:rFonts w:ascii="Arial" w:cs="Arial" w:eastAsia="Arial" w:hAnsi="Arial"/>
          <w:sz w:val="18"/>
          <w:szCs w:val="18"/>
          <w:color w:val="auto"/>
        </w:rPr>
      </w:pPr>
      <w:r>
        <w:rPr>
          <w:rFonts w:ascii="Arial" w:cs="Arial" w:eastAsia="Arial" w:hAnsi="Arial"/>
          <w:sz w:val="18"/>
          <w:szCs w:val="18"/>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 (6) above;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At any time prior to August 15, 2013, the Issuers may, on any one or more occasions, redeem up to 35% of the aggregate principal amount of Notes issued under the Indenture at a redemption price of 107.75%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August 15, 2015.</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or after August 15, 2015,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August 15 of the years indicated below, subject to the rights of holders of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103.875%</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102.583%</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101.292%</w:t>
            </w: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60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5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90" w:lineRule="exact"/>
        <w:rPr>
          <w:rFonts w:ascii="Arial" w:cs="Arial" w:eastAsia="Arial" w:hAnsi="Arial"/>
          <w:sz w:val="18"/>
          <w:szCs w:val="18"/>
          <w:color w:val="auto"/>
        </w:rPr>
      </w:pPr>
    </w:p>
    <w:p>
      <w:pPr>
        <w:ind w:left="1500" w:right="260" w:firstLine="389"/>
        <w:spacing w:after="0" w:line="256" w:lineRule="auto"/>
        <w:tabs>
          <w:tab w:leader="none" w:pos="2155"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 in either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$2,000 or an integral multiple of $1,000 in excess of $2,000)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38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00" w:firstLine="443"/>
        <w:spacing w:after="0" w:line="259"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20" w:firstLine="443"/>
        <w:spacing w:after="0" w:line="268" w:lineRule="auto"/>
        <w:tabs>
          <w:tab w:leader="none" w:pos="11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jc w:val="both"/>
        <w:ind w:left="920" w:right="180" w:firstLine="421"/>
        <w:spacing w:after="0" w:line="256" w:lineRule="auto"/>
        <w:tabs>
          <w:tab w:leader="none" w:pos="1579"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00" w:firstLine="421"/>
        <w:spacing w:after="0" w:line="370" w:lineRule="auto"/>
        <w:tabs>
          <w:tab w:leader="none" w:pos="1588" w:val="left"/>
        </w:tabs>
        <w:numPr>
          <w:ilvl w:val="1"/>
          <w:numId w:val="92"/>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2017 Notes and the 2020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the 2017 Notes and the 2020 Notes, and subject to other Permitted Liens and the terms of the Intercreditor Agreement) in favor of the trustee, on behalf of the holders of Notes, as security for the Notes.</w:t>
      </w:r>
    </w:p>
    <w:p>
      <w:pPr>
        <w:spacing w:after="0" w:line="12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then outstanding under the Credit Agreement (such amount being the “Asset Sale Offer Amount”), to make an offer (an “Asset Sale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2017 Notes, the 2020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w:t>
      </w:r>
    </w:p>
    <w:p>
      <w:pPr>
        <w:spacing w:after="0" w:line="35" w:lineRule="exact"/>
        <w:rPr>
          <w:sz w:val="20"/>
          <w:szCs w:val="20"/>
          <w:color w:val="auto"/>
        </w:rPr>
      </w:pPr>
    </w:p>
    <w:p>
      <w:pPr>
        <w:ind w:left="460" w:right="400" w:firstLine="443"/>
        <w:spacing w:after="0" w:line="332" w:lineRule="auto"/>
        <w:tabs>
          <w:tab w:leader="none" w:pos="1144" w:val="left"/>
        </w:tabs>
        <w:numPr>
          <w:ilvl w:val="0"/>
          <w:numId w:val="93"/>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“Event of Loss Offer Amount”), to make an offer (an “Event of Loss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2014 Notes, the 2017 Notes, the 2020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2014 Notes, the 2017 Notes or the 2020 Notes shall be required to be made to the holders of the Notes, as holders of Pari Passu Debt (as defined in those indentures).</w:t>
      </w: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2014 Notes, the 2017 Notes and the 2020 Notes,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2014 Notes, the 2017 Notes and the 2020 Notes, and subject to other Permitted Liens and the terms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Intercreditor Agreement), on any property or assets rebuilt, repaired, replaced or constructed with such Net Loss Proceeds on the terms set forth in the Indenture and the Collateral Documents.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58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with Securities Laws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Selection and Notice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less than all of the Notes are to be redeemed at any time, the trustee will select Notes for redemption on a pro rata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160" w:firstLine="443"/>
        <w:spacing w:after="0" w:line="298" w:lineRule="auto"/>
        <w:tabs>
          <w:tab w:leader="none" w:pos="1147" w:val="left"/>
        </w:tabs>
        <w:numPr>
          <w:ilvl w:val="1"/>
          <w:numId w:val="96"/>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160" w:firstLine="421"/>
        <w:spacing w:after="0" w:line="335" w:lineRule="auto"/>
        <w:tabs>
          <w:tab w:leader="none" w:pos="1579" w:val="left"/>
        </w:tabs>
        <w:numPr>
          <w:ilvl w:val="1"/>
          <w:numId w:val="98"/>
        </w:numPr>
        <w:rPr>
          <w:rFonts w:ascii="Arial" w:cs="Arial" w:eastAsia="Arial" w:hAnsi="Arial"/>
          <w:sz w:val="15"/>
          <w:szCs w:val="15"/>
          <w:color w:val="auto"/>
        </w:rPr>
      </w:pPr>
      <w:r>
        <w:rPr>
          <w:rFonts w:ascii="Arial" w:cs="Arial" w:eastAsia="Arial" w:hAnsi="Arial"/>
          <w:sz w:val="15"/>
          <w:szCs w:val="15"/>
          <w:color w:val="auto"/>
        </w:rPr>
        <w:t>50% of the Consolidated Net Income of Wynn Las Vegas and its Restricted Subsidiaries for the period (taken as one accounting period) from the beginning of January 1, 2010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7" w:lineRule="exact"/>
        <w:rPr>
          <w:rFonts w:ascii="Arial" w:cs="Arial" w:eastAsia="Arial" w:hAnsi="Arial"/>
          <w:sz w:val="15"/>
          <w:szCs w:val="15"/>
          <w:color w:val="auto"/>
        </w:rPr>
      </w:pPr>
    </w:p>
    <w:p>
      <w:pPr>
        <w:jc w:val="both"/>
        <w:ind w:left="920" w:right="460" w:firstLine="421"/>
        <w:spacing w:after="0" w:line="306" w:lineRule="auto"/>
        <w:tabs>
          <w:tab w:leader="none" w:pos="1588" w:val="left"/>
        </w:tabs>
        <w:numPr>
          <w:ilvl w:val="1"/>
          <w:numId w:val="98"/>
        </w:numPr>
        <w:rPr>
          <w:rFonts w:ascii="Arial" w:cs="Arial" w:eastAsia="Arial" w:hAnsi="Arial"/>
          <w:sz w:val="16"/>
          <w:szCs w:val="16"/>
          <w:color w:val="auto"/>
        </w:rPr>
      </w:pPr>
      <w:r>
        <w:rPr>
          <w:rFonts w:ascii="Arial" w:cs="Arial" w:eastAsia="Arial" w:hAnsi="Arial"/>
          <w:sz w:val="16"/>
          <w:szCs w:val="16"/>
          <w:color w:val="auto"/>
        </w:rPr>
        <w:t>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357" w:lineRule="auto"/>
        <w:rPr>
          <w:sz w:val="20"/>
          <w:szCs w:val="20"/>
          <w:color w:val="auto"/>
        </w:rPr>
      </w:pPr>
      <w:r>
        <w:rPr>
          <w:rFonts w:ascii="Arial" w:cs="Arial" w:eastAsia="Arial" w:hAnsi="Arial"/>
          <w:sz w:val="15"/>
          <w:szCs w:val="15"/>
          <w:color w:val="auto"/>
        </w:rPr>
        <w:t>the Disbursement Agreement and (ii) any such net cash proceeds received by Wynn Las Vegas to the extent used to incur Indebtedness pursuant to clause (16) of the covenant described below under the caption “—Incurrence of Indebtedness and Issuance of Disqualified Stock”; plus</w:t>
      </w:r>
    </w:p>
    <w:p>
      <w:pPr>
        <w:ind w:left="920" w:firstLine="420"/>
        <w:spacing w:after="0" w:line="291" w:lineRule="auto"/>
        <w:rPr>
          <w:sz w:val="20"/>
          <w:szCs w:val="20"/>
          <w:color w:val="auto"/>
        </w:rPr>
      </w:pPr>
      <w:r>
        <w:rPr>
          <w:rFonts w:ascii="Arial" w:cs="Arial" w:eastAsia="Arial" w:hAnsi="Arial"/>
          <w:sz w:val="16"/>
          <w:szCs w:val="16"/>
          <w:color w:val="auto"/>
        </w:rPr>
        <w:t>(c)(i)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sz w:val="20"/>
          <w:szCs w:val="20"/>
          <w:color w:val="auto"/>
        </w:rPr>
      </w:pPr>
    </w:p>
    <w:p>
      <w:pPr>
        <w:jc w:val="both"/>
        <w:ind w:left="920" w:right="240" w:firstLine="421"/>
        <w:spacing w:after="0" w:line="306" w:lineRule="auto"/>
        <w:tabs>
          <w:tab w:leader="none" w:pos="1588" w:val="left"/>
        </w:tabs>
        <w:numPr>
          <w:ilvl w:val="0"/>
          <w:numId w:val="99"/>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00" w:firstLine="443"/>
        <w:spacing w:after="0" w:line="306"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59"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sz w:val="20"/>
          <w:szCs w:val="20"/>
          <w:color w:val="auto"/>
        </w:rPr>
      </w:pPr>
    </w:p>
    <w:p>
      <w:pPr>
        <w:ind w:left="460" w:right="200" w:firstLine="443"/>
        <w:spacing w:after="0" w:line="332"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20" w:firstLine="443"/>
        <w:spacing w:after="0" w:line="332" w:lineRule="auto"/>
        <w:tabs>
          <w:tab w:leader="none" w:pos="122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80" w:firstLine="8"/>
        <w:spacing w:after="0" w:line="315" w:lineRule="auto"/>
        <w:tabs>
          <w:tab w:leader="none" w:pos="24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40" w:firstLine="443"/>
        <w:spacing w:after="0" w:line="303" w:lineRule="auto"/>
        <w:tabs>
          <w:tab w:leader="none" w:pos="1147"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59" w:lineRule="exact"/>
        <w:rPr>
          <w:sz w:val="20"/>
          <w:szCs w:val="20"/>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(14) or (15) of this paragraph or under this clause (3);</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80" w:firstLine="421"/>
        <w:spacing w:after="0" w:line="255" w:lineRule="auto"/>
        <w:tabs>
          <w:tab w:leader="none" w:pos="157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5" w:lineRule="exact"/>
        <w:rPr>
          <w:rFonts w:ascii="Arial" w:cs="Arial" w:eastAsia="Arial" w:hAnsi="Arial"/>
          <w:sz w:val="16"/>
          <w:szCs w:val="16"/>
          <w:color w:val="auto"/>
        </w:rPr>
      </w:pPr>
    </w:p>
    <w:p>
      <w:pPr>
        <w:ind w:left="460" w:right="140" w:firstLine="443"/>
        <w:spacing w:after="0" w:line="291" w:lineRule="auto"/>
        <w:tabs>
          <w:tab w:leader="none" w:pos="1147"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0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of the Notes continue to have a perfected first priority security interest in the Golf Course Land;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the Issuers of the Notes issued on the date of the Indenture and the Note Guarantees;</w:t>
      </w:r>
    </w:p>
    <w:p>
      <w:pPr>
        <w:spacing w:after="0" w:line="90" w:lineRule="exact"/>
        <w:rPr>
          <w:rFonts w:ascii="Arial" w:cs="Arial" w:eastAsia="Arial" w:hAnsi="Arial"/>
          <w:sz w:val="18"/>
          <w:szCs w:val="18"/>
          <w:color w:val="auto"/>
        </w:rPr>
      </w:pPr>
    </w:p>
    <w:p>
      <w:pPr>
        <w:ind w:left="460" w:right="460" w:firstLine="443"/>
        <w:spacing w:after="0" w:line="332" w:lineRule="auto"/>
        <w:tabs>
          <w:tab w:leader="none" w:pos="12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40" w:firstLine="443"/>
        <w:spacing w:after="0" w:line="289" w:lineRule="auto"/>
        <w:tabs>
          <w:tab w:leader="none" w:pos="123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(17)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26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Notes, the Indenture, the 2014 Notes, the 2014 Notes indenture, the 2017 Notes, the 2017 Notes indenture, the 2020 Notes, the 2020 Notes indenture, any Guarantees of such notes,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51" w:lineRule="exact"/>
        <w:rPr>
          <w:sz w:val="20"/>
          <w:szCs w:val="20"/>
          <w:color w:val="auto"/>
        </w:rPr>
      </w:pPr>
    </w:p>
    <w:p>
      <w:pPr>
        <w:ind w:left="460" w:right="280" w:firstLine="443"/>
        <w:spacing w:after="0" w:line="259"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280" w:firstLine="443"/>
        <w:spacing w:after="0" w:line="306"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with respect to any Affiliate Transaction or series of related Affiliate Transactions involving aggregate consideration in excess of</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$10.0 million, a resolution of the Board of Directors of Wynn Capital set forth in an officers’ certificate certifying that such Affiliate Transaction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complies with this covenant and that such Affiliate Transaction has been approved by a majority of the disinterested members of the Board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Directors of Wynn Capital, to the extent that there are any such disinterested members of such Boards of Directors; and</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with respect to any Affiliate Transaction or series of related Affiliate Transactions involving aggregate consideration in excess of</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$25.0 million, an opinion as to the fairness to Wynn Las Vegas or such Restricted Subsidiary of such Affiliate Transaction from a financial point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view issued by an accounting, appraisal or investment banking firm of national standing prior to the consummation of such Affiliate Transaction; and</w:t>
      </w:r>
    </w:p>
    <w:p>
      <w:pPr>
        <w:spacing w:after="0" w:line="107" w:lineRule="exact"/>
        <w:rPr>
          <w:sz w:val="20"/>
          <w:szCs w:val="20"/>
          <w:color w:val="auto"/>
        </w:rPr>
      </w:pPr>
    </w:p>
    <w:p>
      <w:pPr>
        <w:ind w:left="460" w:right="200" w:firstLine="443"/>
        <w:spacing w:after="0" w:line="256"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4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357" w:lineRule="auto"/>
        <w:rPr>
          <w:sz w:val="20"/>
          <w:szCs w:val="20"/>
          <w:color w:val="auto"/>
        </w:rPr>
      </w:pPr>
      <w:r>
        <w:rPr>
          <w:rFonts w:ascii="Arial" w:cs="Arial" w:eastAsia="Arial" w:hAnsi="Arial"/>
          <w:sz w:val="15"/>
          <w:szCs w:val="15"/>
          <w:color w:val="auto"/>
        </w:rPr>
        <w:t>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ind w:left="920" w:right="300" w:firstLine="421"/>
        <w:spacing w:after="0" w:line="268" w:lineRule="auto"/>
        <w:tabs>
          <w:tab w:leader="none" w:pos="158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6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(6)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4"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(1)(a) 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sz w:val="20"/>
          <w:szCs w:val="20"/>
          <w:color w:val="auto"/>
        </w:rPr>
      </w:pPr>
    </w:p>
    <w:p>
      <w:pPr>
        <w:ind w:left="920" w:firstLine="421"/>
        <w:spacing w:after="0" w:line="254" w:lineRule="auto"/>
        <w:tabs>
          <w:tab w:leader="none" w:pos="158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00" w:firstLine="421"/>
        <w:spacing w:after="0" w:line="332" w:lineRule="auto"/>
        <w:tabs>
          <w:tab w:leader="none" w:pos="157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5" w:lineRule="exact"/>
        <w:rPr>
          <w:rFonts w:ascii="Arial" w:cs="Arial" w:eastAsia="Arial" w:hAnsi="Arial"/>
          <w:sz w:val="16"/>
          <w:szCs w:val="16"/>
          <w:color w:val="auto"/>
        </w:rPr>
      </w:pPr>
    </w:p>
    <w:p>
      <w:pPr>
        <w:ind w:left="920" w:right="320" w:firstLine="421"/>
        <w:spacing w:after="0" w:line="259" w:lineRule="auto"/>
        <w:tabs>
          <w:tab w:leader="none" w:pos="157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requested by the Trustee from time to time in order to:</w:t>
      </w:r>
    </w:p>
    <w:p>
      <w:pPr>
        <w:spacing w:after="0" w:line="4"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superior to the rights of all third Persons, in each case, equal and ratable with the Liens securing the obligations under the Credit Agreement and subject to Permitted Liens; and</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4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20" w:firstLine="421"/>
        <w:spacing w:after="0" w:line="259" w:lineRule="auto"/>
        <w:tabs>
          <w:tab w:leader="none" w:pos="157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20" w:firstLine="421"/>
        <w:spacing w:after="0" w:line="332" w:lineRule="auto"/>
        <w:tabs>
          <w:tab w:leader="none" w:pos="158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40" w:firstLine="421"/>
        <w:spacing w:after="0" w:line="268" w:lineRule="auto"/>
        <w:tabs>
          <w:tab w:leader="none" w:pos="157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00" w:firstLine="421"/>
        <w:spacing w:after="0" w:line="259" w:lineRule="auto"/>
        <w:tabs>
          <w:tab w:leader="none" w:pos="1588" w:val="left"/>
        </w:tabs>
        <w:numPr>
          <w:ilvl w:val="1"/>
          <w:numId w:val="13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9"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reasonable indemnity or security against any loss, liability or expense. Except to enforce the right to receive payment of principal, interest or premium, if any,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Liquidated Damages, if any, when due, no holder of a Note may pursue any remedy with respect to the Indenture or the Notes unless:</w:t>
      </w:r>
    </w:p>
    <w:p>
      <w:pPr>
        <w:spacing w:after="0" w:line="84"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All proceeds of the Collateral must be shared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lenders under our Credit Agreement, the holders of the 2020 Notes, the holders of the 2017 Notes, the holders of the 2014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 Bankruptcy Limitations on Foreclosure” and “—Real Property Collateral.”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00"/>
          </w:cols>
          <w:pgMar w:left="24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59" w:lineRule="exact"/>
        <w:rPr>
          <w:sz w:val="20"/>
          <w:szCs w:val="20"/>
          <w:color w:val="auto"/>
        </w:rPr>
      </w:pPr>
    </w:p>
    <w:p>
      <w:pPr>
        <w:ind w:left="460" w:right="120" w:firstLine="443"/>
        <w:spacing w:after="0" w:line="357" w:lineRule="auto"/>
        <w:tabs>
          <w:tab w:leader="none" w:pos="114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Intercreditor Agreement imposes restrictions on the exercise of rights and remedies by the holders of the Notes with respect to the Collateral, including the ability to amend or modify the Collateral Documents and the ability to release the Collateral. See “Intercreditor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Notes—Bankruptcy laws may significantly impair your rights to repossess and dispose of collateral securing the Notes, and otherwise collect on any amounts due thereunder” and “—In the event that a bankruptcy court orders the substantive consolidation of us with certain affiliated parties, payments on the Notes could be delayed or reduced.”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 held liable, in certain limited circumstances, for the costs of remediating a release of or preventing a threatened release of hazardous substances at a mortgaged property. There may be similar risks under state laws or common law theories.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(“Legal Defeasance”) except for:</w:t>
      </w:r>
    </w:p>
    <w:p>
      <w:pPr>
        <w:spacing w:after="0" w:line="59" w:lineRule="exact"/>
        <w:rPr>
          <w:sz w:val="20"/>
          <w:szCs w:val="20"/>
          <w:color w:val="auto"/>
        </w:rPr>
      </w:pPr>
    </w:p>
    <w:p>
      <w:pPr>
        <w:ind w:left="460" w:right="20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20" w:firstLine="4"/>
        <w:spacing w:after="0" w:line="292" w:lineRule="auto"/>
        <w:tabs>
          <w:tab w:leader="none" w:pos="69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20" w:firstLine="443"/>
        <w:spacing w:after="0" w:line="256" w:lineRule="auto"/>
        <w:tabs>
          <w:tab w:leader="none" w:pos="11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ind w:left="460" w:right="80" w:firstLine="443"/>
        <w:spacing w:after="0" w:line="259" w:lineRule="auto"/>
        <w:tabs>
          <w:tab w:leader="none" w:pos="11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1160" w:hanging="257"/>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and the Indenture,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amended, restated or modified Collateral Documents contain terms no less favorable to the trustee or the holders of the Notes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amendment, restatement or modification does not otherwise adversely affect the rights or remedies of the trustee or the holders of the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4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79"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91" w:lineRule="auto"/>
        <w:tabs>
          <w:tab w:leader="none" w:pos="158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60" w:firstLine="443"/>
        <w:spacing w:after="0" w:line="306" w:lineRule="auto"/>
        <w:tabs>
          <w:tab w:leader="none" w:pos="114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Anyone who receives this offering memorandum may obtain a copy of the Indenture, the Collateral Documents and the registration rights agreement without charge by writing to Wynn Las Vegas, LLC, 3131 Las Vegas Boulevard South, Las Vegas, NV 89109, Attention: Legal Department.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The new notes will be issued in the form of one or more notes in global form (the “Global Notes”). The new notes will be issued in minimum denominations of $2,000 and integral multiples of $1,000 in excess thereof.</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4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28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ind w:left="460" w:right="400" w:firstLine="443"/>
        <w:spacing w:after="0" w:line="259"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and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The PORTAL Alliance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00" w:firstLine="443"/>
        <w:spacing w:after="0" w:line="259"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20" w:firstLine="443"/>
        <w:spacing w:after="0" w:line="332" w:lineRule="auto"/>
        <w:tabs>
          <w:tab w:leader="none" w:pos="1147" w:val="left"/>
        </w:tabs>
        <w:numPr>
          <w:ilvl w:val="1"/>
          <w:numId w:val="153"/>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40" w:firstLine="443"/>
        <w:spacing w:after="0" w:line="332" w:lineRule="auto"/>
        <w:tabs>
          <w:tab w:leader="none" w:pos="1235" w:val="left"/>
        </w:tabs>
        <w:numPr>
          <w:ilvl w:val="1"/>
          <w:numId w:val="153"/>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80" w:firstLine="443"/>
        <w:spacing w:after="0" w:line="305" w:lineRule="auto"/>
        <w:tabs>
          <w:tab w:leader="none" w:pos="1228" w:val="left"/>
        </w:tabs>
        <w:numPr>
          <w:ilvl w:val="1"/>
          <w:numId w:val="153"/>
        </w:numPr>
        <w:rPr>
          <w:rFonts w:ascii="Arial" w:cs="Arial" w:eastAsia="Arial" w:hAnsi="Arial"/>
          <w:sz w:val="15"/>
          <w:szCs w:val="15"/>
          <w:color w:val="auto"/>
        </w:rPr>
      </w:pPr>
      <w:r>
        <w:rPr>
          <w:rFonts w:ascii="Arial" w:cs="Arial" w:eastAsia="Arial" w:hAnsi="Arial"/>
          <w:sz w:val="15"/>
          <w:szCs w:val="15"/>
          <w:color w:val="auto"/>
        </w:rPr>
        <w:t xml:space="preserve">the transfer or sale or disposition of any Released Assets or Aircraft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revenues in excess of $10.0 million (in the aggregate) generated by sales, leases or other dispositions of any assets in connection with (i) any timeshare, interval ownership or similar development or</w:t>
      </w:r>
    </w:p>
    <w:p>
      <w:pPr>
        <w:ind w:left="460" w:right="60" w:firstLine="4"/>
        <w:spacing w:after="0" w:line="261" w:lineRule="auto"/>
        <w:tabs>
          <w:tab w:leader="none" w:pos="71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2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firstLine="443"/>
        <w:spacing w:after="0" w:line="256" w:lineRule="auto"/>
        <w:tabs>
          <w:tab w:leader="none" w:pos="12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180" w:firstLine="443"/>
        <w:spacing w:after="0" w:line="306" w:lineRule="auto"/>
        <w:tabs>
          <w:tab w:leader="none" w:pos="114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180" w:firstLine="421"/>
        <w:spacing w:after="0" w:line="259" w:lineRule="auto"/>
        <w:tabs>
          <w:tab w:leader="none" w:pos="157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firstLine="421"/>
        <w:spacing w:after="0" w:line="290" w:lineRule="auto"/>
        <w:tabs>
          <w:tab w:leader="none" w:pos="158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80" w:firstLine="443"/>
        <w:spacing w:after="0" w:line="291" w:lineRule="auto"/>
        <w:tabs>
          <w:tab w:leader="none" w:pos="114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460" w:right="84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to the extent any of the 2014 Notes are then outstanding;</w:t>
      </w:r>
    </w:p>
    <w:p>
      <w:pPr>
        <w:spacing w:after="0" w:line="50" w:lineRule="exact"/>
        <w:rPr>
          <w:rFonts w:ascii="Arial" w:cs="Arial" w:eastAsia="Arial" w:hAnsi="Arial"/>
          <w:sz w:val="18"/>
          <w:szCs w:val="18"/>
          <w:color w:val="auto"/>
        </w:rPr>
      </w:pPr>
    </w:p>
    <w:p>
      <w:pPr>
        <w:ind w:left="460" w:right="84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2017 Notes to the extent any of the 2017 Notes are then outstanding; or</w:t>
      </w:r>
    </w:p>
    <w:p>
      <w:pPr>
        <w:spacing w:after="0" w:line="50" w:lineRule="exact"/>
        <w:rPr>
          <w:rFonts w:ascii="Arial" w:cs="Arial" w:eastAsia="Arial" w:hAnsi="Arial"/>
          <w:sz w:val="18"/>
          <w:szCs w:val="18"/>
          <w:color w:val="auto"/>
        </w:rPr>
      </w:pPr>
    </w:p>
    <w:p>
      <w:pPr>
        <w:ind w:left="460" w:right="84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2020 Notes to the extent any of the 2020 Notes are then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jc w:val="both"/>
        <w:ind w:left="460" w:right="240" w:firstLine="443"/>
        <w:spacing w:after="0" w:line="259"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24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jc w:val="both"/>
        <w:ind w:left="460" w:right="140" w:firstLine="443"/>
        <w:spacing w:after="0" w:line="256"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51" w:lineRule="exact"/>
        <w:rPr>
          <w:sz w:val="20"/>
          <w:szCs w:val="20"/>
          <w:color w:val="auto"/>
        </w:rPr>
      </w:pPr>
    </w:p>
    <w:p>
      <w:pPr>
        <w:ind w:left="460" w:right="120" w:firstLine="443"/>
        <w:spacing w:after="0" w:line="298" w:lineRule="auto"/>
        <w:tabs>
          <w:tab w:leader="none" w:pos="114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8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60" w:firstLine="443"/>
        <w:spacing w:after="0" w:line="259"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0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xml:space="preserve">”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 xml:space="preserve">and including increases in ownership of Restricted Subsidiaries, during the four- quarter reference period or subsequent to such reference period and on or prior to the Calculation Date will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(in accordance with Regulation S-X under the Securities Act) as if they had occurred on the first day of the four-quarter reference period;</w:t>
      </w:r>
    </w:p>
    <w:p>
      <w:pPr>
        <w:spacing w:after="0" w:line="59" w:lineRule="exact"/>
        <w:rPr>
          <w:sz w:val="20"/>
          <w:szCs w:val="20"/>
          <w:color w:val="auto"/>
        </w:rPr>
      </w:pPr>
    </w:p>
    <w:p>
      <w:pPr>
        <w:ind w:left="460" w:right="14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firstLine="443"/>
        <w:spacing w:after="0" w:line="312" w:lineRule="auto"/>
        <w:tabs>
          <w:tab w:leader="none" w:pos="1147" w:val="left"/>
        </w:tabs>
        <w:numPr>
          <w:ilvl w:val="0"/>
          <w:numId w:val="172"/>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0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5"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other Person that provides a Guarantee by executing a supplemental indenture in accordance with the provisions of the Indenture, 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50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Notes. Only registered holders will have any rights under the Indenture.</w:t>
      </w:r>
    </w:p>
    <w:p>
      <w:pPr>
        <w:spacing w:after="0" w:line="19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 Release of Portions of the Golf Course Land.”</w:t>
      </w:r>
    </w:p>
    <w:p>
      <w:pPr>
        <w:spacing w:after="0" w:line="140"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Intercreditor Agreement</w:t>
      </w:r>
      <w:r>
        <w:rPr>
          <w:rFonts w:ascii="Arial" w:cs="Arial" w:eastAsia="Arial" w:hAnsi="Arial"/>
          <w:sz w:val="15"/>
          <w:szCs w:val="15"/>
          <w:color w:val="auto"/>
        </w:rPr>
        <w:t>” means the Intercreditor Agreement, dated as of December 14, 2004, among the trustee for the 2014 Notes, the trustee for the 2017 Notes, the trustee for the 2020 Notes, the trustee for the Notes, the administrative agent under the Credit Agreement, the collateral agent and the other parties thereto from time to time, as such agreement may be amended, modified, restated or supplemented in accordance with the terms of the Indenture.</w:t>
      </w:r>
    </w:p>
    <w:p>
      <w:pPr>
        <w:spacing w:after="0" w:line="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Income</w:t>
      </w:r>
      <w:r>
        <w:rPr>
          <w:rFonts w:ascii="Arial" w:cs="Arial" w:eastAsia="Arial" w:hAnsi="Arial"/>
          <w:sz w:val="16"/>
          <w:szCs w:val="16"/>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and to the same extent that such amounts would have been included in the calculation of net income if incurred by Wynn Las Vegas directly, excluding (to the extent previously taken into account in computing net income), however:</w:t>
      </w:r>
    </w:p>
    <w:p>
      <w:pPr>
        <w:spacing w:after="0" w:line="51" w:lineRule="exact"/>
        <w:rPr>
          <w:sz w:val="20"/>
          <w:szCs w:val="20"/>
          <w:color w:val="auto"/>
        </w:rPr>
      </w:pPr>
    </w:p>
    <w:p>
      <w:pPr>
        <w:jc w:val="both"/>
        <w:ind w:left="460" w:right="40" w:firstLine="443"/>
        <w:spacing w:after="0" w:line="259"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8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32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 to which neither Wynn Las Vegas nor any of its Restricted Subsidiaries (a) provides credit support of any kind (including any undertaking, agreement or instrument that would constitute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Indebtedness) (other than a pledge of the Equity Interests of the Unrestricted Subsidiary that is an obligor with respect to such Indebtedness), (b) is directly or indirectly liable as a guarantor or otherwise, or (c) constitutes the lender;</w:t>
      </w:r>
    </w:p>
    <w:p>
      <w:pPr>
        <w:spacing w:after="0" w:line="51" w:lineRule="exact"/>
        <w:rPr>
          <w:sz w:val="20"/>
          <w:szCs w:val="20"/>
          <w:color w:val="auto"/>
        </w:rPr>
      </w:pPr>
    </w:p>
    <w:p>
      <w:pPr>
        <w:ind w:left="460" w:right="280" w:firstLine="443"/>
        <w:spacing w:after="0" w:line="256"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60" w:firstLine="4"/>
        <w:spacing w:after="0" w:line="302" w:lineRule="auto"/>
        <w:tabs>
          <w:tab w:leader="none" w:pos="71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60" w:firstLine="443"/>
        <w:spacing w:after="0" w:line="268" w:lineRule="auto"/>
        <w:tabs>
          <w:tab w:leader="none" w:pos="114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right="20" w:firstLine="443"/>
        <w:spacing w:after="0" w:line="306" w:lineRule="auto"/>
        <w:tabs>
          <w:tab w:leader="none" w:pos="114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jc w:val="both"/>
        <w:ind w:left="460" w:right="240" w:firstLine="4"/>
        <w:spacing w:after="0" w:line="255" w:lineRule="auto"/>
        <w:tabs>
          <w:tab w:leader="none" w:pos="69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380" w:firstLine="443"/>
        <w:spacing w:after="0" w:line="306" w:lineRule="auto"/>
        <w:tabs>
          <w:tab w:leader="none" w:pos="114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40" w:firstLine="443"/>
        <w:spacing w:after="0" w:line="268" w:lineRule="auto"/>
        <w:tabs>
          <w:tab w:leader="none" w:pos="114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firstLine="421"/>
        <w:spacing w:after="0" w:line="306" w:lineRule="auto"/>
        <w:tabs>
          <w:tab w:leader="none" w:pos="1588" w:val="left"/>
        </w:tabs>
        <w:numPr>
          <w:ilvl w:val="1"/>
          <w:numId w:val="189"/>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0" w:firstLine="443"/>
        <w:spacing w:after="0" w:line="332" w:lineRule="auto"/>
        <w:tabs>
          <w:tab w:leader="none" w:pos="122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23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40" w:firstLine="443"/>
        <w:spacing w:after="0" w:line="294" w:lineRule="auto"/>
        <w:tabs>
          <w:tab w:leader="none" w:pos="123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00" w:firstLine="443"/>
        <w:spacing w:after="0" w:line="306"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68"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90" w:lineRule="exact"/>
        <w:rPr>
          <w:rFonts w:ascii="Arial" w:cs="Arial" w:eastAsia="Arial" w:hAnsi="Arial"/>
          <w:sz w:val="18"/>
          <w:szCs w:val="18"/>
          <w:color w:val="auto"/>
        </w:rPr>
      </w:pPr>
    </w:p>
    <w:p>
      <w:pPr>
        <w:ind w:left="920" w:right="40" w:firstLine="421"/>
        <w:spacing w:after="0" w:line="268" w:lineRule="auto"/>
        <w:tabs>
          <w:tab w:leader="none" w:pos="158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20" w:firstLine="443"/>
        <w:spacing w:after="0" w:line="255"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40" w:firstLine="443"/>
        <w:spacing w:after="0" w:line="259" w:lineRule="auto"/>
        <w:tabs>
          <w:tab w:leader="none" w:pos="12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59" w:lineRule="auto"/>
        <w:tabs>
          <w:tab w:leader="none" w:pos="12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2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60" w:firstLine="443"/>
        <w:spacing w:after="0" w:line="298" w:lineRule="auto"/>
        <w:tabs>
          <w:tab w:leader="none" w:pos="123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(17)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32" w:lineRule="auto"/>
        <w:tabs>
          <w:tab w:leader="none" w:pos="123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1240" w:hanging="337"/>
        <w:spacing w:after="0"/>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680" w:firstLine="443"/>
        <w:spacing w:after="0" w:line="268" w:lineRule="auto"/>
        <w:tabs>
          <w:tab w:leader="none" w:pos="123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100" w:firstLine="443"/>
        <w:spacing w:after="0" w:line="305" w:lineRule="auto"/>
        <w:tabs>
          <w:tab w:leader="none" w:pos="1235" w:val="left"/>
        </w:tabs>
        <w:numPr>
          <w:ilvl w:val="1"/>
          <w:numId w:val="194"/>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w:t>
      </w:r>
    </w:p>
    <w:p>
      <w:pPr>
        <w:ind w:left="460"/>
        <w:spacing w:after="0"/>
        <w:rPr>
          <w:rFonts w:ascii="Arial" w:cs="Arial" w:eastAsia="Arial" w:hAnsi="Arial"/>
          <w:sz w:val="15"/>
          <w:szCs w:val="15"/>
          <w:color w:val="auto"/>
        </w:rPr>
      </w:pPr>
      <w:r>
        <w:rPr>
          <w:rFonts w:ascii="Arial" w:cs="Arial" w:eastAsia="Arial" w:hAnsi="Arial"/>
          <w:sz w:val="16"/>
          <w:szCs w:val="16"/>
          <w:color w:val="auto"/>
        </w:rPr>
        <w:t>— Incurrence of Indebtedness and Issuance of Disqualified Stock” which liens may be of equal or lesser priority as the liens securing the Notes;</w:t>
      </w:r>
    </w:p>
    <w:p>
      <w:pPr>
        <w:spacing w:after="0" w:line="106" w:lineRule="exact"/>
        <w:rPr>
          <w:rFonts w:ascii="Arial" w:cs="Arial" w:eastAsia="Arial" w:hAnsi="Arial"/>
          <w:sz w:val="15"/>
          <w:szCs w:val="15"/>
          <w:color w:val="auto"/>
        </w:rPr>
      </w:pPr>
    </w:p>
    <w:p>
      <w:pPr>
        <w:jc w:val="both"/>
        <w:ind w:left="460" w:right="40" w:firstLine="443"/>
        <w:spacing w:after="0" w:line="298" w:lineRule="auto"/>
        <w:tabs>
          <w:tab w:leader="none" w:pos="123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(16)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23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Liens not specified in clauses (1) through (26)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40" w:firstLine="443"/>
        <w:spacing w:after="0" w:line="259" w:lineRule="auto"/>
        <w:tabs>
          <w:tab w:leader="none" w:pos="123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98"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60" w:firstLine="443"/>
        <w:spacing w:after="0" w:line="332"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w:t>
      </w:r>
      <w:r>
        <w:rPr>
          <w:rFonts w:ascii="Arial" w:cs="Arial" w:eastAsia="Arial" w:hAnsi="Arial"/>
          <w:sz w:val="18"/>
          <w:szCs w:val="18"/>
          <w:i w:val="1"/>
          <w:iCs w:val="1"/>
          <w:color w:val="auto"/>
        </w:rPr>
        <w:t>e.g.</w:t>
      </w:r>
      <w:r>
        <w:rPr>
          <w:rFonts w:ascii="Arial" w:cs="Arial" w:eastAsia="Arial" w:hAnsi="Arial"/>
          <w:sz w:val="18"/>
          <w:szCs w:val="18"/>
          <w:color w:val="auto"/>
        </w:rPr>
        <w:t xml:space="preserve"> ordinary income or long term capital gain) shall be taken into account.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jc w:val="both"/>
        <w:ind w:left="460" w:right="80" w:firstLine="443"/>
        <w:spacing w:after="0" w:line="259"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Pledge and Security Agreement, dated as of the date of the Indenture, among the Issuers, the Restricted Subsidiaries, Wynn Resorts Holdings and the collateral agent to secure the obligations of the Issuers, the Restricted Subsidiaries and Wynn Resorts Holdings under the Indenture and the Notes, and</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60" w:firstLine="443"/>
        <w:spacing w:after="0" w:line="298"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the Completion Guarantor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202"/>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00"/>
          </w:cols>
          <w:pgMar w:left="240" w:top="460"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December 14, 2004, we entered into a credit agreement and related ancillary agreements for secured revolving credit and term loan facilities, which credit agreement was refinanced on August 15, 2006 with our amended and restated credit agreement and has since been amended. We entered into an amendment to our amended and restated credit agreement in connection with the issuance of the old notes as described under “Summary—Recent Developments —Cash Tender Offer for, and Redemption of, 2014 Notes.” As of September 10, 2010, after giving effect to the issuance of the old notes and the concurrent amendment of our credit facilities, reductions in our revolving credit commitments, conversions by lenders of term loans maturing in 2013 to term loans maturing in 2015 and conversions by lenders of revolving commitments maturing in 2013 to revolving commitments maturing in 2015, we had approximately $306.9 million of available undrawn commitments and approximately $414.9 million outstanding under our senior secured credit facility, consisting of approximately $44.3 million outstanding under the portion of our senior secured term loan credit facility maturing in 2013, approximately $330.6 million outstanding under the portion of our senior secured term loan credit facility maturing in 2015, approximately $5.1 million outstanding under the portion of our revolving credit facility maturing in 2013 and approximately $34.9 million outstanding under the portion of our revolving credit facility maturing in 2015.</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purposes of calculating interest, loans under the credit facilities will be designated, at our election, as Eurodollar Loans or, in certain circumstances, Base Rate Loans.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Eurodollar Loans bear interest at the Eurodollar rate plus a borrowing margin of (x) 3.000% in the case of our revolving loans maturing in 2013 and, through June 30, 2013, our revolving loans and term loans maturing in 2015 and (y) 1.875% in the case of our term loans maturing in 2013. After June 30, 2013, for loans maturing in 2015, Eurodollar Loans will bear interest at the Eurodollar rate plus a borrowing margin determined pursuant to a pricing grid, such that, if our consolidated leverage ratio is equal to or less than 6 to 1, the borrowing margin added to the Eurodollar rate is 3.00%, if our consolidated leverage ratio is greater than 6 to 1 but equal to or less than 6.5 to 1 the borrowing margin added to the Eurodollar rate is 3.25%, and if our consolidated leverage ratio is greater than 6.5 to 1 the borrowing margin added to the Eurodollar rate is 3.5%, adjusted on each date that financial statements are delivered by us to the lenders pursuant to the credit agreement. Interest on Eurodollar Loans is payable at the end of the applicable interest period in the case of interest periods of one, two or three months, and every three months in the case of interest periods of six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 Rate Loans bear interest at (a) the “base rate,” which is the greatest of (i) the rate most recently announced by Deutsche Bank as its “prime rate,”</w:t>
      </w:r>
    </w:p>
    <w:p>
      <w:pPr>
        <w:spacing w:after="0" w:line="38" w:lineRule="exact"/>
        <w:rPr>
          <w:sz w:val="20"/>
          <w:szCs w:val="20"/>
          <w:color w:val="auto"/>
        </w:rPr>
      </w:pPr>
    </w:p>
    <w:p>
      <w:pPr>
        <w:ind w:right="20" w:firstLine="8"/>
        <w:spacing w:after="0" w:line="287" w:lineRule="auto"/>
        <w:tabs>
          <w:tab w:leader="none" w:pos="25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Federal Funds Rate plus 0.50% per annum and (iii) in the case of all loans (other than term loans maturing in 2013), the Eurodollar rate for a one month interest period plus 1.00%; plus, in each case (b) a borrowing margin of (x) 2.000% in the case of our revolving loans maturing in 2013 and, through June 30, 2013, our revolving loans and term loans maturing in 2015 and (y) 0.875% in the case of our term loans maturing in 2013. After June 30, 2013, for revolving loans and term loans maturing in 2015, Base Rate Loans will bear interest at the base rate plus a borrowing margin determined pursuant to a pricing grid, such that, if our consolidated leverage ratio is equal to or less than 6 to 1, the borrowing margin added to the base rate is 2.00%, if our consolidated leverage ratio is greater than 6 to 1 but equal to or less than 6.5 to 1 the borrowing margin added to the base rate is 2.25%, and if our consolidated leverage ratio is greater than 6.5 to 1 the borrowing margin added to the base rate is 2.5%, adjusted on each date that financial statements are delivered by us to the lenders pursuant to the credit agreement. Interest on Base Rate Loans is payable quarterly in arrears. We also pay, quarterly in arrears, a fee equal to 1.000% per annum on the daily average of unborrowed availability under the revolving facility.</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credit facilities are guaranteed by each of our subsidiaries, other than Wynn Completion Guarantor, LLC. Subject to the intercreditor agreement, and certain exceptions, our obligations and each of the guarantees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credit facilities are secured by: (1) a first priority pledge of all member’s interests owned by Wynn Las Vegas, LLC in its subsidiaries and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credit facilities rank equal in right of payment with their existing and future senior indebtedness, including indebtedness with respect to the notes, the 2017 notes and the existing 2020 notes and ranks senior in right of payment to all of their existing and future subordinated indebtedness.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scheduled amortization payments, we are required to make mandatory prepayments of indebtedness under the credit facilities from a portion of the net proceeds of all debt offerings (other than those constituting certain permitted debt), the net proceeds from certain dispositions, the net proceeds from asset sales, insurance or condemnation proceeds, and liquidated damages under certain project documents received by us, in each case, with specified prepayment thresholds, exceptions and subject in certain cases to reinvestment periods. We are also required to make mandatory repayments of indebtedness under the credit facilities from 50% of excess cash flow, which percentage may be eliminated based on our leverage ratio. We have the option to prepay all or any portion of the indebtedness under the credit facilities at any time without premium or penalty.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our ability to: incur additional indebtedness, including guarantees; create, incur, assume or permit to exist liens on property and assets; declare or pay dividends and make distributions or restrict the ability of our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are required to maintain a Consolidated Interest Coverage Ratio of no less than 1.00 to 1 for the reporting periods ending September 30, 2010 through and including June 30, 2013, no less than 1.40 to 1 for the period ending September 30, 2013, and no less than 1.60 to 1 from and after December 31, 2013. Our management believes that Wynn Las Vegas, LLC was in compliance with such covenant as of June 30,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2017</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On October 19, 2009, we issued $500 million aggregate principal amount of 2017 notes at a price of 97.823% of the principal amount. The 2017 notes mature on November 1, 2017 and bear interest at the rate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indenture governing the 2017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2017 notes are our obligations, guaranteed by each of our subsidiaries, other than Wynn Completion Guarantor, LLC. Wynn Resorts does not guarantee our obligations under the 2017 notes. Subject to the intercreditor agreement and certain exceptions, the 2017 notes and the guarantees thereof are secured by: (1) a first priority pledge of all of the member’s interests owned by Wynn Las Vegas, LLC in its subsidiaries and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Wynn Holdings’ 100% member’s interest in Wynn Las Vegas, LLC, subject to the prior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2017 notes rank equal to the right of payment with our existing and future senior secured indebtedness, including indebtedness with respect to our credit facilities described above, the existing 2020 notes, the old notes and the new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On April 28, 2010, we issued $382,010,000 aggregate principal amount of existing 2020 notes in exchange for 2014 notes. The existing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 We pay interest on the existing 2020 notes on May 1st and November 1st of each year. Commencing May 1, 2015, the existing 2020 notes will become redeemable at our option at a price equal to 103.938% of the principal amount redeemed and declining ratably on May 1st of each year thereafter to 100.000% on or after May 1, 2018.</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indenture governing the existing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existing 2020 notes are our obligations, guaranteed by each of our subsidiaries, other than Wynn Completion Guarantor, LLC. Wynn Resorts does not guarantee our obligations under the existing 2020 notes.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the intercreditor agreement and certain exceptions, the existing 2020 notes and the guarantees thereof are secured by: (1) a first priority pledge of all of the member’s interests owned by Wynn Las Vegas, LLC in its subsidiaries and of Wynn Holdings’ 100% member’s interest in Wynn Las Vegas, LLC, subject to the prior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existing 2020 notes rank equal to the right of payment with our existing and future senior secured indebtedness, including indebtedness with respect to our credit facilities described above, the 2017 notes, the old notes and the new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On August 4, 2010, we issued $1,320,000,000 aggregate principal amount of old notes. The old notes mature on August 15, 2020 and bear interest at the rate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year. We pay interest on the old notes on February 15th and August 15th of each year. Commencing August 15, 2015, the old notes will become redeemable at our option at a price equal to 107.75% of the principal amount redeemed and declining ratably on August 15th of each year thereafter to 100.000% on or after August 15, 2018.</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old notes are our obligations, guaranteed by each of our subsidiaries, other than Wynn Completion Guarantor, LLC. Wynn Resorts does not guarantee our obligations under the old notes.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the intercreditor agreement and certain exceptions, the old notes and the guarantees thereof are secured by: (1) a first priority pledge of all of the member’s interests owned by Wynn Las Vegas, LLC in its subsidiaries and of Wynn Holdings’ 100% member’s interest in Wynn Las Vegas, LLC, subject to the prior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old notes rank equal to the right of payment with our existing and future senior secured indebtedness, including indebtedness with respect to our credit facilities described above, the 2017 notes and the existing 2020 notes, and rank senior in right of payment to all of our existing and future subordinated indebtedness.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60"/>
          </w:cols>
          <w:pgMar w:left="240" w:top="459" w:right="2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(as amended or supplemented from time to time, including by any joinder agreement, the “intercreditor agreement”) that was entered into among the agent under the credit facilities, the trustee on behalf of the 2017 note holders, the trustee on behalf of the existing 2020 note holders, the trustee on behalf of the note holders and Deutsche Bank Trust Company Americas, in its capacity as collateral agent for each of the parties, may be joined in the future by the representative of any future first lien indebtedness permitted to be incurred which is secured by any collateral (together with indebtedness under the credit facilities, the 2017 notes, the existing 2020 notes and the notes, the “senior debt”) and the representative of any future second lien indebtedness permitted to be incurred which is secured by any collateral (the “junior debt”). By accepting the notes, the note holders, in addition to the notes trustee, are bound by the terms of the intercreditor agreement. The intercreditor agreement sets forth certain agreements among the parties regarding, among other things, the priority of their claims and interests in the collateral securing the senior debt and the junior debt and other assets we own, the method of decision-making among the lenders, the 2017 note holders, the existing 2020 note holders, the note holders, any other senior debt holders and the junior debt holders, the arrangements applicable to actions with respect to approval rights and waivers, certain limitations on rights of enforcement upon default and the application of proceeds of enforcement. This is a summary of the material terms and provisions of the intercreditor agreement, and you should review the intercreditor agreement for a complete statement of its terms and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intercreditor agreement, each party appoints Deutsche Bank Trust Company Americas to act as collateral agent with respect to all of the collateral (in separate capacities with respect to collateral and any separate collateral, as applicable)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Priority of Liens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90" w:lineRule="exact"/>
        <w:rPr>
          <w:sz w:val="20"/>
          <w:szCs w:val="20"/>
          <w:color w:val="auto"/>
        </w:rPr>
      </w:pPr>
    </w:p>
    <w:p>
      <w:pPr>
        <w:ind w:left="900" w:right="160" w:hanging="325"/>
        <w:spacing w:after="0" w:line="294"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to the extent that our indebtedness represented by the notes is permitted to be incurred and secured on a first lien basis by the credit facilities, the 2017 notes, and the existing 2020 notes, the liens granted for the benefit of the note holders with respect to our assets and the assets pledged by the guarantors are pari passu in priority (which priority is first, subject to permitted liens) with the liens on such assets granted for the benefit of the lenders under the credit facilities, the liens granted for the benefit of the holders of the 2017 notes, the liens granted for the benefit of the holders of the existing 2020 notes and the permitted liens on such assets that may be granted for the benefit of any other senior debt holders; and</w:t>
      </w:r>
    </w:p>
    <w:p>
      <w:pPr>
        <w:spacing w:after="0" w:line="34" w:lineRule="exact"/>
        <w:rPr>
          <w:rFonts w:ascii="Arial" w:cs="Arial" w:eastAsia="Arial" w:hAnsi="Arial"/>
          <w:sz w:val="16"/>
          <w:szCs w:val="16"/>
          <w:color w:val="auto"/>
        </w:rPr>
      </w:pPr>
    </w:p>
    <w:p>
      <w:pPr>
        <w:ind w:left="900" w:right="140" w:hanging="325"/>
        <w:spacing w:after="0" w:line="370" w:lineRule="auto"/>
        <w:tabs>
          <w:tab w:leader="none" w:pos="9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liens on such assets granted for the benefit of the junior debt holders are junior to the liens on such assets granted for the benefit of the note holders, the holders of the 2017 notes, the holders of the existing 2020 notes, the lenders under the credit facilities and any other senior debt holder;</w:t>
      </w:r>
    </w:p>
    <w:p>
      <w:pPr>
        <w:spacing w:after="0" w:line="6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under the indenture for the 2017 notes, the trustee under the indenture for the existing 2020 notes, the trustee under the indenture for the notes, any holder of 2017 notes, any holder of existing 2020 notes, any note holder, any holder (or representative of any holder) of other senior debt, or any holder (or representative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the Collateral Agent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intercreditor agreement provides that the collateral agent has the sole and exclusive right to exercise rights and enforce remedies under the security documents to which it is a party.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62" w:lineRule="exact"/>
        <w:rPr>
          <w:sz w:val="20"/>
          <w:szCs w:val="20"/>
          <w:color w:val="auto"/>
        </w:rPr>
      </w:pPr>
    </w:p>
    <w:p>
      <w:pPr>
        <w:ind w:left="900" w:hanging="325"/>
        <w:spacing w:after="0"/>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for purposes of causing the collateral agent to commence enforcement proceedings against the collateral pursuant to the security documents:</w:t>
      </w:r>
    </w:p>
    <w:p>
      <w:pPr>
        <w:spacing w:after="0" w:line="113" w:lineRule="exact"/>
        <w:rPr>
          <w:rFonts w:ascii="Arial" w:cs="Arial" w:eastAsia="Arial" w:hAnsi="Arial"/>
          <w:sz w:val="16"/>
          <w:szCs w:val="16"/>
          <w:color w:val="auto"/>
        </w:rPr>
      </w:pPr>
    </w:p>
    <w:p>
      <w:pPr>
        <w:ind w:left="1480" w:right="80" w:hanging="446"/>
        <w:spacing w:after="0" w:line="302" w:lineRule="auto"/>
        <w:tabs>
          <w:tab w:leader="none" w:pos="1480" w:val="left"/>
        </w:tabs>
        <w:numPr>
          <w:ilvl w:val="1"/>
          <w:numId w:val="206"/>
        </w:numPr>
        <w:rPr>
          <w:rFonts w:ascii="Arial" w:cs="Arial" w:eastAsia="Arial" w:hAnsi="Arial"/>
          <w:sz w:val="15"/>
          <w:szCs w:val="15"/>
          <w:color w:val="auto"/>
        </w:rPr>
      </w:pPr>
      <w:r>
        <w:rPr>
          <w:rFonts w:ascii="Arial" w:cs="Arial" w:eastAsia="Arial" w:hAnsi="Arial"/>
          <w:sz w:val="15"/>
          <w:szCs w:val="15"/>
          <w:color w:val="auto"/>
        </w:rPr>
        <w:t>at any time after the expiration of 30 days following the earlier of (A) the occurrence and continuation of (1) a default with respect to any first lien secured obligations (other than the credit facilities) as a result of the default for 30 days in the payment when due of interest on, or liquidated damages, if any, with respect to, any first lien secured obligations (other than the credit facilities) or (2) the Issuers default in the payment when due (at maturity, upon redemption, repurchase or otherwise) of the principal of, or premium, if any, on any first lien secured obligations (other than the credit facilities) or (B) an acceleration of any first lien secured obligations (other than the credit facilities), then</w:t>
      </w:r>
    </w:p>
    <w:p>
      <w:pPr>
        <w:spacing w:after="0" w:line="1" w:lineRule="exact"/>
        <w:rPr>
          <w:rFonts w:ascii="Arial" w:cs="Arial" w:eastAsia="Arial" w:hAnsi="Arial"/>
          <w:sz w:val="15"/>
          <w:szCs w:val="15"/>
          <w:color w:val="auto"/>
        </w:rPr>
      </w:pPr>
    </w:p>
    <w:p>
      <w:pPr>
        <w:ind w:left="1480" w:right="100"/>
        <w:spacing w:after="0" w:line="286" w:lineRule="auto"/>
        <w:rPr>
          <w:rFonts w:ascii="Arial" w:cs="Arial" w:eastAsia="Arial" w:hAnsi="Arial"/>
          <w:sz w:val="15"/>
          <w:szCs w:val="15"/>
          <w:color w:val="auto"/>
        </w:rPr>
      </w:pPr>
      <w:r>
        <w:rPr>
          <w:rFonts w:ascii="Arial" w:cs="Arial" w:eastAsia="Arial" w:hAnsi="Arial"/>
          <w:sz w:val="16"/>
          <w:szCs w:val="16"/>
          <w:color w:val="auto"/>
        </w:rPr>
        <w:t>(x) holders of a majority in aggregate principal amount of all first lien secured obligations (other than the credit facilities) or (y) the agent acting for the lenders under the credit facilities shall constitute the required secured creditors for purposes of causing the collateral agent to commence enforcement proceedings pursuant to the security documents and (ii) 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 provided, however, that if an event described in clause (i)(A) or (i)(B) above has occurred and is continuing for more than 30 days and an event of default has occurred and is continuing under the credit facilities, then, for purposes of causing the collateral agent to commence enforcement proceedings against the collateral pursuant to the security documents, either (x) the agent on behalf of the lenders under the credit facilities or (y) holders of a majority in aggregate principal amount of all first lien secured obligations (other than the credit facilities) shall constitute the required secured creditors;</w:t>
      </w:r>
    </w:p>
    <w:p>
      <w:pPr>
        <w:spacing w:after="0" w:line="43" w:lineRule="exact"/>
        <w:rPr>
          <w:rFonts w:ascii="Arial" w:cs="Arial" w:eastAsia="Arial" w:hAnsi="Arial"/>
          <w:sz w:val="15"/>
          <w:szCs w:val="15"/>
          <w:color w:val="auto"/>
        </w:rPr>
      </w:pPr>
    </w:p>
    <w:p>
      <w:pPr>
        <w:ind w:left="1480" w:right="180" w:hanging="446"/>
        <w:spacing w:after="0" w:line="259" w:lineRule="auto"/>
        <w:tabs>
          <w:tab w:leader="none" w:pos="14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spacing w:after="0" w:line="59" w:lineRule="exact"/>
        <w:rPr>
          <w:rFonts w:ascii="Arial" w:cs="Arial" w:eastAsia="Arial" w:hAnsi="Arial"/>
          <w:sz w:val="18"/>
          <w:szCs w:val="18"/>
          <w:color w:val="auto"/>
        </w:rPr>
      </w:pPr>
    </w:p>
    <w:p>
      <w:pPr>
        <w:ind w:left="1480" w:right="60" w:hanging="446"/>
        <w:spacing w:after="0" w:line="290" w:lineRule="auto"/>
        <w:tabs>
          <w:tab w:leader="none" w:pos="14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 xml:space="preserve">once enforcement proceedings have been commenced in accordance with the first bullet point above, if holders of a majority in aggregate principal amount of all first lien secured obligations (other than the credit facilities), or the agent for the lenders under the credit facilities, (but not both) has directed the collateral agent to commence such proceedings, then only the required secured creditors that directed the collateral agent to commence such proceedings shall be required to direct the collateral agent to discontinue the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collateral agent shall not discontinue such proceedings if any other required secured creditors who, at such time,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direct the collateral agent to commence the exercise of remedies in accordance with the first bullet point above instruct the collateral agent to continue such proceedings;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40"/>
          </w:cols>
          <w:pgMar w:left="240" w:top="459" w:right="3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line="284" w:lineRule="auto"/>
        <w:tabs>
          <w:tab w:leader="none" w:pos="14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for purposes of directing the manner and method of enforcement proceedings, once commenced in accordance with the first bullet point above, the collateral agent shall make all decisions that it deems appropriate to diligently prosecute and complete such proceedings unless instructed to do otherwise by a joint committee appointed with the written consent of representatives of each class of first lien secured parties (acting in accordance with their respective facility agreements), to perform such duties and with such authority to act on behalf of each class of first lien secured parties or, if a joint committee is not then in effect, by all of the representatives of each class of first lien secured obligations, (including agent for the lenders acting under the credit facilities), acting together, who shall constitute the required secured creditors under such circumstances. If the collateral agent requests instructions from the required secured creditors with respect to the manner and method of enforcement proceedings, then; (i) if a joint committee has been formed and is then in effect, such joint committee shall constitute the required secured creditors; and (ii) if a joint committee has not been formed or is not then in effect all of the representatives of each class of first lien secured obligations (including the agent for the lenders under the credit facilities), acting together, shall constitute the required secured creditors;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notwithstanding clause (ii) above, if the collateral agent receives conflicting instructions from (1) the agent for the lenders under the credit facilities and (2) holders of a majority in aggregate principal amount of all first lien secured obligations (other than the credit facilities), the collateral agent shall act pursuant to the requested instructions received from the agent for the lenders (acting under the credit facilities) and (b) if one of (x) the agent for the lenders (acting under the credit facilities) or (y) holders of a majority in aggregate principal amount of all first lien secured obligations (other than the credit facilities) responds with instructions to the collateral agent within ten (10) banking days but the other fails to respond during such time frame, then subject to clause (a) above the required secured creditors under such circumstances shall constitute the persons or person who responded during such time frame;</w:t>
      </w:r>
    </w:p>
    <w:p>
      <w:pPr>
        <w:spacing w:after="0" w:line="51" w:lineRule="exact"/>
        <w:rPr>
          <w:rFonts w:ascii="Arial" w:cs="Arial" w:eastAsia="Arial" w:hAnsi="Arial"/>
          <w:sz w:val="16"/>
          <w:szCs w:val="16"/>
          <w:color w:val="auto"/>
        </w:rPr>
      </w:pPr>
    </w:p>
    <w:p>
      <w:pPr>
        <w:ind w:left="1480" w:right="60" w:hanging="446"/>
        <w:spacing w:after="0" w:line="304" w:lineRule="auto"/>
        <w:tabs>
          <w:tab w:leader="none" w:pos="148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for purposes of amending, modifying, varying or waiving any provisions of the security documents in respect of the collateral, including waiving any event of default thereunder, the agent for the lenders under the credit facilities shall constitute the required secured creditors entitled to amend, modify, vary or waive any provision of the security documents in respect of the collateral (without the consent of the trustee under the indenture governing the 2017 notes, the holders of the 2017 notes, the trustee under the indenture governing the existing 2020 notes, the holders of the existing 2020 notes, the trustee under the indenture governing the notes, the holders of the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2017 notes, the existing 2020 notes and the notes. In addition, neither the trustee under the indenture governing the notes nor the holders of the notes shall have any right to amend or modify any provisions of the security documents. Notwithstanding the foregoing, unless such amendment, modification, variance or waiver is expressly permitted to occur without the consent of the trustee under the terms of the indenture governing the notes, the trustee under the indenture governing the 2017 notes, the trustee under the indenture governing the existing 2020 notes, and without the consent of the representative of any senior or junior debt under the terms of any indenture, note or other document evidencing or governing such senior or junior debt, to the extent that such amendment, modification, variance or waiver will result in the release of any portion of the collateral under the security documents, the consent of the trustee under the indenture governing the notes, the trustee under the indenture governing the 2017 notes, and the trustee under the existing 2020 notes will be required and the consent of a representative of such senior or junior debt or holder of such senior or junior debt may be required. To the extent such amendment, modification, variance or waiver will adversely affect the interests of any holders of senior debt or junior debt in a manner that does not similarly affect the interests of the lenders under the credit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294" w:lineRule="auto"/>
        <w:rPr>
          <w:sz w:val="20"/>
          <w:szCs w:val="20"/>
          <w:color w:val="auto"/>
        </w:rPr>
      </w:pPr>
      <w:r>
        <w:rPr>
          <w:rFonts w:ascii="Arial" w:cs="Arial" w:eastAsia="Arial" w:hAnsi="Arial"/>
          <w:sz w:val="16"/>
          <w:szCs w:val="16"/>
          <w:color w:val="auto"/>
        </w:rPr>
        <w:t>facilities, the consent of a representative of such senior or junior debt, as the case may be, will be required. In addition, any default occurring under a security document by reason of a default under the indenture governing the 2017 notes, the indenture governing the existing 2020 notes, the indenture governing the notes, the indenture or the instrument governing any senior or junior debt may only be waived by the trustee under the indenture governing the 2017 notes, the trustee under the indenture governing the existing 2020 notes, the trustee under the indenture governing the notes, the trustee or the representative of any senior or junior debt, as the case may be;</w:t>
      </w:r>
    </w:p>
    <w:p>
      <w:pPr>
        <w:spacing w:after="0" w:line="35" w:lineRule="exact"/>
        <w:rPr>
          <w:sz w:val="20"/>
          <w:szCs w:val="20"/>
          <w:color w:val="auto"/>
        </w:rPr>
      </w:pPr>
    </w:p>
    <w:p>
      <w:pPr>
        <w:jc w:val="both"/>
        <w:ind w:left="1480" w:right="20" w:hanging="446"/>
        <w:spacing w:after="0" w:line="259" w:lineRule="auto"/>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collateral, and all claims under insurance constituting collateral, then, subject to the following paragraphs, the required secured creditors at such times shall be the agent under the credit facilities;</w:t>
      </w:r>
    </w:p>
    <w:p>
      <w:pPr>
        <w:spacing w:after="0" w:line="59" w:lineRule="exact"/>
        <w:rPr>
          <w:rFonts w:ascii="Arial" w:cs="Arial" w:eastAsia="Arial" w:hAnsi="Arial"/>
          <w:sz w:val="18"/>
          <w:szCs w:val="18"/>
          <w:color w:val="auto"/>
        </w:rPr>
      </w:pPr>
    </w:p>
    <w:p>
      <w:pPr>
        <w:ind w:left="1480" w:right="380" w:hanging="446"/>
        <w:spacing w:after="0" w:line="259" w:lineRule="auto"/>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representatives of each class of any other first lien secured obligations;</w:t>
      </w:r>
    </w:p>
    <w:p>
      <w:pPr>
        <w:spacing w:after="0" w:line="59" w:lineRule="exact"/>
        <w:rPr>
          <w:rFonts w:ascii="Arial" w:cs="Arial" w:eastAsia="Arial" w:hAnsi="Arial"/>
          <w:sz w:val="18"/>
          <w:szCs w:val="18"/>
          <w:color w:val="auto"/>
        </w:rPr>
      </w:pPr>
    </w:p>
    <w:p>
      <w:pPr>
        <w:ind w:left="1480" w:right="140" w:hanging="446"/>
        <w:spacing w:after="0" w:line="255" w:lineRule="auto"/>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existing 2020 notes, all of our obligations under the 2017 notes, all of our obligations under the credit facilities, all of our obligations under the notes,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indenture governing the notes provides that the consent of the trustee for the holders of the notes will not be required for any amendment to the intercreditor agreement providing the trustee for the holders of the notes greater rights to participate in decisions regarding collateral and/or the enforcement of security documents.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Permanent Standstill With Respect to Junior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 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the trustee under the indenture governing the notes, the trustee under the indenture governing the 2017 notes and the trustee under the indenture governing the existing 2020 notes).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90" w:lineRule="exact"/>
        <w:rPr>
          <w:sz w:val="20"/>
          <w:szCs w:val="20"/>
          <w:color w:val="auto"/>
        </w:rPr>
      </w:pPr>
    </w:p>
    <w:p>
      <w:pPr>
        <w:ind w:left="900" w:right="500" w:hanging="325"/>
        <w:spacing w:after="0" w:line="357" w:lineRule="auto"/>
        <w:tabs>
          <w:tab w:leader="none" w:pos="90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to take actions to preserve or protect the liens securing such junior debt (so long as the actions are not adverse to the lenders under the credit facilities, the holders of the 2017 notes, the holders of the existing 2020 notes, the holders of the notes or the holders of any other senior debt);</w:t>
      </w:r>
    </w:p>
    <w:p>
      <w:pPr>
        <w:ind w:left="900" w:right="180" w:hanging="325"/>
        <w:spacing w:after="0" w:line="268"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purchase or payoff all amounts owed under the senior debt (provided that such junior debt holders shall not be required in such circumstances to pay any prepayment charges or premiums payable under the terms of the senior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existing 2020 notes, the 2017 notes or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collateral shall be applied:</w:t>
      </w:r>
    </w:p>
    <w:p>
      <w:pPr>
        <w:spacing w:after="0" w:line="90" w:lineRule="exact"/>
        <w:rPr>
          <w:sz w:val="20"/>
          <w:szCs w:val="20"/>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90"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second, to the payment of all principal and interest outstanding under the senior debt and other extensions of credit under the senior debt (including with respect to any protective advances made by the agent or lenders under our credit facilities or the holders of the notes or the trustee under the indenture governing the notes, or the holders of the existing 2020 notes or the trustee under the indenture governing the existing 2020 notes, or the holders of the 2017 notes or the trustee under the indenture governing the 2017 notes), pro rata among the senior debt based on the outstanding amounts thereof;</w:t>
      </w:r>
    </w:p>
    <w:p>
      <w:pPr>
        <w:spacing w:after="0" w:line="61"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the items set forth above, pro rata among the senior debt based on the outstanding amounts thereof;</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7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In addition, the intercreditor agreement provides that certain non-pro rata payments received by any note holder, any existing 2020 note holder, any 2017 note holder, any lender under the credit facilities or any other senior debt holder shall be remitted to the collateral agent for redistribution in a pro rata manner among each senior debt holder. Subject to certain exceptions, payments subject to this pro rata redistribution requirement include, among other things,</w:t>
      </w:r>
    </w:p>
    <w:p>
      <w:pPr>
        <w:spacing w:after="0" w:line="1" w:lineRule="exact"/>
        <w:rPr>
          <w:sz w:val="20"/>
          <w:szCs w:val="20"/>
          <w:color w:val="auto"/>
        </w:rPr>
      </w:pPr>
    </w:p>
    <w:p>
      <w:pPr>
        <w:jc w:val="both"/>
        <w:ind w:right="80" w:firstLine="8"/>
        <w:spacing w:after="0" w:line="255" w:lineRule="auto"/>
        <w:tabs>
          <w:tab w:leader="none" w:pos="21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proceeds of any exercise of any lender, any 2017 note holder, any existing 2020 note holder or any note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in Bankruptcy</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51" w:lineRule="exact"/>
        <w:rPr>
          <w:sz w:val="20"/>
          <w:szCs w:val="20"/>
          <w:color w:val="auto"/>
        </w:rPr>
      </w:pPr>
    </w:p>
    <w:p>
      <w:pPr>
        <w:ind w:left="900" w:right="240" w:hanging="325"/>
        <w:spacing w:after="0" w:line="256"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challenge the liens of the lenders under the credit facilities, the holders of the notes, the holders of the existing 2020 notes, the holders of the 2017 notes or the holders of other senior debt (and the lenders, the holders of the notes, the holders of the existing 2020 notes, the holders of the 2017 notes and the holders of other senior debt correspondingly shall agree not to take any action challenging the liens in favor of any such junior debt holders);</w:t>
      </w:r>
    </w:p>
    <w:p>
      <w:pPr>
        <w:spacing w:after="0" w:line="62" w:lineRule="exact"/>
        <w:rPr>
          <w:rFonts w:ascii="Arial" w:cs="Arial" w:eastAsia="Arial" w:hAnsi="Arial"/>
          <w:sz w:val="18"/>
          <w:szCs w:val="18"/>
          <w:color w:val="auto"/>
        </w:rPr>
      </w:pPr>
    </w:p>
    <w:p>
      <w:pPr>
        <w:ind w:left="900" w:right="320" w:hanging="325"/>
        <w:spacing w:after="0" w:line="256"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oppose or contest any motion of the agent under the credit facilities, the trustee under the indenture governing the notes, the trustee under the indenture governing the existing 2020 notes, the trustee under the indenture governing the 2017 notes or any representative of other senior debt holders for relief from the automatic stay or any injunction against foreclosure or enforcement of the credit facilities, the notes, the existing 2020 notes, the 2017 notes or other senior debt;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notes, the existing 2020 notes, the 2017 notes or other senior debt at any foreclosure sale;</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under the indenture governing the notes, the trustee under the indenture governing the existing 2020 notes, the trustee under the indenture governing the 2017 notes or any representative of other senior debt holders so long as such use of cash collateral calls for:</w:t>
      </w:r>
    </w:p>
    <w:p>
      <w:pPr>
        <w:spacing w:after="0" w:line="59"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9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vote to accept any plan of reorganization or restructuring plan unless lenders collectively holding two-thirds of the aggregate outstanding amount of loans under the credit facilities, the holders of the notes collectively holding two-thirds of the aggregate outstanding amount of the notes, the holders of the existing 2020 notes collectively holding two-thirds of the aggregate outstanding amount of the existing 2020 notes and holders of the 2017 notes collectively holding two-thirds of the aggregate outstanding amount of the 2017 notes have voted to accept such plan.</w:t>
      </w:r>
    </w:p>
    <w:p>
      <w:pPr>
        <w:spacing w:after="0" w:line="1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the 2017 note holders and/or the existing 2020 note holders and/or the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holders of the senior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Waivers by Junior Debt Holders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51" w:lineRule="exact"/>
        <w:rPr>
          <w:sz w:val="20"/>
          <w:szCs w:val="20"/>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9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the indenture governing the 2017 notes, the indenture governing the existing 2020 notes, the indenture governing the notes or any other senior debt agreement (even if conditions to any such advances have not been satisfied);</w:t>
      </w:r>
    </w:p>
    <w:p>
      <w:pPr>
        <w:spacing w:after="0" w:line="59"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governing the 2017 notes, the indenture governing the existing 2020 notes, the indenture governing the notes or any other senior debt agreement;</w:t>
      </w:r>
    </w:p>
    <w:p>
      <w:pPr>
        <w:spacing w:after="0" w:line="50" w:lineRule="exact"/>
        <w:rPr>
          <w:rFonts w:ascii="Arial" w:cs="Arial" w:eastAsia="Arial" w:hAnsi="Arial"/>
          <w:sz w:val="18"/>
          <w:szCs w:val="18"/>
          <w:color w:val="auto"/>
        </w:rPr>
      </w:pPr>
    </w:p>
    <w:p>
      <w:pPr>
        <w:ind w:left="1480" w:right="40" w:hanging="446"/>
        <w:spacing w:after="0" w:line="259" w:lineRule="auto"/>
        <w:tabs>
          <w:tab w:leader="none" w:pos="14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 increase or reduction in the amount of any available credit or an increase or reduction in the amount of principal obligations under the credit facilities, the 2017 notes, the existing 2020 notes, the notes or any other senior debt agreement, or the interest, premium, fees or other amounts payable thereunder;</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256"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the credit facilities, the trustee under the indenture governing the notes, the trustee under the indenture governing the existing 2020 notes, the trustee under the indenture governing the 2017 notes or any representative of other senior debt, other than gross negligence or willful misconduct, to the maximum extent permitted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Duty to Inform</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of the agent under the credit facilities (on behalf of itself and the lenders), the trustee under the indenture governing the notes (on behalf of itself and the holders of the notes), the trustee under the indenture governing the existing 2020 notes (on behalf of itself and the holders of the existing 2020 notes), the trustee under the indenture governing the 2017 notes (on behalf of itself and the holders of the 2017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notes, the existing 2020 notes, the 2017 notes or any other senior debt or any junior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Intercreditor Agreement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under the indenture for the notes or the holders of the notes, or the trustee under the indenture for the existing 2020 notes or the holders of the existing 2020 notes, or the trustee under the indenture for the 2017 notes or the holders of the 2017 notes, so long as such amendment only affects the subordination provisions in respect of any junior debt but does not affect the provisions governing the relationship between the lenders under the credit facilities, the holders of the 2017 notes, the holders of the existing 2020 notes and the holders of the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Also Applicable to Refinancing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intercreditor agreement provides that the intercreditor arrangements described above also shall apply to (i) any replacement debt arising as a consequence of refinancing of the credit facilities, the 2017 notes, the existing 2020 notes or the notes, (ii) any additional senior debt permitted under the credit facilities, the indenture governing the 2017 notes, the indenture governing the existing 2020 notes and the indenture governing the notes and (iii) any additional junior debt permitted under the credit facilities, the indenture governing the 2017 notes, the indenture governing the existing 2020 notes and the indenture governing the notes.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40"/>
          </w:cols>
          <w:pgMar w:left="240" w:top="459" w:right="3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 holder who does not exchange its old notes for new notes pursuant to the exchange offer will not recognize any gain or loss, for United States federal income tax purposes, upon consummation of the exchange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2011, all dealers effecting transactions in the new notes may be required to deliver a prospectus.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325"/>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325"/>
        <w:spacing w:after="0" w:line="259"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New York, New York.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and six months ended June 30, 2010 and 2009</w:t>
            </w: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940" w:type="dxa"/>
            <w:vAlign w:val="bottom"/>
            <w:gridSpan w:val="13"/>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6600" w:type="dxa"/>
            <w:vAlign w:val="bottom"/>
            <w:tcBorders>
              <w:bottom w:val="single" w:sz="8" w:color="0000EE"/>
            </w:tcBorders>
            <w:gridSpan w:val="9"/>
          </w:tcPr>
          <w:p>
            <w:pPr>
              <w:spacing w:after="0" w:line="184" w:lineRule="exact"/>
              <w:rPr>
                <w:rFonts w:ascii="Arial" w:cs="Arial" w:eastAsia="Arial" w:hAnsi="Arial"/>
                <w:sz w:val="18"/>
                <w:szCs w:val="18"/>
                <w:color w:val="0000EE"/>
                <w:w w:val="86"/>
              </w:rPr>
            </w:pPr>
            <w:hyperlink w:anchor="page196">
              <w:r>
                <w:rPr>
                  <w:rFonts w:ascii="Arial" w:cs="Arial" w:eastAsia="Arial" w:hAnsi="Arial"/>
                  <w:sz w:val="18"/>
                  <w:szCs w:val="18"/>
                  <w:color w:val="0000EE"/>
                  <w:w w:val="86"/>
                </w:rPr>
                <w:t>Condensed Consolidated Balance Sheets – June 30, 2010 (unaudited) and December 31, 2009</w:t>
              </w:r>
            </w:hyperlink>
          </w:p>
        </w:tc>
        <w:tc>
          <w:tcPr>
            <w:tcW w:w="3900" w:type="dxa"/>
            <w:vAlign w:val="bottom"/>
            <w:gridSpan w:val="3"/>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3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97">
              <w:r>
                <w:rPr>
                  <w:rFonts w:ascii="Arial" w:cs="Arial" w:eastAsia="Arial" w:hAnsi="Arial"/>
                  <w:sz w:val="18"/>
                  <w:szCs w:val="18"/>
                  <w:color w:val="0000EE"/>
                  <w:w w:val="87"/>
                </w:rPr>
                <w:t>Condensed Consolidated Statements of Operations (unaudited) – Three and six months ended June 30, 2010 and 2009</w:t>
              </w:r>
            </w:hyperlink>
          </w:p>
        </w:tc>
        <w:tc>
          <w:tcPr>
            <w:tcW w:w="21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4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98">
              <w:r>
                <w:rPr>
                  <w:rFonts w:ascii="Arial" w:cs="Arial" w:eastAsia="Arial" w:hAnsi="Arial"/>
                  <w:sz w:val="18"/>
                  <w:szCs w:val="18"/>
                  <w:color w:val="0000EE"/>
                  <w:w w:val="87"/>
                </w:rPr>
                <w:t>Condensed Consolidated Statements of Cash Flows (unaudited) – Three and six months ended June 30, 2010 and 2009</w:t>
              </w:r>
            </w:hyperlink>
          </w:p>
        </w:tc>
        <w:tc>
          <w:tcPr>
            <w:tcW w:w="21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9">
              <w:r>
                <w:rPr>
                  <w:rFonts w:ascii="Arial" w:cs="Arial" w:eastAsia="Arial" w:hAnsi="Arial"/>
                  <w:sz w:val="18"/>
                  <w:szCs w:val="18"/>
                  <w:color w:val="0000EE"/>
                  <w:w w:val="87"/>
                </w:rPr>
                <w:t>Notes to Condensed Consolidated Financial Statements (unaudited)</w:t>
              </w:r>
            </w:hyperlink>
          </w:p>
        </w:tc>
        <w:tc>
          <w:tcPr>
            <w:tcW w:w="57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940" w:type="dxa"/>
            <w:vAlign w:val="bottom"/>
            <w:gridSpan w:val="13"/>
          </w:tcPr>
          <w:p>
            <w:pPr>
              <w:spacing w:after="0"/>
              <w:rPr>
                <w:sz w:val="20"/>
                <w:szCs w:val="20"/>
                <w:color w:val="auto"/>
              </w:rPr>
            </w:pPr>
            <w:r>
              <w:rPr>
                <w:rFonts w:ascii="Arial" w:cs="Arial" w:eastAsia="Arial" w:hAnsi="Arial"/>
                <w:sz w:val="18"/>
                <w:szCs w:val="18"/>
                <w:b w:val="1"/>
                <w:bCs w:val="1"/>
                <w:color w:val="auto"/>
                <w:w w:val="90"/>
              </w:rPr>
              <w:t>Audited Consolidated Financial Statements at December 31, 2009 and 2008, and for each of the three years in the period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12"/>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Report of Independent Registered Public Accounting Firm</w:t>
              </w:r>
            </w:hyperlink>
          </w:p>
        </w:tc>
        <w:tc>
          <w:tcPr>
            <w:tcW w:w="6380" w:type="dxa"/>
            <w:vAlign w:val="bottom"/>
            <w:gridSpan w:val="5"/>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18">
              <w:r>
                <w:rPr>
                  <w:rFonts w:ascii="Arial" w:cs="Arial" w:eastAsia="Arial" w:hAnsi="Arial"/>
                  <w:sz w:val="18"/>
                  <w:szCs w:val="18"/>
                  <w:color w:val="0000EE"/>
                  <w:w w:val="85"/>
                </w:rPr>
                <w:t>Consolidated Balance Sheets</w:t>
              </w:r>
            </w:hyperlink>
          </w:p>
        </w:tc>
        <w:tc>
          <w:tcPr>
            <w:tcW w:w="84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Consolidated Statements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Consolidated Statements of Member’s Equity</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21">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3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2">
              <w:r>
                <w:rPr>
                  <w:rFonts w:ascii="Arial" w:cs="Arial" w:eastAsia="Arial" w:hAnsi="Arial"/>
                  <w:sz w:val="18"/>
                  <w:szCs w:val="18"/>
                  <w:color w:val="0000EE"/>
                  <w:w w:val="87"/>
                </w:rPr>
                <w:t>Notes to Consolidated Financial Statements</w:t>
              </w:r>
            </w:hyperlink>
          </w:p>
        </w:tc>
        <w:tc>
          <w:tcPr>
            <w:tcW w:w="74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249">
              <w:r>
                <w:rPr>
                  <w:rFonts w:ascii="Arial" w:cs="Arial" w:eastAsia="Arial" w:hAnsi="Arial"/>
                  <w:sz w:val="18"/>
                  <w:szCs w:val="18"/>
                  <w:color w:val="0000EE"/>
                  <w:w w:val="90"/>
                </w:rPr>
                <w:t>* Schedule II—Valuation and Qualifying Accounts</w:t>
              </w:r>
            </w:hyperlink>
          </w:p>
        </w:tc>
        <w:tc>
          <w:tcPr>
            <w:tcW w:w="6900" w:type="dxa"/>
            <w:vAlign w:val="bottom"/>
            <w:gridSpan w:val="6"/>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00" w:right="580" w:hanging="446"/>
        <w:spacing w:after="0" w:line="268"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3,778,961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4,138,885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206,358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2,590,756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2,551,520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2,897,793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2,868,771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1,918,124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(677,032)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1,241,092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4,138,885</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7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Casino</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$ 117,190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$124,343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256,700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$ 241,824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78,841</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81,454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156,436</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111,477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99,945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207,420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53,901</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50,486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105,528</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361,409</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356,228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726,084</w:t>
            </w:r>
          </w:p>
        </w:tc>
        <w:tc>
          <w:tcPr>
            <w:tcW w:w="5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702,060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(43,088)</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(43,269)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(89,156)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318,321</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312,959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636,928</w:t>
            </w:r>
          </w:p>
        </w:tc>
        <w:tc>
          <w:tcPr>
            <w:tcW w:w="5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Casino</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68,585</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60,704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145,412</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30,852</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26,658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61,450</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68,384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61,801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126,370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33,564</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33,554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69,451</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57,074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57,609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116,895</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2,642</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4,787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9,561</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1,590</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67,583</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78,425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146,509</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482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335,543</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321,305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688,635</w:t>
            </w:r>
          </w:p>
        </w:tc>
        <w:tc>
          <w:tcPr>
            <w:tcW w:w="5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671,211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(17,222)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(51,707)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89</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480" w:type="dxa"/>
            <w:vAlign w:val="bottom"/>
            <w:gridSpan w:val="3"/>
          </w:tcPr>
          <w:p>
            <w:pPr>
              <w:jc w:val="right"/>
              <w:ind w:right="392"/>
              <w:spacing w:after="0"/>
              <w:rPr>
                <w:sz w:val="20"/>
                <w:szCs w:val="20"/>
                <w:color w:val="auto"/>
              </w:rPr>
            </w:pPr>
            <w:r>
              <w:rPr>
                <w:rFonts w:ascii="Arial" w:cs="Arial" w:eastAsia="Arial" w:hAnsi="Arial"/>
                <w:sz w:val="18"/>
                <w:szCs w:val="18"/>
                <w:color w:val="auto"/>
              </w:rPr>
              <w:t>(46,208)</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(37,661)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(91,284)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2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(2,277)</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(4,555)</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2480" w:type="dxa"/>
            <w:vAlign w:val="bottom"/>
            <w:gridSpan w:val="3"/>
          </w:tcPr>
          <w:p>
            <w:pPr>
              <w:jc w:val="right"/>
              <w:ind w:right="392"/>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(3,152)</w:t>
            </w:r>
          </w:p>
        </w:tc>
        <w:tc>
          <w:tcPr>
            <w:tcW w:w="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392"/>
              <w:spacing w:after="0"/>
              <w:rPr>
                <w:sz w:val="20"/>
                <w:szCs w:val="20"/>
                <w:color w:val="auto"/>
              </w:rPr>
            </w:pPr>
            <w:r>
              <w:rPr>
                <w:rFonts w:ascii="Arial" w:cs="Arial" w:eastAsia="Arial" w:hAnsi="Arial"/>
                <w:sz w:val="18"/>
                <w:szCs w:val="18"/>
                <w:color w:val="auto"/>
              </w:rPr>
              <w:t>(51,525)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(37,837)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(98,732)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 (68,747)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 (46,183)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(150,439)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(141,647)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(150,439)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(141,647)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155,869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(67,812)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(84,053)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(172,269)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(77,357)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(165,039)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(289,040)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85,542</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328,451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(10,202)</w:t>
            </w: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114,751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(16,036)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(51,609)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50,318</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71,706</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2010 and December 31, 2009, approximately 67%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8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$ 10,028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$ 24,717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13,819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29,510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30,985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r>
      <w:tr>
        <w:trPr>
          <w:trHeight w:val="222"/>
        </w:trPr>
        <w:tc>
          <w:tcPr>
            <w:tcW w:w="656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$ 28,897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$ 26,395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$ 60,312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$ 60,607</w:t>
            </w: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$8.1 million and $8.8 million for the three months ended June 30, 2010 and 2009, respectively. For the six months ended June 30, 2010 and 2009, these taxes totaled approximately $17.8 million and $17.5 million, respectively.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June 30, 2010 and 2009, advertising costs totaled approximately $2.8 million and $3.5 million, respectively. For the six months ended June 30, 2010 and 2009, advertising costs totaled approximately $6.3 million and $10.5 million,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2010 and 2009, the Company recorded $6 million and $4.6 million, respectively, in share based compensation with a corresponding credit to contributed capital.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Interest paid for the six months ended June 30, 2010 and 2009 totaled approximately $84.4 million and $69.5 million, respectively. Interest capitalized for the six months ended June 30, 2010 totaled approximately $0.6 million. There was no interest capitalized during the six months ended June 30, 2009.</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six months ended June 30, 2010 and 2009, capital expenditures include a decrease of approximately $13.9 million and approximately $146.9 million, respectively, in construction payables and retention recorded through amounts due to affiliates.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460" w:right="2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4"/>
                <w:szCs w:val="14"/>
                <w:color w:val="auto"/>
              </w:rPr>
            </w:pPr>
          </w:p>
        </w:tc>
        <w:tc>
          <w:tcPr>
            <w:tcW w:w="152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58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$143,851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149,786</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Hotel</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17,022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171,085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178,266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0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(67,406)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100,154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110,860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24"/>
                <w:szCs w:val="24"/>
                <w:color w:val="auto"/>
              </w:rPr>
            </w:pPr>
          </w:p>
        </w:tc>
        <w:tc>
          <w:tcPr>
            <w:tcW w:w="152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706,658</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692,677</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2,597,623</w:t>
            </w:r>
          </w:p>
        </w:tc>
        <w:tc>
          <w:tcPr>
            <w:tcW w:w="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2,554,224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4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44,349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1,348,998</w:t>
            </w:r>
          </w:p>
        </w:tc>
        <w:tc>
          <w:tcPr>
            <w:tcW w:w="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1,325,677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5,710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4,703,338</w:t>
            </w:r>
          </w:p>
        </w:tc>
        <w:tc>
          <w:tcPr>
            <w:tcW w:w="60" w:type="dxa"/>
            <w:vAlign w:val="bottom"/>
          </w:tcPr>
          <w:p>
            <w:pPr>
              <w:spacing w:after="0"/>
              <w:rPr>
                <w:sz w:val="19"/>
                <w:szCs w:val="19"/>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4,640,805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(924,377)</w:t>
            </w:r>
          </w:p>
        </w:tc>
        <w:tc>
          <w:tcPr>
            <w:tcW w:w="140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(789,137)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3,778,961</w:t>
            </w:r>
          </w:p>
        </w:tc>
        <w:tc>
          <w:tcPr>
            <w:tcW w:w="60" w:type="dxa"/>
            <w:vAlign w:val="bottom"/>
          </w:tcPr>
          <w:p>
            <w:pPr>
              <w:spacing w:after="0"/>
              <w:rPr>
                <w:sz w:val="19"/>
                <w:szCs w:val="19"/>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$ 3,851,668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6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24"/>
                <w:szCs w:val="24"/>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46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5"/>
              </w:rPr>
              <w:t xml:space="preserve">6 </w:t>
            </w:r>
            <w:r>
              <w:rPr>
                <w:rFonts w:ascii="Arial" w:cs="Arial" w:eastAsia="Arial" w:hAnsi="Arial"/>
                <w:sz w:val="11"/>
                <w:szCs w:val="11"/>
                <w:color w:val="auto"/>
                <w:w w:val="95"/>
              </w:rPr>
              <w:t>5</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xml:space="preserve"> % First Mortgage Notes, due December 1, 2014, net of original issue discount of $4,982 at June 30, 2010 and $8,214 at</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2009</w:t>
            </w:r>
          </w:p>
        </w:tc>
        <w:tc>
          <w:tcPr>
            <w:tcW w:w="208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$1,277,238</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460" w:type="dxa"/>
            <w:vAlign w:val="bottom"/>
            <w:gridSpan w:val="8"/>
          </w:tcPr>
          <w:p>
            <w:pPr>
              <w:spacing w:after="0"/>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xml:space="preserve"> % First Mortgage Notes, due November 1, 2017, net of original issue discount of $10,196 at June 30, 2010 and $10,529</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220"/>
              <w:spacing w:after="0"/>
              <w:rPr>
                <w:sz w:val="20"/>
                <w:szCs w:val="20"/>
                <w:color w:val="auto"/>
              </w:rPr>
            </w:pPr>
            <w:r>
              <w:rPr>
                <w:rFonts w:ascii="Arial" w:cs="Arial" w:eastAsia="Arial" w:hAnsi="Arial"/>
                <w:sz w:val="18"/>
                <w:szCs w:val="18"/>
                <w:color w:val="auto"/>
              </w:rPr>
              <w:t>at December 31, 2009</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489,804</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xml:space="preserve"> % First Mortgage Notes, due May 1, 2020, net of original issue discount of $2,576 at June 30, 2010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349,434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291,664</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LIBOR plus 1.875%</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37,450</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2080" w:type="dxa"/>
            <w:vAlign w:val="bottom"/>
            <w:gridSpan w:val="9"/>
          </w:tcPr>
          <w:p>
            <w:pPr>
              <w:jc w:val="right"/>
              <w:spacing w:after="0"/>
              <w:rPr>
                <w:sz w:val="20"/>
                <w:szCs w:val="20"/>
                <w:color w:val="auto"/>
              </w:rPr>
            </w:pPr>
            <w:r>
              <w:rPr>
                <w:rFonts w:ascii="Arial" w:cs="Arial" w:eastAsia="Arial" w:hAnsi="Arial"/>
                <w:sz w:val="18"/>
                <w:szCs w:val="18"/>
                <w:color w:val="auto"/>
              </w:rPr>
              <w:t>2,591,806</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2,552,570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280" w:type="dxa"/>
            <w:vAlign w:val="bottom"/>
            <w:gridSpan w:val="3"/>
          </w:tcPr>
          <w:p>
            <w:pPr>
              <w:spacing w:after="0"/>
              <w:rPr>
                <w:sz w:val="19"/>
                <w:szCs w:val="19"/>
                <w:color w:val="auto"/>
              </w:rPr>
            </w:pPr>
          </w:p>
        </w:tc>
        <w:tc>
          <w:tcPr>
            <w:tcW w:w="8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2,590,756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2,551,520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80" w:type="dxa"/>
            <w:vAlign w:val="bottom"/>
            <w:vMerge w:val="restart"/>
          </w:tcPr>
          <w:p>
            <w:pPr>
              <w:ind w:left="5020"/>
              <w:spacing w:after="0"/>
              <w:rPr>
                <w:sz w:val="20"/>
                <w:szCs w:val="20"/>
                <w:color w:val="auto"/>
              </w:rPr>
            </w:pPr>
            <w:r>
              <w:rPr>
                <w:rFonts w:ascii="Arial" w:cs="Arial" w:eastAsia="Arial" w:hAnsi="Arial"/>
                <w:sz w:val="18"/>
                <w:szCs w:val="18"/>
                <w:color w:val="auto"/>
              </w:rPr>
              <w:t>F-8</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7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and are included in payable to affiliate in the table above. The exchange offer closed on April 28, 2010.</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 The direct costs of the exchange offer incurred with third parties of $3.2 million were expensed.</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During the six months ended June 30, 2009, Wynn Resorts purchased $65.8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$65.8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2010,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net book value of the 2014 Notes, the 2017 Notes and the 2020 Notes at June 30, 2010 and December 31, 2009, was approximately $ 2.2 billion. The estimated fair value of the First Mortgage Notes based upon most recent trades at June 30, 2010 and December 31, 2009, was approximately $2.2 billion. The net book value of the Company’s other debt instruments was $410 million and $371 million at June 30, 2010 and December 31, 2009, respectively. The approximate fair value of such debt was approximately $396 million and $351 million at June 30, 2010 and December 31, 2009,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June 30, 2010 and December 31, 2009, the fair value of this interest rate swap was a liability of $ 8.8 million and $4.2 million, respectively.</w:t>
      </w:r>
    </w:p>
    <w:p>
      <w:pPr>
        <w:spacing w:after="0" w:line="96" w:lineRule="exact"/>
        <w:rPr>
          <w:sz w:val="20"/>
          <w:szCs w:val="20"/>
          <w:color w:val="auto"/>
        </w:rPr>
      </w:pPr>
    </w:p>
    <w:p>
      <w:pPr>
        <w:ind w:left="240" w:right="8860" w:hanging="232"/>
        <w:spacing w:after="0" w:line="398" w:lineRule="auto"/>
        <w:tabs>
          <w:tab w:leader="none" w:pos="187" w:val="left"/>
        </w:tabs>
        <w:numPr>
          <w:ilvl w:val="0"/>
          <w:numId w:val="2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2010, the Company’s current Due to affiliates was primarily comprised of construction payables of approximately $6.1 million, construction retention of approximately $3.2 million and other net amounts due to affiliates totaling $17.6 million (including corporate allocations discussed below). The long-term Due to affiliates is management fees of approximately $91.9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from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six months ended June 30, 2010 and 2009, approximately $12 million and $10.5 million, respectively, were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June 30, 2010, and December 31, 2009, Wynn Resorts owed Mr. Wynn and the other officers and directors approximately $367,238 and $789,095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months ended June 30, 2010 and 2009 were $0.5 million and a net gain of $6.6 million, respectively. Property charges and other for the three months ended June 30, 2010, related to miscellaneous renovations and abandonments at Wynn Las Vegas and Encore. Property charges and other for the three months ended June 30, 2009, include the return of $8.1 million of aircraft deposits written off in the first quarter of 2009. On February 19, 2009, the Company cancelled an agreement to purchase an aircraft. The deposit was refundable to the extent another buyer was found. Due to the uncertainty as to the recoverability of this deposit, the Company wrote off the deposit in the first quarter of 2009. In the second quarter of 2009 another buyer was found and the Company recovered a portion of the original deposit. The remaining property charges for the three months ended June 30, 2009 were related to miscellaneous renovations and abandonments at Wynn Las Vegas and Encore.</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Property charges and other for the six months ended June 30, 2010 and 2009 were $1.7 million and $7.3 million respectively. Property charges and other for the six months ended June 30, 2010 were for miscellaneous renovations and abandonments at Wynn Las Vegas and Encore. Property charges and other for the six months ended June 30, 2009, include the net write-off of $5.3 million of an aircraft purchase deposit noted above. The remaining property charges for the six months ended June 30, 2009 were related to miscellaneous renovations and abandonments at Wynn Las Vegas and Encore.</w:t>
      </w:r>
    </w:p>
    <w:p>
      <w:pPr>
        <w:spacing w:after="0" w:line="93" w:lineRule="exact"/>
        <w:rPr>
          <w:sz w:val="20"/>
          <w:szCs w:val="20"/>
          <w:color w:val="auto"/>
        </w:rPr>
      </w:pPr>
    </w:p>
    <w:p>
      <w:pPr>
        <w:ind w:right="8660" w:firstLine="8"/>
        <w:spacing w:after="0" w:line="332" w:lineRule="auto"/>
        <w:tabs>
          <w:tab w:leader="none" w:pos="263"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June 30, 2010.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June 30, 2010, the Company had not recorded a receivable related to this matter.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August 4, 2010, the Issuers issued a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U.S. in accordance with Rule 144A and Regulation S, respectively, under the Securities Act of 1933. The Company plans to use the net proceeds of the offering along with the proceeds of a capital contribution from Wynn Resorts, Limited to purchase, and, as applicable, make consent payments for, any and all of the Issuers’ 2014 Notes that are validly tendered and accepted for payment pursuant to Wynn Las Vegas, LLC’s concurrent offer to purchase and consent solicitation with respect to the 2014 Notes and to redeem any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in the amount of $30.00 for each $1,000 principal amount of 2014 Notes. The consent solicitation expired on August 3, 2010 and the tender offer expires August 18, 2010.</w:t>
      </w:r>
    </w:p>
    <w:p>
      <w:pPr>
        <w:spacing w:after="0" w:line="10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On August 4, 2010, the Trustee, at the request of the Issuers, gave notice of redemption of any and all of the outstanding 2014 Notes. The redemption price shall be equal to 103.313% of the aggregate principal amount of the 2014 Notes redeemed plus accrued and unpaid interest thereon to September 3, 2010.</w:t>
      </w:r>
    </w:p>
    <w:p>
      <w:pPr>
        <w:spacing w:after="0" w:line="4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New 2020 Notes rank pari passu in right of payment with borrowings under the Company’s credit facilities, the 2014 Notes, the 2017 Notes and existing 2020 Notes. The New 2020 Notes are senior secured obligations of the Issuers, guaranteed by certain of Wynn Las Vegas, LLC’s subsidiaries and are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the Company, all of which is the same collateral that secures borrowings under the credit facilities, the 2014 Notes, the 2017 Notes and the existing 2020 Notes.</w:t>
      </w:r>
    </w:p>
    <w:p>
      <w:pPr>
        <w:spacing w:after="0" w:line="10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New 2020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2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Concurrently with the issuance of the New 2020 Notes, the Company entered into a seventh amendment dated August 4, 2010, to the Wynn Las Vegas Amended and Restated Credit Agreement. After giving effect to this amendment, the maturity date with respect to a portion on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Consolidating Financial Information of Guarantors and Issuers</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2010 and December 31, 2009, and for the six months ended June 30, 2010 and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60" w:right="3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50,312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100,154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74,430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244,323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3,583,173</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195,788</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3,778,961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41,650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56,267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3,915,032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205,772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4,138,885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29,232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19,706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43,458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9,812</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56,947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(158,357)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18,905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195,334</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206,358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2,554,356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91,900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2,673,940</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231,734</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1,918,124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1,918,124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(677,032)</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(38,492)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30,606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(677,032)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1,241,092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(25,962)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3,915,032</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205,772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4,138,885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F-15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3,653,786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197,882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101,340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(163,895)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193,256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42,872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195,697</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230,688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2,514,420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82,339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2,643,855</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232,797</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2,868,771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1,912,146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$ 117,190</w:t>
            </w:r>
          </w:p>
        </w:tc>
        <w:tc>
          <w:tcPr>
            <w:tcW w:w="32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$ 117,190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111,477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361,427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361,409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318,339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318,321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rPr>
              <w:t>68,585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68,384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57,475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4,787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66,561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334,917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649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335,543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330"/>
        </w:trPr>
        <w:tc>
          <w:tcPr>
            <w:tcW w:w="5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(46,053)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(52,169)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(51,525)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(68,747)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F-17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$124,343</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99,945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356,050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356,228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(43,269)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312,781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312,959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60,704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61,801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58,063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4,703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77,238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328,660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(7,533)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321,305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(15,879)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330"/>
        </w:trPr>
        <w:tc>
          <w:tcPr>
            <w:tcW w:w="48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(37,387)</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(30,304)</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(46,183)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(46,183)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8"/>
                <w:szCs w:val="18"/>
                <w:color w:val="auto"/>
              </w:rPr>
              <w:t>F-18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Casino</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$ 256,700</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$ 256,700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40" w:type="dxa"/>
            <w:vAlign w:val="bottom"/>
          </w:tcPr>
          <w:p>
            <w:pPr>
              <w:jc w:val="right"/>
              <w:spacing w:after="0"/>
              <w:rPr>
                <w:sz w:val="20"/>
                <w:szCs w:val="20"/>
                <w:color w:val="auto"/>
              </w:rPr>
            </w:pPr>
            <w:r>
              <w:rPr>
                <w:rFonts w:ascii="Arial" w:cs="Arial" w:eastAsia="Arial" w:hAnsi="Arial"/>
                <w:sz w:val="18"/>
                <w:szCs w:val="18"/>
                <w:color w:val="auto"/>
              </w:rPr>
              <w:t>207,420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726,121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726,084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(89,156)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636,965</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636,928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Casino</w:t>
            </w:r>
          </w:p>
        </w:tc>
        <w:tc>
          <w:tcPr>
            <w:tcW w:w="740" w:type="dxa"/>
            <w:vAlign w:val="bottom"/>
          </w:tcPr>
          <w:p>
            <w:pPr>
              <w:jc w:val="right"/>
              <w:spacing w:after="0"/>
              <w:rPr>
                <w:sz w:val="20"/>
                <w:szCs w:val="20"/>
                <w:color w:val="auto"/>
              </w:rPr>
            </w:pPr>
            <w:r>
              <w:rPr>
                <w:rFonts w:ascii="Arial" w:cs="Arial" w:eastAsia="Arial" w:hAnsi="Arial"/>
                <w:sz w:val="18"/>
                <w:szCs w:val="18"/>
                <w:color w:val="auto"/>
              </w:rPr>
              <w:t>145,412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40" w:type="dxa"/>
            <w:vAlign w:val="bottom"/>
          </w:tcPr>
          <w:p>
            <w:pPr>
              <w:jc w:val="right"/>
              <w:spacing w:after="0"/>
              <w:rPr>
                <w:sz w:val="20"/>
                <w:szCs w:val="20"/>
                <w:color w:val="auto"/>
              </w:rPr>
            </w:pPr>
            <w:r>
              <w:rPr>
                <w:rFonts w:ascii="Arial" w:cs="Arial" w:eastAsia="Arial" w:hAnsi="Arial"/>
                <w:sz w:val="18"/>
                <w:szCs w:val="18"/>
                <w:color w:val="auto"/>
              </w:rPr>
              <w:t>126,370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jc w:val="right"/>
              <w:spacing w:after="0"/>
              <w:rPr>
                <w:sz w:val="20"/>
                <w:szCs w:val="20"/>
                <w:color w:val="auto"/>
              </w:rPr>
            </w:pPr>
            <w:r>
              <w:rPr>
                <w:rFonts w:ascii="Arial" w:cs="Arial" w:eastAsia="Arial" w:hAnsi="Arial"/>
                <w:sz w:val="18"/>
                <w:szCs w:val="18"/>
                <w:color w:val="auto"/>
              </w:rPr>
              <w:t>117,744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40" w:type="dxa"/>
            <w:vAlign w:val="bottom"/>
          </w:tcPr>
          <w:p>
            <w:pPr>
              <w:jc w:val="right"/>
              <w:spacing w:after="0"/>
              <w:rPr>
                <w:sz w:val="20"/>
                <w:szCs w:val="20"/>
                <w:color w:val="auto"/>
              </w:rPr>
            </w:pPr>
            <w:r>
              <w:rPr>
                <w:rFonts w:ascii="Arial" w:cs="Arial" w:eastAsia="Arial" w:hAnsi="Arial"/>
                <w:sz w:val="18"/>
                <w:szCs w:val="18"/>
                <w:color w:val="auto"/>
              </w:rPr>
              <w:t>9,561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144,340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687,273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688,635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(50,308)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(51,707)</w:t>
            </w:r>
          </w:p>
        </w:tc>
        <w:tc>
          <w:tcPr>
            <w:tcW w:w="0" w:type="dxa"/>
            <w:vAlign w:val="bottom"/>
          </w:tcPr>
          <w:p>
            <w:pPr>
              <w:spacing w:after="0"/>
              <w:rPr>
                <w:sz w:val="1"/>
                <w:szCs w:val="1"/>
                <w:color w:val="auto"/>
              </w:rPr>
            </w:pPr>
          </w:p>
        </w:tc>
      </w:tr>
      <w:tr>
        <w:trPr>
          <w:trHeight w:val="330"/>
        </w:trPr>
        <w:tc>
          <w:tcPr>
            <w:tcW w:w="5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(90,969)</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(4,555)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(3,152)</w:t>
            </w: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(100,131)</w:t>
            </w: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1,626</w:t>
            </w:r>
          </w:p>
        </w:tc>
        <w:tc>
          <w:tcPr>
            <w:tcW w:w="3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(150,439)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80" w:type="dxa"/>
            <w:vAlign w:val="bottom"/>
            <w:gridSpan w:val="2"/>
          </w:tcPr>
          <w:p>
            <w:pPr>
              <w:jc w:val="right"/>
              <w:ind w:right="860"/>
              <w:spacing w:after="0"/>
              <w:rPr>
                <w:sz w:val="20"/>
                <w:szCs w:val="20"/>
                <w:color w:val="auto"/>
              </w:rPr>
            </w:pPr>
            <w:r>
              <w:rPr>
                <w:rFonts w:ascii="Arial" w:cs="Arial" w:eastAsia="Arial" w:hAnsi="Arial"/>
                <w:sz w:val="18"/>
                <w:szCs w:val="18"/>
                <w:color w:val="auto"/>
              </w:rPr>
              <w:t>F-19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Eliminating</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$ 241,824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$ 241,824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166,543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196,854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196,854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701,631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702,060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604,052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604,481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136,688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118,942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63,007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123,190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9,057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153,498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664,497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671,211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330"/>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(73,935)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(81,202)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F-20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(150,439)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(150,439)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144,340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8,374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9,282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4,555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(29,505)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280"/>
              <w:spacing w:after="0"/>
              <w:rPr>
                <w:sz w:val="20"/>
                <w:szCs w:val="20"/>
                <w:color w:val="auto"/>
              </w:rPr>
            </w:pPr>
            <w:r>
              <w:rPr>
                <w:rFonts w:ascii="Arial" w:cs="Arial" w:eastAsia="Arial" w:hAnsi="Arial"/>
                <w:sz w:val="18"/>
                <w:szCs w:val="18"/>
                <w:color w:val="auto"/>
                <w:w w:val="97"/>
              </w:rPr>
              <w:t>Net cash provided by (used in) operating activities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27,063</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(83,978)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7,525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80"/>
              <w:spacing w:after="0"/>
              <w:rPr>
                <w:sz w:val="20"/>
                <w:szCs w:val="20"/>
                <w:color w:val="auto"/>
              </w:rPr>
            </w:pPr>
            <w:r>
              <w:rPr>
                <w:rFonts w:ascii="Arial" w:cs="Arial" w:eastAsia="Arial" w:hAnsi="Arial"/>
                <w:sz w:val="18"/>
                <w:szCs w:val="18"/>
                <w:color w:val="auto"/>
                <w:w w:val="98"/>
              </w:rPr>
              <w:t>Net cash provided by (used in) investing activities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(80,204)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(77,357)</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351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F-21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Non-guarantor</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6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(141,647)</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(7,281)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7,281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(141,647)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153,498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11,560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7,281</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(67,668)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280"/>
              <w:spacing w:after="0"/>
              <w:rPr>
                <w:sz w:val="20"/>
                <w:szCs w:val="20"/>
                <w:color w:val="auto"/>
              </w:rPr>
            </w:pPr>
            <w:r>
              <w:rPr>
                <w:rFonts w:ascii="Arial" w:cs="Arial" w:eastAsia="Arial" w:hAnsi="Arial"/>
                <w:sz w:val="18"/>
                <w:szCs w:val="18"/>
                <w:color w:val="auto"/>
                <w:w w:val="97"/>
              </w:rPr>
              <w:t>Net cash provided by (used in) operating activities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(172,151)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(167,770)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(165,039)</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(288,340)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85,542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328,451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115,451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114,751</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71,712</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F-22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F-34.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80"/>
          </w:cols>
          <w:pgMar w:left="240" w:top="460" w:right="3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Accrued interest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deposits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Interest rate swap</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1,912,146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1,474,286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(526,593)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30"/>
        </w:trPr>
        <w:tc>
          <w:tcPr>
            <w:tcW w:w="7660" w:type="dxa"/>
            <w:vAlign w:val="bottom"/>
          </w:tcPr>
          <w:p>
            <w:pPr>
              <w:ind w:left="88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1,385,553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1,257,563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Casino</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30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479,711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1,416,102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1,256,050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1,448,569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(185,982)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1,230,120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1,099,891</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1,295,851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1,374,399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1,158,507</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(144,279)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(157,228)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(165,591)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(309,870)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124,219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1,375,020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Parent company stock-based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Wynn Resorts, Ltd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1,257,563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Parent company stock-based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8,370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Wynn Resorts, Ltd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1,385,553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(309,870)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(129,794)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124,219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152,839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(38,706)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23"/>
        </w:trPr>
        <w:tc>
          <w:tcPr>
            <w:tcW w:w="790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315,714</w:t>
            </w: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(245,040)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(1,129,525)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166,465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(35,061)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affliates,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(249,188)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(1,032,451)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(929,909)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649,481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879,484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585,460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412,951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(20,698)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111,825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299,008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52,701</w:t>
            </w:r>
          </w:p>
        </w:tc>
        <w:tc>
          <w:tcPr>
            <w:tcW w:w="0" w:type="dxa"/>
            <w:vAlign w:val="bottom"/>
          </w:tcPr>
          <w:p>
            <w:pPr>
              <w:spacing w:after="0"/>
              <w:rPr>
                <w:sz w:val="1"/>
                <w:szCs w:val="1"/>
                <w:color w:val="auto"/>
              </w:rPr>
            </w:pP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146,521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138,787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110,298</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(183,842)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78,308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22"/>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6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$ 27,292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$ 24,816</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53,006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53,742</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w:t>
            </w:r>
          </w:p>
        </w:tc>
      </w:tr>
      <w:tr>
        <w:trPr>
          <w:trHeight w:val="222"/>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Total</w:t>
            </w:r>
          </w:p>
        </w:tc>
        <w:tc>
          <w:tcPr>
            <w:tcW w:w="3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$ 90,325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$ 88,259</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gridSpan w:val="2"/>
          </w:tcPr>
          <w:p>
            <w:pPr>
              <w:jc w:val="right"/>
              <w:ind w:right="1740"/>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$17.3 million, $27.1 million including $11.1 million of pre-opening related to Encore and $21.4 million, respectively, for the years ended December 31, 2009, 2008 and 2007.</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$149,786</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$142,515</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Hotel</w:t>
            </w: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spacing w:after="0"/>
              <w:rPr>
                <w:sz w:val="19"/>
                <w:szCs w:val="19"/>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178,266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163,696</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(67,406)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tcPr>
          <w:p>
            <w:pPr>
              <w:spacing w:after="0"/>
              <w:rPr>
                <w:sz w:val="19"/>
                <w:szCs w:val="19"/>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$ 110,860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240" w:type="dxa"/>
            <w:vAlign w:val="bottom"/>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8"/>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8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2,554,224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2,557,489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1,325,677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1,301,182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4,640,805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4,602,978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(789,137)</w:t>
            </w:r>
          </w:p>
        </w:tc>
        <w:tc>
          <w:tcPr>
            <w:tcW w:w="1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3,851,668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4,108,953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w w:val="87"/>
              </w:rPr>
              <w:t>Rights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December 31, 2009</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2"/>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7,076</w:t>
            </w: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6,400</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5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$ 21,878</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Base stock</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28,321</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24,020</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Golf memberships</w:t>
            </w:r>
          </w:p>
        </w:tc>
        <w:tc>
          <w:tcPr>
            <w:tcW w:w="50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$ 77,969</w:t>
            </w:r>
          </w:p>
        </w:tc>
      </w:tr>
      <w:tr>
        <w:trPr>
          <w:trHeight w:val="20"/>
        </w:trPr>
        <w:tc>
          <w:tcPr>
            <w:tcW w:w="3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5660" w:type="dxa"/>
            <w:vAlign w:val="bottom"/>
            <w:gridSpan w:val="2"/>
          </w:tcPr>
          <w:p>
            <w:pPr>
              <w:jc w:val="right"/>
              <w:ind w:right="3866"/>
              <w:spacing w:after="0"/>
              <w:rPr>
                <w:sz w:val="20"/>
                <w:szCs w:val="20"/>
                <w:color w:val="auto"/>
              </w:rPr>
            </w:pPr>
            <w:r>
              <w:rPr>
                <w:rFonts w:ascii="Arial" w:cs="Arial" w:eastAsia="Arial" w:hAnsi="Arial"/>
                <w:sz w:val="18"/>
                <w:szCs w:val="18"/>
                <w:color w:val="auto"/>
              </w:rPr>
              <w:t>F-33</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5"/>
              </w:rPr>
              <w:t xml:space="preserve">6 </w:t>
            </w:r>
            <w:r>
              <w:rPr>
                <w:rFonts w:ascii="Arial" w:cs="Arial" w:eastAsia="Arial" w:hAnsi="Arial"/>
                <w:sz w:val="11"/>
                <w:szCs w:val="11"/>
                <w:color w:val="auto"/>
                <w:w w:val="95"/>
              </w:rPr>
              <w:t>5</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xml:space="preserve"> % First Mortgage Notes, due December 1, 2014, net of original issue discount of $8,214 and $9,561, respectively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$1,626,016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$ 1,690,439</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xml:space="preserve"> % First Mortgage Notes, due November 1, 2017, net of original issue discount of $10,529 at December 31, 2009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489,471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4"/>
              </w:rPr>
              <w:t>Revolving Credit Facility; due July 15, 2013; interest at LIBOR plus 3.0% and 1.625% (approximately 3.24% and 2.2%),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120" w:type="dxa"/>
            <w:vAlign w:val="bottom"/>
            <w:shd w:val="clear" w:color="auto" w:fill="CCEEFF"/>
          </w:tcPr>
          <w:p>
            <w:pPr>
              <w:spacing w:after="0"/>
              <w:rPr>
                <w:sz w:val="19"/>
                <w:szCs w:val="19"/>
                <w:color w:val="auto"/>
              </w:rPr>
            </w:pPr>
          </w:p>
        </w:tc>
      </w:tr>
      <w:tr>
        <w:trPr>
          <w:trHeight w:val="208"/>
        </w:trPr>
        <w:tc>
          <w:tcPr>
            <w:tcW w:w="9020" w:type="dxa"/>
            <w:vAlign w:val="bottom"/>
          </w:tcPr>
          <w:p>
            <w:pPr>
              <w:spacing w:after="0"/>
              <w:rPr>
                <w:sz w:val="20"/>
                <w:szCs w:val="20"/>
                <w:color w:val="auto"/>
              </w:rPr>
            </w:pPr>
            <w:r>
              <w:rPr>
                <w:rFonts w:ascii="Arial" w:cs="Arial" w:eastAsia="Arial" w:hAnsi="Arial"/>
                <w:sz w:val="18"/>
                <w:szCs w:val="18"/>
                <w:color w:val="auto"/>
                <w:w w:val="91"/>
              </w:rPr>
              <w:t>Term Loan Facility; $40.2 million due September 30, 2012 with the remaining $40.2 million due August 15, 2013; interest at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020" w:type="dxa"/>
            <w:vAlign w:val="bottom"/>
          </w:tcPr>
          <w:p>
            <w:pPr>
              <w:ind w:left="220"/>
              <w:spacing w:after="0"/>
              <w:rPr>
                <w:sz w:val="20"/>
                <w:szCs w:val="20"/>
                <w:color w:val="auto"/>
              </w:rPr>
            </w:pPr>
            <w:r>
              <w:rPr>
                <w:rFonts w:ascii="Arial" w:cs="Arial" w:eastAsia="Arial" w:hAnsi="Arial"/>
                <w:sz w:val="18"/>
                <w:szCs w:val="18"/>
                <w:color w:val="auto"/>
              </w:rPr>
              <w:t>LIBOR plus 1.875% (approximately 2.12% and 3.1%, respectively)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9"/>
                <w:szCs w:val="19"/>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4"/>
              </w:rPr>
              <w:t>$42 million Note Payable; due April 1, 2017; interest at LIBOR plus 1.25% (approximately 1.8% and, 3.0% respectively)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Payable to Affiliate</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2,834,473</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r>
      <w:tr>
        <w:trPr>
          <w:trHeight w:val="216"/>
        </w:trPr>
        <w:tc>
          <w:tcPr>
            <w:tcW w:w="9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2,551,520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2,833,423</w:t>
            </w:r>
          </w:p>
        </w:tc>
        <w:tc>
          <w:tcPr>
            <w:tcW w:w="12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20" w:firstLine="8"/>
        <w:spacing w:after="0" w:line="323" w:lineRule="auto"/>
        <w:tabs>
          <w:tab w:leader="none" w:pos="24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40"/>
          </w:cols>
          <w:pgMar w:left="240" w:top="460" w:right="3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6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2011</w:t>
            </w: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294,339</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1,701,400</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Thereafter</w:t>
            </w:r>
          </w:p>
        </w:tc>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531,500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2,571,312</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net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7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22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1,484,466</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Granted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920,000</w:t>
            </w:r>
          </w:p>
        </w:tc>
        <w:tc>
          <w:tcPr>
            <w:tcW w:w="32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Canceled</w:t>
            </w:r>
          </w:p>
        </w:tc>
        <w:tc>
          <w:tcPr>
            <w:tcW w:w="2600" w:type="dxa"/>
            <w:vAlign w:val="bottom"/>
            <w:gridSpan w:val="3"/>
          </w:tcPr>
          <w:p>
            <w:pPr>
              <w:jc w:val="right"/>
              <w:ind w:right="260"/>
              <w:spacing w:after="0"/>
              <w:rPr>
                <w:sz w:val="20"/>
                <w:szCs w:val="20"/>
                <w:color w:val="auto"/>
              </w:rPr>
            </w:pPr>
            <w:r>
              <w:rPr>
                <w:rFonts w:ascii="Arial" w:cs="Arial" w:eastAsia="Arial" w:hAnsi="Arial"/>
                <w:sz w:val="18"/>
                <w:szCs w:val="18"/>
                <w:color w:val="auto"/>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 of employees from affiliate</w:t>
            </w:r>
          </w:p>
        </w:tc>
        <w:tc>
          <w:tcPr>
            <w:tcW w:w="15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128,375</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2,174,592</w:t>
            </w:r>
          </w:p>
        </w:tc>
        <w:tc>
          <w:tcPr>
            <w:tcW w:w="32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13,989,061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15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2,022,615</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Exercisable at December 31, 2009</w:t>
            </w:r>
          </w:p>
        </w:tc>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5,466,946</w:t>
            </w: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683,168</w:t>
            </w:r>
          </w:p>
        </w:tc>
        <w:tc>
          <w:tcPr>
            <w:tcW w:w="3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6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60" w:type="dxa"/>
            <w:vAlign w:val="bottom"/>
            <w:gridSpan w:val="3"/>
          </w:tcPr>
          <w:p>
            <w:pPr>
              <w:jc w:val="right"/>
              <w:ind w:right="3640"/>
              <w:spacing w:after="0"/>
              <w:rPr>
                <w:sz w:val="20"/>
                <w:szCs w:val="20"/>
                <w:color w:val="auto"/>
              </w:rPr>
            </w:pPr>
            <w:r>
              <w:rPr>
                <w:rFonts w:ascii="Arial" w:cs="Arial" w:eastAsia="Arial" w:hAnsi="Arial"/>
                <w:sz w:val="18"/>
                <w:szCs w:val="18"/>
                <w:color w:val="auto"/>
              </w:rPr>
              <w:t>F-42</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342"/>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8,031</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40" w:right="8660" w:hanging="232"/>
        <w:spacing w:after="0" w:line="373" w:lineRule="auto"/>
        <w:tabs>
          <w:tab w:leader="none" w:pos="275" w:val="left"/>
        </w:tabs>
        <w:numPr>
          <w:ilvl w:val="0"/>
          <w:numId w:val="2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6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2011</w:t>
            </w: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Thereafter</w:t>
            </w:r>
          </w:p>
        </w:tc>
        <w:tc>
          <w:tcPr>
            <w:tcW w:w="6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40" w:type="dxa"/>
            <w:vAlign w:val="bottom"/>
            <w:gridSpan w:val="2"/>
          </w:tcPr>
          <w:p>
            <w:pPr>
              <w:jc w:val="right"/>
              <w:ind w:right="3920"/>
              <w:spacing w:after="0"/>
              <w:rPr>
                <w:sz w:val="20"/>
                <w:szCs w:val="20"/>
                <w:color w:val="auto"/>
              </w:rPr>
            </w:pPr>
            <w:r>
              <w:rPr>
                <w:rFonts w:ascii="Arial" w:cs="Arial" w:eastAsia="Arial" w:hAnsi="Arial"/>
                <w:sz w:val="18"/>
                <w:szCs w:val="18"/>
                <w:color w:val="auto"/>
              </w:rPr>
              <w:t>F-43</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2011</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1,683</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Thereafter</w:t>
            </w:r>
          </w:p>
        </w:tc>
        <w:tc>
          <w:tcPr>
            <w:tcW w:w="69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8,348</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60" w:right="2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110,860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80,861</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283,262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3,653,786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197,882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3,851,668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23,264</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23,309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101,340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(163,895)</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193,256</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195,697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230,688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2,514,420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37,100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2,551,520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82,339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2,643,855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232,797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2,868,771</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1,912,146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1,912,146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(526,593)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1,385,553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1,385,553</w:t>
            </w: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F-46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Issuers</w:t>
            </w:r>
          </w:p>
        </w:tc>
        <w:tc>
          <w:tcPr>
            <w:tcW w:w="2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123,315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3,906,460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37,462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24,571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201,003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2,794,923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3,092,692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241,897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1,474,286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(216,723)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19,816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1,257,563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F-47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1,415,600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1,416,102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1,229,618</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4,747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1,366,105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1,374,399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64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8"/>
                <w:szCs w:val="18"/>
                <w:color w:val="auto"/>
              </w:rPr>
              <w:t>F-48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Issuers</w:t>
            </w:r>
          </w:p>
        </w:tc>
        <w:tc>
          <w:tcPr>
            <w:tcW w:w="2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479,711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1,256,316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1,256,050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(156,159)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1,100,157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1,154,975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3,793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1,158,507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(54,818)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0"/>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(73,652)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(5,113)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266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(74,976)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(129,794)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617</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F-49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Issuers</w:t>
            </w:r>
          </w:p>
        </w:tc>
        <w:tc>
          <w:tcPr>
            <w:tcW w:w="2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1,449,365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1,448,569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(152,718)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1,296,647</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1,092,910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1,096,026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(83,249)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(79,518)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F-50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Non-guarantor</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Subsidiaries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(loss)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(9,164)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(309,870)</w:t>
            </w:r>
          </w:p>
        </w:tc>
      </w:tr>
      <w:tr>
        <w:trPr>
          <w:trHeight w:val="20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income to net cash provided by (used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operating activities: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309,012</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313,759</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3,779</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and writeoff of deferred financing costs and other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19,624</w:t>
            </w:r>
          </w:p>
        </w:tc>
      </w:tr>
      <w:tr>
        <w:trPr>
          <w:trHeight w:val="208"/>
        </w:trPr>
        <w:tc>
          <w:tcPr>
            <w:tcW w:w="5340" w:type="dxa"/>
            <w:vAlign w:val="bottom"/>
          </w:tcPr>
          <w:p>
            <w:pPr>
              <w:ind w:left="220"/>
              <w:spacing w:after="0"/>
              <w:rPr>
                <w:sz w:val="20"/>
                <w:szCs w:val="20"/>
                <w:color w:val="auto"/>
              </w:rPr>
            </w:pPr>
            <w:r>
              <w:rPr>
                <w:rFonts w:ascii="Arial" w:cs="Arial" w:eastAsia="Arial" w:hAnsi="Arial"/>
                <w:sz w:val="18"/>
                <w:szCs w:val="18"/>
                <w:color w:val="auto"/>
              </w:rPr>
              <w:t>Equity in (income) loss from unconsolidated affiliates, net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34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12,438</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19,206</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24,468</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swap fair value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Inventories and prepaid expenses and other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48,765</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41,879</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85,737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80,402</w:t>
            </w:r>
          </w:p>
        </w:tc>
      </w:tr>
      <w:tr>
        <w:trPr>
          <w:trHeight w:val="330"/>
        </w:trPr>
        <w:tc>
          <w:tcPr>
            <w:tcW w:w="5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net of construction payables and retention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(245,040)</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Deposits and other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8,088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4,278</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affiliates,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(8,468)</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Proceeds from sale of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r>
      <w:tr>
        <w:trPr>
          <w:trHeight w:val="330"/>
        </w:trPr>
        <w:tc>
          <w:tcPr>
            <w:tcW w:w="5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(929,909)</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649,481</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649,481</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contribution from the Parent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412,951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412,951</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Payments of deferred financing costs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(20,698)</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113,225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111,825</w:t>
            </w:r>
          </w:p>
        </w:tc>
      </w:tr>
      <w:tr>
        <w:trPr>
          <w:trHeight w:val="330"/>
        </w:trPr>
        <w:tc>
          <w:tcPr>
            <w:tcW w:w="5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(56,961)</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123,315</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123,315</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65,998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r>
      <w:tr>
        <w:trPr>
          <w:trHeight w:val="20"/>
        </w:trPr>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340" w:type="dxa"/>
            <w:vAlign w:val="bottom"/>
          </w:tcPr>
          <w:p>
            <w:pPr>
              <w:spacing w:after="0"/>
              <w:rPr>
                <w:sz w:val="24"/>
                <w:szCs w:val="24"/>
                <w:color w:val="auto"/>
              </w:rPr>
            </w:pPr>
          </w:p>
        </w:tc>
        <w:tc>
          <w:tcPr>
            <w:tcW w:w="1600" w:type="dxa"/>
            <w:vAlign w:val="bottom"/>
            <w:gridSpan w:val="4"/>
          </w:tcPr>
          <w:p>
            <w:pPr>
              <w:jc w:val="right"/>
              <w:ind w:right="1060"/>
              <w:spacing w:after="0"/>
              <w:rPr>
                <w:sz w:val="20"/>
                <w:szCs w:val="20"/>
                <w:color w:val="auto"/>
              </w:rPr>
            </w:pPr>
            <w:r>
              <w:rPr>
                <w:rFonts w:ascii="Arial" w:cs="Arial" w:eastAsia="Arial" w:hAnsi="Arial"/>
                <w:sz w:val="18"/>
                <w:szCs w:val="18"/>
                <w:color w:val="auto"/>
              </w:rPr>
              <w:t>F-51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(loss)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(129,794)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income to net cash provided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165,121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11,078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Equity in income (loss) from unconsolidated affiliates, net of</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24,887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20,309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22,327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141,923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135,140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(1,128,089)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31,052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31,044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(1,040,669)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879,484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(3,979)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874,105</w:t>
            </w:r>
          </w:p>
        </w:tc>
        <w:tc>
          <w:tcPr>
            <w:tcW w:w="0" w:type="dxa"/>
            <w:vAlign w:val="bottom"/>
          </w:tcPr>
          <w:p>
            <w:pPr>
              <w:spacing w:after="0"/>
              <w:rPr>
                <w:sz w:val="1"/>
                <w:szCs w:val="1"/>
                <w:color w:val="auto"/>
              </w:rPr>
            </w:pPr>
          </w:p>
        </w:tc>
      </w:tr>
      <w:tr>
        <w:trPr>
          <w:trHeight w:val="330"/>
        </w:trPr>
        <w:tc>
          <w:tcPr>
            <w:tcW w:w="4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146,556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F-52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$ 124,219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(6,109)</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4,218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$ 124,219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147,413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5,426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4,218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(4,218)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21,139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6,005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(41,744)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35,963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7,642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(7,177)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315,714</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Capital expenditures, net of construction payables and retentions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(667,060)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(11,420)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143,586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22,879</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(21,542)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(20,585)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20,634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(564,637)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4,507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(243,352)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(39,559)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543,460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296,567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299,008</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52,731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93,825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93,820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$ 146,556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8"/>
                <w:szCs w:val="18"/>
                <w:color w:val="auto"/>
              </w:rPr>
              <w:t>F-53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Fourth</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r>
      <w:tr>
        <w:trPr>
          <w:trHeight w:val="365"/>
        </w:trPr>
        <w:tc>
          <w:tcPr>
            <w:tcW w:w="60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040" w:type="dxa"/>
            <w:vAlign w:val="bottom"/>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Fourth</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subsequent to the date of the auditors report (unaudited)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April 28, 2010, the Company completed an offer to exchange its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for a new series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Notes”). A total of $382 million in principal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were validly tendered. Included in this amount are $30 million of tendered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held by Wynn Resorts. Noteholders who validly tendered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tcPr>
          <w:p>
            <w:pPr>
              <w:spacing w:after="0"/>
              <w:rPr>
                <w:sz w:val="18"/>
                <w:szCs w:val="18"/>
                <w:color w:val="auto"/>
              </w:rPr>
            </w:pPr>
          </w:p>
        </w:tc>
      </w:tr>
      <w:tr>
        <w:trPr>
          <w:trHeight w:val="352"/>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tcPr>
          <w:p>
            <w:pPr>
              <w:spacing w:after="0"/>
              <w:rPr>
                <w:sz w:val="18"/>
                <w:szCs w:val="18"/>
                <w:color w:val="auto"/>
              </w:rPr>
            </w:pPr>
          </w:p>
        </w:tc>
      </w:tr>
      <w:tr>
        <w:trPr>
          <w:trHeight w:val="352"/>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tcPr>
          <w:p>
            <w:pPr>
              <w:spacing w:after="0"/>
              <w:rPr>
                <w:sz w:val="18"/>
                <w:szCs w:val="18"/>
                <w:color w:val="auto"/>
              </w:rPr>
            </w:pPr>
          </w:p>
        </w:tc>
      </w:tr>
      <w:tr>
        <w:trPr>
          <w:trHeight w:val="363"/>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2"/>
          </w:tcPr>
          <w:p>
            <w:pPr>
              <w:ind w:left="2040"/>
              <w:spacing w:after="0"/>
              <w:rPr>
                <w:sz w:val="20"/>
                <w:szCs w:val="20"/>
                <w:color w:val="auto"/>
              </w:rPr>
            </w:pPr>
            <w:r>
              <w:rPr>
                <w:rFonts w:ascii="Arial" w:cs="Arial" w:eastAsia="Arial" w:hAnsi="Arial"/>
                <w:sz w:val="18"/>
                <w:szCs w:val="18"/>
                <w:color w:val="auto"/>
              </w:rPr>
              <w:t>F-55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159"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Offer to Exchange $1,320,000,000 of their outstanding</w:t>
      </w:r>
    </w:p>
    <w:p>
      <w:pPr>
        <w:spacing w:after="0" w:line="152" w:lineRule="exact"/>
        <w:rPr>
          <w:sz w:val="20"/>
          <w:szCs w:val="20"/>
          <w:color w:val="auto"/>
        </w:rPr>
      </w:pPr>
    </w:p>
    <w:p>
      <w:pPr>
        <w:ind w:left="3860" w:right="3620" w:firstLine="96"/>
        <w:spacing w:after="0" w:line="396" w:lineRule="auto"/>
        <w:tabs>
          <w:tab w:leader="none" w:pos="4135" w:val="left"/>
        </w:tabs>
        <w:numPr>
          <w:ilvl w:val="0"/>
          <w:numId w:val="228"/>
        </w:numPr>
        <w:rPr>
          <w:rFonts w:ascii="Arial" w:cs="Arial" w:eastAsia="Arial" w:hAnsi="Arial"/>
          <w:sz w:val="22"/>
          <w:szCs w:val="22"/>
          <w:b w:val="1"/>
          <w:bCs w:val="1"/>
          <w:color w:val="auto"/>
        </w:rPr>
      </w:pPr>
      <w:r>
        <w:rPr>
          <w:rFonts w:ascii="Arial" w:cs="Arial" w:eastAsia="Arial" w:hAnsi="Arial"/>
          <w:sz w:val="15"/>
          <w:szCs w:val="15"/>
          <w:b w:val="1"/>
          <w:bCs w:val="1"/>
          <w:color w:val="auto"/>
        </w:rPr>
        <w:t>3</w:t>
      </w:r>
      <w:r>
        <w:rPr>
          <w:rFonts w:ascii="Arial" w:cs="Arial" w:eastAsia="Arial" w:hAnsi="Arial"/>
          <w:sz w:val="21"/>
          <w:szCs w:val="21"/>
          <w:b w:val="1"/>
          <w:bCs w:val="1"/>
          <w:color w:val="auto"/>
        </w:rPr>
        <w:t>/</w:t>
      </w:r>
      <w:r>
        <w:rPr>
          <w:rFonts w:ascii="Arial" w:cs="Arial" w:eastAsia="Arial" w:hAnsi="Arial"/>
          <w:sz w:val="17"/>
          <w:szCs w:val="17"/>
          <w:b w:val="1"/>
          <w:bCs w:val="1"/>
          <w:color w:val="auto"/>
        </w:rPr>
        <w:t>4</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AQ8 and U98347 AG9) for</w:t>
      </w:r>
    </w:p>
    <w:p>
      <w:pPr>
        <w:spacing w:after="0" w:line="1" w:lineRule="exact"/>
        <w:rPr>
          <w:rFonts w:ascii="Arial" w:cs="Arial" w:eastAsia="Arial" w:hAnsi="Arial"/>
          <w:sz w:val="22"/>
          <w:szCs w:val="22"/>
          <w:b w:val="1"/>
          <w:bCs w:val="1"/>
          <w:color w:val="auto"/>
        </w:rPr>
      </w:pPr>
    </w:p>
    <w:p>
      <w:pPr>
        <w:ind w:left="4140" w:hanging="184"/>
        <w:spacing w:after="0"/>
        <w:tabs>
          <w:tab w:leader="none" w:pos="4140" w:val="left"/>
        </w:tabs>
        <w:numPr>
          <w:ilvl w:val="0"/>
          <w:numId w:val="228"/>
        </w:numPr>
        <w:rPr>
          <w:rFonts w:ascii="Arial" w:cs="Arial" w:eastAsia="Arial" w:hAnsi="Arial"/>
          <w:sz w:val="22"/>
          <w:szCs w:val="22"/>
          <w:b w:val="1"/>
          <w:bCs w:val="1"/>
          <w:color w:val="auto"/>
        </w:rPr>
      </w:pPr>
      <w:r>
        <w:rPr>
          <w:rFonts w:ascii="Arial" w:cs="Arial" w:eastAsia="Arial" w:hAnsi="Arial"/>
          <w:sz w:val="15"/>
          <w:szCs w:val="15"/>
          <w:b w:val="1"/>
          <w:bCs w:val="1"/>
          <w:color w:val="auto"/>
        </w:rPr>
        <w:t>3</w:t>
      </w:r>
      <w:r>
        <w:rPr>
          <w:rFonts w:ascii="Arial" w:cs="Arial" w:eastAsia="Arial" w:hAnsi="Arial"/>
          <w:sz w:val="21"/>
          <w:szCs w:val="21"/>
          <w:b w:val="1"/>
          <w:bCs w:val="1"/>
          <w:color w:val="auto"/>
        </w:rPr>
        <w:t>/</w:t>
      </w:r>
      <w:r>
        <w:rPr>
          <w:rFonts w:ascii="Arial" w:cs="Arial" w:eastAsia="Arial" w:hAnsi="Arial"/>
          <w:sz w:val="17"/>
          <w:szCs w:val="17"/>
          <w:b w:val="1"/>
          <w:bCs w:val="1"/>
          <w:color w:val="auto"/>
        </w:rPr>
        <w:t>4</w:t>
      </w:r>
      <w:r>
        <w:rPr>
          <w:rFonts w:ascii="Arial" w:cs="Arial" w:eastAsia="Arial" w:hAnsi="Arial"/>
          <w:sz w:val="21"/>
          <w:szCs w:val="21"/>
          <w:b w:val="1"/>
          <w:bCs w:val="1"/>
          <w:color w:val="auto"/>
        </w:rPr>
        <w:t>% First Mortgage Notes due 2020</w:t>
      </w:r>
    </w:p>
    <w:p>
      <w:pPr>
        <w:spacing w:after="0" w:line="152" w:lineRule="exact"/>
        <w:rPr>
          <w:sz w:val="20"/>
          <w:szCs w:val="20"/>
          <w:color w:val="auto"/>
        </w:rPr>
      </w:pPr>
    </w:p>
    <w:p>
      <w:pPr>
        <w:ind w:left="4760"/>
        <w:spacing w:after="0"/>
        <w:tabs>
          <w:tab w:leader="none" w:pos="6580" w:val="left"/>
        </w:tabs>
        <w:rPr>
          <w:sz w:val="20"/>
          <w:szCs w:val="20"/>
          <w:color w:val="auto"/>
        </w:rPr>
      </w:pPr>
      <w:r>
        <w:rPr>
          <w:rFonts w:ascii="Arial" w:cs="Arial" w:eastAsia="Arial" w:hAnsi="Arial"/>
          <w:sz w:val="22"/>
          <w:szCs w:val="22"/>
          <w:b w:val="1"/>
          <w:bCs w:val="1"/>
          <w:color w:val="auto"/>
        </w:rPr>
        <w:t>(CUSIP</w:t>
      </w:r>
      <w:r>
        <w:rPr>
          <w:sz w:val="20"/>
          <w:szCs w:val="20"/>
          <w:color w:val="auto"/>
        </w:rPr>
        <w:tab/>
      </w:r>
      <w:r>
        <w:rPr>
          <w:rFonts w:ascii="Arial" w:cs="Arial" w:eastAsia="Arial" w:hAnsi="Arial"/>
          <w:sz w:val="22"/>
          <w:szCs w:val="22"/>
          <w:b w:val="1"/>
          <w:bCs w:val="1"/>
          <w:color w:val="auto"/>
        </w:rPr>
        <w:t>)</w:t>
      </w:r>
    </w:p>
    <w:p>
      <w:pPr>
        <w:spacing w:after="0" w:line="152"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2011,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460"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certain circumstances in which indemnification would be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r>
        <w:rPr>
          <w:rFonts w:ascii="Arial" w:cs="Arial" w:eastAsia="Arial" w:hAnsi="Arial"/>
          <w:sz w:val="18"/>
          <w:szCs w:val="18"/>
          <w:i w:val="1"/>
          <w:i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52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auto"/>
              </w:rPr>
              <w:t>LLC. (1)</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220" w:type="dxa"/>
            <w:vAlign w:val="bottom"/>
            <w:gridSpan w:val="2"/>
          </w:tcPr>
          <w:p>
            <w:pPr>
              <w:ind w:left="780"/>
              <w:spacing w:after="0"/>
              <w:rPr>
                <w:sz w:val="20"/>
                <w:szCs w:val="20"/>
                <w:color w:val="auto"/>
              </w:rPr>
            </w:pPr>
            <w:r>
              <w:rPr>
                <w:rFonts w:ascii="Arial" w:cs="Arial" w:eastAsia="Arial" w:hAnsi="Arial"/>
                <w:sz w:val="18"/>
                <w:szCs w:val="18"/>
                <w:color w:val="auto"/>
                <w:w w:val="88"/>
              </w:rPr>
              <w:t>Second Amended and Restated Articles of Organization of Wynn Las Vegas,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92"/>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89"/>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3"/>
          </w:tcPr>
          <w:p>
            <w:pPr>
              <w:ind w:left="51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August 4, 2010,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(26)</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Opinion of Skadden, Arps, Slate, Meagher &amp; Flom LLP.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5.2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First Amendment to Amended and Restated Master Disbursement Agreement, dated as of October 31, 2007, by and among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7"/>
              </w:rPr>
              <w:t>LLC, Deutsche Bank Trust Company Americas, as the initial Bank Agent, and Deutsche Bank Trust Company America, as the initial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Disbursement Agent. (15)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7"/>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60" w:type="dxa"/>
            <w:vAlign w:val="bottom"/>
          </w:tcPr>
          <w:p>
            <w:pPr>
              <w:ind w:left="66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as 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60" w:right="3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 w:type="dxa"/>
            <w:vAlign w:val="bottom"/>
          </w:tcPr>
          <w:p>
            <w:pPr>
              <w:jc w:val="center"/>
              <w:spacing w:after="0" w:line="201" w:lineRule="exact"/>
              <w:rPr>
                <w:sz w:val="20"/>
                <w:szCs w:val="20"/>
                <w:color w:val="auto"/>
              </w:rPr>
            </w:pPr>
            <w:r>
              <w:rPr>
                <w:rFonts w:ascii="Arial" w:cs="Arial" w:eastAsia="Arial" w:hAnsi="Arial"/>
                <w:sz w:val="18"/>
                <w:szCs w:val="18"/>
                <w:color w:val="auto"/>
                <w:w w:val="85"/>
              </w:rPr>
              <w:t>10.6</w:t>
            </w:r>
          </w:p>
        </w:tc>
        <w:tc>
          <w:tcPr>
            <w:tcW w:w="10920" w:type="dxa"/>
            <w:vAlign w:val="bottom"/>
            <w:gridSpan w:val="3"/>
          </w:tcPr>
          <w:p>
            <w:pPr>
              <w:ind w:left="580"/>
              <w:spacing w:after="0" w:line="201" w:lineRule="exact"/>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4"/>
              </w:rPr>
              <w:t>10.11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lenders named therein. (7)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Third Amended and Restated Art Rental and Licensing Agreement, dated as of August 6, 2004, by and between Stephen A. Wynn and Wynn Las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Vegas, LLC. (5)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10.21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88"/>
              </w:rPr>
              <w:t>10.22</w:t>
            </w:r>
          </w:p>
        </w:tc>
        <w:tc>
          <w:tcPr>
            <w:tcW w:w="10960" w:type="dxa"/>
            <w:vAlign w:val="bottom"/>
            <w:gridSpan w:val="3"/>
          </w:tcPr>
          <w:p>
            <w:pPr>
              <w:ind w:left="580"/>
              <w:spacing w:after="0" w:line="201" w:lineRule="exact"/>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Performers, LLC, Wynn Las Vegas Capital Corp., Wynn Golf, LLC, World Travel, LLC, Las Vegas Jet, LLC, Wynn Sunrise, LLC and the other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Capital Corp., and those subsidiaries of Wynn Las Vegas, LLC listed on Exhibit 21.1 hereto in favor of Deutsche Bank Trust Company Americas,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Fargo Bank, National Association, as Trustee. (4)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Project Administration Services Agreement, dated December 14, 2004, between Wynn Las Vegas, LLC and Wynn Design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&amp; Development, LLC. (4)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Intellectual Property License Agreement, dated as of December 14, 2004, by and among Wynn Resorts Holdings, Wynn Resorts, Limited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Wynn Las Vegas, LLC. (4)</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First Amendment to Amended and Restated Credit Agreement, dated April 9, 2007, among Wynn Las Vegas, LLC, Wynn Las Vegas Capital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Second Amendment to Amended and Restated Credit Agreement, dated October 31, 2007, among Wynn Las Vegas, LLC, Wynn Las Vegas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c>
          <w:tcPr>
            <w:tcW w:w="0" w:type="dxa"/>
            <w:vAlign w:val="bottom"/>
          </w:tcPr>
          <w:p>
            <w:pPr>
              <w:spacing w:after="0"/>
              <w:rPr>
                <w:sz w:val="1"/>
                <w:szCs w:val="1"/>
                <w:color w:val="auto"/>
              </w:rPr>
            </w:pPr>
          </w:p>
        </w:tc>
      </w:tr>
    </w:tbl>
    <w:p>
      <w:pPr>
        <w:ind w:left="1040" w:right="460"/>
        <w:spacing w:after="0" w:line="261" w:lineRule="auto"/>
        <w:rPr>
          <w:sz w:val="20"/>
          <w:szCs w:val="20"/>
          <w:color w:val="auto"/>
        </w:rPr>
      </w:pPr>
      <w:r>
        <w:rPr>
          <w:rFonts w:ascii="Arial" w:cs="Arial" w:eastAsia="Arial" w:hAnsi="Arial"/>
          <w:sz w:val="18"/>
          <w:szCs w:val="18"/>
          <w:color w:val="auto"/>
        </w:rPr>
        <w:t>the several banks and other financial institutions or entities from time to time party to Wynn Las Vegas, LLC’s Amended and Restated Credit Agreement, dated as of August 15, 2006. (12)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 w:type="dxa"/>
            <w:vAlign w:val="bottom"/>
          </w:tcPr>
          <w:p>
            <w:pPr>
              <w:jc w:val="center"/>
              <w:spacing w:after="0" w:line="201" w:lineRule="exact"/>
              <w:rPr>
                <w:sz w:val="20"/>
                <w:szCs w:val="20"/>
                <w:color w:val="auto"/>
              </w:rPr>
            </w:pPr>
            <w:r>
              <w:rPr>
                <w:rFonts w:ascii="Arial" w:cs="Arial" w:eastAsia="Arial" w:hAnsi="Arial"/>
                <w:sz w:val="18"/>
                <w:szCs w:val="18"/>
                <w:color w:val="auto"/>
                <w:w w:val="88"/>
              </w:rPr>
              <w:t>10.35</w:t>
            </w:r>
          </w:p>
        </w:tc>
        <w:tc>
          <w:tcPr>
            <w:tcW w:w="10900" w:type="dxa"/>
            <w:vAlign w:val="bottom"/>
            <w:gridSpan w:val="3"/>
          </w:tcPr>
          <w:p>
            <w:pPr>
              <w:ind w:left="580"/>
              <w:spacing w:after="0" w:line="201" w:lineRule="exact"/>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10.36</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0"/>
              </w:rPr>
              <w:t>Fifth Amendment to Amended and Restated Credit Agreement, dated as of September 10, 2009, among Wynn Las Vegas, LLC and Wynn 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0"/>
              </w:rPr>
              <w:t>Vegas Capital Corp., Wynn Show Performers, LLC, Wynn Golf, LLC, Wynn Sunrise, LLC, World Travel, LLC, Kevyn, LLC, Las Vegas Jet,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10.37</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Sixth Amendment to Amended and Restated Credit Agreement, dated as of April 28, 2010, among Wynn Las Vegas, LLC,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6"/>
              </w:rPr>
              <w:t>Resorts Holdings, LLC, Wynn Completion Guarantor, LLC and Deutsche Bank Trust Company Americas, as Administrative Agent. (24)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10.38</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10.39</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Agreement of Lease, made as of March 17, 2010, by and between Wynn Las Vegas, LLC and Elaine P. Wynn. (25)</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10.40</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4"/>
              </w:rPr>
              <w:t>Amended and Restated Agreement of Lease, made as of March 18, 2010, by and between Wynn Las Vegas and Stephen A. Wynn. (25)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10.41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4"/>
              </w:rPr>
              <w:t>Registration Rights Agreement, dated as of October 19, 2009,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10.42</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10.43</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0"/>
              </w:rPr>
              <w:t>Registration Rights Agreement, dated as of August 4, 2010, by and among the Issuers, the Guarantors, Deutsche Bank Securities Inc., Banc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America Securities LLC, J.P. Morgan Securities Inc., Morgan Stanley &amp; Co. Incorporated, RBS Securities Inc. and UBS Securities LLC. (26)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10.44</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0"/>
              </w:rPr>
              <w:t>Seventh Amendment to Amended and Restated Credit Agreement dated as of August 4, 2010 among Wynn Las Vegas, LLC,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(26)</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12.1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Statements re Computation of Ratios.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21.1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 (27)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00" w:type="dxa"/>
            <w:vAlign w:val="bottom"/>
            <w:gridSpan w:val="3"/>
          </w:tcPr>
          <w:p>
            <w:pPr>
              <w:ind w:left="512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5220" w:type="dxa"/>
            <w:vAlign w:val="bottom"/>
            <w:gridSpan w:val="2"/>
          </w:tcPr>
          <w:p>
            <w:pPr>
              <w:jc w:val="right"/>
              <w:ind w:right="4452"/>
              <w:spacing w:after="0"/>
              <w:rPr>
                <w:sz w:val="20"/>
                <w:szCs w:val="20"/>
                <w:color w:val="auto"/>
              </w:rPr>
            </w:pPr>
            <w:r>
              <w:rPr>
                <w:rFonts w:ascii="Arial" w:cs="Arial" w:eastAsia="Arial" w:hAnsi="Arial"/>
                <w:sz w:val="14"/>
                <w:szCs w:val="14"/>
                <w:b w:val="1"/>
                <w:bCs w:val="1"/>
                <w:color w:val="auto"/>
                <w:w w:val="8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20" w:type="dxa"/>
            <w:vAlign w:val="bottom"/>
            <w:vMerge w:val="restart"/>
          </w:tcPr>
          <w:p>
            <w:pPr>
              <w:jc w:val="right"/>
              <w:ind w:right="3832"/>
              <w:spacing w:after="0"/>
              <w:rPr>
                <w:sz w:val="20"/>
                <w:szCs w:val="20"/>
                <w:color w:val="auto"/>
              </w:rPr>
            </w:pPr>
            <w:r>
              <w:rPr>
                <w:rFonts w:ascii="Arial" w:cs="Arial" w:eastAsia="Arial" w:hAnsi="Arial"/>
                <w:sz w:val="18"/>
                <w:szCs w:val="18"/>
                <w:color w:val="auto"/>
                <w:w w:val="79"/>
              </w:rPr>
              <w:t>5.1). (27)</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1"/>
              </w:rPr>
              <w:t>Consent of Skadden, Arps, Slate, Meagher &amp; Flom LLP (included in Exhibit</w:t>
            </w:r>
          </w:p>
        </w:tc>
        <w:tc>
          <w:tcPr>
            <w:tcW w:w="4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23.3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Brownstein Hyatt Farber Schreck, LLP (included in Exhibit 5.2).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Powers of Attorney (included in the signature pages to the Registration Statement). (27)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25.1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 xml:space="preserve">LLC and Wynn Las Vegas Capital Corp.’s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of Transmittal.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99.2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Notice of Guaranteed Delivery.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99.3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Clients. (27)</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99.4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Brokers, Dealers, Commercial Banks, Trust Companies and Other Nominees. (27)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460" w:right="5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40" w:hanging="199"/>
        <w:spacing w:after="0"/>
        <w:tabs>
          <w:tab w:leader="none" w:pos="1540"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314" w:lineRule="auto"/>
        <w:tabs>
          <w:tab w:leader="none" w:pos="1595" w:val="left"/>
        </w:tabs>
        <w:numPr>
          <w:ilvl w:val="2"/>
          <w:numId w:val="23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3" w:lineRule="exact"/>
        <w:rPr>
          <w:rFonts w:ascii="Arial" w:cs="Arial" w:eastAsia="Arial" w:hAnsi="Arial"/>
          <w:sz w:val="15"/>
          <w:szCs w:val="15"/>
          <w:color w:val="auto"/>
        </w:rPr>
      </w:pPr>
    </w:p>
    <w:p>
      <w:pPr>
        <w:ind w:left="920" w:right="260" w:firstLine="421"/>
        <w:spacing w:after="0" w:line="268" w:lineRule="auto"/>
        <w:tabs>
          <w:tab w:leader="none" w:pos="1644"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to any purchaser, each prospectus filed by the registrant pursuant to</w:t>
      </w:r>
    </w:p>
    <w:p>
      <w:pPr>
        <w:spacing w:after="0" w:line="38" w:lineRule="exact"/>
        <w:rPr>
          <w:sz w:val="20"/>
          <w:szCs w:val="20"/>
          <w:color w:val="auto"/>
        </w:rPr>
      </w:pPr>
    </w:p>
    <w:p>
      <w:pPr>
        <w:ind w:left="460" w:right="40"/>
        <w:spacing w:after="0" w:line="288" w:lineRule="auto"/>
        <w:rPr>
          <w:sz w:val="20"/>
          <w:szCs w:val="20"/>
          <w:color w:val="auto"/>
        </w:rPr>
      </w:pPr>
      <w:r>
        <w:rPr>
          <w:rFonts w:ascii="Arial" w:cs="Arial" w:eastAsia="Arial" w:hAnsi="Arial"/>
          <w:sz w:val="16"/>
          <w:szCs w:val="16"/>
          <w:color w:val="auto"/>
        </w:rPr>
        <w:t>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 xml:space="preserve">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62" w:lineRule="exact"/>
        <w:rPr>
          <w:sz w:val="20"/>
          <w:szCs w:val="20"/>
          <w:color w:val="auto"/>
        </w:rPr>
      </w:pPr>
    </w:p>
    <w:p>
      <w:pPr>
        <w:jc w:val="both"/>
        <w:ind w:left="460" w:right="80" w:firstLine="443"/>
        <w:spacing w:after="0" w:line="255" w:lineRule="auto"/>
        <w:tabs>
          <w:tab w:leader="none" w:pos="114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40" w:hanging="199"/>
        <w:spacing w:after="0"/>
        <w:tabs>
          <w:tab w:leader="none" w:pos="1540" w:val="left"/>
        </w:tabs>
        <w:numPr>
          <w:ilvl w:val="2"/>
          <w:numId w:val="23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89"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4" w:val="left"/>
        </w:tabs>
        <w:numPr>
          <w:ilvl w:val="2"/>
          <w:numId w:val="2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460" w:right="100" w:firstLine="443"/>
        <w:spacing w:after="0" w:line="312" w:lineRule="auto"/>
        <w:tabs>
          <w:tab w:leader="none" w:pos="1147" w:val="left"/>
        </w:tabs>
        <w:numPr>
          <w:ilvl w:val="1"/>
          <w:numId w:val="233"/>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 w:lineRule="exact"/>
        <w:rPr>
          <w:rFonts w:ascii="Arial" w:cs="Arial" w:eastAsia="Arial" w:hAnsi="Arial"/>
          <w:sz w:val="15"/>
          <w:szCs w:val="15"/>
          <w:color w:val="auto"/>
        </w:rPr>
      </w:pPr>
    </w:p>
    <w:p>
      <w:pPr>
        <w:ind w:left="460" w:right="20" w:firstLine="443"/>
        <w:spacing w:after="0" w:line="256" w:lineRule="auto"/>
        <w:tabs>
          <w:tab w:leader="none" w:pos="114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460" w:right="20" w:firstLine="443"/>
        <w:spacing w:after="0" w:line="332" w:lineRule="auto"/>
        <w:tabs>
          <w:tab w:leader="none" w:pos="1144"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II-10</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560" w:type="dxa"/>
            <w:vAlign w:val="bottom"/>
          </w:tcPr>
          <w:p>
            <w:pPr>
              <w:spacing w:after="0"/>
              <w:rPr>
                <w:sz w:val="14"/>
                <w:szCs w:val="14"/>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Allan Zeman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560" w:type="dxa"/>
            <w:vAlign w:val="bottom"/>
          </w:tcPr>
          <w:p>
            <w:pPr>
              <w:spacing w:after="0"/>
              <w:rPr>
                <w:sz w:val="14"/>
                <w:szCs w:val="14"/>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Marc D. Schorr</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560" w:type="dxa"/>
            <w:vAlign w:val="bottom"/>
          </w:tcPr>
          <w:p>
            <w:pPr>
              <w:spacing w:after="0"/>
              <w:rPr>
                <w:sz w:val="14"/>
                <w:szCs w:val="14"/>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Andrew Pascal</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8"/>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202"/>
        </w:trPr>
        <w:tc>
          <w:tcPr>
            <w:tcW w:w="560" w:type="dxa"/>
            <w:vAlign w:val="bottom"/>
          </w:tcPr>
          <w:p>
            <w:pPr>
              <w:spacing w:after="0"/>
              <w:rPr>
                <w:sz w:val="17"/>
                <w:szCs w:val="17"/>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Scott Peterson</w:t>
            </w:r>
          </w:p>
        </w:tc>
        <w:tc>
          <w:tcPr>
            <w:tcW w:w="426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7"/>
                <w:szCs w:val="17"/>
                <w:color w:val="auto"/>
              </w:rPr>
            </w:pPr>
          </w:p>
        </w:tc>
      </w:tr>
      <w:tr>
        <w:trPr>
          <w:trHeight w:val="413"/>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480" w:type="dxa"/>
            <w:vAlign w:val="bottom"/>
            <w:gridSpan w:val="2"/>
          </w:tcPr>
          <w:p>
            <w:pPr>
              <w:ind w:left="122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30"/>
        </w:trPr>
        <w:tc>
          <w:tcPr>
            <w:tcW w:w="560" w:type="dxa"/>
            <w:vAlign w:val="bottom"/>
          </w:tcPr>
          <w:p>
            <w:pPr>
              <w:spacing w:after="0"/>
              <w:rPr>
                <w:sz w:val="11"/>
                <w:szCs w:val="11"/>
                <w:color w:val="auto"/>
              </w:rPr>
            </w:pPr>
          </w:p>
        </w:tc>
        <w:tc>
          <w:tcPr>
            <w:tcW w:w="4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2"/>
              </w:rPr>
              <w:t>Kim Sinatra</w:t>
            </w:r>
          </w:p>
        </w:tc>
        <w:tc>
          <w:tcPr>
            <w:tcW w:w="4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4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Attorney-in-fact</w:t>
            </w: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0"/>
        </w:trPr>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Arial" w:cs="Arial" w:eastAsia="Arial" w:hAnsi="Arial"/>
                <w:sz w:val="18"/>
                <w:szCs w:val="18"/>
                <w:color w:val="auto"/>
              </w:rPr>
              <w:t>II-11</w:t>
            </w:r>
          </w:p>
        </w:tc>
        <w:tc>
          <w:tcPr>
            <w:tcW w:w="166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II-12</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960"/>
          </w:cols>
          <w:pgMar w:left="240" w:top="460" w:right="69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Marc D. Schorr</w:t>
      </w:r>
    </w:p>
    <w:p>
      <w:pPr>
        <w:spacing w:after="0" w:line="222" w:lineRule="exact"/>
        <w:rPr>
          <w:sz w:val="20"/>
          <w:szCs w:val="20"/>
          <w:color w:val="auto"/>
        </w:rPr>
      </w:pPr>
    </w:p>
    <w:p>
      <w:pPr>
        <w:ind w:left="1580"/>
        <w:spacing w:after="0"/>
        <w:tabs>
          <w:tab w:leader="none" w:pos="19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Matt Maddox</w:t>
      </w:r>
    </w:p>
    <w:p>
      <w:pPr>
        <w:spacing w:after="0" w:line="249" w:lineRule="exact"/>
        <w:rPr>
          <w:sz w:val="20"/>
          <w:szCs w:val="20"/>
          <w:color w:val="auto"/>
        </w:rPr>
      </w:pPr>
    </w:p>
    <w:p>
      <w:pPr>
        <w:spacing w:after="0"/>
        <w:tabs>
          <w:tab w:leader="none" w:pos="174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jc w:val="center"/>
        <w:ind w:left="60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Chief Operating Officer (Principal Executive Officer)</w:t>
      </w:r>
      <w:r>
        <w:rPr>
          <w:sz w:val="20"/>
          <w:szCs w:val="20"/>
          <w:color w:val="auto"/>
        </w:rPr>
        <w:tab/>
      </w:r>
      <w:r>
        <w:rPr>
          <w:rFonts w:ascii="Arial" w:cs="Arial" w:eastAsia="Arial" w:hAnsi="Arial"/>
          <w:sz w:val="15"/>
          <w:szCs w:val="15"/>
          <w:color w:val="auto"/>
        </w:rPr>
        <w:t>October 6, 2010</w:t>
      </w:r>
    </w:p>
    <w:p>
      <w:pPr>
        <w:spacing w:after="0" w:line="200" w:lineRule="exact"/>
        <w:rPr>
          <w:sz w:val="20"/>
          <w:szCs w:val="20"/>
          <w:color w:val="auto"/>
        </w:rPr>
      </w:pPr>
    </w:p>
    <w:p>
      <w:pPr>
        <w:spacing w:after="0" w:line="201"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Chief Financial Officer and Treasurer (Principal</w:t>
      </w:r>
      <w:r>
        <w:rPr>
          <w:sz w:val="20"/>
          <w:szCs w:val="20"/>
          <w:color w:val="auto"/>
        </w:rPr>
        <w:tab/>
      </w:r>
      <w:r>
        <w:rPr>
          <w:rFonts w:ascii="Arial" w:cs="Arial" w:eastAsia="Arial" w:hAnsi="Arial"/>
          <w:sz w:val="15"/>
          <w:szCs w:val="15"/>
          <w:color w:val="auto"/>
        </w:rPr>
        <w:t>October 6, 2010</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II-13</w:t>
      </w:r>
    </w:p>
    <w:p>
      <w:pPr>
        <w:sectPr>
          <w:pgSz w:w="11900" w:h="16838" w:orient="portrait"/>
          <w:cols w:equalWidth="0" w:num="2">
            <w:col w:w="4540" w:space="720"/>
            <w:col w:w="5700"/>
          </w:cols>
          <w:pgMar w:left="240" w:top="460" w:right="699" w:bottom="1440" w:gutter="0" w:footer="0" w:header="0"/>
          <w:type w:val="continuous"/>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II-14</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560" w:type="dxa"/>
            <w:vAlign w:val="bottom"/>
          </w:tcPr>
          <w:p>
            <w:pPr>
              <w:spacing w:after="0"/>
              <w:rPr>
                <w:sz w:val="14"/>
                <w:szCs w:val="14"/>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Elaine P. Wynn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560" w:type="dxa"/>
            <w:vAlign w:val="bottom"/>
          </w:tcPr>
          <w:p>
            <w:pPr>
              <w:spacing w:after="0"/>
              <w:rPr>
                <w:sz w:val="14"/>
                <w:szCs w:val="14"/>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Allan Zeman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560" w:type="dxa"/>
            <w:vAlign w:val="bottom"/>
          </w:tcPr>
          <w:p>
            <w:pPr>
              <w:spacing w:after="0"/>
              <w:rPr>
                <w:sz w:val="14"/>
                <w:szCs w:val="14"/>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Marc D. Schorr</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560" w:type="dxa"/>
            <w:vAlign w:val="bottom"/>
          </w:tcPr>
          <w:p>
            <w:pPr>
              <w:spacing w:after="0"/>
              <w:rPr>
                <w:sz w:val="14"/>
                <w:szCs w:val="14"/>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Andrew Pascal</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8"/>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202"/>
        </w:trPr>
        <w:tc>
          <w:tcPr>
            <w:tcW w:w="560" w:type="dxa"/>
            <w:vAlign w:val="bottom"/>
          </w:tcPr>
          <w:p>
            <w:pPr>
              <w:spacing w:after="0"/>
              <w:rPr>
                <w:sz w:val="17"/>
                <w:szCs w:val="17"/>
                <w:color w:val="auto"/>
              </w:rPr>
            </w:pPr>
          </w:p>
        </w:tc>
        <w:tc>
          <w:tcPr>
            <w:tcW w:w="4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Scott Peterson</w:t>
            </w:r>
          </w:p>
        </w:tc>
        <w:tc>
          <w:tcPr>
            <w:tcW w:w="426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7"/>
                <w:szCs w:val="17"/>
                <w:color w:val="auto"/>
              </w:rPr>
            </w:pPr>
          </w:p>
        </w:tc>
      </w:tr>
      <w:tr>
        <w:trPr>
          <w:trHeight w:val="413"/>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480" w:type="dxa"/>
            <w:vAlign w:val="bottom"/>
            <w:gridSpan w:val="2"/>
          </w:tcPr>
          <w:p>
            <w:pPr>
              <w:ind w:left="122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30"/>
        </w:trPr>
        <w:tc>
          <w:tcPr>
            <w:tcW w:w="560" w:type="dxa"/>
            <w:vAlign w:val="bottom"/>
          </w:tcPr>
          <w:p>
            <w:pPr>
              <w:spacing w:after="0"/>
              <w:rPr>
                <w:sz w:val="11"/>
                <w:szCs w:val="11"/>
                <w:color w:val="auto"/>
              </w:rPr>
            </w:pPr>
          </w:p>
        </w:tc>
        <w:tc>
          <w:tcPr>
            <w:tcW w:w="4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2"/>
              </w:rPr>
              <w:t>Kim Sinatra</w:t>
            </w:r>
          </w:p>
        </w:tc>
        <w:tc>
          <w:tcPr>
            <w:tcW w:w="4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4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Attorney-in-fact</w:t>
            </w: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3"/>
        </w:trPr>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Arial" w:cs="Arial" w:eastAsia="Arial" w:hAnsi="Arial"/>
                <w:sz w:val="18"/>
                <w:szCs w:val="18"/>
                <w:color w:val="auto"/>
              </w:rPr>
              <w:t>II-15</w:t>
            </w:r>
          </w:p>
        </w:tc>
        <w:tc>
          <w:tcPr>
            <w:tcW w:w="166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KEVYN,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II-16</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Elaine P. Wynn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Allan Zeman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Marc D. Schorr</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Andrew Pascal</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202"/>
        </w:trPr>
        <w:tc>
          <w:tcPr>
            <w:tcW w:w="600" w:type="dxa"/>
            <w:vAlign w:val="bottom"/>
          </w:tcPr>
          <w:p>
            <w:pPr>
              <w:spacing w:after="0"/>
              <w:rPr>
                <w:sz w:val="17"/>
                <w:szCs w:val="17"/>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Scott Peterson</w:t>
            </w:r>
          </w:p>
        </w:tc>
        <w:tc>
          <w:tcPr>
            <w:tcW w:w="426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39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444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4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Arial" w:cs="Arial" w:eastAsia="Arial" w:hAnsi="Arial"/>
                <w:sz w:val="18"/>
                <w:szCs w:val="18"/>
                <w:color w:val="auto"/>
              </w:rPr>
              <w:t>II-17</w:t>
            </w:r>
          </w:p>
        </w:tc>
        <w:tc>
          <w:tcPr>
            <w:tcW w:w="166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II-18</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Elaine P. Wynn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Allan Zeman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Marc D. Schorr</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Andrew Pascal</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202"/>
        </w:trPr>
        <w:tc>
          <w:tcPr>
            <w:tcW w:w="600" w:type="dxa"/>
            <w:vAlign w:val="bottom"/>
          </w:tcPr>
          <w:p>
            <w:pPr>
              <w:spacing w:after="0"/>
              <w:rPr>
                <w:sz w:val="17"/>
                <w:szCs w:val="17"/>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Scott Peterson</w:t>
            </w:r>
          </w:p>
        </w:tc>
        <w:tc>
          <w:tcPr>
            <w:tcW w:w="426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39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444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4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Arial" w:cs="Arial" w:eastAsia="Arial" w:hAnsi="Arial"/>
                <w:sz w:val="18"/>
                <w:szCs w:val="18"/>
                <w:color w:val="auto"/>
              </w:rPr>
              <w:t>II-19</w:t>
            </w:r>
          </w:p>
        </w:tc>
        <w:tc>
          <w:tcPr>
            <w:tcW w:w="166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II-20</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Elaine P. Wynn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Allan Zeman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Marc D. Schorr</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Andrew Pascal</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202"/>
        </w:trPr>
        <w:tc>
          <w:tcPr>
            <w:tcW w:w="600" w:type="dxa"/>
            <w:vAlign w:val="bottom"/>
          </w:tcPr>
          <w:p>
            <w:pPr>
              <w:spacing w:after="0"/>
              <w:rPr>
                <w:sz w:val="17"/>
                <w:szCs w:val="17"/>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Scott Peterson</w:t>
            </w:r>
          </w:p>
        </w:tc>
        <w:tc>
          <w:tcPr>
            <w:tcW w:w="426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39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444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4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Arial" w:cs="Arial" w:eastAsia="Arial" w:hAnsi="Arial"/>
                <w:sz w:val="18"/>
                <w:szCs w:val="18"/>
                <w:color w:val="auto"/>
              </w:rPr>
              <w:t>II-21</w:t>
            </w:r>
          </w:p>
        </w:tc>
        <w:tc>
          <w:tcPr>
            <w:tcW w:w="166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II-22</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Elaine P. Wynn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Allan Zeman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Marc D. Schorr</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Andrew Pascal</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202"/>
        </w:trPr>
        <w:tc>
          <w:tcPr>
            <w:tcW w:w="600" w:type="dxa"/>
            <w:vAlign w:val="bottom"/>
          </w:tcPr>
          <w:p>
            <w:pPr>
              <w:spacing w:after="0"/>
              <w:rPr>
                <w:sz w:val="17"/>
                <w:szCs w:val="17"/>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Scott Peterson</w:t>
            </w:r>
          </w:p>
        </w:tc>
        <w:tc>
          <w:tcPr>
            <w:tcW w:w="426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39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444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4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Arial" w:cs="Arial" w:eastAsia="Arial" w:hAnsi="Arial"/>
                <w:sz w:val="18"/>
                <w:szCs w:val="18"/>
                <w:color w:val="auto"/>
              </w:rPr>
              <w:t>II-23</w:t>
            </w:r>
          </w:p>
        </w:tc>
        <w:tc>
          <w:tcPr>
            <w:tcW w:w="166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October 6,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420" w:type="dxa"/>
            <w:vAlign w:val="bottom"/>
          </w:tcPr>
          <w:p>
            <w:pPr>
              <w:ind w:left="1280"/>
              <w:spacing w:after="0"/>
              <w:rPr>
                <w:sz w:val="20"/>
                <w:szCs w:val="20"/>
                <w:color w:val="auto"/>
              </w:rPr>
            </w:pPr>
            <w:r>
              <w:rPr>
                <w:rFonts w:ascii="Arial" w:cs="Arial" w:eastAsia="Arial" w:hAnsi="Arial"/>
                <w:sz w:val="18"/>
                <w:szCs w:val="18"/>
                <w:color w:val="auto"/>
                <w:w w:val="86"/>
              </w:rPr>
              <w:t>October 6,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00" w:type="dxa"/>
            <w:vAlign w:val="bottom"/>
          </w:tcPr>
          <w:p>
            <w:pPr>
              <w:ind w:left="500"/>
              <w:spacing w:after="0"/>
              <w:rPr>
                <w:sz w:val="20"/>
                <w:szCs w:val="20"/>
                <w:color w:val="auto"/>
              </w:rPr>
            </w:pPr>
            <w:r>
              <w:rPr>
                <w:rFonts w:ascii="Arial" w:cs="Arial" w:eastAsia="Arial" w:hAnsi="Arial"/>
                <w:sz w:val="18"/>
                <w:szCs w:val="18"/>
                <w:color w:val="auto"/>
              </w:rPr>
              <w:t>II-24</w:t>
            </w:r>
          </w:p>
        </w:tc>
        <w:tc>
          <w:tcPr>
            <w:tcW w:w="24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Elaine P. Wynn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Allan Zeman</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Marc D. Schorr</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9"/>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President (Principal Executive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169"/>
        </w:trPr>
        <w:tc>
          <w:tcPr>
            <w:tcW w:w="600" w:type="dxa"/>
            <w:vAlign w:val="bottom"/>
          </w:tcPr>
          <w:p>
            <w:pPr>
              <w:spacing w:after="0"/>
              <w:rPr>
                <w:sz w:val="14"/>
                <w:szCs w:val="14"/>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Andrew Pascal</w:t>
            </w:r>
          </w:p>
        </w:tc>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8"/>
        </w:trPr>
        <w:tc>
          <w:tcPr>
            <w:tcW w:w="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6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tcPr>
          <w:p>
            <w:pPr>
              <w:ind w:left="520"/>
              <w:spacing w:after="0"/>
              <w:rPr>
                <w:sz w:val="20"/>
                <w:szCs w:val="20"/>
                <w:color w:val="auto"/>
              </w:rPr>
            </w:pPr>
            <w:r>
              <w:rPr>
                <w:rFonts w:ascii="Arial" w:cs="Arial" w:eastAsia="Arial" w:hAnsi="Arial"/>
                <w:sz w:val="18"/>
                <w:szCs w:val="18"/>
                <w:color w:val="auto"/>
                <w:w w:val="86"/>
              </w:rPr>
              <w:t>October 6, 2010</w:t>
            </w:r>
          </w:p>
        </w:tc>
      </w:tr>
      <w:tr>
        <w:trPr>
          <w:trHeight w:val="202"/>
        </w:trPr>
        <w:tc>
          <w:tcPr>
            <w:tcW w:w="600" w:type="dxa"/>
            <w:vAlign w:val="bottom"/>
          </w:tcPr>
          <w:p>
            <w:pPr>
              <w:spacing w:after="0"/>
              <w:rPr>
                <w:sz w:val="17"/>
                <w:szCs w:val="17"/>
                <w:color w:val="auto"/>
              </w:rPr>
            </w:pPr>
          </w:p>
        </w:tc>
        <w:tc>
          <w:tcPr>
            <w:tcW w:w="4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Scott Peterson</w:t>
            </w:r>
          </w:p>
        </w:tc>
        <w:tc>
          <w:tcPr>
            <w:tcW w:w="4260" w:type="dxa"/>
            <w:vAlign w:val="bottom"/>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7"/>
                <w:szCs w:val="17"/>
                <w:color w:val="auto"/>
              </w:rPr>
            </w:pPr>
          </w:p>
        </w:tc>
      </w:tr>
      <w:tr>
        <w:trPr>
          <w:trHeight w:val="413"/>
        </w:trPr>
        <w:tc>
          <w:tcPr>
            <w:tcW w:w="600" w:type="dxa"/>
            <w:vAlign w:val="bottom"/>
          </w:tcPr>
          <w:p>
            <w:pPr>
              <w:spacing w:after="0"/>
              <w:rPr>
                <w:sz w:val="20"/>
                <w:szCs w:val="20"/>
                <w:color w:val="auto"/>
              </w:rPr>
            </w:pPr>
            <w:r>
              <w:rPr>
                <w:rFonts w:ascii="Arial" w:cs="Arial" w:eastAsia="Arial" w:hAnsi="Arial"/>
                <w:sz w:val="18"/>
                <w:szCs w:val="18"/>
                <w:color w:val="auto"/>
              </w:rPr>
              <w:t>* By:</w:t>
            </w:r>
          </w:p>
        </w:tc>
        <w:tc>
          <w:tcPr>
            <w:tcW w:w="39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tc>
        <w:tc>
          <w:tcPr>
            <w:tcW w:w="4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44"/>
        </w:trPr>
        <w:tc>
          <w:tcPr>
            <w:tcW w:w="600" w:type="dxa"/>
            <w:vAlign w:val="bottom"/>
          </w:tcPr>
          <w:p>
            <w:pPr>
              <w:spacing w:after="0"/>
              <w:rPr>
                <w:sz w:val="12"/>
                <w:szCs w:val="12"/>
                <w:color w:val="auto"/>
              </w:rPr>
            </w:pPr>
          </w:p>
        </w:tc>
        <w:tc>
          <w:tcPr>
            <w:tcW w:w="4440" w:type="dxa"/>
            <w:vAlign w:val="bottom"/>
            <w:gridSpan w:val="2"/>
          </w:tcPr>
          <w:p>
            <w:pPr>
              <w:jc w:val="center"/>
              <w:ind w:right="480"/>
              <w:spacing w:after="0" w:line="144" w:lineRule="exact"/>
              <w:rPr>
                <w:sz w:val="20"/>
                <w:szCs w:val="20"/>
                <w:color w:val="auto"/>
              </w:rPr>
            </w:pPr>
            <w:r>
              <w:rPr>
                <w:rFonts w:ascii="Arial" w:cs="Arial" w:eastAsia="Arial" w:hAnsi="Arial"/>
                <w:sz w:val="14"/>
                <w:szCs w:val="14"/>
                <w:b w:val="1"/>
                <w:bCs w:val="1"/>
                <w:color w:val="auto"/>
                <w:w w:val="92"/>
              </w:rPr>
              <w:t>Kim Sinatra</w:t>
            </w:r>
          </w:p>
        </w:tc>
        <w:tc>
          <w:tcPr>
            <w:tcW w:w="42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74"/>
        </w:trPr>
        <w:tc>
          <w:tcPr>
            <w:tcW w:w="600" w:type="dxa"/>
            <w:vAlign w:val="bottom"/>
          </w:tcPr>
          <w:p>
            <w:pPr>
              <w:spacing w:after="0"/>
              <w:rPr>
                <w:sz w:val="15"/>
                <w:szCs w:val="15"/>
                <w:color w:val="auto"/>
              </w:rPr>
            </w:pPr>
          </w:p>
        </w:tc>
        <w:tc>
          <w:tcPr>
            <w:tcW w:w="4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Attorney-in-fact</w:t>
            </w:r>
          </w:p>
        </w:tc>
        <w:tc>
          <w:tcPr>
            <w:tcW w:w="42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3"/>
        </w:trPr>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60" w:type="dxa"/>
            <w:vAlign w:val="bottom"/>
          </w:tcPr>
          <w:p>
            <w:pPr>
              <w:ind w:left="500"/>
              <w:spacing w:after="0"/>
              <w:rPr>
                <w:sz w:val="20"/>
                <w:szCs w:val="20"/>
                <w:color w:val="auto"/>
              </w:rPr>
            </w:pPr>
            <w:r>
              <w:rPr>
                <w:rFonts w:ascii="Arial" w:cs="Arial" w:eastAsia="Arial" w:hAnsi="Arial"/>
                <w:sz w:val="18"/>
                <w:szCs w:val="18"/>
                <w:color w:val="auto"/>
              </w:rPr>
              <w:t>II-25</w:t>
            </w:r>
          </w:p>
        </w:tc>
        <w:tc>
          <w:tcPr>
            <w:tcW w:w="166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person whose signature to this registration statement appears below is an officer and/or a member of the Board of Directors of Wynn Resorts, Limited (“WRL”) and/or of Wynn Las Vegas Capital Corp. (“WLVCC”) or, in the case of Andrew Pascal and Scott Peterson, an officer of Wynn Las Vegas, LLC, and hereby severally constitutes and appoints Stephen A. Wynn, Matt Maddox,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82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6"/>
              </w:rPr>
              <w:t>Stephen A.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Vice Chairman of the Board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Kazuo Okada</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9"/>
              </w:rPr>
              <w:t>Linda Chen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73"/>
              </w:rPr>
              <w:t>/s/</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USSELL</w:t>
            </w:r>
            <w:r>
              <w:rPr>
                <w:rFonts w:ascii="Arial" w:cs="Arial" w:eastAsia="Arial" w:hAnsi="Arial"/>
                <w:sz w:val="18"/>
                <w:szCs w:val="18"/>
                <w:color w:val="auto"/>
                <w:w w:val="99"/>
              </w:rPr>
              <w:t xml:space="preserve"> G</w:t>
            </w:r>
            <w:r>
              <w:rPr>
                <w:rFonts w:ascii="Arial" w:cs="Arial" w:eastAsia="Arial" w:hAnsi="Arial"/>
                <w:sz w:val="14"/>
                <w:szCs w:val="14"/>
                <w:color w:val="auto"/>
                <w:w w:val="99"/>
              </w:rPr>
              <w:t>OLDSMITH</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4"/>
              </w:rPr>
              <w:t>Russell Goldsmith</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3"/>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R</w:t>
            </w:r>
            <w:r>
              <w:rPr>
                <w:rFonts w:ascii="Arial" w:cs="Arial" w:eastAsia="Arial" w:hAnsi="Arial"/>
                <w:sz w:val="18"/>
                <w:szCs w:val="18"/>
                <w:color w:val="auto"/>
                <w:w w:val="99"/>
              </w:rPr>
              <w:t>. R</w:t>
            </w:r>
            <w:r>
              <w:rPr>
                <w:rFonts w:ascii="Arial" w:cs="Arial" w:eastAsia="Arial" w:hAnsi="Arial"/>
                <w:sz w:val="14"/>
                <w:szCs w:val="14"/>
                <w:color w:val="auto"/>
                <w:w w:val="99"/>
              </w:rPr>
              <w:t>AY</w:t>
            </w:r>
            <w:r>
              <w:rPr>
                <w:rFonts w:ascii="Arial" w:cs="Arial" w:eastAsia="Arial" w:hAnsi="Arial"/>
                <w:sz w:val="18"/>
                <w:szCs w:val="18"/>
                <w:color w:val="auto"/>
                <w:w w:val="99"/>
              </w:rPr>
              <w:t xml:space="preserve"> I</w:t>
            </w:r>
            <w:r>
              <w:rPr>
                <w:rFonts w:ascii="Arial" w:cs="Arial" w:eastAsia="Arial" w:hAnsi="Arial"/>
                <w:sz w:val="14"/>
                <w:szCs w:val="14"/>
                <w:color w:val="auto"/>
                <w:w w:val="99"/>
              </w:rPr>
              <w:t>RANI</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Dr. Ray R. Irani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Robert J. Miller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0"/>
              </w:rPr>
              <w:t>John A. Moran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83"/>
              </w:rPr>
              <w:t>/s/</w:t>
            </w:r>
          </w:p>
        </w:tc>
        <w:tc>
          <w:tcPr>
            <w:tcW w:w="3460" w:type="dxa"/>
            <w:vAlign w:val="bottom"/>
            <w:tcBorders>
              <w:bottom w:val="single" w:sz="8" w:color="auto"/>
            </w:tcBorders>
            <w:gridSpan w:val="4"/>
          </w:tcPr>
          <w:p>
            <w:pPr>
              <w:jc w:val="center"/>
              <w:ind w:right="15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Alvin V. Shoemaker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82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3"/>
              </w:rPr>
              <w:t>D. Boone Wayson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3"/>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280" w:type="dxa"/>
            <w:vAlign w:val="bottom"/>
            <w:gridSpan w:val="3"/>
          </w:tcPr>
          <w:p>
            <w:pPr>
              <w:ind w:left="220"/>
              <w:spacing w:after="0"/>
              <w:rPr>
                <w:sz w:val="20"/>
                <w:szCs w:val="20"/>
                <w:color w:val="auto"/>
              </w:rPr>
            </w:pPr>
            <w:r>
              <w:rPr>
                <w:rFonts w:ascii="Arial" w:cs="Arial" w:eastAsia="Arial" w:hAnsi="Arial"/>
                <w:sz w:val="18"/>
                <w:szCs w:val="18"/>
                <w:color w:val="auto"/>
              </w:rPr>
              <w:t>Director of WRL and WLVCC</w:t>
            </w:r>
          </w:p>
        </w:tc>
        <w:tc>
          <w:tcPr>
            <w:tcW w:w="164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October 6, 2010</w:t>
            </w:r>
          </w:p>
        </w:tc>
      </w:tr>
      <w:tr>
        <w:trPr>
          <w:trHeight w:val="169"/>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280" w:type="dxa"/>
            <w:vAlign w:val="bottom"/>
            <w:gridSpan w:val="3"/>
          </w:tcPr>
          <w:p>
            <w:pPr>
              <w:ind w:left="500"/>
              <w:spacing w:after="0"/>
              <w:rPr>
                <w:sz w:val="20"/>
                <w:szCs w:val="20"/>
                <w:color w:val="auto"/>
              </w:rPr>
            </w:pPr>
            <w:r>
              <w:rPr>
                <w:rFonts w:ascii="Arial" w:cs="Arial" w:eastAsia="Arial" w:hAnsi="Arial"/>
                <w:sz w:val="18"/>
                <w:szCs w:val="18"/>
                <w:color w:val="auto"/>
              </w:rPr>
              <w:t>II-26</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jc w:val="right"/>
        <w:ind w:right="1340"/>
        <w:spacing w:after="0"/>
        <w:tabs>
          <w:tab w:leader="none" w:pos="2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D. S</w:t>
      </w:r>
      <w:r>
        <w:rPr>
          <w:rFonts w:ascii="Arial" w:cs="Arial" w:eastAsia="Arial" w:hAnsi="Arial"/>
          <w:sz w:val="13"/>
          <w:szCs w:val="13"/>
          <w:color w:val="auto"/>
        </w:rPr>
        <w:t>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Marc D. Schorr</w:t>
      </w:r>
    </w:p>
    <w:p>
      <w:pPr>
        <w:spacing w:after="0" w:line="26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2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7"/>
        </w:trPr>
        <w:tc>
          <w:tcPr>
            <w:tcW w:w="4120" w:type="dxa"/>
            <w:vAlign w:val="bottom"/>
            <w:gridSpan w:val="3"/>
          </w:tcPr>
          <w:p>
            <w:pPr>
              <w:spacing w:after="0"/>
              <w:rPr>
                <w:sz w:val="20"/>
                <w:szCs w:val="20"/>
                <w:color w:val="auto"/>
              </w:rPr>
            </w:pPr>
            <w:r>
              <w:rPr>
                <w:rFonts w:ascii="Arial" w:cs="Arial" w:eastAsia="Arial" w:hAnsi="Arial"/>
                <w:sz w:val="18"/>
                <w:szCs w:val="18"/>
                <w:color w:val="auto"/>
              </w:rPr>
              <w:t>Director of WRL and Chief Operating Officer of</w:t>
            </w:r>
          </w:p>
        </w:tc>
        <w:tc>
          <w:tcPr>
            <w:tcW w:w="158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October 6, 2010</w:t>
            </w:r>
          </w:p>
        </w:tc>
      </w:tr>
      <w:tr>
        <w:trPr>
          <w:trHeight w:val="222"/>
        </w:trPr>
        <w:tc>
          <w:tcPr>
            <w:tcW w:w="4120" w:type="dxa"/>
            <w:vAlign w:val="bottom"/>
            <w:gridSpan w:val="3"/>
          </w:tcPr>
          <w:p>
            <w:pPr>
              <w:ind w:left="220"/>
              <w:spacing w:after="0"/>
              <w:rPr>
                <w:sz w:val="20"/>
                <w:szCs w:val="20"/>
                <w:color w:val="auto"/>
              </w:rPr>
            </w:pPr>
            <w:r>
              <w:rPr>
                <w:rFonts w:ascii="Arial" w:cs="Arial" w:eastAsia="Arial" w:hAnsi="Arial"/>
                <w:sz w:val="18"/>
                <w:szCs w:val="18"/>
                <w:color w:val="auto"/>
              </w:rPr>
              <w:t>WLVCC</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color w:val="auto"/>
              </w:rPr>
              <w:t>President of Wynn Las Vegas, LLC</w:t>
            </w:r>
          </w:p>
        </w:tc>
        <w:tc>
          <w:tcPr>
            <w:tcW w:w="158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October 6, 2010</w:t>
            </w:r>
          </w:p>
        </w:tc>
      </w:tr>
      <w:tr>
        <w:trPr>
          <w:trHeight w:val="601"/>
        </w:trPr>
        <w:tc>
          <w:tcPr>
            <w:tcW w:w="4120" w:type="dxa"/>
            <w:vAlign w:val="bottom"/>
            <w:gridSpan w:val="3"/>
          </w:tcPr>
          <w:p>
            <w:pPr>
              <w:spacing w:after="0"/>
              <w:rPr>
                <w:sz w:val="20"/>
                <w:szCs w:val="20"/>
                <w:color w:val="auto"/>
              </w:rPr>
            </w:pPr>
            <w:r>
              <w:rPr>
                <w:rFonts w:ascii="Arial" w:cs="Arial" w:eastAsia="Arial" w:hAnsi="Arial"/>
                <w:sz w:val="18"/>
                <w:szCs w:val="18"/>
                <w:color w:val="auto"/>
                <w:w w:val="99"/>
              </w:rPr>
              <w:t>Senior Vice President and Chief Financial Officer of</w:t>
            </w:r>
          </w:p>
        </w:tc>
        <w:tc>
          <w:tcPr>
            <w:tcW w:w="158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October 6, 2010</w:t>
            </w:r>
          </w:p>
        </w:tc>
      </w:tr>
      <w:tr>
        <w:trPr>
          <w:trHeight w:val="222"/>
        </w:trPr>
        <w:tc>
          <w:tcPr>
            <w:tcW w:w="4120" w:type="dxa"/>
            <w:vAlign w:val="bottom"/>
            <w:gridSpan w:val="3"/>
          </w:tcPr>
          <w:p>
            <w:pPr>
              <w:ind w:left="220"/>
              <w:spacing w:after="0"/>
              <w:rPr>
                <w:sz w:val="20"/>
                <w:szCs w:val="20"/>
                <w:color w:val="auto"/>
              </w:rPr>
            </w:pPr>
            <w:r>
              <w:rPr>
                <w:rFonts w:ascii="Arial" w:cs="Arial" w:eastAsia="Arial" w:hAnsi="Arial"/>
                <w:sz w:val="18"/>
                <w:szCs w:val="18"/>
                <w:color w:val="auto"/>
              </w:rPr>
              <w:t>Wynn Las Vegas, LLC</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5"/>
        </w:trPr>
        <w:tc>
          <w:tcPr>
            <w:tcW w:w="4120" w:type="dxa"/>
            <w:vAlign w:val="bottom"/>
            <w:gridSpan w:val="3"/>
          </w:tcPr>
          <w:p>
            <w:pPr>
              <w:ind w:left="280"/>
              <w:spacing w:after="0"/>
              <w:rPr>
                <w:sz w:val="20"/>
                <w:szCs w:val="20"/>
                <w:color w:val="auto"/>
              </w:rPr>
            </w:pPr>
            <w:r>
              <w:rPr>
                <w:rFonts w:ascii="Arial" w:cs="Arial" w:eastAsia="Arial" w:hAnsi="Arial"/>
                <w:sz w:val="18"/>
                <w:szCs w:val="18"/>
                <w:color w:val="auto"/>
              </w:rPr>
              <w:t>II-27</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-2082165</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4540" w:space="720"/>
            <w:col w:w="5700"/>
          </w:cols>
          <w:pgMar w:left="240" w:top="459" w:right="6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Second Amended and Restated Articles of Organization of Wynn Las</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3.1</w:t>
            </w:r>
          </w:p>
        </w:tc>
        <w:tc>
          <w:tcPr>
            <w:tcW w:w="5420" w:type="dxa"/>
            <w:vAlign w:val="bottom"/>
            <w:vMerge w:val="continue"/>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Arial" w:cs="Arial" w:eastAsia="Arial" w:hAnsi="Arial"/>
                <w:sz w:val="18"/>
                <w:szCs w:val="18"/>
                <w:color w:val="auto"/>
              </w:rPr>
              <w:t>Vegas, LLC. (1)</w:t>
            </w:r>
          </w:p>
        </w:tc>
        <w:tc>
          <w:tcPr>
            <w:tcW w:w="0" w:type="dxa"/>
            <w:vAlign w:val="bottom"/>
          </w:tcPr>
          <w:p>
            <w:pPr>
              <w:spacing w:after="0"/>
              <w:rPr>
                <w:sz w:val="1"/>
                <w:szCs w:val="1"/>
                <w:color w:val="auto"/>
              </w:rPr>
            </w:pPr>
          </w:p>
        </w:tc>
      </w:tr>
      <w:tr>
        <w:trPr>
          <w:trHeight w:val="316"/>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3.9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Operating Agreement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3.19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Indenture, dated as of October 19, 2009,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(22)</w:t>
            </w:r>
          </w:p>
        </w:tc>
        <w:tc>
          <w:tcPr>
            <w:tcW w:w="0" w:type="dxa"/>
            <w:vAlign w:val="bottom"/>
          </w:tcPr>
          <w:p>
            <w:pPr>
              <w:spacing w:after="0"/>
              <w:rPr>
                <w:sz w:val="1"/>
                <w:szCs w:val="1"/>
                <w:color w:val="auto"/>
              </w:rPr>
            </w:pPr>
          </w:p>
        </w:tc>
      </w:tr>
      <w:tr>
        <w:trPr>
          <w:trHeight w:val="318"/>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(26)</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Skadden, Arps, Slate, Meagher &amp; Flom LLP. (27)</w:t>
            </w:r>
          </w:p>
        </w:tc>
        <w:tc>
          <w:tcPr>
            <w:tcW w:w="0" w:type="dxa"/>
            <w:vAlign w:val="bottom"/>
          </w:tcPr>
          <w:p>
            <w:pPr>
              <w:spacing w:after="0"/>
              <w:rPr>
                <w:sz w:val="1"/>
                <w:szCs w:val="1"/>
                <w:color w:val="auto"/>
              </w:rPr>
            </w:pP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(27)</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20" w:type="dxa"/>
            <w:vAlign w:val="bottom"/>
          </w:tcPr>
          <w:p>
            <w:pPr>
              <w:spacing w:after="0"/>
              <w:rPr>
                <w:sz w:val="14"/>
                <w:szCs w:val="14"/>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10.4</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90"/>
              </w:rPr>
              <w:t>Third Amendment to Amended and Restated Master Disbursement</w:t>
            </w: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3"/>
              </w:rPr>
              <w:t>Agreement,</w:t>
            </w:r>
          </w:p>
        </w:tc>
        <w:tc>
          <w:tcPr>
            <w:tcW w:w="4800" w:type="dxa"/>
            <w:vAlign w:val="bottom"/>
          </w:tcPr>
          <w:p>
            <w:pPr>
              <w:ind w:left="80"/>
              <w:spacing w:after="0" w:line="201" w:lineRule="exact"/>
              <w:rPr>
                <w:sz w:val="20"/>
                <w:szCs w:val="20"/>
                <w:color w:val="auto"/>
              </w:rPr>
            </w:pPr>
            <w:r>
              <w:rPr>
                <w:rFonts w:ascii="Arial" w:cs="Arial" w:eastAsia="Arial" w:hAnsi="Arial"/>
                <w:sz w:val="18"/>
                <w:szCs w:val="18"/>
                <w:color w:val="auto"/>
                <w:w w:val="93"/>
              </w:rPr>
              <w:t>dated October 19, 2009, by and among Wynn Las Vegas, LLC,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as owner trustee, World Travel, LLC and Wells Fargo Bank, National Association, not in its individual capacity but solely as collateral agent. (9)</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10.14</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lenders named therein. (7)</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Third Amended and Restated Art Rental and Licensing Agreement, dated as of August 6, 2004, by and between Stephen A. Wynn and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bl>
    <w:p>
      <w:pPr>
        <w:sectPr>
          <w:pgSz w:w="11900" w:h="16838" w:orient="portrait"/>
          <w:cols w:equalWidth="0" w:num="1">
            <w:col w:w="11380"/>
          </w:cols>
          <w:pgMar w:left="240" w:top="460" w:right="2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10.20</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85"/>
              </w:rPr>
              <w:t>Guarantee and Collateral Agreement, dated as of December 14, 2004,</w:t>
            </w:r>
          </w:p>
        </w:tc>
        <w:tc>
          <w:tcPr>
            <w:tcW w:w="7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w w:val="83"/>
              </w:rPr>
              <w:t>made by</w:t>
            </w:r>
          </w:p>
        </w:tc>
        <w:tc>
          <w:tcPr>
            <w:tcW w:w="4840" w:type="dxa"/>
            <w:vAlign w:val="bottom"/>
          </w:tcPr>
          <w:p>
            <w:pPr>
              <w:ind w:left="60"/>
              <w:spacing w:after="0" w:line="201" w:lineRule="exact"/>
              <w:rPr>
                <w:sz w:val="20"/>
                <w:szCs w:val="20"/>
                <w:color w:val="auto"/>
              </w:rPr>
            </w:pPr>
            <w:r>
              <w:rPr>
                <w:rFonts w:ascii="Arial" w:cs="Arial" w:eastAsia="Arial" w:hAnsi="Arial"/>
                <w:sz w:val="18"/>
                <w:szCs w:val="18"/>
                <w:color w:val="auto"/>
                <w:w w:val="90"/>
              </w:rPr>
              <w:t>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Capital Corp., and those subsidiaries of Wynn Las Vegas, LLC listed on Exhibit 21.1 hereto in favor of Deutsche Bank Trust Company Americas,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10.29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First Amendment to Amended and Restated Credit Agreement, dated April 9, 2007, among Wynn Las Vegas, LLC, Wynn Las Vegas Capital Corp.,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bl>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9"/>
              </w:rPr>
              <w:t>10.33</w:t>
            </w:r>
          </w:p>
        </w:tc>
        <w:tc>
          <w:tcPr>
            <w:tcW w:w="6120" w:type="dxa"/>
            <w:vAlign w:val="bottom"/>
            <w:gridSpan w:val="2"/>
          </w:tcPr>
          <w:p>
            <w:pPr>
              <w:ind w:left="580"/>
              <w:spacing w:after="0" w:line="201" w:lineRule="exact"/>
              <w:rPr>
                <w:sz w:val="20"/>
                <w:szCs w:val="20"/>
                <w:color w:val="auto"/>
              </w:rPr>
            </w:pPr>
            <w:r>
              <w:rPr>
                <w:rFonts w:ascii="Arial" w:cs="Arial" w:eastAsia="Arial" w:hAnsi="Arial"/>
                <w:sz w:val="18"/>
                <w:szCs w:val="18"/>
                <w:color w:val="auto"/>
                <w:w w:val="85"/>
              </w:rPr>
              <w:t>Second Amendment to Amended and Restated Credit Agreement, dated October</w:t>
            </w:r>
          </w:p>
        </w:tc>
        <w:tc>
          <w:tcPr>
            <w:tcW w:w="4820" w:type="dxa"/>
            <w:vAlign w:val="bottom"/>
          </w:tcPr>
          <w:p>
            <w:pPr>
              <w:ind w:left="180"/>
              <w:spacing w:after="0" w:line="201" w:lineRule="exact"/>
              <w:rPr>
                <w:sz w:val="20"/>
                <w:szCs w:val="20"/>
                <w:color w:val="auto"/>
              </w:rPr>
            </w:pPr>
            <w:r>
              <w:rPr>
                <w:rFonts w:ascii="Arial" w:cs="Arial" w:eastAsia="Arial" w:hAnsi="Arial"/>
                <w:sz w:val="18"/>
                <w:szCs w:val="18"/>
                <w:color w:val="auto"/>
                <w:w w:val="87"/>
              </w:rPr>
              <w:t>31, 2007,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Corp., Wynn Show Performers, LLC, Wynn Golf, LLC, Wynn Sunrise, LLC, World Travel, LLC, Kevyn, LLC, Las Vegas Jet, LLC,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Holdings, LLC, Wynn Completion Guarantors, LLC and Deutsche Bank Trust Company Americas, as Administrative Agent on behalf of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Vegas 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Sixth Amendment to Amended and Restated Credit Agreement, dated as of April 28, 2010, among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6"/>
              </w:rPr>
              <w:t>Resorts Holdings, LLC, Wynn Completion Guarantor, LLC and Deutsche Bank Trust Company Americas, as Administrative Agent. (24)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Lease, made as of March 17, 2010, by and between Wynn Las Vegas, LLC and Elaine P. Wynn. (25)</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and Stephen A. Wynn. (25)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Registration Rights Agreement, dated as of October 19, 2009, by and among Wynn Las Vegas, LLC, Wynn Las Vegas Capital Corp.,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r>
    </w:tbl>
    <w:p>
      <w:pPr>
        <w:sectPr>
          <w:pgSz w:w="11900" w:h="16838" w:orient="portrait"/>
          <w:cols w:equalWidth="0" w:num="1">
            <w:col w:w="11400"/>
          </w:cols>
          <w:pgMar w:left="240" w:top="460" w:right="2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20" w:type="dxa"/>
            <w:vAlign w:val="bottom"/>
          </w:tcPr>
          <w:p>
            <w:pPr>
              <w:spacing w:after="0"/>
              <w:rPr>
                <w:sz w:val="14"/>
                <w:szCs w:val="14"/>
                <w:color w:val="auto"/>
              </w:rPr>
            </w:pPr>
          </w:p>
        </w:tc>
        <w:tc>
          <w:tcPr>
            <w:tcW w:w="5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10.43</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90"/>
              </w:rPr>
              <w:t>Registration Rights Agreement, dated as of August 4, 2010, by and</w:t>
            </w: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among the</w:t>
            </w: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3"/>
              </w:rPr>
              <w:t>Issuers, the Guarantors, Deutsche Bank Securities Inc., Banc of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America Securities LLC, J.P. Morgan Securities Inc., Morgan Stanley &amp; Co. Incorporated, RBS Securities Inc. and UBS Securities LLC. (26)</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10.44</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0"/>
              </w:rPr>
              <w:t>Seventh Amendment to Amended and Restated Credit Agreement dated as of August 4, 2010 among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(26)</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12.1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Statements re Computation of Ratios.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21.1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Consent of Skadden, Arps, Slate, Meagher &amp; Flom LLP (included in Exhibit 5.1).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23.3</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Consent of Brownstein Hyatt Farber Schreck, LLP (included in Exhibit 5.2).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Powers of Attorney (included in the signature pages to the Registration Statement). (27)</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25.1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w w:val="92"/>
              </w:rPr>
              <w:t>Statement of Eligibility and Qualification on Form T-1 of U.S. Bank National Association, as trustee under the Indenture for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 xml:space="preserve">LLC and Wynn Las Vegas Capital Corp.’s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Form of Letter of Transmittal.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99.2</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Form of Notice of Guaranteed Delivery.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99.3</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Form of Letter to Clients. (27)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99.4</w:t>
            </w:r>
          </w:p>
        </w:tc>
        <w:tc>
          <w:tcPr>
            <w:tcW w:w="10900" w:type="dxa"/>
            <w:vAlign w:val="bottom"/>
            <w:gridSpan w:val="3"/>
          </w:tcPr>
          <w:p>
            <w:pPr>
              <w:ind w:left="580"/>
              <w:spacing w:after="0"/>
              <w:rPr>
                <w:sz w:val="20"/>
                <w:szCs w:val="20"/>
                <w:color w:val="auto"/>
              </w:rPr>
            </w:pPr>
            <w:r>
              <w:rPr>
                <w:rFonts w:ascii="Arial" w:cs="Arial" w:eastAsia="Arial" w:hAnsi="Arial"/>
                <w:sz w:val="18"/>
                <w:szCs w:val="18"/>
                <w:color w:val="auto"/>
              </w:rPr>
              <w:t>Form of Letter to Brokers, Dealers, Commercial Banks, Trust Companies and Other Nominees. (27)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ectPr>
          <w:pgSz w:w="11900" w:h="16838" w:orient="portrait"/>
          <w:cols w:equalWidth="0" w:num="1">
            <w:col w:w="11360"/>
          </w:cols>
          <w:pgMar w:left="240" w:top="459" w:right="2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9, 2007.</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31,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February 22, 2008.</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21,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14,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20,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on May 8,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on April 28,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19,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5,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219"/>
          </w:cols>
          <w:pgMar w:left="240" w:top="460" w:right="1440"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143510</wp:posOffset>
            </wp:positionV>
            <wp:extent cx="6226175" cy="22980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2617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October 6,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  Wynn Las Vegas, LLC and Wynn Las Vegas Capital</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 Registration Statement on Form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-17780</wp:posOffset>
            </wp:positionV>
            <wp:extent cx="23628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6283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We have acted as special counsel to Wynn Las Vegas, LLC, a Nevada limited liability company, and Wynn Las Vegas Capital Corp., a Nevada corporation (collectively, the “Issuers”), and each of the entities listed on Schedule I hereto (collectively, the “Guarantors”) in connection with the public offering of up to $1,320,000,000 aggregate principal amount of the Issuers’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First Mortgage Notes due 2020 (the “Exchange Notes”). The Indenture, dated as of August 4, 2010, among the Issuers, the Guarantors and U.S. Bank National Association, as trustee (the “Trustee,” and such indenture, the “Indenture”), provides for the guarantee of the Exchange Notes by the Guarantors (the “Guarantees”) to the extent set forth in the Indenture. The Exchange Notes are to be offered (the “Exchange Offer”) in exchange for a like principal amount of the issued and outstanding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2020 of the Issuers issued on August 4, 2010 and the guarantees thereof by the Guarantors (the “Original Notes”), as contemplated by the Registration Rights Agreement, dated as of August 4, 2010 (the “Registration Rights Agreement”), by and among the Issuers, the Guarantors, Deutsche Bank Securities Inc., Banc of America Securities LLC, J.P. Morgan Securities Inc., Morgan Stanley &amp; Co. Incorporated, RBS Securities Inc. and UBS Securities LLC.</w:t>
      </w:r>
    </w:p>
    <w:p>
      <w:pPr>
        <w:sectPr>
          <w:pgSz w:w="11900" w:h="16838" w:orient="portrait"/>
          <w:cols w:equalWidth="0" w:num="1">
            <w:col w:w="11420"/>
          </w:cols>
          <w:pgMar w:left="240" w:top="125" w:right="2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opinion is being furnished to you in accordance with the requirements of Item 601(b)(5) of Regulation S-K under the Securities Act of 1933, as amended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opinions set forth herein, we have examined and relied on originals or copies of the following:</w:t>
      </w:r>
    </w:p>
    <w:p>
      <w:pPr>
        <w:spacing w:after="0" w:line="90" w:lineRule="exact"/>
        <w:rPr>
          <w:sz w:val="20"/>
          <w:szCs w:val="20"/>
          <w:color w:val="auto"/>
        </w:rPr>
      </w:pPr>
    </w:p>
    <w:p>
      <w:pPr>
        <w:ind w:right="60" w:firstLine="464"/>
        <w:spacing w:after="0" w:line="259"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registration statement on Form S-4 of the Issuers and the Guarantors relating to the Exchange Notes and the Guarantees to be filed with the Securities and Exchange Commission (the “Commission”) under the Securities Act on the date hereof (such registration statement being hereinafter referred to as the “Registration Statement”);</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executed copy of the Registration Rights Agreement;</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form of Exchange Notes included in the Indenture; and</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form of Guarantees included in the Indenture.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Issuers and the Guarantors and such agreements, certificates and receipts of public officials, certificates of officers or other representatives of the Issuers, the Guarantors and others, and such other documents as we have deemed necessary or appropriate as a basis for the opinions set forth below.</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Issuers and the Guarantors,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We have also assumed that each of the Issuers and the Guarantors has complied and will comply with all aspects of the laws of all relevant jurisdictions (including the laws of the State of Nevada) in connection with the transactions contemplated by, and the performance of their obligations under, the Exchange Offer, other than the laws of the State of New York insofar as we express our opinions herein. As to any facts</w:t>
      </w:r>
    </w:p>
    <w:p>
      <w:pPr>
        <w:sectPr>
          <w:pgSz w:w="11900" w:h="16838" w:orient="portrait"/>
          <w:cols w:equalWidth="0" w:num="1">
            <w:col w:w="11420"/>
          </w:cols>
          <w:pgMar w:left="240" w:top="280"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material to the opinions expressed herein that we did not independently establish or verify, we have relied upon statements and representations of officers and other representatives of the Issuers, the Guarantors and others and of public officials.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express any opinion as to any laws other than those laws, rules and regulations of the State of New York that, in our experience, are applicable to transactions of the type contemplated by the Exchange Offer,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law (other than Opined on Law) on the opinions herein stated. Insofar as the opinions expressed herein relate to matters governed by laws other than Opined on Law, we have assumed, without having made any independent investigation, that such laws do not affect the opinions set forth herein. The opinions expressed herein are based on laws in effect on the date hereof, which laws are subject to change with possible retroactive effect, and we disclaim any undertaking to advise you of any subsequent changes in the facts stated or assumed herein or of any subsequent changes in applicable laws.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set forth below are subject to the following further qualifications, assumptions and limitations:</w:t>
      </w:r>
    </w:p>
    <w:p>
      <w:pPr>
        <w:spacing w:after="0" w:line="90" w:lineRule="exact"/>
        <w:rPr>
          <w:sz w:val="20"/>
          <w:szCs w:val="20"/>
          <w:color w:val="auto"/>
        </w:rPr>
      </w:pPr>
    </w:p>
    <w:p>
      <w:pPr>
        <w:ind w:right="560" w:firstLine="464"/>
        <w:spacing w:after="0" w:line="332" w:lineRule="auto"/>
        <w:tabs>
          <w:tab w:leader="none" w:pos="69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 rendering the opinions set forth below, we have assumed that the Trustee’s certificates of authentication of the Exchange Notes will have been manually signed by one of the Trustee’s authorized officers and that the Exchange Notes conform to the forms thereof examined by us;</w:t>
      </w:r>
    </w:p>
    <w:p>
      <w:pPr>
        <w:spacing w:after="0" w:line="4" w:lineRule="exact"/>
        <w:rPr>
          <w:rFonts w:ascii="Arial" w:cs="Arial" w:eastAsia="Arial" w:hAnsi="Arial"/>
          <w:sz w:val="16"/>
          <w:szCs w:val="16"/>
          <w:color w:val="auto"/>
        </w:rPr>
      </w:pPr>
    </w:p>
    <w:p>
      <w:pPr>
        <w:ind w:right="220" w:firstLine="464"/>
        <w:spacing w:after="0" w:line="256" w:lineRule="auto"/>
        <w:tabs>
          <w:tab w:leader="none" w:pos="7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we do not express any opinion as to the effect on the opinion expressed herein of (i) the compliance or noncompliance of any party to the Indenture (other than with respect to the Issuers and the Guarantors to the extent necessary to render the opinions set forth herein) with any state, federal or other laws or regulations applicable to it or them or (ii) the legal or regulatory status or the nature of the business of any such party (other than with respect to the Issuers and the Guarantors to the extent necessary to render the opinions set forth herein);</w:t>
      </w:r>
    </w:p>
    <w:p>
      <w:pPr>
        <w:spacing w:after="0" w:line="62" w:lineRule="exact"/>
        <w:rPr>
          <w:rFonts w:ascii="Arial" w:cs="Arial" w:eastAsia="Arial" w:hAnsi="Arial"/>
          <w:sz w:val="18"/>
          <w:szCs w:val="18"/>
          <w:color w:val="auto"/>
        </w:rPr>
      </w:pPr>
    </w:p>
    <w:p>
      <w:pPr>
        <w:ind w:right="60" w:firstLine="464"/>
        <w:spacing w:after="0" w:line="259" w:lineRule="auto"/>
        <w:tabs>
          <w:tab w:leader="none" w:pos="69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we have assumed that the execution and delivery by the Issuers and the Guarantors of the Indenture and the performance by the Issuers and the Guarantors of their obligations thereunder did not, do not and will not violate, conflict with or constitute a default under (i) any agreement or instrument to which the Issuers or the Guarantors or any of their properties is subject, (ii) any law, rule, or</w:t>
      </w:r>
    </w:p>
    <w:p>
      <w:pPr>
        <w:sectPr>
          <w:pgSz w:w="11900" w:h="16838" w:orient="portrait"/>
          <w:cols w:equalWidth="0" w:num="1">
            <w:col w:w="11420"/>
          </w:cols>
          <w:pgMar w:left="240" w:top="280" w:right="2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regulation to which the Issuers or the Guarantors or any of their properties is subject, (iii) any judicial or regulatory order or decree of any governmental authority or (iv) any consent, approval, license, authorization or validation of, or filing, recording or registration with, any governmental authority;</w:t>
      </w:r>
    </w:p>
    <w:p>
      <w:pPr>
        <w:spacing w:after="0" w:line="4" w:lineRule="exact"/>
        <w:rPr>
          <w:sz w:val="20"/>
          <w:szCs w:val="20"/>
          <w:color w:val="auto"/>
        </w:rPr>
      </w:pPr>
    </w:p>
    <w:p>
      <w:pPr>
        <w:ind w:right="20" w:firstLine="464"/>
        <w:spacing w:after="0" w:line="259" w:lineRule="auto"/>
        <w:tabs>
          <w:tab w:leader="none" w:pos="70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validity or enforcement of any agreements or instruments may be limited by applicable bankruptcy, insolvency, reorganization, moratorium or other similar laws affecting creditors’ rights generally and by general principles of equity (regardless of whether enforceability is considered in a proceeding in equity or at law);</w:t>
      </w:r>
    </w:p>
    <w:p>
      <w:pPr>
        <w:spacing w:after="0" w:line="59"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we do not express any opinion as to the applicability or effect of any fraudulent transfer, preference or similar law on the Indenture or any transactions contemplated thereby; and</w:t>
      </w:r>
    </w:p>
    <w:p>
      <w:pPr>
        <w:spacing w:after="0" w:line="50" w:lineRule="exact"/>
        <w:rPr>
          <w:rFonts w:ascii="Arial" w:cs="Arial" w:eastAsia="Arial" w:hAnsi="Arial"/>
          <w:sz w:val="18"/>
          <w:szCs w:val="18"/>
          <w:color w:val="auto"/>
        </w:rPr>
      </w:pPr>
    </w:p>
    <w:p>
      <w:pPr>
        <w:ind w:right="40" w:firstLine="464"/>
        <w:spacing w:after="0" w:line="259" w:lineRule="auto"/>
        <w:tabs>
          <w:tab w:leader="none" w:pos="67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the extent any opinion relates to the enforceability of the choice of New York law and choice of New York forum provisions of the Indenture, our opinion is rendered in reliance upon N.Y. Gen. Oblig. Law §§ 5-1401, 5-1402 (McKinney 2001) and N.Y. C.P.L.R. 327(b) (McKinney 2001) and is subject to the qualification that such enforceability may be limited by public policy considerations.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To the extent that the opinion expressed herein relates to matters governed by the laws of the State of Nevada, we have relied, without independent verification or investigation of any kind, on the opinion of Brownstein Hyatt Farber Schreck, LLP, special Nevada counsel to the Issuers and the Guarantors, dated as of the date hereof, which is being filed herewith as Exhibit 5.2 to the Registration Statement, and our opinion is subject to the exceptions, qualifications and assumptions contained in such opinion.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we are of the opinion that:</w:t>
      </w:r>
    </w:p>
    <w:p>
      <w:pPr>
        <w:spacing w:after="0" w:line="113" w:lineRule="exact"/>
        <w:rPr>
          <w:sz w:val="20"/>
          <w:szCs w:val="20"/>
          <w:color w:val="auto"/>
        </w:rPr>
      </w:pPr>
    </w:p>
    <w:p>
      <w:pPr>
        <w:ind w:right="120" w:firstLine="464"/>
        <w:spacing w:after="0" w:line="256" w:lineRule="auto"/>
        <w:tabs>
          <w:tab w:leader="none" w:pos="6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When the Exchange Notes and the Guarantees (in the forms examined by us) have been duly executed, authenticated, issued and delivered in exchange for the Original Notes in accordance with the terms of the Indenture, the Registration Rights Agreement and the Exchange Offer, the Exchange Notes and the Guarantees will constitute valid and binding obligations of each of the Issuers and each of the Guarantors, respectively, enforceable against each of the Issuers and each of the Guarantors, respectively, in accordance with their terms.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hereby consent to the filing of this opinion with the Commission as an exhibit to the Registration Statement. We also hereby consent to the use of our</w:t>
      </w:r>
    </w:p>
    <w:p>
      <w:pPr>
        <w:sectPr>
          <w:pgSz w:w="11900" w:h="16838" w:orient="portrait"/>
          <w:cols w:equalWidth="0" w:num="1">
            <w:col w:w="11380"/>
          </w:cols>
          <w:pgMar w:left="240" w:top="280" w:right="27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name under the heading “Legal Matters” in the prospectus forming a part of the Registration Statement. In giving this consent, we do not thereby admit that we are within the category of persons whose consent is required under Section 7 of the Securities Act or the rules and regulations of the Commission promulgated thereunder.</w:t>
      </w:r>
    </w:p>
    <w:p>
      <w:pPr>
        <w:spacing w:after="0" w:line="14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200"/>
          </w:cols>
          <w:pgMar w:left="240" w:top="280" w:right="459" w:bottom="1440" w:gutter="0" w:footer="0" w:header="0"/>
        </w:sectPr>
      </w:pPr>
    </w:p>
    <w:bookmarkStart w:id="288" w:name="page289"/>
    <w:bookmarkEnd w:id="28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219"/>
          </w:cols>
          <w:pgMar w:left="240" w:top="274"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5.2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We have acted as special Nevada counsel to Wynn Las Vegas, LLC, a Nevada limited liability company (the “Company”), Wynn Las Vegas Capital Corp., a Nevada corporation (“Capital Corp.” and, together with the Company, the “Issuers”), Wynn Show Performers, LLC, Wynn Golf, LLC, Las Vegas Jet, LLC, World Travel, LLC, Wynn Sunrise, LLC, and Kevyn, LLC, each a Nevada limited liability company (collectively, the “Guarantors”), in connection with the filing of the Registration Statement on Form S-4 (the “Registration Statement”) with the Securities and Exchange Commission (the “Commission”) under the Securities Act of 1933, as amended (the “Act”), covering the registration of $1,320,000,000 aggregate principal amount of the Issuers’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w:t>
      </w:r>
    </w:p>
    <w:p>
      <w:pPr>
        <w:spacing w:after="0" w:line="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2020 (the “Exchange Notes”), and the guarantees of the Exchange Notes by the Guarantors (the “Note Guarantees” and together with the Exchange Notes, the “Securities”), issued under that certain Indenture, dated as of August 4, 2010, by and among the Issuers, the Guarantors and U.S. Bank National Association, as trustee (the “Indenture”).</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Issuers and the Guarantors in connection with the authorization and issuance of the Securities, all as referenced in the Registration Statement. For purposes of this opinion letter, we have assumed all such proceedings will be timely completed in the manner presently proposed and the terms of such issuance will be in compliance with applicable laws.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made such legal and factual examinations and inquiries, including an examination of originals or copies certified or otherwise identified to our satisfaction of such documents, agreements, instruments and corporate records, as we have deemed necessary or appropriate for the purposes of this opinion letter. We have also obtained from officers and other representatives and agents of the Issuers and the Guarantors and from public officials, and have relied upon, such certificates, representations and assurances as we have deemed necessary and appropriate for the purpose of issuing this opinion letter.</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Without limiting the generality of the foregoing, in our examination, we have, with your permission, assumed without independent verification, that (i) the obligations of each party set forth in the Indenture and the Securities are its valid and binding obligations, enforceable against such party in accordance with their respective terms; (ii) each document we reviewed has been duly executed and delivered by the parties thereto (other than the Issuers and the Guarantors) to the extent due execution and delivery are prerequisites to the effectiveness thereof; (iii) each natural person executing a document has sufficient legal capacity to do so; (iv) all documents submitted to us as originals are</w:t>
      </w:r>
    </w:p>
    <w:p>
      <w:pPr>
        <w:spacing w:after="0" w:line="113" w:lineRule="exact"/>
        <w:rPr>
          <w:sz w:val="20"/>
          <w:szCs w:val="20"/>
          <w:color w:val="auto"/>
        </w:rPr>
      </w:pPr>
    </w:p>
    <w:tbl>
      <w:tblPr>
        <w:tblLayout w:type="fixed"/>
        <w:tblInd w:w="5060" w:type="dxa"/>
        <w:tblCellMar>
          <w:top w:w="0" w:type="dxa"/>
          <w:left w:w="0" w:type="dxa"/>
          <w:bottom w:w="0" w:type="dxa"/>
          <w:right w:w="0" w:type="dxa"/>
        </w:tblCellMar>
      </w:tblPr>
      <w:tr>
        <w:trPr>
          <w:trHeight w:val="161"/>
        </w:trPr>
        <w:tc>
          <w:tcPr>
            <w:tcW w:w="4500" w:type="dxa"/>
            <w:vAlign w:val="bottom"/>
          </w:tcPr>
          <w:p>
            <w:pPr>
              <w:jc w:val="right"/>
              <w:ind w:right="872"/>
              <w:spacing w:after="0"/>
              <w:rPr>
                <w:sz w:val="20"/>
                <w:szCs w:val="20"/>
                <w:color w:val="auto"/>
              </w:rPr>
            </w:pPr>
            <w:r>
              <w:rPr>
                <w:rFonts w:ascii="Arial" w:cs="Arial" w:eastAsia="Arial" w:hAnsi="Arial"/>
                <w:sz w:val="14"/>
                <w:szCs w:val="14"/>
                <w:color w:val="auto"/>
                <w:w w:val="87"/>
              </w:rPr>
              <w:t xml:space="preserve">100 North City Parkway, Suite 1600 </w:t>
            </w:r>
            <w:r>
              <w:rPr>
                <w:rFonts w:ascii="Arial" w:cs="Arial" w:eastAsia="Arial" w:hAnsi="Arial"/>
                <w:sz w:val="14"/>
                <w:szCs w:val="14"/>
                <w:b w:val="1"/>
                <w:bCs w:val="1"/>
                <w:color w:val="auto"/>
                <w:w w:val="87"/>
              </w:rPr>
              <w:t>|</w:t>
            </w:r>
            <w:r>
              <w:rPr>
                <w:rFonts w:ascii="Arial" w:cs="Arial" w:eastAsia="Arial" w:hAnsi="Arial"/>
                <w:sz w:val="14"/>
                <w:szCs w:val="14"/>
                <w:color w:val="auto"/>
                <w:w w:val="87"/>
              </w:rPr>
              <w:t xml:space="preserve"> Las Vegas, NV 89106-4614</w:t>
            </w:r>
          </w:p>
        </w:tc>
        <w:tc>
          <w:tcPr>
            <w:tcW w:w="1860" w:type="dxa"/>
            <w:vAlign w:val="bottom"/>
          </w:tcPr>
          <w:p>
            <w:pPr>
              <w:jc w:val="right"/>
              <w:spacing w:after="0"/>
              <w:rPr>
                <w:sz w:val="20"/>
                <w:szCs w:val="20"/>
                <w:color w:val="auto"/>
              </w:rPr>
            </w:pPr>
            <w:r>
              <w:rPr>
                <w:rFonts w:ascii="Arial" w:cs="Arial" w:eastAsia="Arial" w:hAnsi="Arial"/>
                <w:sz w:val="14"/>
                <w:szCs w:val="14"/>
                <w:color w:val="auto"/>
              </w:rPr>
              <w:t xml:space="preserve">702.382.2101 </w:t>
            </w:r>
            <w:r>
              <w:rPr>
                <w:rFonts w:ascii="Arial" w:cs="Arial" w:eastAsia="Arial" w:hAnsi="Arial"/>
                <w:sz w:val="14"/>
                <w:szCs w:val="14"/>
                <w:i w:val="1"/>
                <w:iCs w:val="1"/>
                <w:color w:val="auto"/>
              </w:rPr>
              <w:t>tel</w:t>
            </w:r>
          </w:p>
        </w:tc>
      </w:tr>
      <w:tr>
        <w:trPr>
          <w:trHeight w:val="174"/>
        </w:trPr>
        <w:tc>
          <w:tcPr>
            <w:tcW w:w="4500" w:type="dxa"/>
            <w:vAlign w:val="bottom"/>
          </w:tcPr>
          <w:p>
            <w:pPr>
              <w:jc w:val="right"/>
              <w:ind w:right="872"/>
              <w:spacing w:after="0"/>
              <w:rPr>
                <w:sz w:val="20"/>
                <w:szCs w:val="20"/>
                <w:color w:val="auto"/>
              </w:rPr>
            </w:pPr>
            <w:r>
              <w:rPr>
                <w:rFonts w:ascii="Arial" w:cs="Arial" w:eastAsia="Arial" w:hAnsi="Arial"/>
                <w:sz w:val="14"/>
                <w:szCs w:val="14"/>
                <w:color w:val="auto"/>
              </w:rPr>
              <w:t xml:space="preserve">Brownstein Hyatt Farber Schreck, LLP </w:t>
            </w:r>
            <w:r>
              <w:rPr>
                <w:rFonts w:ascii="Arial" w:cs="Arial" w:eastAsia="Arial" w:hAnsi="Arial"/>
                <w:sz w:val="14"/>
                <w:szCs w:val="14"/>
                <w:b w:val="1"/>
                <w:bCs w:val="1"/>
                <w:color w:val="auto"/>
              </w:rPr>
              <w:t>|</w:t>
            </w:r>
            <w:r>
              <w:rPr>
                <w:rFonts w:ascii="Arial" w:cs="Arial" w:eastAsia="Arial" w:hAnsi="Arial"/>
                <w:sz w:val="14"/>
                <w:szCs w:val="14"/>
                <w:color w:val="auto"/>
              </w:rPr>
              <w:t xml:space="preserve"> bhfs.com</w:t>
            </w:r>
          </w:p>
        </w:tc>
        <w:tc>
          <w:tcPr>
            <w:tcW w:w="1860" w:type="dxa"/>
            <w:vAlign w:val="bottom"/>
          </w:tcPr>
          <w:p>
            <w:pPr>
              <w:jc w:val="right"/>
              <w:spacing w:after="0"/>
              <w:rPr>
                <w:sz w:val="20"/>
                <w:szCs w:val="20"/>
                <w:color w:val="auto"/>
              </w:rPr>
            </w:pPr>
            <w:r>
              <w:rPr>
                <w:rFonts w:ascii="Arial" w:cs="Arial" w:eastAsia="Arial" w:hAnsi="Arial"/>
                <w:sz w:val="14"/>
                <w:szCs w:val="14"/>
                <w:color w:val="auto"/>
              </w:rPr>
              <w:t xml:space="preserve">702.382.8135 </w:t>
            </w:r>
            <w:r>
              <w:rPr>
                <w:rFonts w:ascii="Arial" w:cs="Arial" w:eastAsia="Arial" w:hAnsi="Arial"/>
                <w:sz w:val="14"/>
                <w:szCs w:val="14"/>
                <w:i w:val="1"/>
                <w:iCs w:val="1"/>
                <w:color w:val="auto"/>
              </w:rPr>
              <w:t>fax</w:t>
            </w:r>
          </w:p>
        </w:tc>
      </w:tr>
    </w:tbl>
    <w:p>
      <w:pPr>
        <w:sectPr>
          <w:pgSz w:w="11900" w:h="16838" w:orient="portrait"/>
          <w:cols w:equalWidth="0" w:num="1">
            <w:col w:w="11420"/>
          </w:cols>
          <w:pgMar w:left="240" w:top="125" w:right="2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authentic, the signatures on all documents that we examined are genuine, and all documents submitted to us as certified, conformed, photostatic, electronic or facsimile copies conform to the original document; (v) all documents that we examined accurately describe and contain the mutual understanding of the parties thereto and there are no oral or written agreements or understandings, and there is no course of prior dealing, between or among any of the parties that would in any manner vary or supplement the terms and provisions of such documents, or of the relationships set forth therein, or which would constitute a waiver of any of the provisions thereof by the actions or conduct of the parties or otherwise, or which would have an effect on the opinion rendered herein; and (vi) all corporate and limited liability company records made available to us by the Issuers and the Guarantors, and all public records we have reviewed, are accurate and complete.</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 set forth herein is expressly limited to the effect of the general corporate and limited liability company laws of the State of Nevada, and we do not purport to be experts on, or to express any opinion with respect to the applicability thereto, or to the effect thereon, of the laws of any other jurisdiction or as to matters of local law or the laws, rules or regulations of local governmental departments or agencies within the State of Nevada. We express no opinion herein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Securities have been duly authorized by the Issuers and the Guarantors, as applicable.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opinion expressed herein is based upon the applicable Nevada laws in effect and the facts in existence as of the date of this opinion letter. In delivering this opinion letter to you, we assume no obligation, and we advise you that we shall make no effort, to update the opinion set forth herein, to conduct any inquiry into the continued accuracy of such opinion, or to apprise any addressee hereof or its counsel or assignees of any facts, matters, transactions, events or occurrences taking place, and of which we may acquire knowledge, after the date of this letter, or of any change in any applicable Nevada law or any facts occurring after the date of this opinion letter, which may affect the opinion set forth herein. No opinions are offered or implied as to any matter, and no inference may be drawn, beyond the strict scope of the specific issues expressly addressed by the opinion set forth herein.</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consent to your filing this opinion letter as an exhibit to the Registration Statement and to the reference therein to our firm contained under the heading “Legal Matters”. In giving these consents, we do not admit that we are within the category of persons whose consent is required under Section 7 of the Act or the rules and regulations of the Commission promulgated thereunder. Subject to all of the qualifications, limitations, exceptions, restrictions and assumptions set forth herein, Skadden, Arps, Slate, Meagher &amp; Flom LLP may rely on this opinion letter as if it were an addressee hereof on this date for the sole purpose of rendering its opinion letter to the Company relating to the Securities, as filed with the Commission as Exhibit 5.1 to the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00"/>
          </w:cols>
          <w:pgMar w:left="240" w:top="280" w:right="25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Exhibit 12.1</w:t>
            </w:r>
          </w:p>
        </w:tc>
        <w:tc>
          <w:tcPr>
            <w:tcW w:w="0" w:type="dxa"/>
            <w:vAlign w:val="bottom"/>
          </w:tcPr>
          <w:p>
            <w:pPr>
              <w:spacing w:after="0"/>
              <w:rPr>
                <w:sz w:val="1"/>
                <w:szCs w:val="1"/>
                <w:color w:val="auto"/>
              </w:rPr>
            </w:pPr>
          </w:p>
        </w:tc>
      </w:tr>
      <w:tr>
        <w:trPr>
          <w:trHeight w:val="366"/>
        </w:trPr>
        <w:tc>
          <w:tcPr>
            <w:tcW w:w="3280" w:type="dxa"/>
            <w:vAlign w:val="bottom"/>
          </w:tcPr>
          <w:p>
            <w:pPr>
              <w:spacing w:after="0"/>
              <w:rPr>
                <w:sz w:val="24"/>
                <w:szCs w:val="24"/>
                <w:color w:val="auto"/>
              </w:rPr>
            </w:pPr>
          </w:p>
        </w:tc>
        <w:tc>
          <w:tcPr>
            <w:tcW w:w="332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Wynn Las Vegas, LLC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80" w:type="dxa"/>
            <w:vAlign w:val="bottom"/>
          </w:tcPr>
          <w:p>
            <w:pPr>
              <w:spacing w:after="0"/>
              <w:rPr>
                <w:sz w:val="19"/>
                <w:szCs w:val="19"/>
                <w:color w:val="auto"/>
              </w:rPr>
            </w:pPr>
          </w:p>
        </w:tc>
        <w:tc>
          <w:tcPr>
            <w:tcW w:w="434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Calculation of Ratio of Earnings to Fixed Charges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3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2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80" w:type="dxa"/>
            <w:vAlign w:val="bottom"/>
            <w:gridSpan w:val="4"/>
          </w:tcPr>
          <w:p>
            <w:pPr>
              <w:spacing w:after="0"/>
              <w:rPr>
                <w:sz w:val="20"/>
                <w:szCs w:val="20"/>
                <w:color w:val="auto"/>
              </w:rPr>
            </w:pPr>
            <w:r>
              <w:rPr>
                <w:rFonts w:ascii="Arial" w:cs="Arial" w:eastAsia="Arial" w:hAnsi="Arial"/>
                <w:sz w:val="18"/>
                <w:szCs w:val="18"/>
                <w:color w:val="auto"/>
              </w:rPr>
              <w:t>Pretax income from continuing operations before adjustment for minority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ind w:left="220"/>
              <w:spacing w:after="0"/>
              <w:rPr>
                <w:sz w:val="20"/>
                <w:szCs w:val="20"/>
                <w:color w:val="auto"/>
              </w:rPr>
            </w:pPr>
            <w:r>
              <w:rPr>
                <w:rFonts w:ascii="Arial" w:cs="Arial" w:eastAsia="Arial" w:hAnsi="Arial"/>
                <w:sz w:val="18"/>
                <w:szCs w:val="18"/>
                <w:color w:val="auto"/>
              </w:rPr>
              <w:t>interests in consolidated subsidiaries or income or loss from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tcPr>
          <w:p>
            <w:pPr>
              <w:ind w:left="220"/>
              <w:spacing w:after="0"/>
              <w:rPr>
                <w:sz w:val="20"/>
                <w:szCs w:val="20"/>
                <w:color w:val="auto"/>
              </w:rPr>
            </w:pPr>
            <w:r>
              <w:rPr>
                <w:rFonts w:ascii="Arial" w:cs="Arial" w:eastAsia="Arial" w:hAnsi="Arial"/>
                <w:sz w:val="18"/>
                <w:szCs w:val="18"/>
                <w:color w:val="auto"/>
              </w:rPr>
              <w:t>investees.</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$(309,443)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(130,060)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123,423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(45,884)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(150,518)</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3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159,359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158,499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127,309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125,608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capitalized interest</w:t>
            </w:r>
          </w:p>
        </w:tc>
        <w:tc>
          <w:tcPr>
            <w:tcW w:w="3100" w:type="dxa"/>
            <w:vAlign w:val="bottom"/>
            <w:gridSpan w:val="3"/>
          </w:tcPr>
          <w:p>
            <w:pPr>
              <w:jc w:val="right"/>
              <w:ind w:right="180"/>
              <w:spacing w:after="0"/>
              <w:rPr>
                <w:sz w:val="20"/>
                <w:szCs w:val="20"/>
                <w:color w:val="auto"/>
              </w:rPr>
            </w:pPr>
            <w:r>
              <w:rPr>
                <w:rFonts w:ascii="Arial" w:cs="Arial" w:eastAsia="Arial" w:hAnsi="Arial"/>
                <w:sz w:val="18"/>
                <w:szCs w:val="18"/>
                <w:color w:val="auto"/>
              </w:rPr>
              <w:t>24,131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13,908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9,272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Distributed income of equity investees</w:t>
            </w:r>
          </w:p>
        </w:tc>
        <w:tc>
          <w:tcPr>
            <w:tcW w:w="3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Subtract:</w:t>
            </w: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2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36,769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Earnings</w:t>
            </w:r>
          </w:p>
        </w:tc>
        <w:tc>
          <w:tcPr>
            <w:tcW w:w="2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31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(125,585)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(37,263)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226,109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142,176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52,227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(45,961)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3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$ 157,228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117,787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capitalized</w:t>
            </w:r>
          </w:p>
        </w:tc>
        <w:tc>
          <w:tcPr>
            <w:tcW w:w="220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80,398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36,769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2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Fixed Charges</w:t>
            </w:r>
          </w:p>
        </w:tc>
        <w:tc>
          <w:tcPr>
            <w:tcW w:w="2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3100" w:type="dxa"/>
            <w:vAlign w:val="bottom"/>
            <w:gridSpan w:val="3"/>
          </w:tcPr>
          <w:p>
            <w:pPr>
              <w:jc w:val="right"/>
              <w:ind w:right="180"/>
              <w:spacing w:after="0"/>
              <w:rPr>
                <w:sz w:val="20"/>
                <w:szCs w:val="20"/>
                <w:color w:val="auto"/>
              </w:rPr>
            </w:pPr>
            <w:r>
              <w:rPr>
                <w:rFonts w:ascii="Arial" w:cs="Arial" w:eastAsia="Arial" w:hAnsi="Arial"/>
                <w:sz w:val="18"/>
                <w:szCs w:val="18"/>
                <w:color w:val="auto"/>
              </w:rPr>
              <w:t>$ 159,359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158,499</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121,143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127,309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125,608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2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1.12x</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3100" w:type="dxa"/>
            <w:vAlign w:val="bottom"/>
            <w:gridSpan w:val="3"/>
          </w:tcPr>
          <w:p>
            <w:pPr>
              <w:jc w:val="right"/>
              <w:ind w:right="120"/>
              <w:spacing w:after="0"/>
              <w:rPr>
                <w:sz w:val="20"/>
                <w:szCs w:val="20"/>
                <w:color w:val="auto"/>
              </w:rPr>
            </w:pPr>
            <w:r>
              <w:rPr>
                <w:rFonts w:ascii="Arial" w:cs="Arial" w:eastAsia="Arial" w:hAnsi="Arial"/>
                <w:sz w:val="18"/>
                <w:szCs w:val="18"/>
                <w:color w:val="auto"/>
              </w:rPr>
              <w:t>$(284,944)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(195,762)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(73,381)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(140,387)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21.1</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SUBSIDIARIES OF WYNN LAS VEGAS,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Completion Guarantor,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 a Nevada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wholly-owned by Wynn Las Vegas, LLC.</w:t>
      </w:r>
    </w:p>
    <w:p>
      <w:pPr>
        <w:sectPr>
          <w:pgSz w:w="11900" w:h="16838" w:orient="portrait"/>
          <w:cols w:equalWidth="0" w:num="1">
            <w:col w:w="11420"/>
          </w:cols>
          <w:pgMar w:left="240" w:top="125"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We consent to the reference to our firm under the caption “Experts” and to the use of our report dated February 26, 2010, in the Registration Statement (Form S-4) and related Prospectus of Wynn Las Vegas, LLC for the registration of $1.32 billion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6, 2010</w:t>
      </w:r>
    </w:p>
    <w:p>
      <w:pPr>
        <w:sectPr>
          <w:pgSz w:w="11900" w:h="16838" w:orient="portrait"/>
          <w:cols w:equalWidth="0" w:num="1">
            <w:col w:w="11420"/>
          </w:cols>
          <w:pgMar w:left="240" w:top="125"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hanging="452"/>
        <w:spacing w:after="0"/>
        <w:tabs>
          <w:tab w:leader="none" w:pos="460" w:val="left"/>
        </w:tabs>
        <w:numPr>
          <w:ilvl w:val="0"/>
          <w:numId w:val="240"/>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56"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614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91"/>
              </w:rPr>
              <w:t>800 Nicollet Mall</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14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88"/>
              </w:rPr>
              <w:t>Minneapolis, Minnesota</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87"/>
              </w:rPr>
              <w:t>55402</w:t>
            </w:r>
          </w:p>
        </w:tc>
        <w:tc>
          <w:tcPr>
            <w:tcW w:w="0" w:type="dxa"/>
            <w:vAlign w:val="bottom"/>
          </w:tcPr>
          <w:p>
            <w:pPr>
              <w:spacing w:after="0"/>
              <w:rPr>
                <w:sz w:val="1"/>
                <w:szCs w:val="1"/>
                <w:color w:val="auto"/>
              </w:rPr>
            </w:pPr>
          </w:p>
        </w:tc>
      </w:tr>
      <w:tr>
        <w:trPr>
          <w:trHeight w:val="174"/>
        </w:trPr>
        <w:tc>
          <w:tcPr>
            <w:tcW w:w="614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4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351"/>
        </w:trPr>
        <w:tc>
          <w:tcPr>
            <w:tcW w:w="288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Raymond S. Haverstock</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U.S. Bank National Association</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7"/>
              </w:rPr>
              <w:t>60 Livingston Avenue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1"/>
              </w:rPr>
              <w:t>St. Paul, MN 55107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gridSpan w:val="2"/>
          </w:tcPr>
          <w:p>
            <w:pPr>
              <w:jc w:val="center"/>
              <w:ind w:left="2801"/>
              <w:spacing w:after="0"/>
              <w:rPr>
                <w:sz w:val="20"/>
                <w:szCs w:val="20"/>
                <w:color w:val="auto"/>
              </w:rPr>
            </w:pPr>
            <w:r>
              <w:rPr>
                <w:rFonts w:ascii="Arial" w:cs="Arial" w:eastAsia="Arial" w:hAnsi="Arial"/>
                <w:sz w:val="18"/>
                <w:szCs w:val="18"/>
                <w:b w:val="1"/>
                <w:bCs w:val="1"/>
                <w:color w:val="auto"/>
                <w:w w:val="89"/>
              </w:rPr>
              <w:t>(651) 495-3909</w:t>
            </w: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140" w:type="dxa"/>
            <w:vAlign w:val="bottom"/>
            <w:gridSpan w:val="3"/>
          </w:tcPr>
          <w:p>
            <w:pPr>
              <w:jc w:val="center"/>
              <w:ind w:left="1941"/>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880" w:type="dxa"/>
            <w:vAlign w:val="bottom"/>
          </w:tcPr>
          <w:p>
            <w:pPr>
              <w:spacing w:after="0"/>
              <w:rPr>
                <w:sz w:val="24"/>
                <w:szCs w:val="24"/>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Wynn Las Vegas, LLC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40" w:type="dxa"/>
            <w:vAlign w:val="bottom"/>
            <w:gridSpan w:val="3"/>
          </w:tcPr>
          <w:p>
            <w:pPr>
              <w:jc w:val="center"/>
              <w:ind w:left="1921"/>
              <w:spacing w:after="0"/>
              <w:rPr>
                <w:sz w:val="20"/>
                <w:szCs w:val="20"/>
                <w:color w:val="auto"/>
              </w:rPr>
            </w:pPr>
            <w:r>
              <w:rPr>
                <w:rFonts w:ascii="Arial" w:cs="Arial" w:eastAsia="Arial" w:hAnsi="Arial"/>
                <w:sz w:val="18"/>
                <w:szCs w:val="18"/>
                <w:b w:val="1"/>
                <w:bCs w:val="1"/>
                <w:color w:val="auto"/>
                <w:w w:val="90"/>
              </w:rPr>
              <w:t>Wynn Las Vegas Capital Corp *</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3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vMerge w:val="restart"/>
          </w:tcPr>
          <w:p>
            <w:pPr>
              <w:jc w:val="center"/>
              <w:ind w:left="282"/>
              <w:spacing w:after="0"/>
              <w:rPr>
                <w:sz w:val="20"/>
                <w:szCs w:val="20"/>
                <w:color w:val="auto"/>
              </w:rPr>
            </w:pPr>
            <w:r>
              <w:rPr>
                <w:rFonts w:ascii="Arial" w:cs="Arial" w:eastAsia="Arial" w:hAnsi="Arial"/>
                <w:sz w:val="18"/>
                <w:szCs w:val="18"/>
                <w:b w:val="1"/>
                <w:bCs w:val="1"/>
                <w:color w:val="auto"/>
                <w:w w:val="87"/>
              </w:rPr>
              <w:t>88-0494875</w:t>
            </w:r>
          </w:p>
        </w:tc>
        <w:tc>
          <w:tcPr>
            <w:tcW w:w="0" w:type="dxa"/>
            <w:vAlign w:val="bottom"/>
          </w:tcPr>
          <w:p>
            <w:pPr>
              <w:spacing w:after="0"/>
              <w:rPr>
                <w:sz w:val="1"/>
                <w:szCs w:val="1"/>
                <w:color w:val="auto"/>
              </w:rPr>
            </w:pPr>
          </w:p>
        </w:tc>
      </w:tr>
      <w:tr>
        <w:trPr>
          <w:trHeight w:val="303"/>
        </w:trPr>
        <w:tc>
          <w:tcPr>
            <w:tcW w:w="2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14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87"/>
              </w:rPr>
              <w:t>Nevada</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87"/>
              </w:rPr>
              <w:t>46-0484992</w:t>
            </w:r>
          </w:p>
        </w:tc>
        <w:tc>
          <w:tcPr>
            <w:tcW w:w="0" w:type="dxa"/>
            <w:vAlign w:val="bottom"/>
          </w:tcPr>
          <w:p>
            <w:pPr>
              <w:spacing w:after="0"/>
              <w:rPr>
                <w:sz w:val="1"/>
                <w:szCs w:val="1"/>
                <w:color w:val="auto"/>
              </w:rPr>
            </w:pPr>
          </w:p>
        </w:tc>
      </w:tr>
      <w:tr>
        <w:trPr>
          <w:trHeight w:val="149"/>
        </w:trPr>
        <w:tc>
          <w:tcPr>
            <w:tcW w:w="6140" w:type="dxa"/>
            <w:vAlign w:val="bottom"/>
            <w:gridSpan w:val="3"/>
          </w:tcPr>
          <w:p>
            <w:pPr>
              <w:jc w:val="center"/>
              <w:ind w:right="37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40" w:type="dxa"/>
            <w:vAlign w:val="bottom"/>
          </w:tcPr>
          <w:p>
            <w:pPr>
              <w:jc w:val="center"/>
              <w:ind w:left="30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6140" w:type="dxa"/>
            <w:vAlign w:val="bottom"/>
            <w:gridSpan w:val="3"/>
          </w:tcPr>
          <w:p>
            <w:pPr>
              <w:jc w:val="center"/>
              <w:ind w:right="3700"/>
              <w:spacing w:after="0"/>
              <w:rPr>
                <w:sz w:val="20"/>
                <w:szCs w:val="20"/>
                <w:color w:val="auto"/>
              </w:rPr>
            </w:pPr>
            <w:r>
              <w:rPr>
                <w:rFonts w:ascii="Arial" w:cs="Arial" w:eastAsia="Arial" w:hAnsi="Arial"/>
                <w:sz w:val="14"/>
                <w:szCs w:val="14"/>
                <w:b w:val="1"/>
                <w:bCs w:val="1"/>
                <w:color w:val="auto"/>
                <w:w w:val="88"/>
              </w:rPr>
              <w:t>incorporation or organization)</w:t>
            </w:r>
          </w:p>
        </w:tc>
        <w:tc>
          <w:tcPr>
            <w:tcW w:w="144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5"/>
        </w:trPr>
        <w:tc>
          <w:tcPr>
            <w:tcW w:w="614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w w:val="86"/>
              </w:rPr>
              <w:t>3131 Las Vegas Boulevard South</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140" w:type="dxa"/>
            <w:vAlign w:val="bottom"/>
            <w:gridSpan w:val="3"/>
          </w:tcPr>
          <w:p>
            <w:pPr>
              <w:jc w:val="center"/>
              <w:ind w:right="3700"/>
              <w:spacing w:after="0"/>
              <w:rPr>
                <w:sz w:val="20"/>
                <w:szCs w:val="20"/>
                <w:color w:val="auto"/>
              </w:rPr>
            </w:pPr>
            <w:r>
              <w:rPr>
                <w:rFonts w:ascii="Arial" w:cs="Arial" w:eastAsia="Arial" w:hAnsi="Arial"/>
                <w:sz w:val="18"/>
                <w:szCs w:val="18"/>
                <w:b w:val="1"/>
                <w:bCs w:val="1"/>
                <w:color w:val="auto"/>
                <w:w w:val="85"/>
              </w:rPr>
              <w:t>Las Vegas, Nevada</w:t>
            </w:r>
          </w:p>
        </w:tc>
        <w:tc>
          <w:tcPr>
            <w:tcW w:w="1440" w:type="dxa"/>
            <w:vAlign w:val="bottom"/>
          </w:tcPr>
          <w:p>
            <w:pPr>
              <w:jc w:val="center"/>
              <w:ind w:left="282"/>
              <w:spacing w:after="0"/>
              <w:rPr>
                <w:sz w:val="20"/>
                <w:szCs w:val="20"/>
                <w:color w:val="auto"/>
              </w:rPr>
            </w:pPr>
            <w:r>
              <w:rPr>
                <w:rFonts w:ascii="Arial" w:cs="Arial" w:eastAsia="Arial" w:hAnsi="Arial"/>
                <w:sz w:val="18"/>
                <w:szCs w:val="18"/>
                <w:b w:val="1"/>
                <w:bCs w:val="1"/>
                <w:color w:val="auto"/>
                <w:w w:val="87"/>
              </w:rPr>
              <w:t>89109</w:t>
            </w:r>
          </w:p>
        </w:tc>
        <w:tc>
          <w:tcPr>
            <w:tcW w:w="0" w:type="dxa"/>
            <w:vAlign w:val="bottom"/>
          </w:tcPr>
          <w:p>
            <w:pPr>
              <w:spacing w:after="0"/>
              <w:rPr>
                <w:sz w:val="1"/>
                <w:szCs w:val="1"/>
                <w:color w:val="auto"/>
              </w:rPr>
            </w:pPr>
          </w:p>
        </w:tc>
      </w:tr>
      <w:tr>
        <w:trPr>
          <w:trHeight w:val="174"/>
        </w:trPr>
        <w:tc>
          <w:tcPr>
            <w:tcW w:w="6140" w:type="dxa"/>
            <w:vAlign w:val="bottom"/>
            <w:gridSpan w:val="3"/>
          </w:tcPr>
          <w:p>
            <w:pPr>
              <w:jc w:val="center"/>
              <w:ind w:right="36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40" w:type="dxa"/>
            <w:vAlign w:val="bottom"/>
          </w:tcPr>
          <w:p>
            <w:pPr>
              <w:jc w:val="center"/>
              <w:ind w:left="302"/>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7.75% First Mortgage Notes Due 2020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 Related to the 7.75% First Mortgage Notes due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*Co-registrants Listed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ADDITIONAL REGISTRANTS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Primary Standard</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w:t>
            </w:r>
          </w:p>
        </w:tc>
        <w:tc>
          <w:tcPr>
            <w:tcW w:w="8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Name of Additional Registrant*</w:t>
            </w:r>
          </w:p>
        </w:tc>
        <w:tc>
          <w:tcPr>
            <w:tcW w:w="17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Formation</w:t>
            </w:r>
          </w:p>
        </w:tc>
        <w:tc>
          <w:tcPr>
            <w:tcW w:w="8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Code Number</w:t>
            </w:r>
          </w:p>
        </w:tc>
        <w:tc>
          <w:tcPr>
            <w:tcW w:w="182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89"/>
              </w:rPr>
              <w:t>Identification No.</w:t>
            </w:r>
          </w:p>
        </w:tc>
      </w:tr>
      <w:tr>
        <w:trPr>
          <w:trHeight w:val="210"/>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1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8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7990</w:t>
            </w:r>
          </w:p>
        </w:tc>
        <w:tc>
          <w:tcPr>
            <w:tcW w:w="8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88-0460935</w:t>
            </w: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World Travel, LLC</w:t>
            </w:r>
          </w:p>
        </w:tc>
        <w:tc>
          <w:tcPr>
            <w:tcW w:w="17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220" w:type="dxa"/>
            <w:vAlign w:val="bottom"/>
            <w:gridSpan w:val="2"/>
          </w:tcPr>
          <w:p>
            <w:pPr>
              <w:jc w:val="center"/>
              <w:ind w:left="732"/>
              <w:spacing w:after="0"/>
              <w:rPr>
                <w:sz w:val="20"/>
                <w:szCs w:val="20"/>
                <w:color w:val="auto"/>
              </w:rPr>
            </w:pPr>
            <w:r>
              <w:rPr>
                <w:rFonts w:ascii="Arial" w:cs="Arial" w:eastAsia="Arial" w:hAnsi="Arial"/>
                <w:sz w:val="18"/>
                <w:szCs w:val="18"/>
                <w:color w:val="auto"/>
                <w:w w:val="89"/>
              </w:rPr>
              <w:t>7990</w:t>
            </w:r>
          </w:p>
        </w:tc>
        <w:tc>
          <w:tcPr>
            <w:tcW w:w="182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47-0846667</w:t>
            </w: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Golf, LLC</w:t>
            </w:r>
          </w:p>
        </w:tc>
        <w:tc>
          <w:tcPr>
            <w:tcW w:w="17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2220" w:type="dxa"/>
            <w:vAlign w:val="bottom"/>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89"/>
              </w:rPr>
              <w:t>7990</w:t>
            </w:r>
          </w:p>
        </w:tc>
        <w:tc>
          <w:tcPr>
            <w:tcW w:w="182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89"/>
              </w:rPr>
              <w:t>20-1267401</w:t>
            </w: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Wynn Show Performers, LLC</w:t>
            </w:r>
          </w:p>
        </w:tc>
        <w:tc>
          <w:tcPr>
            <w:tcW w:w="17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220" w:type="dxa"/>
            <w:vAlign w:val="bottom"/>
            <w:gridSpan w:val="2"/>
          </w:tcPr>
          <w:p>
            <w:pPr>
              <w:jc w:val="center"/>
              <w:ind w:left="732"/>
              <w:spacing w:after="0"/>
              <w:rPr>
                <w:sz w:val="20"/>
                <w:szCs w:val="20"/>
                <w:color w:val="auto"/>
              </w:rPr>
            </w:pPr>
            <w:r>
              <w:rPr>
                <w:rFonts w:ascii="Arial" w:cs="Arial" w:eastAsia="Arial" w:hAnsi="Arial"/>
                <w:sz w:val="18"/>
                <w:szCs w:val="18"/>
                <w:color w:val="auto"/>
                <w:w w:val="89"/>
              </w:rPr>
              <w:t>7990</w:t>
            </w:r>
          </w:p>
        </w:tc>
        <w:tc>
          <w:tcPr>
            <w:tcW w:w="182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20-0475541</w:t>
            </w: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Sunrise, LLC</w:t>
            </w:r>
          </w:p>
        </w:tc>
        <w:tc>
          <w:tcPr>
            <w:tcW w:w="17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2220" w:type="dxa"/>
            <w:vAlign w:val="bottom"/>
            <w:gridSpan w:val="2"/>
            <w:shd w:val="clear" w:color="auto" w:fill="CCEEFF"/>
          </w:tcPr>
          <w:p>
            <w:pPr>
              <w:jc w:val="center"/>
              <w:ind w:left="732"/>
              <w:spacing w:after="0"/>
              <w:rPr>
                <w:sz w:val="20"/>
                <w:szCs w:val="20"/>
                <w:color w:val="auto"/>
              </w:rPr>
            </w:pPr>
            <w:r>
              <w:rPr>
                <w:rFonts w:ascii="Arial" w:cs="Arial" w:eastAsia="Arial" w:hAnsi="Arial"/>
                <w:sz w:val="18"/>
                <w:szCs w:val="18"/>
                <w:color w:val="auto"/>
                <w:w w:val="89"/>
              </w:rPr>
              <w:t>7990</w:t>
            </w:r>
          </w:p>
        </w:tc>
        <w:tc>
          <w:tcPr>
            <w:tcW w:w="1820" w:type="dxa"/>
            <w:vAlign w:val="bottom"/>
            <w:gridSpan w:val="2"/>
            <w:shd w:val="clear" w:color="auto" w:fill="CCEEFF"/>
          </w:tcPr>
          <w:p>
            <w:pPr>
              <w:jc w:val="center"/>
              <w:ind w:left="716"/>
              <w:spacing w:after="0"/>
              <w:rPr>
                <w:sz w:val="20"/>
                <w:szCs w:val="20"/>
                <w:color w:val="auto"/>
              </w:rPr>
            </w:pPr>
            <w:r>
              <w:rPr>
                <w:rFonts w:ascii="Arial" w:cs="Arial" w:eastAsia="Arial" w:hAnsi="Arial"/>
                <w:sz w:val="18"/>
                <w:szCs w:val="18"/>
                <w:color w:val="auto"/>
                <w:w w:val="89"/>
              </w:rPr>
              <w:t>20-1366675</w:t>
            </w: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Kevyn, LLC</w:t>
            </w:r>
          </w:p>
        </w:tc>
        <w:tc>
          <w:tcPr>
            <w:tcW w:w="17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220" w:type="dxa"/>
            <w:vAlign w:val="bottom"/>
            <w:gridSpan w:val="2"/>
          </w:tcPr>
          <w:p>
            <w:pPr>
              <w:jc w:val="center"/>
              <w:ind w:left="732"/>
              <w:spacing w:after="0"/>
              <w:rPr>
                <w:sz w:val="20"/>
                <w:szCs w:val="20"/>
                <w:color w:val="auto"/>
              </w:rPr>
            </w:pPr>
            <w:r>
              <w:rPr>
                <w:rFonts w:ascii="Arial" w:cs="Arial" w:eastAsia="Arial" w:hAnsi="Arial"/>
                <w:sz w:val="18"/>
                <w:szCs w:val="18"/>
                <w:color w:val="auto"/>
                <w:w w:val="89"/>
              </w:rPr>
              <w:t>7990</w:t>
            </w:r>
          </w:p>
        </w:tc>
        <w:tc>
          <w:tcPr>
            <w:tcW w:w="1820" w:type="dxa"/>
            <w:vAlign w:val="bottom"/>
            <w:gridSpan w:val="2"/>
          </w:tcPr>
          <w:p>
            <w:pPr>
              <w:jc w:val="center"/>
              <w:ind w:left="716"/>
              <w:spacing w:after="0"/>
              <w:rPr>
                <w:sz w:val="20"/>
                <w:szCs w:val="20"/>
                <w:color w:val="auto"/>
              </w:rPr>
            </w:pPr>
            <w:r>
              <w:rPr>
                <w:rFonts w:ascii="Arial" w:cs="Arial" w:eastAsia="Arial" w:hAnsi="Arial"/>
                <w:sz w:val="18"/>
                <w:szCs w:val="18"/>
                <w:color w:val="auto"/>
                <w:w w:val="89"/>
              </w:rPr>
              <w:t>88-0464939</w:t>
            </w:r>
          </w:p>
        </w:tc>
      </w:tr>
      <w:tr>
        <w:trPr>
          <w:trHeight w:val="35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80" w:type="dxa"/>
            <w:vAlign w:val="bottom"/>
            <w:gridSpan w:val="2"/>
          </w:tcPr>
          <w:p>
            <w:pPr>
              <w:jc w:val="right"/>
              <w:ind w:right="1537"/>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6" w:name="page297"/>
    <w:bookmarkEnd w:id="296"/>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1300" w:hanging="178"/>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80" w:right="5720" w:hanging="758"/>
        <w:spacing w:after="0" w:line="362" w:lineRule="auto"/>
        <w:tabs>
          <w:tab w:leader="none" w:pos="1303"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ind w:left="1140" w:right="2200" w:hanging="1332"/>
        <w:spacing w:after="0" w:line="369" w:lineRule="auto"/>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60" w:lineRule="exact"/>
        <w:rPr>
          <w:sz w:val="20"/>
          <w:szCs w:val="20"/>
          <w:color w:val="auto"/>
        </w:rPr>
      </w:pPr>
    </w:p>
    <w:p>
      <w:pPr>
        <w:ind w:left="1140" w:right="28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1700" w:hanging="558"/>
        <w:spacing w:after="0"/>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1700" w:hanging="558"/>
        <w:spacing w:after="0"/>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1700" w:right="180" w:hanging="558"/>
        <w:spacing w:after="0" w:line="268" w:lineRule="auto"/>
        <w:tabs>
          <w:tab w:leader="none" w:pos="17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2010 published pursuant to law or the requirements of its supervising or examining authority, attached as Exhibit 7.</w:t>
      </w:r>
    </w:p>
    <w:p>
      <w:pPr>
        <w:spacing w:after="0" w:line="118" w:lineRule="exact"/>
        <w:rPr>
          <w:rFonts w:ascii="Arial" w:cs="Arial" w:eastAsia="Arial" w:hAnsi="Arial"/>
          <w:sz w:val="18"/>
          <w:szCs w:val="18"/>
          <w:color w:val="auto"/>
        </w:rPr>
      </w:pPr>
    </w:p>
    <w:p>
      <w:pPr>
        <w:ind w:left="460" w:hanging="446"/>
        <w:spacing w:after="0" w:line="254"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ind w:left="460" w:hanging="452"/>
        <w:spacing w:after="0"/>
        <w:tabs>
          <w:tab w:leader="none" w:pos="4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333-166527 filed on May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89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74" w:right="439" w:bottom="1440" w:gutter="0" w:footer="0" w:header="0"/>
        </w:sectPr>
      </w:pPr>
    </w:p>
    <w:bookmarkStart w:id="297" w:name="page298"/>
    <w:bookmarkEnd w:id="297"/>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4</w:t>
      </w:r>
      <w:r>
        <w:rPr>
          <w:rFonts w:ascii="Arial" w:cs="Arial" w:eastAsia="Arial" w:hAnsi="Arial"/>
          <w:sz w:val="10"/>
          <w:szCs w:val="10"/>
          <w:color w:val="auto"/>
        </w:rPr>
        <w:t>th</w:t>
      </w:r>
      <w:r>
        <w:rPr>
          <w:rFonts w:ascii="Arial" w:cs="Arial" w:eastAsia="Arial" w:hAnsi="Arial"/>
          <w:sz w:val="16"/>
          <w:szCs w:val="16"/>
          <w:color w:val="auto"/>
        </w:rPr>
        <w:t xml:space="preserve"> of October, 2010.</w:t>
      </w:r>
    </w:p>
    <w:p>
      <w:pPr>
        <w:spacing w:after="0" w:line="147" w:lineRule="exact"/>
        <w:rPr>
          <w:sz w:val="20"/>
          <w:szCs w:val="20"/>
          <w:color w:val="auto"/>
        </w:rPr>
      </w:pPr>
    </w:p>
    <w:p>
      <w:pPr>
        <w:ind w:left="6860"/>
        <w:spacing w:after="0"/>
        <w:tabs>
          <w:tab w:leader="none" w:pos="8040" w:val="left"/>
          <w:tab w:leader="none" w:pos="8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AYMOND</w:t>
      </w:r>
      <w:r>
        <w:rPr>
          <w:rFonts w:ascii="Arial" w:cs="Arial" w:eastAsia="Arial" w:hAnsi="Arial"/>
          <w:sz w:val="16"/>
          <w:szCs w:val="16"/>
          <w:color w:val="auto"/>
        </w:rPr>
        <w:t xml:space="preserve"> S. H</w:t>
      </w:r>
      <w:r>
        <w:rPr>
          <w:rFonts w:ascii="Arial" w:cs="Arial" w:eastAsia="Arial" w:hAnsi="Arial"/>
          <w:sz w:val="13"/>
          <w:szCs w:val="13"/>
          <w:color w:val="auto"/>
        </w:rPr>
        <w:t>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Raymond S. Haverstock</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Vice President</w:t>
      </w:r>
    </w:p>
    <w:p>
      <w:pPr>
        <w:spacing w:after="0" w:line="181" w:lineRule="exact"/>
        <w:rPr>
          <w:sz w:val="20"/>
          <w:szCs w:val="20"/>
          <w:color w:val="auto"/>
        </w:rPr>
      </w:pPr>
    </w:p>
    <w:p>
      <w:pPr>
        <w:spacing w:after="0"/>
        <w:tabs>
          <w:tab w:leader="none" w:pos="1680" w:val="left"/>
          <w:tab w:leader="none" w:pos="2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AY</w:t>
      </w:r>
      <w:r>
        <w:rPr>
          <w:rFonts w:ascii="Arial" w:cs="Arial" w:eastAsia="Arial" w:hAnsi="Arial"/>
          <w:sz w:val="16"/>
          <w:szCs w:val="16"/>
          <w:color w:val="auto"/>
        </w:rPr>
        <w:t xml:space="preserve"> P</w:t>
      </w:r>
      <w:r>
        <w:rPr>
          <w:rFonts w:ascii="Arial" w:cs="Arial" w:eastAsia="Arial" w:hAnsi="Arial"/>
          <w:sz w:val="13"/>
          <w:szCs w:val="13"/>
          <w:color w:val="auto"/>
        </w:rPr>
        <w:t>AULSON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right="6280"/>
        <w:spacing w:after="0"/>
        <w:rPr>
          <w:sz w:val="20"/>
          <w:szCs w:val="20"/>
          <w:color w:val="auto"/>
        </w:rPr>
      </w:pPr>
      <w:r>
        <w:rPr>
          <w:rFonts w:ascii="Arial" w:cs="Arial" w:eastAsia="Arial" w:hAnsi="Arial"/>
          <w:sz w:val="14"/>
          <w:szCs w:val="14"/>
          <w:b w:val="1"/>
          <w:bCs w:val="1"/>
          <w:color w:val="auto"/>
        </w:rPr>
        <w:t>Jay Paulson</w:t>
      </w:r>
    </w:p>
    <w:p>
      <w:pPr>
        <w:spacing w:after="0" w:line="1" w:lineRule="exact"/>
        <w:rPr>
          <w:sz w:val="20"/>
          <w:szCs w:val="20"/>
          <w:color w:val="auto"/>
        </w:rPr>
      </w:pPr>
    </w:p>
    <w:p>
      <w:pPr>
        <w:jc w:val="center"/>
        <w:ind w:right="6280"/>
        <w:spacing w:after="0"/>
        <w:rPr>
          <w:sz w:val="20"/>
          <w:szCs w:val="20"/>
          <w:color w:val="auto"/>
        </w:rPr>
      </w:pPr>
      <w:r>
        <w:rPr>
          <w:rFonts w:ascii="Arial" w:cs="Arial" w:eastAsia="Arial" w:hAnsi="Arial"/>
          <w:sz w:val="14"/>
          <w:szCs w:val="14"/>
          <w:b w:val="1"/>
          <w:bCs w:val="1"/>
          <w:color w:val="auto"/>
        </w:rPr>
        <w:t>Vice President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274" w:right="41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4th, 2010</w:t>
      </w:r>
    </w:p>
    <w:p>
      <w:pPr>
        <w:spacing w:after="0" w:line="212" w:lineRule="exact"/>
        <w:rPr>
          <w:sz w:val="20"/>
          <w:szCs w:val="20"/>
          <w:color w:val="auto"/>
        </w:rPr>
      </w:pPr>
    </w:p>
    <w:p>
      <w:pPr>
        <w:ind w:left="6860"/>
        <w:spacing w:after="0"/>
        <w:tabs>
          <w:tab w:leader="none" w:pos="802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AYMOND</w:t>
      </w:r>
      <w:r>
        <w:rPr>
          <w:rFonts w:ascii="Arial" w:cs="Arial" w:eastAsia="Arial" w:hAnsi="Arial"/>
          <w:sz w:val="16"/>
          <w:szCs w:val="16"/>
          <w:color w:val="auto"/>
        </w:rPr>
        <w:t xml:space="preserve"> S. H</w:t>
      </w:r>
      <w:r>
        <w:rPr>
          <w:rFonts w:ascii="Arial" w:cs="Arial" w:eastAsia="Arial" w:hAnsi="Arial"/>
          <w:sz w:val="13"/>
          <w:szCs w:val="13"/>
          <w:color w:val="auto"/>
        </w:rPr>
        <w:t>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Raymond S. Haverstock</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Vice President</w:t>
      </w:r>
    </w:p>
    <w:p>
      <w:pPr>
        <w:spacing w:after="0" w:line="181" w:lineRule="exact"/>
        <w:rPr>
          <w:sz w:val="20"/>
          <w:szCs w:val="20"/>
          <w:color w:val="auto"/>
        </w:rPr>
      </w:pPr>
    </w:p>
    <w:p>
      <w:pPr>
        <w:spacing w:after="0"/>
        <w:tabs>
          <w:tab w:leader="none" w:pos="1680" w:val="left"/>
          <w:tab w:leader="none" w:pos="2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AY</w:t>
      </w:r>
      <w:r>
        <w:rPr>
          <w:rFonts w:ascii="Arial" w:cs="Arial" w:eastAsia="Arial" w:hAnsi="Arial"/>
          <w:sz w:val="16"/>
          <w:szCs w:val="16"/>
          <w:color w:val="auto"/>
        </w:rPr>
        <w:t xml:space="preserve"> P</w:t>
      </w:r>
      <w:r>
        <w:rPr>
          <w:rFonts w:ascii="Arial" w:cs="Arial" w:eastAsia="Arial" w:hAnsi="Arial"/>
          <w:sz w:val="13"/>
          <w:szCs w:val="13"/>
          <w:color w:val="auto"/>
        </w:rPr>
        <w:t>AULSON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right="6460"/>
        <w:spacing w:after="0"/>
        <w:rPr>
          <w:sz w:val="20"/>
          <w:szCs w:val="20"/>
          <w:color w:val="auto"/>
        </w:rPr>
      </w:pPr>
      <w:r>
        <w:rPr>
          <w:rFonts w:ascii="Arial" w:cs="Arial" w:eastAsia="Arial" w:hAnsi="Arial"/>
          <w:sz w:val="14"/>
          <w:szCs w:val="14"/>
          <w:b w:val="1"/>
          <w:bCs w:val="1"/>
          <w:color w:val="auto"/>
        </w:rPr>
        <w:t>Jay Paulson</w:t>
      </w:r>
    </w:p>
    <w:p>
      <w:pPr>
        <w:spacing w:after="0" w:line="1" w:lineRule="exact"/>
        <w:rPr>
          <w:sz w:val="20"/>
          <w:szCs w:val="20"/>
          <w:color w:val="auto"/>
        </w:rPr>
      </w:pPr>
    </w:p>
    <w:p>
      <w:pPr>
        <w:jc w:val="center"/>
        <w:ind w:right="6460"/>
        <w:spacing w:after="0"/>
        <w:rPr>
          <w:sz w:val="20"/>
          <w:szCs w:val="20"/>
          <w:color w:val="auto"/>
        </w:rPr>
      </w:pPr>
      <w:r>
        <w:rPr>
          <w:rFonts w:ascii="Arial" w:cs="Arial" w:eastAsia="Arial" w:hAnsi="Arial"/>
          <w:sz w:val="14"/>
          <w:szCs w:val="14"/>
          <w:b w:val="1"/>
          <w:bCs w:val="1"/>
          <w:color w:val="auto"/>
        </w:rPr>
        <w:t>Vice President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7"/>
              </w:rPr>
              <w:t>U.S. Bank National Association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8"/>
              </w:rPr>
              <w:t>Statement of Financial Condition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8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0"/>
              </w:rPr>
              <w:t>Exhibit 7</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7"/>
              </w:rPr>
              <w:t>As of 6/30/2010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4320" w:type="dxa"/>
            <w:vAlign w:val="bottom"/>
          </w:tcPr>
          <w:p>
            <w:pPr>
              <w:spacing w:after="0"/>
              <w:rPr>
                <w:sz w:val="24"/>
                <w:szCs w:val="24"/>
                <w:color w:val="auto"/>
              </w:rPr>
            </w:pPr>
          </w:p>
        </w:tc>
        <w:tc>
          <w:tcPr>
            <w:tcW w:w="618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86"/>
              </w:rPr>
              <w:t>($000’s)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4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6/30/2010</w:t>
            </w:r>
          </w:p>
        </w:tc>
        <w:tc>
          <w:tcPr>
            <w:tcW w:w="20" w:type="dxa"/>
            <w:vAlign w:val="bottom"/>
          </w:tcPr>
          <w:p>
            <w:pPr>
              <w:spacing w:after="0"/>
              <w:rPr>
                <w:sz w:val="24"/>
                <w:szCs w:val="2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w w:val="91"/>
              </w:rPr>
              <w:t>Cash and Balances Due From Depository Institutions</w:t>
            </w:r>
          </w:p>
        </w:tc>
        <w:tc>
          <w:tcPr>
            <w:tcW w:w="6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5,021,509</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46,751,442</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4,344,927</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182,237,162</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5,440,512</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13,006,313</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21,662,778</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278,464,643</w:t>
            </w:r>
          </w:p>
        </w:tc>
        <w:tc>
          <w:tcPr>
            <w:tcW w:w="20" w:type="dxa"/>
            <w:vAlign w:val="bottom"/>
          </w:tcPr>
          <w:p>
            <w:pPr>
              <w:spacing w:after="0"/>
              <w:rPr>
                <w:sz w:val="18"/>
                <w:szCs w:val="18"/>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191,033,345</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11,079,681</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437,280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32,340,366</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8,129,967</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7,450,842</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250,471,481</w:t>
            </w:r>
          </w:p>
        </w:tc>
        <w:tc>
          <w:tcPr>
            <w:tcW w:w="20" w:type="dxa"/>
            <w:vAlign w:val="bottom"/>
          </w:tcPr>
          <w:p>
            <w:pPr>
              <w:spacing w:after="0"/>
              <w:rPr>
                <w:sz w:val="18"/>
                <w:szCs w:val="18"/>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1,704,554</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12,636,872</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6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13,633,536</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Equity Capital</w:t>
            </w:r>
          </w:p>
        </w:tc>
        <w:tc>
          <w:tcPr>
            <w:tcW w:w="6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27,993,162</w:t>
            </w:r>
          </w:p>
        </w:tc>
        <w:tc>
          <w:tcPr>
            <w:tcW w:w="20" w:type="dxa"/>
            <w:vAlign w:val="bottom"/>
          </w:tcPr>
          <w:p>
            <w:pPr>
              <w:spacing w:after="0"/>
              <w:rPr>
                <w:sz w:val="18"/>
                <w:szCs w:val="18"/>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278,464,643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AYMOND</w:t>
      </w:r>
      <w:r>
        <w:rPr>
          <w:rFonts w:ascii="Arial" w:cs="Arial" w:eastAsia="Arial" w:hAnsi="Arial"/>
          <w:sz w:val="16"/>
          <w:szCs w:val="16"/>
          <w:color w:val="auto"/>
        </w:rPr>
        <w:t xml:space="preserve"> S. H</w:t>
      </w:r>
      <w:r>
        <w:rPr>
          <w:rFonts w:ascii="Arial" w:cs="Arial" w:eastAsia="Arial" w:hAnsi="Arial"/>
          <w:sz w:val="13"/>
          <w:szCs w:val="13"/>
          <w:color w:val="auto"/>
        </w:rPr>
        <w:t>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Vice President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October 4th,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00" w:name="page301"/>
    <w:bookmarkEnd w:id="300"/>
    <w:p>
      <w:pPr>
        <w:ind w:left="10520"/>
        <w:spacing w:after="0"/>
        <w:rPr>
          <w:sz w:val="20"/>
          <w:szCs w:val="20"/>
          <w:color w:val="auto"/>
        </w:rPr>
      </w:pPr>
      <w:r>
        <w:rPr>
          <w:rFonts w:ascii="Arial" w:cs="Arial" w:eastAsia="Arial" w:hAnsi="Arial"/>
          <w:sz w:val="16"/>
          <w:szCs w:val="16"/>
          <w:b w:val="1"/>
          <w:bCs w:val="1"/>
          <w:color w:val="auto"/>
        </w:rPr>
        <w:t>Exhibit 99.1</w:t>
      </w:r>
    </w:p>
    <w:p>
      <w:pPr>
        <w:spacing w:after="0" w:line="44"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LETTER OF TRANSMITTAL</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$1,320,000,000 of their outstanding</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First Mortgage Notes due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Issued on August 4, 2010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First Mortgage Notes due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That Have Been Registered Under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7060" w:type="dxa"/>
            <w:vAlign w:val="bottom"/>
          </w:tcPr>
          <w:p>
            <w:pPr>
              <w:ind w:left="3760"/>
              <w:spacing w:after="0"/>
              <w:rPr>
                <w:sz w:val="20"/>
                <w:szCs w:val="20"/>
                <w:color w:val="auto"/>
              </w:rPr>
            </w:pPr>
            <w:r>
              <w:rPr>
                <w:rFonts w:ascii="Arial" w:cs="Arial" w:eastAsia="Arial" w:hAnsi="Arial"/>
                <w:sz w:val="18"/>
                <w:szCs w:val="18"/>
                <w:b w:val="1"/>
                <w:bCs w:val="1"/>
                <w:color w:val="auto"/>
              </w:rPr>
              <w:t>Pursuant to the Prospectus, dated</w:t>
            </w:r>
          </w:p>
        </w:tc>
        <w:tc>
          <w:tcPr>
            <w:tcW w:w="4400" w:type="dxa"/>
            <w:vAlign w:val="bottom"/>
          </w:tcPr>
          <w:p>
            <w:pPr>
              <w:jc w:val="right"/>
              <w:ind w:right="3712"/>
              <w:spacing w:after="0"/>
              <w:rPr>
                <w:sz w:val="20"/>
                <w:szCs w:val="20"/>
                <w:color w:val="auto"/>
              </w:rPr>
            </w:pPr>
            <w:r>
              <w:rPr>
                <w:rFonts w:ascii="Arial" w:cs="Arial" w:eastAsia="Arial" w:hAnsi="Arial"/>
                <w:sz w:val="18"/>
                <w:szCs w:val="18"/>
                <w:b w:val="1"/>
                <w:bCs w:val="1"/>
                <w:color w:val="auto"/>
              </w:rPr>
              <w:t>, 2010</w:t>
            </w:r>
          </w:p>
        </w:tc>
      </w:tr>
      <w:tr>
        <w:trPr>
          <w:trHeight w:val="189"/>
        </w:trPr>
        <w:tc>
          <w:tcPr>
            <w:tcW w:w="70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spacing w:after="0"/>
              <w:rPr>
                <w:sz w:val="16"/>
                <w:szCs w:val="16"/>
                <w:color w:val="auto"/>
              </w:rPr>
            </w:pPr>
          </w:p>
        </w:tc>
      </w:tr>
      <w:tr>
        <w:trPr>
          <w:trHeight w:val="225"/>
        </w:trPr>
        <w:tc>
          <w:tcPr>
            <w:tcW w:w="706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4400" w:type="dxa"/>
            <w:vAlign w:val="bottom"/>
            <w:tcBorders>
              <w:right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 2010, UNLESS EXTENDED BY THE</w:t>
            </w:r>
          </w:p>
        </w:tc>
      </w:tr>
      <w:tr>
        <w:trPr>
          <w:trHeight w:val="216"/>
        </w:trPr>
        <w:tc>
          <w:tcPr>
            <w:tcW w:w="1146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ISSUERS (THE “EXPIRATION DATE”). TENDERS MAY BE WITHDRAWN PRIOR TO 5:00 P.M., NEW YORK CITY TIME, ON THE</w:t>
            </w:r>
          </w:p>
        </w:tc>
      </w:tr>
      <w:tr>
        <w:trPr>
          <w:trHeight w:val="228"/>
        </w:trPr>
        <w:tc>
          <w:tcPr>
            <w:tcW w:w="706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EXPIRATION DATE.</w:t>
            </w:r>
          </w:p>
        </w:tc>
        <w:tc>
          <w:tcPr>
            <w:tcW w:w="4400" w:type="dxa"/>
            <w:vAlign w:val="bottom"/>
            <w:tcBorders>
              <w:right w:val="single" w:sz="8" w:color="auto"/>
            </w:tcBorders>
          </w:tcPr>
          <w:p>
            <w:pPr>
              <w:spacing w:after="0"/>
              <w:rPr>
                <w:sz w:val="19"/>
                <w:szCs w:val="19"/>
                <w:color w:val="auto"/>
              </w:rPr>
            </w:pPr>
          </w:p>
        </w:tc>
      </w:tr>
      <w:tr>
        <w:trPr>
          <w:trHeight w:val="53"/>
        </w:trPr>
        <w:tc>
          <w:tcPr>
            <w:tcW w:w="7060" w:type="dxa"/>
            <w:vAlign w:val="bottom"/>
            <w:tcBorders>
              <w:left w:val="single" w:sz="8" w:color="auto"/>
              <w:bottom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bl>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 xml:space="preserve">Delivery To: </w:t>
      </w:r>
      <w:r>
        <w:rPr>
          <w:rFonts w:ascii="Arial" w:cs="Arial" w:eastAsia="Arial" w:hAnsi="Arial"/>
          <w:sz w:val="18"/>
          <w:szCs w:val="18"/>
          <w:b w:val="1"/>
          <w:bCs w:val="1"/>
          <w:color w:val="auto"/>
        </w:rPr>
        <w:t>U.S. Bank National Association,</w:t>
      </w:r>
      <w:r>
        <w:rPr>
          <w:rFonts w:ascii="Arial" w:cs="Arial" w:eastAsia="Arial" w:hAnsi="Arial"/>
          <w:sz w:val="18"/>
          <w:szCs w:val="18"/>
          <w:b w:val="1"/>
          <w:bCs w:val="1"/>
          <w:i w:val="1"/>
          <w:iCs w:val="1"/>
          <w:color w:val="auto"/>
        </w:rPr>
        <w:t xml:space="preserve"> Exchange Agent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Hand, Overnight Delivery or by Mail:</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Attention: Specialized Finance Dept.</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651-495-8158</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800-934-6802</w:t>
      </w:r>
    </w:p>
    <w:p>
      <w:pPr>
        <w:spacing w:after="0" w:line="165" w:lineRule="exact"/>
        <w:rPr>
          <w:sz w:val="20"/>
          <w:szCs w:val="20"/>
          <w:color w:val="auto"/>
        </w:rPr>
      </w:pPr>
    </w:p>
    <w:p>
      <w:pPr>
        <w:ind w:right="1400" w:firstLine="456"/>
        <w:spacing w:after="0" w:line="339" w:lineRule="auto"/>
        <w:rPr>
          <w:sz w:val="20"/>
          <w:szCs w:val="20"/>
          <w:color w:val="auto"/>
        </w:rPr>
      </w:pPr>
      <w:r>
        <w:rPr>
          <w:rFonts w:ascii="Arial" w:cs="Arial" w:eastAsia="Arial" w:hAnsi="Arial"/>
          <w:sz w:val="16"/>
          <w:szCs w:val="16"/>
          <w:b w:val="1"/>
          <w:bCs w:val="1"/>
          <w:color w:val="auto"/>
        </w:rPr>
        <w:t>DELIVERY OF THIS INSTRUMENT TO AN ADDRESS OTHER THAN AS SET FORTH ABOVE, OR TRANSMISSION OF INSTRUCTIONS VIA FACSIMILE OTHER THAN AS SET FORTH ABOVE, WILL NOT CONSTITUTE A VALID DELIVERY.</w:t>
      </w:r>
    </w:p>
    <w:p>
      <w:pPr>
        <w:spacing w:after="0" w:line="8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undersigned acknowledges that he or she has received the Prospectus, dated , 2010 (the “Prospectus”), of Wynn Las Vegas, LLC, a Nevada limited liability company, and Wynn Las Vegas Capital Corp., a Nevada corporation (together, the “Issuers”), and this Letter of Transmittal (the “Letter”), which together constitute the Issuers’ offer (the “Exchange Offer”) to exchange an aggregate principal amount of up to $1,320,000,000 of the Issuers’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First Mortgage Notes due 2020 (the “New Notes”) that have been registered under the Securities Act of 1933, as amended (the “Securities Act”), for a like principal amount of the Issuers’ issued and outstanding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issued on August 4, 2010 (the “Old Notes”) from the registered holders thereof (the “Holders”).</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each $2,000 aggregate principal amount and integral multiples of $1,000 in excess of $2,000 of Old Notes properly tendered and not withdrawn prior to the Expiration Date, the Holder will receive $2,000 principal amount and integral multiples of $1,000 in excess of $2,000 of New Notes.</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New Notes will bear interest from the most recent date to which interest has been paid on the Old Notes. Accordingly, registered Holders of New Notes on the relevant record date for the first interest payment</w:t>
      </w:r>
    </w:p>
    <w:p>
      <w:pPr>
        <w:sectPr>
          <w:pgSz w:w="11900" w:h="16838" w:orient="portrait"/>
          <w:cols w:equalWidth="0" w:num="1">
            <w:col w:w="11460"/>
          </w:cols>
          <w:pgMar w:left="240" w:top="125" w:right="199" w:bottom="1440" w:gutter="0" w:footer="0" w:header="0"/>
        </w:sectPr>
      </w:pPr>
    </w:p>
    <w:bookmarkStart w:id="301" w:name="page302"/>
    <w:bookmarkEnd w:id="301"/>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following the consummation of the Exchange Offer will receive interest accruing from the most recent date to which interest has been paid. Old Notes accepted for exchange will cease to accrue interest from and after the date of consummation of the Exchange Offer. Holders of Old Notes whose Old Notes are accepted for exchange will not receive any payment in respect of accrued interest on such Old Notes otherwise payable on any interest payment date the record date for which occurs on or after consummation of the Exchange Offer.</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Letter is to be completed by a holder of Old Notes either if certificates are to be forwarded herewith or if a tender of Old Notes is to be made by book-entry transfer to the account maintained by the Exchange Agent at The Depository Trust Company (the “Book-Entry Transfer Facility”) pursuant to the procedures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(as defined below), which states that the Book-Entry Transfer Facility has received an express acknowledgment from the tendering participant, which acknowledgment states that such participant has received and agrees to be bound by this Letter and that the Issuers may enforce this Letter against such participant. Holders of Old Notes whose certificates are not immediately available, or who are unable to deliver their certificates or confirmation of the book-entry tender of their Old Notes into the Exchange Agent’s account at the Book-Entry Transfer Facility (a “Book-Entry Confirmation”) and all other documents required by this Letter to the Exchange Agent prior to the Expiration Date, must tender their Old Notes according to the guaranteed delivery procedures set forth in “The Exchange Offer—Guaranteed Delivery Procedures” section of the Prospectus. See Instruction 1.</w:t>
      </w:r>
    </w:p>
    <w:p>
      <w:pPr>
        <w:spacing w:after="0" w:line="202"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b w:val="1"/>
          <w:bCs w:val="1"/>
          <w:color w:val="auto"/>
        </w:rPr>
        <w:t>DELIVERY OF DOCUMENTS TO THE BOOK-ENTRY TRANSFER FACILITY DOES NOT CONSTITUTE DELIVERY TO THE EXCHANGE AGENT.</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undersigned has completed the appropriate boxes below and signed this Letter to indicate the action the undersigned desires to take with respect to the Exchange Offer.</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List below the Old Notes to which this Letter relates. If the space provided below is inadequate, the certificate numbers, if applicable, and principal amount of Old Notes should be listed on a separate signed schedule affixed hereto.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Borders>
              <w:bottom w:val="single" w:sz="8" w:color="auto"/>
            </w:tcBorders>
          </w:tcPr>
          <w:p>
            <w:pPr>
              <w:jc w:val="center"/>
              <w:ind w:left="826"/>
              <w:spacing w:after="0"/>
              <w:rPr>
                <w:sz w:val="20"/>
                <w:szCs w:val="20"/>
                <w:color w:val="auto"/>
              </w:rPr>
            </w:pPr>
            <w:r>
              <w:rPr>
                <w:rFonts w:ascii="Arial" w:cs="Arial" w:eastAsia="Arial" w:hAnsi="Arial"/>
                <w:sz w:val="18"/>
                <w:szCs w:val="18"/>
                <w:b w:val="1"/>
                <w:bCs w:val="1"/>
                <w:color w:val="auto"/>
                <w:w w:val="98"/>
              </w:rPr>
              <w:t>DESCRIPTION OF OLD NOTES</w:t>
            </w:r>
          </w:p>
        </w:tc>
        <w:tc>
          <w:tcPr>
            <w:tcW w:w="2320" w:type="dxa"/>
            <w:vAlign w:val="bottom"/>
            <w:tcBorders>
              <w:bottom w:val="single" w:sz="8" w:color="auto"/>
            </w:tcBorders>
          </w:tcPr>
          <w:p>
            <w:pPr>
              <w:jc w:val="center"/>
              <w:ind w:left="786"/>
              <w:spacing w:after="0"/>
              <w:rPr>
                <w:sz w:val="20"/>
                <w:szCs w:val="20"/>
                <w:color w:val="auto"/>
              </w:rPr>
            </w:pPr>
            <w:r>
              <w:rPr>
                <w:rFonts w:ascii="Arial" w:cs="Arial" w:eastAsia="Arial" w:hAnsi="Arial"/>
                <w:sz w:val="18"/>
                <w:szCs w:val="18"/>
                <w:b w:val="1"/>
                <w:bCs w:val="1"/>
                <w:color w:val="auto"/>
                <w:w w:val="99"/>
              </w:rPr>
              <w:t>1</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r>
      <w:tr>
        <w:trPr>
          <w:trHeight w:val="130"/>
        </w:trPr>
        <w:tc>
          <w:tcPr>
            <w:tcW w:w="6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6"/>
              </w:rPr>
              <w:t>Aggregate</w:t>
            </w:r>
          </w:p>
        </w:tc>
        <w:tc>
          <w:tcPr>
            <w:tcW w:w="1460" w:type="dxa"/>
            <w:vAlign w:val="bottom"/>
          </w:tcPr>
          <w:p>
            <w:pPr>
              <w:spacing w:after="0"/>
              <w:rPr>
                <w:sz w:val="11"/>
                <w:szCs w:val="11"/>
                <w:color w:val="auto"/>
              </w:rPr>
            </w:pPr>
          </w:p>
        </w:tc>
      </w:tr>
      <w:tr>
        <w:trPr>
          <w:trHeight w:val="149"/>
        </w:trPr>
        <w:tc>
          <w:tcPr>
            <w:tcW w:w="6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6200" w:type="dxa"/>
            <w:vAlign w:val="bottom"/>
          </w:tcPr>
          <w:p>
            <w:pPr>
              <w:jc w:val="center"/>
              <w:ind w:left="846"/>
              <w:spacing w:after="0" w:line="149" w:lineRule="exact"/>
              <w:rPr>
                <w:sz w:val="20"/>
                <w:szCs w:val="20"/>
                <w:color w:val="auto"/>
              </w:rPr>
            </w:pPr>
            <w:r>
              <w:rPr>
                <w:rFonts w:ascii="Arial" w:cs="Arial" w:eastAsia="Arial" w:hAnsi="Arial"/>
                <w:sz w:val="14"/>
                <w:szCs w:val="14"/>
                <w:b w:val="1"/>
                <w:bCs w:val="1"/>
                <w:color w:val="auto"/>
                <w:w w:val="85"/>
              </w:rPr>
              <w:t>Name(s) and Address(es) of Registered Holder(s)</w:t>
            </w:r>
          </w:p>
        </w:tc>
        <w:tc>
          <w:tcPr>
            <w:tcW w:w="2320" w:type="dxa"/>
            <w:vAlign w:val="bottom"/>
          </w:tcPr>
          <w:p>
            <w:pPr>
              <w:jc w:val="center"/>
              <w:ind w:left="786"/>
              <w:spacing w:after="0" w:line="149" w:lineRule="exact"/>
              <w:rPr>
                <w:sz w:val="20"/>
                <w:szCs w:val="20"/>
                <w:color w:val="auto"/>
              </w:rPr>
            </w:pPr>
            <w:r>
              <w:rPr>
                <w:rFonts w:ascii="Arial" w:cs="Arial" w:eastAsia="Arial" w:hAnsi="Arial"/>
                <w:sz w:val="14"/>
                <w:szCs w:val="14"/>
                <w:b w:val="1"/>
                <w:bCs w:val="1"/>
                <w:color w:val="auto"/>
                <w:w w:val="90"/>
              </w:rPr>
              <w:t>Certificate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r>
      <w:tr>
        <w:trPr>
          <w:trHeight w:val="174"/>
        </w:trPr>
        <w:tc>
          <w:tcPr>
            <w:tcW w:w="6200" w:type="dxa"/>
            <w:vAlign w:val="bottom"/>
          </w:tcPr>
          <w:p>
            <w:pPr>
              <w:jc w:val="center"/>
              <w:ind w:left="826"/>
              <w:spacing w:after="0"/>
              <w:rPr>
                <w:sz w:val="20"/>
                <w:szCs w:val="20"/>
                <w:color w:val="auto"/>
              </w:rPr>
            </w:pPr>
            <w:r>
              <w:rPr>
                <w:rFonts w:ascii="Arial" w:cs="Arial" w:eastAsia="Arial" w:hAnsi="Arial"/>
                <w:sz w:val="14"/>
                <w:szCs w:val="14"/>
                <w:b w:val="1"/>
                <w:bCs w:val="1"/>
                <w:color w:val="auto"/>
                <w:w w:val="88"/>
              </w:rPr>
              <w:t>(Please fill in, if blank)</w:t>
            </w:r>
          </w:p>
        </w:tc>
        <w:tc>
          <w:tcPr>
            <w:tcW w:w="2320" w:type="dxa"/>
            <w:vAlign w:val="bottom"/>
          </w:tcPr>
          <w:p>
            <w:pPr>
              <w:jc w:val="center"/>
              <w:ind w:left="786"/>
              <w:spacing w:after="0"/>
              <w:rPr>
                <w:sz w:val="20"/>
                <w:szCs w:val="20"/>
                <w:color w:val="auto"/>
              </w:rPr>
            </w:pPr>
            <w:r>
              <w:rPr>
                <w:rFonts w:ascii="Arial" w:cs="Arial" w:eastAsia="Arial" w:hAnsi="Arial"/>
                <w:sz w:val="14"/>
                <w:szCs w:val="14"/>
                <w:b w:val="1"/>
                <w:bCs w:val="1"/>
                <w:color w:val="auto"/>
                <w:w w:val="92"/>
              </w:rPr>
              <w:t>Number(s)*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Old Note(s)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Tendered**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-539115</wp:posOffset>
            </wp:positionV>
            <wp:extent cx="7250430" cy="15716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15716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Total</w:t>
      </w:r>
    </w:p>
    <w:p>
      <w:pPr>
        <w:spacing w:after="0" w:line="29" w:lineRule="exact"/>
        <w:rPr>
          <w:sz w:val="20"/>
          <w:szCs w:val="20"/>
          <w:color w:val="auto"/>
        </w:rPr>
      </w:pPr>
    </w:p>
    <w:p>
      <w:pPr>
        <w:ind w:left="520" w:hanging="390"/>
        <w:spacing w:after="0"/>
        <w:tabs>
          <w:tab w:leader="none" w:pos="5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Need not be completed if Old Notes are being tendered by book-entry transfer.</w:t>
      </w:r>
    </w:p>
    <w:p>
      <w:pPr>
        <w:spacing w:after="0" w:line="15" w:lineRule="exact"/>
        <w:rPr>
          <w:sz w:val="20"/>
          <w:szCs w:val="20"/>
          <w:color w:val="auto"/>
        </w:rPr>
      </w:pPr>
    </w:p>
    <w:p>
      <w:pPr>
        <w:jc w:val="both"/>
        <w:ind w:left="560" w:right="420" w:hanging="430"/>
        <w:spacing w:after="0" w:line="255" w:lineRule="auto"/>
        <w:tabs>
          <w:tab w:leader="none" w:pos="52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Notes represented by the Old Notes indicated in column 2. See Instruction 2. Old Notes tendered hereby must be in denominations of principal amount of $2,000 and integral multiples of $1,000 in excess of $2,000. See Instruction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02" w:name="page303"/>
    <w:bookmarkEnd w:id="302"/>
    <w:p>
      <w:pPr>
        <w:ind w:left="460" w:right="180" w:hanging="452"/>
        <w:spacing w:after="0" w:line="356" w:lineRule="auto"/>
        <w:tabs>
          <w:tab w:leader="none" w:pos="460" w:val="left"/>
        </w:tabs>
        <w:numPr>
          <w:ilvl w:val="0"/>
          <w:numId w:val="247"/>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CHECK HERE IF TENDERED OLD NOTES ARE BEING DELIVERED BY BOOK-ENTRY TRANSFER MADE TO THE ACCOUNT MAINTAINED BY THE EXCHANGE AGENT WITH THE BOOK-ENTRY TRANSFER FACILITY AND COMPLETE THE FOLLOWING: </w:t>
      </w: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-86360</wp:posOffset>
            </wp:positionV>
            <wp:extent cx="42087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37"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By crediting the Old Notes to the Exchange Agent’s account at the Book-Entry Transfer Facility’s Automated Tender Offer Program (“ATOP”) and by complying with applicable ATOP procedures with respect to the Exchange Offer, including transmitting to the Exchange Agent a computer-generated Agent’s Message in which the holder of the Old Notes acknowledges and agrees to be bound by the terms of, and makes the representations and warranties contained in, this Letter, the participant in the Book-Entry Transfer Facility confirms on behalf of itself and the beneficial owners of such Old Notes all provisions of this Letter (including all representations and warranties) applicable to it and such beneficial owner as fully as if it had completed the information required herein and executed and transmitted this Letter to the Exchange Agent.</w:t>
      </w:r>
    </w:p>
    <w:p>
      <w:pPr>
        <w:spacing w:after="0" w:line="179" w:lineRule="exact"/>
        <w:rPr>
          <w:sz w:val="20"/>
          <w:szCs w:val="20"/>
          <w:color w:val="auto"/>
        </w:rPr>
      </w:pPr>
    </w:p>
    <w:p>
      <w:pPr>
        <w:ind w:left="460" w:right="600" w:hanging="452"/>
        <w:spacing w:after="0" w:line="275" w:lineRule="auto"/>
        <w:tabs>
          <w:tab w:leader="none" w:pos="460" w:val="left"/>
        </w:tabs>
        <w:numPr>
          <w:ilvl w:val="0"/>
          <w:numId w:val="248"/>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OLD NOTES ARE BEING DELIVERED PURSUANT TO A NOTICE OF GUARANTEED DELIVERY PREVIOUSLY SENT TO THE EXCHANGE AGENT AND COMPLETE THE FOLLOWING:</w:t>
      </w:r>
    </w:p>
    <w:p>
      <w:pPr>
        <w:spacing w:after="0" w:line="125" w:lineRule="exact"/>
        <w:rPr>
          <w:rFonts w:ascii="MS PGothic" w:cs="MS PGothic" w:eastAsia="MS PGothic" w:hAnsi="MS PGothic"/>
          <w:sz w:val="18"/>
          <w:szCs w:val="18"/>
          <w:color w:val="auto"/>
        </w:rPr>
      </w:pPr>
    </w:p>
    <w:p>
      <w:pPr>
        <w:jc w:val="both"/>
        <w:ind w:left="460" w:right="8620"/>
        <w:spacing w:after="0" w:line="493" w:lineRule="auto"/>
        <w:rPr>
          <w:rFonts w:ascii="MS PGothic" w:cs="MS PGothic" w:eastAsia="MS PGothic" w:hAnsi="MS PGothic"/>
          <w:sz w:val="18"/>
          <w:szCs w:val="18"/>
          <w:color w:val="auto"/>
        </w:rPr>
      </w:pPr>
      <w:r>
        <w:rPr>
          <w:rFonts w:ascii="Arial" w:cs="Arial" w:eastAsia="Arial" w:hAnsi="Arial"/>
          <w:sz w:val="16"/>
          <w:szCs w:val="16"/>
          <w:color w:val="auto"/>
        </w:rPr>
        <w:t>Name(s) of Registered Holder(s) Window Ticket Number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-362585</wp:posOffset>
            </wp:positionV>
            <wp:extent cx="40970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09702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-122555</wp:posOffset>
            </wp:positionV>
            <wp:extent cx="40970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09702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Date of Execution of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-13970</wp:posOffset>
            </wp:positionV>
            <wp:extent cx="30099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-13970</wp:posOffset>
            </wp:positionV>
            <wp:extent cx="32327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Delivered by Book-Entry Transfer, Complete the Following:</w:t>
      </w:r>
    </w:p>
    <w:p>
      <w:pPr>
        <w:spacing w:after="0" w:line="177"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-13970</wp:posOffset>
            </wp:positionV>
            <wp:extent cx="55467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54672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-13970</wp:posOffset>
            </wp:positionV>
            <wp:extent cx="54070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407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225425</wp:posOffset>
            </wp:positionV>
            <wp:extent cx="59366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9366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represents that it is not an “affiliate” of the Issuers as defined in Rule 405 under the Securities Act, that it acquired the New Notes in the ordinary course of its business, and that at the time of the commencement of the Exchange Offer, neither the undersigned nor, to the knowledge of the undersigned, anyone receiving New Notes from the undersigned, has any arrangement or understanding with any person to participate in the distribution, as defined in the Securities Act, of the New Notes in violation of the Securities Act. If the undersigned is not a broker-dealer, the undersigned represents that it is not engaged in, and does not intend to engage in, a distribution of the New Notes and it has no arrangements or understandings with any person to participate in a distribution of the New Notes, as defined in the Securities Act. If the undersigned is a broker-dealer, it represents that it will receive the New Notes for its own account in exchange for the Old Notes that were acquired by it as a result of its market-making or other trading activities and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03" w:name="page304"/>
    <w:bookmarkEnd w:id="30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READ THE ACCOMPANYING INSTRUCTIONS CAREFULLY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Issuers the aggregate principal amount of Old Notes indicated above. Subject to, and effective upon, the acceptance for exchange of the Old Notes tendered hereby, the undersigned hereby sells, assigns and transfers to, or upon the order of, the Issuers all right, title and interest in and to such Old Notes as are being tendered hereby.</w:t>
      </w:r>
    </w:p>
    <w:p>
      <w:pPr>
        <w:spacing w:after="0" w:line="10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undersigned hereby irrevocably constitutes and appoints the Exchange Agent as the undersigned’s true and lawful agent and attorney-in-fact with respect to such tendered Old Notes, with full power of substitution, among other things, to cause the Old Notes to be assigned, transferred and exchanged. The undersigned hereby represents and warrants that the undersigned has full power and authority to tender, sell, assign and transfer the Old Notes, and to acquire New Notes issuable upon the exchange of such tendered Old Notes, and that, when the same are accepted for exchange, the Issuers will acquire good and unencumbered title thereto, free and clear of all liens, restrictions, charges and encumbrances and not subject to any adverse claim when the same are accepted by the Issuers. The undersigned hereby further represents that: (i) any New Notes received by the undersigned will be received in the ordinary course of business,</w:t>
      </w:r>
    </w:p>
    <w:p>
      <w:pPr>
        <w:spacing w:after="0" w:line="1" w:lineRule="exact"/>
        <w:rPr>
          <w:sz w:val="20"/>
          <w:szCs w:val="20"/>
          <w:color w:val="auto"/>
        </w:rPr>
      </w:pPr>
    </w:p>
    <w:p>
      <w:pPr>
        <w:ind w:right="40" w:firstLine="8"/>
        <w:spacing w:after="0" w:line="290" w:lineRule="auto"/>
        <w:tabs>
          <w:tab w:leader="none" w:pos="25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undersigned will have no arrangement or understanding with any person to participate in the distribution of the Old Notes or the New Notes within the meaning of the Securities Act, (iii) the undersigned is not an “affiliate” (as such term is defined in Rule 501(b) of Regulation D of the Securities Act) of the Issuers or the guarantors, or if the undersigned is an affiliate, then the undersigned will comply with the registration and prospectus delivery requirements of the Securities Act to the extent applicable, (iv) if the undersigned is not a broker-dealer, then it is not engaged in, and does not intend to engage in, the distribution of the New Notes, and (v) if the undersigned is a broker-dealer, then it will receive the New Notes for its own account in exchange for the Old Notes that were acquired as a result of market-making activities or other trading activities and that it will deliver a prospectus in connection with any resale of the New Notes.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undersigned acknowledges that this Exchange Offer is being made in reliance on interpretations by the staff of the Securities and Exchange Commission (the “SEC”), as set forth in no-action letters issued to third parties, that the New Notes issued pursuant to the Exchange Offer in exchange for the Old Notes may be offered for resale, resold and otherwise transferred by Holders thereof (other than any such Holder that is an “affiliate” of the Issuers or the guarantors within the meaning of Rule 501(b) of Regulation D of the Securities Act), without compliance with the registration and prospectus delivery provisions of the Securities Act, provided that such New Notes are acquired in the ordinary course of such Holders’ business and such Holders have no arrangement with any person to participate in the distribution of such New Notes. However, the SEC has not considered the Exchange Offer in the context of a no-action letter and there can be no assurance that the staff of the SEC would make a similar determination with respect to the Exchange Offer as in other circumstances. If the undersigned is not a broker-dealer, the undersigned represents that it is not engaged in, and does not intend to engage in, a distribution of New Notes and has no arrangement or understanding to participate in a distribution of New Notes. If any Holder is an affiliate of the Issuers or is engaged in or intends to engage in or has any arrangement or understanding with respect to the distribution of the New Notes to be acquired pursuant to the Exchange Offer, such Holder (i) could not rely on the applicable interpretations of the staff of the SEC and (ii) must comply with the registration and prospectus delivery requirements of the Securities Act in connection with any resale transaction. If the undersigned is a broker-dealer that will receive New Notes for its own account in exchange for Old Notes, it represents that the Old Notes to be exchanged for the New Notes were acquired by it as a result of market-making activities or other trading activities and acknowledges that it will deliver a prospectus meeting the requirements of the Securities Act in connection with any resale of such New Notes; however, by so acknowledging and by delivering a prospectus, the undersigned will not be deemed to admit that it is an “underwriter” within the meaning of the Securities Act.</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undersigned will, upon request, execute and deliver any additional documents deemed by the Issuers to be necessary or desirable to complete the sale, assignment and transfer of the Old Notes tendered hereby. 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304" w:name="page305"/>
    <w:bookmarkEnd w:id="30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authority conferred or agreed to be conferred in this Letter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The Exchange Offer may be withdrawn in accordance with the procedures set forth in “The Exchange Offer—Withdrawal Rights” section of the Prospectus.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Unless otherwise indicated herein in the box entitled “Special Issuance Instructions” below, please deliver the New Notes (and, if applicable, substitute certificates representing Old Notes for any Old Notes not exchanged) in the name of the undersigned or, in the case of a book-entry delivery of Old Notes, please credit the account indicated above maintained at the Book-Entry Transfer Facility. Similarly, unless otherwise indicated under the box entitled “Special Delivery Instructions” below, please send the New Notes (and, if applicable, substitute certificates representing Old Notes for any Old Notes not exchanged) to the undersigned at the address shown above in the boxes entitled “Description of Old Notes.”</w:t>
      </w:r>
    </w:p>
    <w:p>
      <w:pPr>
        <w:spacing w:after="0" w:line="110" w:lineRule="exact"/>
        <w:rPr>
          <w:sz w:val="20"/>
          <w:szCs w:val="20"/>
          <w:color w:val="auto"/>
        </w:rPr>
      </w:pPr>
    </w:p>
    <w:p>
      <w:pPr>
        <w:jc w:val="both"/>
        <w:ind w:right="520" w:firstLine="456"/>
        <w:spacing w:after="0" w:line="262" w:lineRule="auto"/>
        <w:rPr>
          <w:sz w:val="20"/>
          <w:szCs w:val="20"/>
          <w:color w:val="auto"/>
        </w:rPr>
      </w:pPr>
      <w:r>
        <w:rPr>
          <w:rFonts w:ascii="Arial" w:cs="Arial" w:eastAsia="Arial" w:hAnsi="Arial"/>
          <w:sz w:val="18"/>
          <w:szCs w:val="18"/>
          <w:b w:val="1"/>
          <w:bCs w:val="1"/>
          <w:color w:val="auto"/>
        </w:rPr>
        <w:t>THE UNDERSIGNED, BY COMPLETING THE BOX AND/OR BOXES ENTITLED “DESCRIPTION OF OLD NOTES” ABOVE AND SIGNING THIS LETTER, WILL BE DEEMED TO HAVE TENDERED THE OLD NOTES AS SET FORTH IN SUCH BOX AND/OR BOXES ABOVE.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9" w:right="299" w:bottom="1440" w:gutter="0" w:footer="0" w:header="0"/>
        </w:sectPr>
      </w:pPr>
    </w:p>
    <w:bookmarkStart w:id="305" w:name="page306"/>
    <w:bookmarkEnd w:id="305"/>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182880</wp:posOffset>
            </wp:positionV>
            <wp:extent cx="3473450" cy="41421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73450" cy="4142105"/>
                    </a:xfrm>
                    <a:prstGeom prst="rect">
                      <a:avLst/>
                    </a:prstGeom>
                    <a:noFill/>
                  </pic:spPr>
                </pic:pic>
              </a:graphicData>
            </a:graphic>
          </wp:anchor>
        </w:drawing>
        <w:t>SPECIAL ISSUANCE INSTRUCTIONS</w:t>
      </w:r>
    </w:p>
    <w:p>
      <w:pPr>
        <w:spacing w:after="0" w:line="2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(See Instructions 3 and 4)</w:t>
      </w:r>
    </w:p>
    <w:p>
      <w:pPr>
        <w:spacing w:after="0" w:line="84" w:lineRule="exact"/>
        <w:rPr>
          <w:sz w:val="20"/>
          <w:szCs w:val="20"/>
          <w:color w:val="auto"/>
        </w:rPr>
      </w:pPr>
    </w:p>
    <w:p>
      <w:pPr>
        <w:ind w:right="220" w:firstLine="432"/>
        <w:spacing w:after="0" w:line="290" w:lineRule="auto"/>
        <w:rPr>
          <w:sz w:val="20"/>
          <w:szCs w:val="20"/>
          <w:color w:val="auto"/>
        </w:rPr>
      </w:pPr>
      <w:r>
        <w:rPr>
          <w:rFonts w:ascii="Arial" w:cs="Arial" w:eastAsia="Arial" w:hAnsi="Arial"/>
          <w:sz w:val="16"/>
          <w:szCs w:val="16"/>
          <w:color w:val="auto"/>
        </w:rPr>
        <w:t>To be completed ONLY if certificates for Old Notes not exchanged and/or New Notes are to be issued in the name of and sent to someone other than the person or persons whose signature(s) appear(s) on this Letter below, or if Old Notes delivered by book-entry transfer which are not accepted for exchange are to be returned by credit to an account maintained at the Book-Entry Transfer Facility other than the account indicated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Issue New Notes and/or Old Notes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(Please Type or Print)</w:t>
      </w:r>
    </w:p>
    <w:p>
      <w:pPr>
        <w:spacing w:after="0" w:line="139"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355"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(Address)</w:t>
      </w:r>
    </w:p>
    <w:p>
      <w:pPr>
        <w:spacing w:after="0" w:line="393"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(Zip Code)</w:t>
      </w:r>
    </w:p>
    <w:p>
      <w:pPr>
        <w:spacing w:after="0" w:line="231"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(Complete Substitute Form W-9)</w:t>
      </w:r>
    </w:p>
    <w:p>
      <w:pPr>
        <w:spacing w:after="0" w:line="235" w:lineRule="exact"/>
        <w:rPr>
          <w:sz w:val="20"/>
          <w:szCs w:val="20"/>
          <w:color w:val="auto"/>
        </w:rPr>
      </w:pPr>
    </w:p>
    <w:p>
      <w:pPr>
        <w:ind w:left="440" w:right="380" w:hanging="431"/>
        <w:spacing w:after="0" w:line="259" w:lineRule="auto"/>
        <w:tabs>
          <w:tab w:leader="none" w:pos="521" w:val="left"/>
        </w:tabs>
        <w:numPr>
          <w:ilvl w:val="0"/>
          <w:numId w:val="250"/>
        </w:numPr>
        <w:rPr>
          <w:rFonts w:ascii="MS PGothic" w:cs="MS PGothic" w:eastAsia="MS PGothic" w:hAnsi="MS PGothic"/>
          <w:sz w:val="18"/>
          <w:szCs w:val="18"/>
          <w:color w:val="auto"/>
        </w:rPr>
      </w:pPr>
      <w:r>
        <w:rPr>
          <w:rFonts w:ascii="Arial" w:cs="Arial" w:eastAsia="Arial" w:hAnsi="Arial"/>
          <w:sz w:val="18"/>
          <w:szCs w:val="18"/>
          <w:color w:val="auto"/>
        </w:rPr>
        <w:t>Credit unexchanged Old Notes delivered by book-entry transfer to the Book-Entry Transfer Facility account set forth below.</w:t>
      </w:r>
    </w:p>
    <w:p>
      <w:pPr>
        <w:spacing w:after="0" w:line="23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(Book-Entry Transfer Facility</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Account Number, if applicable)</w:t>
      </w:r>
    </w:p>
    <w:p>
      <w:pPr>
        <w:spacing w:after="0" w:line="23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jc w:val="center"/>
        <w:ind w:right="-79"/>
        <w:spacing w:after="0"/>
        <w:rPr>
          <w:sz w:val="20"/>
          <w:szCs w:val="20"/>
          <w:color w:val="auto"/>
        </w:rPr>
      </w:pPr>
      <w:r>
        <w:rPr>
          <w:rFonts w:ascii="Arial" w:cs="Arial" w:eastAsia="Arial" w:hAnsi="Arial"/>
          <w:sz w:val="18"/>
          <w:szCs w:val="18"/>
          <w:b w:val="1"/>
          <w:bCs w:val="1"/>
          <w:color w:val="auto"/>
        </w:rPr>
        <w:t>SPECIAL DELIVERY ISSUANCE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-275590</wp:posOffset>
            </wp:positionV>
            <wp:extent cx="7289165" cy="40303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(See Instructions 3 and 4)</w:t>
      </w:r>
    </w:p>
    <w:p>
      <w:pPr>
        <w:spacing w:after="0" w:line="84" w:lineRule="exact"/>
        <w:rPr>
          <w:sz w:val="20"/>
          <w:szCs w:val="20"/>
          <w:color w:val="auto"/>
        </w:rPr>
      </w:pPr>
    </w:p>
    <w:p>
      <w:pPr>
        <w:ind w:firstLine="432"/>
        <w:spacing w:after="0" w:line="294" w:lineRule="auto"/>
        <w:rPr>
          <w:sz w:val="20"/>
          <w:szCs w:val="20"/>
          <w:color w:val="auto"/>
        </w:rPr>
      </w:pPr>
      <w:r>
        <w:rPr>
          <w:rFonts w:ascii="Arial" w:cs="Arial" w:eastAsia="Arial" w:hAnsi="Arial"/>
          <w:sz w:val="16"/>
          <w:szCs w:val="16"/>
          <w:color w:val="auto"/>
        </w:rPr>
        <w:t>To be completed ONLY if certificates for Old Notes not exchanged and/or New Notes are to be sent to someone other than the person or persons whose signature(s) appear(s) on this Letter below or to such person or persons at an address other than shown in the box entitled “Description of Old Notes” on this Letter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Mail New Notes and/or Old Notes to:</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(Please Type or Print)</w:t>
      </w:r>
    </w:p>
    <w:p>
      <w:pPr>
        <w:spacing w:after="0" w:line="139"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(Address)</w:t>
      </w:r>
    </w:p>
    <w:p>
      <w:pPr>
        <w:spacing w:after="0" w:line="393"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(Zip Code)</w:t>
      </w:r>
    </w:p>
    <w:p>
      <w:pPr>
        <w:sectPr>
          <w:pgSz w:w="11900" w:h="16838" w:orient="portrait"/>
          <w:cols w:equalWidth="0" w:num="2">
            <w:col w:w="5100" w:space="720"/>
            <w:col w:w="4840"/>
          </w:cols>
          <w:pgMar w:left="540" w:top="368" w:right="699" w:bottom="1440" w:gutter="0" w:footer="0" w:header="0"/>
        </w:sectPr>
      </w:pPr>
    </w:p>
    <w:bookmarkStart w:id="306" w:name="page307"/>
    <w:bookmarkEnd w:id="306"/>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THIS LETTER OR A FACSIMILE HEREOF OR AN AGENT’S MESSAGE IN LIEU HEREOF (TOGETHER WITH THE CERTIFICATES FOR OLD NOTES OR A BOOK-ENTRY CONFIRMATION AND ALL OTHER REQUIRED DOCUMENTS OR THE NOTICE OF GUARANTEED DELIVERY) MUST BE RECEIVED BY THE EXCHANGE AGENT PRIOR TO 5:00 P.M., NEW YORK CITY TIME, ON THE EXPIRATION DATE.</w:t>
      </w:r>
    </w:p>
    <w:p>
      <w:pPr>
        <w:spacing w:after="0" w:line="29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PLEASE READ THIS ENTIRE LETTER OF TRANSMITTAL</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CAREFULLY BEFORE COMPLETING ANY BOX ABOVE.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5360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5360035"/>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COMPLETED BY ALL TENDERING 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(Complete Accompanying Substitute Form W-9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40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 2010</w:t>
            </w:r>
          </w:p>
        </w:tc>
      </w:tr>
      <w:tr>
        <w:trPr>
          <w:trHeight w:val="20"/>
        </w:trPr>
        <w:tc>
          <w:tcPr>
            <w:tcW w:w="18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4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 2010</w:t>
            </w:r>
          </w:p>
        </w:tc>
      </w:tr>
      <w:tr>
        <w:trPr>
          <w:trHeight w:val="182"/>
        </w:trPr>
        <w:tc>
          <w:tcPr>
            <w:tcW w:w="180" w:type="dxa"/>
            <w:vAlign w:val="bottom"/>
          </w:tcPr>
          <w:p>
            <w:pPr>
              <w:spacing w:after="0"/>
              <w:rPr>
                <w:sz w:val="15"/>
                <w:szCs w:val="15"/>
                <w:color w:val="auto"/>
              </w:rPr>
            </w:pPr>
          </w:p>
        </w:tc>
        <w:tc>
          <w:tcPr>
            <w:tcW w:w="4040" w:type="dxa"/>
            <w:vAlign w:val="bottom"/>
            <w:tcBorders>
              <w:top w:val="single" w:sz="8" w:color="auto"/>
            </w:tcBorders>
          </w:tcPr>
          <w:p>
            <w:pPr>
              <w:ind w:left="1600"/>
              <w:spacing w:after="0"/>
              <w:rPr>
                <w:sz w:val="20"/>
                <w:szCs w:val="20"/>
                <w:color w:val="auto"/>
              </w:rPr>
            </w:pPr>
            <w:r>
              <w:rPr>
                <w:rFonts w:ascii="Arial" w:cs="Arial" w:eastAsia="Arial" w:hAnsi="Arial"/>
                <w:sz w:val="14"/>
                <w:szCs w:val="14"/>
                <w:b w:val="1"/>
                <w:bCs w:val="1"/>
                <w:color w:val="auto"/>
              </w:rPr>
              <w:t>(Signature(s) of Owner)</w:t>
            </w:r>
          </w:p>
        </w:tc>
        <w:tc>
          <w:tcPr>
            <w:tcW w:w="240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bl>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Area Code and Telephone Number</w:t>
      </w:r>
    </w:p>
    <w:p>
      <w:pPr>
        <w:spacing w:after="0" w:line="252" w:lineRule="exact"/>
        <w:rPr>
          <w:sz w:val="20"/>
          <w:szCs w:val="20"/>
          <w:color w:val="auto"/>
        </w:rPr>
      </w:pPr>
    </w:p>
    <w:p>
      <w:pPr>
        <w:ind w:left="120" w:right="400" w:firstLine="432"/>
        <w:spacing w:after="0" w:line="335" w:lineRule="auto"/>
        <w:rPr>
          <w:sz w:val="20"/>
          <w:szCs w:val="20"/>
          <w:color w:val="auto"/>
        </w:rPr>
      </w:pPr>
      <w:r>
        <w:rPr>
          <w:rFonts w:ascii="Arial" w:cs="Arial" w:eastAsia="Arial" w:hAnsi="Arial"/>
          <w:sz w:val="15"/>
          <w:szCs w:val="15"/>
          <w:color w:val="auto"/>
        </w:rPr>
        <w:t>If a holder is tendering any Old Notes, this Letter must be signed by the registered holder(s) as the name(s) appear(s) on the certificate(s) for the Old Notes or by any person(s) authorized to become registered holder(s) by endorsements and documents transmitted herewith. If signature is by a trustee, executor, administrator, guardian, officer or other person acting in a fiduciary or representative capacity, please set forth full title. See Instruction 3.</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(Please Type or Print)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Capacity: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(Including Zip Code)</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Identification No.:</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SIGNATURE GUARANTEE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(If required by Instruction 3)</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Signature(s) Guaranteed by</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Eligible Institution: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(Authorized Signature)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(Name and Firm)</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w w:val="82"/>
              </w:rPr>
              <w:t>Dated:</w:t>
            </w:r>
          </w:p>
        </w:tc>
        <w:tc>
          <w:tcPr>
            <w:tcW w:w="8340" w:type="dxa"/>
            <w:vAlign w:val="bottom"/>
            <w:gridSpan w:val="2"/>
          </w:tcPr>
          <w:p>
            <w:pPr>
              <w:jc w:val="right"/>
              <w:spacing w:after="0"/>
              <w:rPr>
                <w:sz w:val="20"/>
                <w:szCs w:val="20"/>
                <w:color w:val="auto"/>
              </w:rPr>
            </w:pPr>
            <w:r>
              <w:rPr>
                <w:rFonts w:ascii="Arial" w:cs="Arial" w:eastAsia="Arial" w:hAnsi="Arial"/>
                <w:sz w:val="18"/>
                <w:szCs w:val="18"/>
                <w:color w:val="auto"/>
              </w:rPr>
              <w:t>, 2010</w:t>
            </w:r>
          </w:p>
        </w:tc>
      </w:tr>
      <w:tr>
        <w:trPr>
          <w:trHeight w:val="20"/>
        </w:trPr>
        <w:tc>
          <w:tcPr>
            <w:tcW w:w="460" w:type="dxa"/>
            <w:vAlign w:val="bottom"/>
          </w:tcPr>
          <w:p>
            <w:pPr>
              <w:spacing w:after="0" w:line="20" w:lineRule="exact"/>
              <w:rPr>
                <w:sz w:val="1"/>
                <w:szCs w:val="1"/>
                <w:color w:val="auto"/>
              </w:rPr>
            </w:pPr>
          </w:p>
        </w:tc>
        <w:tc>
          <w:tcPr>
            <w:tcW w:w="7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400"/>
          </w:cols>
          <w:pgMar w:left="240" w:top="274" w:right="259" w:bottom="1440" w:gutter="0" w:footer="0" w:header="0"/>
        </w:sectPr>
      </w:pPr>
    </w:p>
    <w:bookmarkStart w:id="307" w:name="page308"/>
    <w:bookmarkEnd w:id="307"/>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Forming Part of the Terms and Conditions of the Exchange Offer for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First Mortgage Notes due 2020 Issued on August 4, 2010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Wynn Las Vegas Capital Corp.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Exchange for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First Mortgage Notes due 2020 of Wynn Las Vegas, LLC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Wynn Las Vegas Capital Corp. That Have Been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Registered Under the Securities Act of 1933, as Amended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Delivery of this Letter and Old Notes; Guaranteed Delivery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Letter is to be completed by holders of Old Notes either if certificates are to be forwarded herewith or if tenders are to be made pursuant to the procedures for delivery by book-entry transfer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which states that the Book-Entry Transfer Facility has received an express acknowledgment from the tendering participant, which acknowledgment states that such participant has received and agrees to be bound by the Letter of Transmittal and that the Issuers may enforce the Letter of Transmittal against such participant. Certificates for all physically tendered Old Notes, or Book-Entry Confirmation, as the case may be, as well as a properly completed and duly executed Letter (or manually signed facsimile hereof or Agent’s Message in lieu thereof) and any other documents required by this Letter, must be received by the Exchange Agent at the address set forth herein prior to the Expiration Date, or the tendering holder must comply with the guaranteed delivery procedures referred to below and set forth in “The Exchange Offer—Guaranteed Delivery Procedures” section of the Prospectus. Old Notes tendered hereby must be in denominations of principal amount of $2,000 and integral multiples of $1,000 in excess of $2,000.</w:t>
      </w:r>
    </w:p>
    <w:p>
      <w:pPr>
        <w:spacing w:after="0" w:line="12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Holders whose certificates for Old Notes are not immediately available or who cannot deliver their certificates and all other required documents to the Exchange Agent prior to the Expiration Date, or who cannot complete the procedure for book-entry transfer on a timely basis, may tender their Old Notes pursuant to the guaranteed delivery procedures set forth in “The Exchange Offer—Guaranteed Delivery Procedures” section of the Prospectus. Pursuant to such procedures, (i) such tender must be made through an Eligible Institution, (ii) prior to 5:00 p.m., New York City time, on the Expiration Date, the Exchange Agent must receive from such Eligible Institution a properly completed and duly executed Notice of Guaranteed Delivery, substantially in the form provided by the Issuers (by telegram, facsimile transmission, mail or hand delivery), setting forth the name and address of the Holder and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this Letter properly completed and duly executed (or facsimile hereof or Agent’s Message in lieu hereof) with any required signature guarantees and any other documents required by this Letter will be deposited by the Eligible Institution with the Exchange Agent, and (iii) the certificates for all physically tendered Old Notes, in proper form for transfer, or a Book-Entry Confirmation, as the case may be, together with this Letter properly completed and duly executed (or facsimile hereof or Agent’s Message in lieu hereof) with any required signature guarantees and all other documents required by this Letter, are received by the Exchange Agent within three NYSE trading days after the date of execution of the Notice of Guaranteed Delivery.</w:t>
      </w:r>
    </w:p>
    <w:p>
      <w:pPr>
        <w:spacing w:after="0" w:line="12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method of delivery of this Letter, the Old Notes and all other required documents is at the election and risk of the tendering holders, but the delivery will be deemed made only when actually received or confirmed by the Exchange Agent. If Old Notes are sent by mail, it is suggested that the mailing be registered mail, properly insured, with return receipt requested, made sufficiently in advance of the Expiration Date to permit delivery to the Exchange Agent prior to 5:00 p.m., New York City time, on the Expiration Date.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3" w:right="279" w:bottom="1440" w:gutter="0" w:footer="0" w:header="0"/>
        </w:sectPr>
      </w:pPr>
    </w:p>
    <w:bookmarkStart w:id="308" w:name="page309"/>
    <w:bookmarkEnd w:id="3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See “The Exchange Offer” section of the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Partial Tenders (not applicable to noteholders who tender by book-entry transfer).</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If less than all of the Old Notes evidenced by a submitted certificate are to be tendered, the tendering holder(s) should fill in the aggregate principal amount of Old Notes to be tendered in the box or boxes above entitled “Description of Old Notes—Principal Amount Tendered.” A reissued certificate representing the balance of nontendered Old Notes will be sent to such tendering holder, unless otherwise provided in the appropriate box on this Letter, promptly after the Expiration Date. </w:t>
      </w:r>
      <w:r>
        <w:rPr>
          <w:rFonts w:ascii="Arial" w:cs="Arial" w:eastAsia="Arial" w:hAnsi="Arial"/>
          <w:sz w:val="15"/>
          <w:szCs w:val="15"/>
          <w:b w:val="1"/>
          <w:bCs w:val="1"/>
          <w:color w:val="auto"/>
        </w:rPr>
        <w:t>All of the Old Notes delivered to the Exchange Agent will be deemed to have been tendered unless otherwise indicated.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Signatures on this Letter; Bond Powers and Endorsements; Guarantee of 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this Letter is signed by the registered holder of the Old Notes tendered hereby, the signature must correspond exactly with the name as written on the face of the certificates without any change whatsoever.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tendered Old Notes are owned of record by two or more joint owners, all of such owners must sign this Letter.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tendered Old Notes are registered in different names on several certificates, it will be necessary to complete, sign and submit as many separate copies of this Letter as there are different registrations of certificates.</w:t>
      </w:r>
    </w:p>
    <w:p>
      <w:pPr>
        <w:spacing w:after="0" w:line="1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When this Letter is signed by the registered holder or holders of the Old Notes specified herein and tendered hereby, no endorsements of certificates or separate bond powers are required. If, however, the New Notes are to be issued, or any untendered Old Notes are to be reissued, to a person other than the registered holder, then endorsements of any certificates transmitted hereby or separate bond powers are required. Signatures on such certificate(s) must be guaranteed by an Eligible Institution.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this Letter is signed by a person other than the registered holder or holders of any certificate(s) specified herein, such certificate(s) must be endorsed or accompanied by appropriate bond powers, in either case signed exactly as the name or names of the registered holder or holders appear(s) on the certificate(s) and signatures on such certificate(s) must be guaranteed by an Eligible Institution.</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this Letter or any certificates or bond powers are signed by trustees, executors, administrators, guardians, attorneys-in-fact, officers of corporations or others acting in a fiduciary or representative capacity, such persons should so indicate when signing, and, unless waived by the Issuers, proper evidence satisfactory to the Issuers of their authority to so act must be submitted.</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Endorsements on certificates for Old Notes or signatures on bond powers required by this Instruction 3 must be guaranteed by a firm that is a financial institution (including most banks, savings and loan associations and brokerage houses) that is a participant in the Securities Transfer Agents Medallion Program, the New York Stock Exchange Medallion Signature Program or the Stock Exchanges Medallion Program (each an “Eligible Institution”).</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Signatures on this Letter need not be guaranteed by an Eligible Institution, provided the Old Notes are tendered: (i) by a registered holder (which term, for purposes of the Exchange Offer, includes any participant in the Book-Entry Transfer Facility system whose name appears on a security position listing as the holder of such Old Notes) who has not completed the box entitled “Special Issuance Instructions” or “Special Delivery Instructions” on this Letter, or (ii) for the account of an Eligible Institution.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Issuance and Delivery Instructions.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Tendering holders of Old Notes should indicate in the applicable box the name and address to which New Notes issued pursuant to the Exchange Offer and/or substitute certificates evidencing Old Notes not exchanged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09" w:name="page310"/>
    <w:bookmarkEnd w:id="309"/>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to be issued or sent, if different from the name or address of the person signing this Letter. In the case of issuance in a different name, the employer identification or social security number of the person named must also be indicated. Noteholders tendering Old Notes by book-entry transfer may request that Old Notes not exchanged be credited to such account maintained at the Book-Entry Transfer Facility as such noteholder may designate hereon. If no such instructions are given, such Old Notes not exchanged will be returned to the name and address of the person signing this Letter.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Taxpayer Identification Number and Certification of Foreign Status.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Federal income tax law generally requires that a tendering holder whose Old Notes are accepted for exchange must provide the Issuers (as payors) with such holder’s correct Taxpayer Identification Number (“TIN”) on the Substitute Form W-9 below, which generally is such holder’s social security number or employee identification number, or otherwise establish an exemption. If the Issuers are not provided with the current TIN or an adequate basis for an exemption from backup withholding, such tendering holder may be subject to a $50 penalty imposed by the Internal Revenue Service (the “IRS”) and backup withholding at the then applicable rate on the amount of any reportable payments made after the exchange to such tendering holder of New Notes. If withholding results in an overpayment of taxes, a refund may be obtained provided that the required information is timely furnished to the IRS.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Exempt holders of Old Notes (including, among others, all corporations and certain foreign individuals) are not subject to these backup withholding and reporting requirements. To prevent possible backup withholding an exempt holder that is a U.S. person should write “Exempt” in Part 3 of Substitute Form W-9. See the enclosed Guidelines of Certification of Taxpayer Identification Number on Substitute Form W-9 (the “W-9 Guidelines”) for additional instructions.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prevent backup withholding, each tendering holder of Old Notes must provide its correct TIN by completing the Substitute Form W-9 set forth below, certifying, under penalties of perjury, that (A) the TIN provided is correct (or that such holder is awaiting a TIN), (B) the holder is a U.S. person, and (C)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If a holder that is a U.S. person does not have a TIN, such holder should consult the W-9 Guidelines for instructions on applying for a TIN, check the box in Part 2 of the Substitute Form W-9 and write “applied for” in the space for the TIN in Part 3 of the Substitute Form W-9. Note: Checking this box and writing “applied for” on the form means that such holder has already applied for a TIN or that such holder intends to apply for one in the near future. If the box in Part 2 of the Substitute Form W-9 is checked, and the Exchange Agent is not provided with a TIN by the time of payment, the Exchange Agent may withhold a portion of all reportable payments to the holder thereafter until such holder furnishes its TIN to the Exchange Agent.</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the tendering holder of Old Notes is a nonresident alien or foreign entity not subject to backup withholding, such holder must give the Exchange Agent a completed Form W-8BEN, Certificate of Foreign Status. These forms may be obtained from the Exchange Agent. If the Old Notes are in more than one name or are not in the name of the actual owner, such holder should consult the W-9 Guidelines for information on which TIN to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 Taxes.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Issuers will pay or cause to be paid all transfer taxes, if any, applicable to the transfer of Old Notes to them or their order pursuant to the Exchange Offer. If, however, New Notes are to be delivered to, or are to be registered or issued in the name of, any person other than the registered holder of the Old Notes tendered hereby, or if tendered Old Notes are registered in the name of any person other than the person signing this Letter, or if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9" w:right="239" w:bottom="1440" w:gutter="0" w:footer="0" w:header="0"/>
        </w:sectPr>
      </w:pPr>
    </w:p>
    <w:bookmarkStart w:id="310" w:name="page311"/>
    <w:bookmarkEnd w:id="31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tax is imposed for any reason other than the transfer of Old Notes to the Issuers or their order pursuant to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provided in this Instruction 6, it will not be necessary for transfer tax stamps to be affixed to the Old Notes specified in this Letter.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Waiver of 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reserve the absolute right to waive satisfaction of any or all conditions enumerated in the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Conditional Tenders.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alternative, conditional, irregular or contingent tenders will be accepted. All tendering holders of Old Notes, by execution of this Letter, shall waive any right to receive notice of the acceptance of their Old Notes for exchange.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None of the Issuers, the Exchange Agent nor any other person is obligated to give notice of any defect or irregularity with respect to any tender of Old Notes nor shall any of them incur any liability for failure to give any such notice.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Mutilated, Lost, Stolen or Destroyed Old Notes.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holder whose Old Notes have been mutilated, lost, stolen or destroyed should contact the Exchange Agent at the address indicated above for further instructions.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Withdrawal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Tenders of Old Notes may be withdrawn at any time prior to 5:00 p.m., New York City time, on the Expiration Date.</w:t>
      </w:r>
    </w:p>
    <w:p>
      <w:pPr>
        <w:spacing w:after="0" w:line="171"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For a withdrawal of a tender of Old Notes to be effective, a written notice of withdrawal must be received by the Exchange Agent at the address set forth above prior to 5:00 p.m., New York City time, on the Expiration Date. Any such notice of withdrawal must (i) specify the name of the person having tendered the Old Notes to be withdrawn (the “Depositor”), (ii) identify the Old Notes to be withdrawn (including certificate number or numbers, if certificated, and the name and number of the account at the Book-Entry Transfer Facility to be credited with the withdrawn Old Notes, if tendered pursuant to the procedure for book-entry transfer, and the principal amount of such Old Notes), (iii) contain a statement that such Holder is withdrawing its election to have such Old Notes exchanged,</w:t>
      </w:r>
    </w:p>
    <w:p>
      <w:pPr>
        <w:spacing w:after="0" w:line="2" w:lineRule="exact"/>
        <w:rPr>
          <w:sz w:val="20"/>
          <w:szCs w:val="20"/>
          <w:color w:val="auto"/>
        </w:rPr>
      </w:pPr>
    </w:p>
    <w:p>
      <w:pPr>
        <w:ind w:right="20" w:firstLine="8"/>
        <w:spacing w:after="0" w:line="287" w:lineRule="auto"/>
        <w:tabs>
          <w:tab w:leader="none" w:pos="29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be signed by the Holder in the same manner as the original signature on the Letter by which such Old Notes were tendered (including any required signature guarantees) or be accompanied by documents of transfer to have the Trustee with respect to the Old Notes register the transfer of such Old Notes in the name of the person withdrawing the tender and (v) specify the name in which such Old Notes are registered, if different from that of the Depositor. If Old Notes have been tendered pursuant to the procedure for book-entry transfer set forth in “The Exchange Offer—Book-Entry Transfers” section of the Prospectus, any notice of withdrawal must specify the name and number of the account at the Book-Entry Transfer Facility to be credited with the withdrawn Old Notes and otherwise comply with the procedures of such facility. All questions as to the validity, form and eligibility (including time of receipt) of such notices will be determined by the Issuers, whose determination shall be final and binding on all parties. Any Old Notes so withdrawn will be deemed not to have been validly tendered for exchange for purposes of the Exchange Offer and no New Notes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311" w:name="page312"/>
    <w:bookmarkEnd w:id="3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be issued with respect thereto unless the Old Notes so withdrawn are validly retendered prior to the Expiration Date. Any Old Notes that have been tendered for exchange but which are not exchanged for any reason will be returned to the Holder thereof without cost to such Holder (or, in the case of Old Notes tendered by book-entry transfer into the Exchange Agent’s account at the Book-Entry Transfer Facility pursuant to the book-entry transfer procedures set forth in “The Exchange Offer—Book-Entry Transfers” section of the Prospectus, such Old Notes will be credited to an account maintained with the Book-Entry Transfer Facility for the Old Notes) as soon as practicable after withdrawal, rejection of tender or termination of the Exchange Offer. Properly withdrawn Old Notes may be retendered by following the procedures described above at any time prior to 5:00 p.m., New York City time, on the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Requests for Assistance or Additional Copies.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Questions relating to the procedure for tendering, as well as requests for additional copies of the Prospectus and this Letter, and requests for Notices of Guaranteed Delivery and other related documents may be directed to the Exchange Agent, at the address and telephone number indicated above.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COMPLETED BY ALL TENDERING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 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PAYOR’S NAME: U.S. BANK NATIONAL ASSOCIATION</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SUBSTITUTE</w:t>
            </w:r>
          </w:p>
        </w:tc>
        <w:tc>
          <w:tcPr>
            <w:tcW w:w="416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Please fill in your name and address below.</w:t>
            </w:r>
          </w:p>
        </w:tc>
        <w:tc>
          <w:tcPr>
            <w:tcW w:w="42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4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—PLEASE PROVIDE YOUR TIN IN THE</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Form W-9</w:t>
            </w:r>
          </w:p>
        </w:tc>
        <w:tc>
          <w:tcPr>
            <w:tcW w:w="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4"/>
          </w:tcPr>
          <w:p>
            <w:pPr>
              <w:ind w:left="140"/>
              <w:spacing w:after="0"/>
              <w:rPr>
                <w:sz w:val="20"/>
                <w:szCs w:val="20"/>
                <w:color w:val="auto"/>
              </w:rPr>
            </w:pPr>
            <w:r>
              <w:rPr>
                <w:rFonts w:ascii="Arial" w:cs="Arial" w:eastAsia="Arial" w:hAnsi="Arial"/>
                <w:sz w:val="18"/>
                <w:szCs w:val="18"/>
                <w:color w:val="auto"/>
              </w:rPr>
              <w:t>BOX BELOW AND CERTIFY BY SIGNING AND</w:t>
            </w:r>
          </w:p>
        </w:tc>
        <w:tc>
          <w:tcPr>
            <w:tcW w:w="0" w:type="dxa"/>
            <w:vAlign w:val="bottom"/>
          </w:tcPr>
          <w:p>
            <w:pPr>
              <w:spacing w:after="0"/>
              <w:rPr>
                <w:sz w:val="1"/>
                <w:szCs w:val="1"/>
                <w:color w:val="auto"/>
              </w:rPr>
            </w:pPr>
          </w:p>
        </w:tc>
      </w:tr>
      <w:tr>
        <w:trPr>
          <w:trHeight w:val="35"/>
        </w:trPr>
        <w:tc>
          <w:tcPr>
            <w:tcW w:w="2520" w:type="dxa"/>
            <w:vAlign w:val="bottom"/>
            <w:tcBorders>
              <w:left w:val="single" w:sz="8" w:color="auto"/>
              <w:right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40" w:type="dxa"/>
            <w:vAlign w:val="bottom"/>
            <w:gridSpan w:val="4"/>
            <w:vMerge w:val="restart"/>
          </w:tcPr>
          <w:p>
            <w:pPr>
              <w:ind w:left="140"/>
              <w:spacing w:after="0"/>
              <w:rPr>
                <w:sz w:val="20"/>
                <w:szCs w:val="20"/>
                <w:color w:val="auto"/>
              </w:rPr>
            </w:pPr>
            <w:r>
              <w:rPr>
                <w:rFonts w:ascii="Arial" w:cs="Arial" w:eastAsia="Arial" w:hAnsi="Arial"/>
                <w:sz w:val="18"/>
                <w:szCs w:val="18"/>
                <w:color w:val="auto"/>
              </w:rPr>
              <w:t>DATING BELOW.</w:t>
            </w:r>
          </w:p>
        </w:tc>
        <w:tc>
          <w:tcPr>
            <w:tcW w:w="0" w:type="dxa"/>
            <w:vAlign w:val="bottom"/>
          </w:tcPr>
          <w:p>
            <w:pPr>
              <w:spacing w:after="0"/>
              <w:rPr>
                <w:sz w:val="1"/>
                <w:szCs w:val="1"/>
                <w:color w:val="auto"/>
              </w:rPr>
            </w:pPr>
          </w:p>
        </w:tc>
      </w:tr>
      <w:tr>
        <w:trPr>
          <w:trHeight w:val="167"/>
        </w:trPr>
        <w:tc>
          <w:tcPr>
            <w:tcW w:w="252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Name</w:t>
            </w:r>
          </w:p>
        </w:tc>
        <w:tc>
          <w:tcPr>
            <w:tcW w:w="4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Department of the Treasury</w:t>
            </w:r>
          </w:p>
        </w:tc>
        <w:tc>
          <w:tcPr>
            <w:tcW w:w="2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TIN:</w:t>
            </w:r>
          </w:p>
        </w:tc>
        <w:tc>
          <w:tcPr>
            <w:tcW w:w="3120" w:type="dxa"/>
            <w:vAlign w:val="bottom"/>
            <w:gridSpan w:val="2"/>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Internal Revenue Service</w:t>
            </w:r>
          </w:p>
        </w:tc>
        <w:tc>
          <w:tcPr>
            <w:tcW w:w="416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Name</w:t>
            </w: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120" w:type="dxa"/>
            <w:vAlign w:val="bottom"/>
            <w:tcBorders>
              <w:bottom w:val="single" w:sz="8" w:color="auto"/>
            </w:tcBorders>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520" w:type="dxa"/>
            <w:vAlign w:val="bottom"/>
            <w:tcBorders>
              <w:left w:val="single" w:sz="8" w:color="auto"/>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700" w:type="dxa"/>
            <w:vAlign w:val="bottom"/>
            <w:gridSpan w:val="3"/>
            <w:vMerge w:val="restart"/>
          </w:tcPr>
          <w:p>
            <w:pPr>
              <w:jc w:val="center"/>
              <w:ind w:right="540"/>
              <w:spacing w:after="0"/>
              <w:rPr>
                <w:sz w:val="20"/>
                <w:szCs w:val="20"/>
                <w:color w:val="auto"/>
              </w:rPr>
            </w:pPr>
            <w:r>
              <w:rPr>
                <w:rFonts w:ascii="Arial" w:cs="Arial" w:eastAsia="Arial" w:hAnsi="Arial"/>
                <w:sz w:val="18"/>
                <w:szCs w:val="18"/>
                <w:b w:val="1"/>
                <w:bCs w:val="1"/>
                <w:color w:val="auto"/>
                <w:w w:val="88"/>
              </w:rPr>
              <w:t>Social Security Number or</w:t>
            </w:r>
          </w:p>
        </w:tc>
        <w:tc>
          <w:tcPr>
            <w:tcW w:w="0" w:type="dxa"/>
            <w:vAlign w:val="bottom"/>
          </w:tcPr>
          <w:p>
            <w:pPr>
              <w:spacing w:after="0"/>
              <w:rPr>
                <w:sz w:val="1"/>
                <w:szCs w:val="1"/>
                <w:color w:val="auto"/>
              </w:rPr>
            </w:pPr>
          </w:p>
        </w:tc>
      </w:tr>
      <w:tr>
        <w:trPr>
          <w:trHeight w:val="124"/>
        </w:trPr>
        <w:tc>
          <w:tcPr>
            <w:tcW w:w="2520" w:type="dxa"/>
            <w:vAlign w:val="bottom"/>
            <w:tcBorders>
              <w:left w:val="single" w:sz="8" w:color="auto"/>
              <w:right w:val="single" w:sz="8" w:color="auto"/>
            </w:tcBorders>
          </w:tcPr>
          <w:p>
            <w:pPr>
              <w:spacing w:after="0"/>
              <w:rPr>
                <w:sz w:val="10"/>
                <w:szCs w:val="10"/>
                <w:color w:val="auto"/>
              </w:rPr>
            </w:pPr>
          </w:p>
        </w:tc>
        <w:tc>
          <w:tcPr>
            <w:tcW w:w="4160" w:type="dxa"/>
            <w:vAlign w:val="bottom"/>
            <w:gridSpan w:val="2"/>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vMerge w:val="restart"/>
          </w:tcPr>
          <w:p>
            <w:pPr>
              <w:spacing w:after="0"/>
              <w:rPr>
                <w:sz w:val="10"/>
                <w:szCs w:val="10"/>
                <w:color w:val="auto"/>
              </w:rPr>
            </w:pPr>
          </w:p>
        </w:tc>
        <w:tc>
          <w:tcPr>
            <w:tcW w:w="540" w:type="dxa"/>
            <w:vAlign w:val="bottom"/>
            <w:vMerge w:val="restart"/>
          </w:tcPr>
          <w:p>
            <w:pPr>
              <w:spacing w:after="0"/>
              <w:rPr>
                <w:sz w:val="10"/>
                <w:szCs w:val="10"/>
                <w:color w:val="auto"/>
              </w:rPr>
            </w:pPr>
          </w:p>
        </w:tc>
        <w:tc>
          <w:tcPr>
            <w:tcW w:w="3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w w:val="92"/>
              </w:rPr>
              <w:t>Payor’s Request for Taxpayer</w:t>
            </w:r>
          </w:p>
        </w:tc>
        <w:tc>
          <w:tcPr>
            <w:tcW w:w="220" w:type="dxa"/>
            <w:vAlign w:val="bottom"/>
          </w:tcPr>
          <w:p>
            <w:pPr>
              <w:spacing w:after="0"/>
              <w:rPr>
                <w:sz w:val="15"/>
                <w:szCs w:val="15"/>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Business Name (if different from above)</w:t>
            </w:r>
          </w:p>
        </w:tc>
        <w:tc>
          <w:tcPr>
            <w:tcW w:w="420" w:type="dxa"/>
            <w:vAlign w:val="bottom"/>
            <w:tcBorders>
              <w:top w:val="single" w:sz="8" w:color="auto"/>
              <w:right w:val="single" w:sz="8" w:color="auto"/>
            </w:tcBorders>
          </w:tcPr>
          <w:p>
            <w:pPr>
              <w:spacing w:after="0"/>
              <w:rPr>
                <w:sz w:val="15"/>
                <w:szCs w:val="15"/>
                <w:color w:val="auto"/>
              </w:rPr>
            </w:pPr>
          </w:p>
        </w:tc>
        <w:tc>
          <w:tcPr>
            <w:tcW w:w="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20" w:type="dxa"/>
            <w:vAlign w:val="bottom"/>
            <w:tcBorders>
              <w:left w:val="single" w:sz="8" w:color="auto"/>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700" w:type="dxa"/>
            <w:vAlign w:val="bottom"/>
            <w:gridSpan w:val="3"/>
            <w:vMerge w:val="restart"/>
          </w:tcPr>
          <w:p>
            <w:pPr>
              <w:jc w:val="center"/>
              <w:ind w:right="520"/>
              <w:spacing w:after="0" w:line="203" w:lineRule="exact"/>
              <w:rPr>
                <w:sz w:val="20"/>
                <w:szCs w:val="20"/>
                <w:color w:val="auto"/>
              </w:rPr>
            </w:pPr>
            <w:r>
              <w:rPr>
                <w:rFonts w:ascii="Arial" w:cs="Arial" w:eastAsia="Arial" w:hAnsi="Arial"/>
                <w:sz w:val="18"/>
                <w:szCs w:val="18"/>
                <w:b w:val="1"/>
                <w:bCs w:val="1"/>
                <w:color w:val="auto"/>
                <w:w w:val="90"/>
              </w:rPr>
              <w:t>Employer Identification Number</w:t>
            </w: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Identification Number</w:t>
            </w:r>
          </w:p>
        </w:tc>
        <w:tc>
          <w:tcPr>
            <w:tcW w:w="220" w:type="dxa"/>
            <w:vAlign w:val="bottom"/>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520" w:type="dxa"/>
            <w:vAlign w:val="bottom"/>
            <w:tcBorders>
              <w:left w:val="single" w:sz="8" w:color="auto"/>
              <w:right w:val="single" w:sz="8" w:color="auto"/>
            </w:tcBorders>
            <w:vMerge w:val="continue"/>
          </w:tcPr>
          <w:p>
            <w:pPr>
              <w:spacing w:after="0"/>
              <w:rPr>
                <w:sz w:val="6"/>
                <w:szCs w:val="6"/>
                <w:color w:val="auto"/>
              </w:rPr>
            </w:pPr>
          </w:p>
        </w:tc>
        <w:tc>
          <w:tcPr>
            <w:tcW w:w="4160" w:type="dxa"/>
            <w:vAlign w:val="bottom"/>
            <w:gridSpan w:val="2"/>
            <w:vMerge w:val="restart"/>
          </w:tcPr>
          <w:p>
            <w:pPr>
              <w:ind w:left="220"/>
              <w:spacing w:after="0"/>
              <w:rPr>
                <w:sz w:val="20"/>
                <w:szCs w:val="20"/>
                <w:color w:val="auto"/>
              </w:rPr>
            </w:pPr>
            <w:r>
              <w:rPr>
                <w:rFonts w:ascii="Arial" w:cs="Arial" w:eastAsia="Arial" w:hAnsi="Arial"/>
                <w:sz w:val="14"/>
                <w:szCs w:val="14"/>
                <w:color w:val="auto"/>
              </w:rPr>
              <w:t>Address (number and street)</w:t>
            </w:r>
          </w:p>
        </w:tc>
        <w:tc>
          <w:tcPr>
            <w:tcW w:w="4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(“TIN”) and Certification</w:t>
            </w:r>
          </w:p>
        </w:tc>
        <w:tc>
          <w:tcPr>
            <w:tcW w:w="416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20" w:type="dxa"/>
            <w:vAlign w:val="bottom"/>
            <w:tcBorders>
              <w:left w:val="single" w:sz="8" w:color="auto"/>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right w:val="single" w:sz="8" w:color="auto"/>
            </w:tcBorders>
          </w:tcPr>
          <w:p>
            <w:pPr>
              <w:spacing w:after="0"/>
              <w:rPr>
                <w:sz w:val="7"/>
                <w:szCs w:val="7"/>
                <w:color w:val="auto"/>
              </w:rPr>
            </w:pPr>
          </w:p>
        </w:tc>
        <w:tc>
          <w:tcPr>
            <w:tcW w:w="4160" w:type="dxa"/>
            <w:vAlign w:val="bottom"/>
            <w:gridSpan w:val="2"/>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20" w:type="dxa"/>
            <w:vAlign w:val="bottom"/>
            <w:tcBorders>
              <w:left w:val="single" w:sz="8" w:color="auto"/>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94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color w:val="auto"/>
              </w:rPr>
              <w:t>City, State and Zip Code</w:t>
            </w:r>
          </w:p>
        </w:tc>
        <w:tc>
          <w:tcPr>
            <w:tcW w:w="420" w:type="dxa"/>
            <w:vAlign w:val="bottom"/>
            <w:tcBorders>
              <w:top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tcBorders>
              <w:left w:val="single" w:sz="8" w:color="auto"/>
              <w:right w:val="single" w:sz="8" w:color="auto"/>
            </w:tcBorders>
          </w:tcPr>
          <w:p>
            <w:pPr>
              <w:spacing w:after="0"/>
              <w:rPr>
                <w:sz w:val="15"/>
                <w:szCs w:val="15"/>
                <w:color w:val="auto"/>
              </w:rPr>
            </w:pPr>
          </w:p>
        </w:tc>
        <w:tc>
          <w:tcPr>
            <w:tcW w:w="4160" w:type="dxa"/>
            <w:vAlign w:val="bottom"/>
            <w:gridSpan w:val="2"/>
          </w:tcPr>
          <w:p>
            <w:pPr>
              <w:ind w:left="220"/>
              <w:spacing w:after="0" w:line="176" w:lineRule="exact"/>
              <w:rPr>
                <w:sz w:val="20"/>
                <w:szCs w:val="20"/>
                <w:color w:val="auto"/>
              </w:rPr>
            </w:pPr>
            <w:r>
              <w:rPr>
                <w:rFonts w:ascii="Arial" w:cs="Arial" w:eastAsia="Arial" w:hAnsi="Arial"/>
                <w:sz w:val="18"/>
                <w:szCs w:val="18"/>
                <w:b w:val="1"/>
                <w:bCs w:val="1"/>
                <w:color w:val="auto"/>
                <w:w w:val="93"/>
              </w:rPr>
              <w:t xml:space="preserve">Check appropriate box: </w:t>
            </w:r>
            <w:r>
              <w:rPr>
                <w:rFonts w:ascii="MS PGothic" w:cs="MS PGothic" w:eastAsia="MS PGothic" w:hAnsi="MS PGothic"/>
                <w:sz w:val="18"/>
                <w:szCs w:val="18"/>
                <w:color w:val="auto"/>
                <w:highlight w:val="black"/>
                <w:w w:val="93"/>
              </w:rPr>
              <w:t>☐</w:t>
            </w:r>
            <w:r>
              <w:rPr>
                <w:rFonts w:ascii="Arial" w:cs="Arial" w:eastAsia="Arial" w:hAnsi="Arial"/>
                <w:sz w:val="18"/>
                <w:szCs w:val="18"/>
                <w:b w:val="1"/>
                <w:bCs w:val="1"/>
                <w:color w:val="auto"/>
                <w:w w:val="93"/>
              </w:rPr>
              <w:t xml:space="preserve">  Disregarded Entity </w:t>
            </w:r>
            <w:r>
              <w:rPr>
                <w:rFonts w:ascii="MS PGothic" w:cs="MS PGothic" w:eastAsia="MS PGothic" w:hAnsi="MS PGothic"/>
                <w:sz w:val="18"/>
                <w:szCs w:val="18"/>
                <w:color w:val="auto"/>
                <w:highlight w:val="black"/>
                <w:w w:val="93"/>
              </w:rPr>
              <w:t>☐</w:t>
            </w:r>
          </w:p>
        </w:tc>
        <w:tc>
          <w:tcPr>
            <w:tcW w:w="420" w:type="dxa"/>
            <w:vAlign w:val="bottom"/>
          </w:tcPr>
          <w:p>
            <w:pPr>
              <w:spacing w:after="0"/>
              <w:rPr>
                <w:sz w:val="15"/>
                <w:szCs w:val="15"/>
                <w:color w:val="auto"/>
              </w:rPr>
            </w:pPr>
          </w:p>
        </w:tc>
        <w:tc>
          <w:tcPr>
            <w:tcW w:w="43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Individual/Sole</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4160" w:type="dxa"/>
            <w:vAlign w:val="bottom"/>
            <w:gridSpan w:val="2"/>
          </w:tcPr>
          <w:p>
            <w:pPr>
              <w:ind w:left="220"/>
              <w:spacing w:after="0" w:line="207" w:lineRule="exact"/>
              <w:rPr>
                <w:sz w:val="20"/>
                <w:szCs w:val="20"/>
                <w:color w:val="auto"/>
              </w:rPr>
            </w:pPr>
            <w:r>
              <w:rPr>
                <w:rFonts w:ascii="Arial" w:cs="Arial" w:eastAsia="Arial" w:hAnsi="Arial"/>
                <w:sz w:val="18"/>
                <w:szCs w:val="18"/>
                <w:b w:val="1"/>
                <w:bCs w:val="1"/>
                <w:color w:val="auto"/>
              </w:rPr>
              <w:t xml:space="preserve">Proprietor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Corporation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Partnership  </w:t>
            </w:r>
            <w:r>
              <w:rPr>
                <w:rFonts w:ascii="MS PGothic" w:cs="MS PGothic" w:eastAsia="MS PGothic" w:hAnsi="MS PGothic"/>
                <w:sz w:val="18"/>
                <w:szCs w:val="18"/>
                <w:color w:val="auto"/>
                <w:highlight w:val="black"/>
              </w:rPr>
              <w:t>☐</w:t>
            </w: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Other</w:t>
            </w:r>
          </w:p>
        </w:tc>
        <w:tc>
          <w:tcPr>
            <w:tcW w:w="2340" w:type="dxa"/>
            <w:vAlign w:val="bottom"/>
            <w:tcBorders>
              <w:bottom w:val="single" w:sz="8" w:color="auto"/>
            </w:tcBorders>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520" w:type="dxa"/>
            <w:vAlign w:val="bottom"/>
            <w:tcBorders>
              <w:left w:val="single" w:sz="8" w:color="auto"/>
              <w:right w:val="single" w:sz="8" w:color="auto"/>
            </w:tcBorders>
          </w:tcPr>
          <w:p>
            <w:pPr>
              <w:spacing w:after="0"/>
              <w:rPr>
                <w:sz w:val="24"/>
                <w:szCs w:val="24"/>
                <w:color w:val="auto"/>
              </w:rPr>
            </w:pPr>
          </w:p>
        </w:tc>
        <w:tc>
          <w:tcPr>
            <w:tcW w:w="8900" w:type="dxa"/>
            <w:vAlign w:val="bottom"/>
            <w:gridSpan w:val="8"/>
          </w:tcPr>
          <w:p>
            <w:pPr>
              <w:ind w:left="220"/>
              <w:spacing w:after="0"/>
              <w:rPr>
                <w:sz w:val="20"/>
                <w:szCs w:val="20"/>
                <w:color w:val="auto"/>
              </w:rPr>
            </w:pPr>
            <w:r>
              <w:rPr>
                <w:rFonts w:ascii="Arial" w:cs="Arial" w:eastAsia="Arial" w:hAnsi="Arial"/>
                <w:sz w:val="18"/>
                <w:szCs w:val="18"/>
                <w:color w:val="auto"/>
                <w:w w:val="92"/>
              </w:rPr>
              <w:t>(If you are an LLC, check the box marked “Other”, write “LLC”, and also check one of the other boxes to indicate your</w:t>
            </w:r>
          </w:p>
        </w:tc>
        <w:tc>
          <w:tcPr>
            <w:tcW w:w="0" w:type="dxa"/>
            <w:vAlign w:val="bottom"/>
          </w:tcPr>
          <w:p>
            <w:pPr>
              <w:spacing w:after="0"/>
              <w:rPr>
                <w:sz w:val="1"/>
                <w:szCs w:val="1"/>
                <w:color w:val="auto"/>
              </w:rPr>
            </w:pPr>
          </w:p>
        </w:tc>
      </w:tr>
      <w:tr>
        <w:trPr>
          <w:trHeight w:val="251"/>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color w:val="auto"/>
              </w:rPr>
              <w:t>tax status (e.g., disregarded entity, individual/sole proprietor, corporation, partnership).)</w:t>
            </w:r>
          </w:p>
        </w:tc>
        <w:tc>
          <w:tcPr>
            <w:tcW w:w="0" w:type="dxa"/>
            <w:vAlign w:val="bottom"/>
          </w:tcPr>
          <w:p>
            <w:pPr>
              <w:spacing w:after="0"/>
              <w:rPr>
                <w:sz w:val="1"/>
                <w:szCs w:val="1"/>
                <w:color w:val="auto"/>
              </w:rPr>
            </w:pPr>
          </w:p>
        </w:tc>
      </w:tr>
      <w:tr>
        <w:trPr>
          <w:trHeight w:val="457"/>
        </w:trPr>
        <w:tc>
          <w:tcPr>
            <w:tcW w:w="2520" w:type="dxa"/>
            <w:vAlign w:val="bottom"/>
          </w:tcPr>
          <w:p>
            <w:pPr>
              <w:spacing w:after="0"/>
              <w:rPr>
                <w:sz w:val="24"/>
                <w:szCs w:val="24"/>
                <w:color w:val="auto"/>
              </w:rPr>
            </w:pPr>
          </w:p>
        </w:tc>
        <w:tc>
          <w:tcPr>
            <w:tcW w:w="4160" w:type="dxa"/>
            <w:vAlign w:val="bottom"/>
            <w:gridSpan w:val="2"/>
          </w:tcPr>
          <w:p>
            <w:pPr>
              <w:ind w:left="220"/>
              <w:spacing w:after="0" w:line="207" w:lineRule="exact"/>
              <w:rPr>
                <w:sz w:val="20"/>
                <w:szCs w:val="20"/>
                <w:color w:val="auto"/>
              </w:rPr>
            </w:pPr>
            <w:r>
              <w:rPr>
                <w:rFonts w:ascii="Arial" w:cs="Arial" w:eastAsia="Arial" w:hAnsi="Arial"/>
                <w:sz w:val="18"/>
                <w:szCs w:val="18"/>
                <w:b w:val="1"/>
                <w:bCs w:val="1"/>
                <w:color w:val="auto"/>
              </w:rPr>
              <w:t xml:space="preserve">Part 2—Awaiting TIN </w:t>
            </w:r>
            <w:r>
              <w:rPr>
                <w:rFonts w:ascii="MS PGothic" w:cs="MS PGothic" w:eastAsia="MS PGothic" w:hAnsi="MS PGothic"/>
                <w:sz w:val="18"/>
                <w:szCs w:val="18"/>
                <w:color w:val="auto"/>
                <w:highlight w:val="black"/>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-2360295</wp:posOffset>
            </wp:positionV>
            <wp:extent cx="7246620" cy="46653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4665345"/>
                    </a:xfrm>
                    <a:prstGeom prst="rect">
                      <a:avLst/>
                    </a:prstGeom>
                    <a:noFill/>
                  </pic:spPr>
                </pic:pic>
              </a:graphicData>
            </a:graphic>
          </wp:anchor>
        </w:drawing>
      </w:r>
    </w:p>
    <w:p>
      <w:pPr>
        <w:spacing w:after="0" w:line="20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CERTIFICATION: UNDER THE PENALTIES OF PERJURY, I CERTIFY THAT:</w:t>
      </w:r>
    </w:p>
    <w:p>
      <w:pPr>
        <w:spacing w:after="0" w:line="96" w:lineRule="exact"/>
        <w:rPr>
          <w:sz w:val="20"/>
          <w:szCs w:val="20"/>
          <w:color w:val="auto"/>
        </w:rPr>
      </w:pPr>
    </w:p>
    <w:p>
      <w:pPr>
        <w:ind w:left="3120" w:hanging="370"/>
        <w:spacing w:after="0"/>
        <w:tabs>
          <w:tab w:leader="none" w:pos="3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number shown on this form is my correct TIN (or I am waiting for a number to be issued to me),</w:t>
      </w:r>
    </w:p>
    <w:p>
      <w:pPr>
        <w:spacing w:after="0" w:line="15" w:lineRule="exact"/>
        <w:rPr>
          <w:rFonts w:ascii="Arial" w:cs="Arial" w:eastAsia="Arial" w:hAnsi="Arial"/>
          <w:sz w:val="18"/>
          <w:szCs w:val="18"/>
          <w:color w:val="auto"/>
        </w:rPr>
      </w:pPr>
    </w:p>
    <w:p>
      <w:pPr>
        <w:ind w:left="3180" w:right="220" w:hanging="430"/>
        <w:spacing w:after="0" w:line="250" w:lineRule="auto"/>
        <w:tabs>
          <w:tab w:leader="none" w:pos="312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am not subject to backup withholding either because: (a) I am exempt from backup withholding, or (b) I have not been notified by the Internal Revenue Service (the “IRS”) that I am subject to backup withholding as a result of a failure to report all interest or dividends, or (c) the IRS has notified me that I am no longer subject to backup withholding, and</w:t>
      </w:r>
    </w:p>
    <w:p>
      <w:pPr>
        <w:spacing w:after="0" w:line="1" w:lineRule="exact"/>
        <w:rPr>
          <w:rFonts w:ascii="Arial" w:cs="Arial" w:eastAsia="Arial" w:hAnsi="Arial"/>
          <w:sz w:val="18"/>
          <w:szCs w:val="18"/>
          <w:color w:val="auto"/>
        </w:rPr>
      </w:pPr>
    </w:p>
    <w:p>
      <w:pPr>
        <w:ind w:left="3120" w:hanging="370"/>
        <w:spacing w:after="0"/>
        <w:tabs>
          <w:tab w:leader="none" w:pos="31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am a U.S. person (including a U.S. resident alien).</w:t>
      </w:r>
    </w:p>
    <w:p>
      <w:pPr>
        <w:spacing w:after="0" w:line="8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For U.S. Payees Exempt from Backup Withholding (write “Exempt” in</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this space):</w:t>
      </w:r>
    </w:p>
    <w:p>
      <w:pPr>
        <w:spacing w:after="0" w:line="8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OF U.S. PERSON</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120" w:right="460"/>
        <w:spacing w:after="0" w:line="306" w:lineRule="auto"/>
        <w:rPr>
          <w:sz w:val="20"/>
          <w:szCs w:val="20"/>
          <w:color w:val="auto"/>
        </w:rPr>
      </w:pPr>
      <w:r>
        <w:rPr>
          <w:rFonts w:ascii="Arial" w:cs="Arial" w:eastAsia="Arial" w:hAnsi="Arial"/>
          <w:sz w:val="16"/>
          <w:szCs w:val="16"/>
          <w:color w:val="auto"/>
        </w:rPr>
        <w:t>You must cross out item (2) of the above certification if you have been notified by the IRS that you are subject to backup with holding because of underreporting of interest or dividends on your tax return and you have not been notified by the IRS that you are no longer subject to backup withholding. (Also see instructions in the enclosed Guidelines for Certification of Taxpayer Identification Number on Substitute Form W-9.)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MUST COMPLETE THE FOLLOWING CERTIFICATE IF YOU CHECKED THE BOX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PART 2 OF SUBSTITUTE FORM W-9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AWAITING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1050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1050290"/>
                    </a:xfrm>
                    <a:prstGeom prst="rect">
                      <a:avLst/>
                    </a:prstGeom>
                    <a:noFill/>
                  </pic:spPr>
                </pic:pic>
              </a:graphicData>
            </a:graphic>
          </wp:anchor>
        </w:drawing>
      </w:r>
    </w:p>
    <w:p>
      <w:pPr>
        <w:spacing w:after="0" w:line="70" w:lineRule="exact"/>
        <w:rPr>
          <w:sz w:val="20"/>
          <w:szCs w:val="20"/>
          <w:color w:val="auto"/>
        </w:rPr>
      </w:pPr>
    </w:p>
    <w:p>
      <w:pPr>
        <w:ind w:left="120" w:right="260" w:firstLine="432"/>
        <w:spacing w:after="0" w:line="298"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the exchange, an amount equal to the then applicable backup withholding rate on all reportable payments made to me thereafter will be withheld until I provide a number.</w:t>
      </w:r>
    </w:p>
    <w:p>
      <w:pPr>
        <w:spacing w:after="0" w:line="147" w:lineRule="exact"/>
        <w:rPr>
          <w:sz w:val="20"/>
          <w:szCs w:val="20"/>
          <w:color w:val="auto"/>
        </w:rPr>
      </w:pPr>
    </w:p>
    <w:p>
      <w:pPr>
        <w:ind w:left="560"/>
        <w:spacing w:after="0"/>
        <w:tabs>
          <w:tab w:leader="none" w:pos="5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 IDENTIFICATION NUMBER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SUBSTITUTE FORM W-9</w:t>
      </w:r>
    </w:p>
    <w:p>
      <w:pPr>
        <w:spacing w:after="0" w:line="78"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GUIDELINES FOR DETERMINING THE PROPER IDENTIFICATION NUMBER TO GIVE THE PAYOR</w:t>
      </w:r>
      <w:r>
        <w:rPr>
          <w:rFonts w:ascii="Arial" w:cs="Arial" w:eastAsia="Arial" w:hAnsi="Arial"/>
          <w:sz w:val="18"/>
          <w:szCs w:val="18"/>
          <w:color w:val="auto"/>
        </w:rPr>
        <w:t>—Social security numbers have nine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digits separated by two hyphens, </w:t>
      </w:r>
      <w:r>
        <w:rPr>
          <w:rFonts w:ascii="Arial" w:cs="Arial" w:eastAsia="Arial" w:hAnsi="Arial"/>
          <w:sz w:val="18"/>
          <w:szCs w:val="18"/>
          <w:i w:val="1"/>
          <w:iCs w:val="1"/>
          <w:color w:val="auto"/>
        </w:rPr>
        <w:t>e.g</w:t>
      </w:r>
      <w:r>
        <w:rPr>
          <w:rFonts w:ascii="Arial" w:cs="Arial" w:eastAsia="Arial" w:hAnsi="Arial"/>
          <w:sz w:val="18"/>
          <w:szCs w:val="18"/>
          <w:color w:val="auto"/>
        </w:rPr>
        <w:t xml:space="preserve">., 000-00-0000. Employer identification numbers have nine digits separated by only one hyphen, </w:t>
      </w:r>
      <w:r>
        <w:rPr>
          <w:rFonts w:ascii="Arial" w:cs="Arial" w:eastAsia="Arial" w:hAnsi="Arial"/>
          <w:sz w:val="18"/>
          <w:szCs w:val="18"/>
          <w:i w:val="1"/>
          <w:iCs w:val="1"/>
          <w:color w:val="auto"/>
        </w:rPr>
        <w:t>e.g</w:t>
      </w:r>
      <w:r>
        <w:rPr>
          <w:rFonts w:ascii="Arial" w:cs="Arial" w:eastAsia="Arial" w:hAnsi="Arial"/>
          <w:sz w:val="18"/>
          <w:szCs w:val="18"/>
          <w:color w:val="auto"/>
        </w:rPr>
        <w:t>., 00-0000000. The table below will help determine the number to give the payor.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356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Give the name* and</w:t>
            </w:r>
          </w:p>
        </w:tc>
        <w:tc>
          <w:tcPr>
            <w:tcW w:w="36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Give the name and</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98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EMPLOYER</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SOCIAL SECURITY</w:t>
            </w: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7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this type of account:</w:t>
            </w:r>
          </w:p>
        </w:tc>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 of—</w:t>
            </w:r>
          </w:p>
        </w:tc>
        <w:tc>
          <w:tcPr>
            <w:tcW w:w="3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For this type of account:</w:t>
            </w: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201"/>
        </w:trPr>
        <w:tc>
          <w:tcPr>
            <w:tcW w:w="20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1900" w:type="dxa"/>
            <w:vAlign w:val="bottom"/>
          </w:tcPr>
          <w:p>
            <w:pPr>
              <w:ind w:left="60"/>
              <w:spacing w:after="0" w:line="201" w:lineRule="exact"/>
              <w:rPr>
                <w:sz w:val="20"/>
                <w:szCs w:val="20"/>
                <w:color w:val="auto"/>
              </w:rPr>
            </w:pPr>
            <w:r>
              <w:rPr>
                <w:rFonts w:ascii="Arial" w:cs="Arial" w:eastAsia="Arial" w:hAnsi="Arial"/>
                <w:sz w:val="18"/>
                <w:szCs w:val="18"/>
                <w:color w:val="auto"/>
              </w:rPr>
              <w:t>Individual</w:t>
            </w:r>
          </w:p>
        </w:tc>
        <w:tc>
          <w:tcPr>
            <w:tcW w:w="3560" w:type="dxa"/>
            <w:vAlign w:val="bottom"/>
          </w:tcPr>
          <w:p>
            <w:pPr>
              <w:ind w:left="100"/>
              <w:spacing w:after="0" w:line="201" w:lineRule="exact"/>
              <w:rPr>
                <w:sz w:val="20"/>
                <w:szCs w:val="20"/>
                <w:color w:val="auto"/>
              </w:rPr>
            </w:pPr>
            <w:r>
              <w:rPr>
                <w:rFonts w:ascii="Arial" w:cs="Arial" w:eastAsia="Arial" w:hAnsi="Arial"/>
                <w:sz w:val="18"/>
                <w:szCs w:val="18"/>
                <w:color w:val="auto"/>
              </w:rPr>
              <w:t>The individual</w:t>
            </w:r>
          </w:p>
        </w:tc>
        <w:tc>
          <w:tcPr>
            <w:tcW w:w="360" w:type="dxa"/>
            <w:vAlign w:val="bottom"/>
          </w:tcPr>
          <w:p>
            <w:pPr>
              <w:ind w:left="80"/>
              <w:spacing w:after="0" w:line="201" w:lineRule="exact"/>
              <w:rPr>
                <w:sz w:val="20"/>
                <w:szCs w:val="20"/>
                <w:color w:val="auto"/>
              </w:rPr>
            </w:pPr>
            <w:r>
              <w:rPr>
                <w:rFonts w:ascii="Arial" w:cs="Arial" w:eastAsia="Arial" w:hAnsi="Arial"/>
                <w:sz w:val="18"/>
                <w:szCs w:val="18"/>
                <w:color w:val="auto"/>
              </w:rPr>
              <w:t>6.</w:t>
            </w:r>
          </w:p>
        </w:tc>
        <w:tc>
          <w:tcPr>
            <w:tcW w:w="3420" w:type="dxa"/>
            <w:vAlign w:val="bottom"/>
          </w:tcPr>
          <w:p>
            <w:pPr>
              <w:ind w:left="60"/>
              <w:spacing w:after="0" w:line="201" w:lineRule="exact"/>
              <w:rPr>
                <w:sz w:val="20"/>
                <w:szCs w:val="20"/>
                <w:color w:val="auto"/>
              </w:rPr>
            </w:pPr>
            <w:r>
              <w:rPr>
                <w:rFonts w:ascii="Arial" w:cs="Arial" w:eastAsia="Arial" w:hAnsi="Arial"/>
                <w:sz w:val="18"/>
                <w:szCs w:val="18"/>
                <w:color w:val="auto"/>
              </w:rPr>
              <w:t>Sole proprietorship or single-owner LLC</w:t>
            </w:r>
          </w:p>
        </w:tc>
        <w:tc>
          <w:tcPr>
            <w:tcW w:w="1980" w:type="dxa"/>
            <w:vAlign w:val="bottom"/>
          </w:tcPr>
          <w:p>
            <w:pPr>
              <w:ind w:left="40"/>
              <w:spacing w:after="0" w:line="201" w:lineRule="exact"/>
              <w:rPr>
                <w:sz w:val="20"/>
                <w:szCs w:val="20"/>
                <w:color w:val="auto"/>
              </w:rPr>
            </w:pPr>
            <w:r>
              <w:rPr>
                <w:rFonts w:ascii="Arial" w:cs="Arial" w:eastAsia="Arial" w:hAnsi="Arial"/>
                <w:sz w:val="18"/>
                <w:szCs w:val="18"/>
                <w:color w:val="auto"/>
              </w:rPr>
              <w:t>The owner(3)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1900" w:type="dxa"/>
            <w:vAlign w:val="bottom"/>
          </w:tcPr>
          <w:p>
            <w:pPr>
              <w:ind w:left="60"/>
              <w:spacing w:after="0"/>
              <w:rPr>
                <w:sz w:val="20"/>
                <w:szCs w:val="20"/>
                <w:color w:val="auto"/>
              </w:rPr>
            </w:pPr>
            <w:r>
              <w:rPr>
                <w:rFonts w:ascii="Arial" w:cs="Arial" w:eastAsia="Arial" w:hAnsi="Arial"/>
                <w:sz w:val="18"/>
                <w:szCs w:val="18"/>
                <w:color w:val="auto"/>
                <w:w w:val="95"/>
              </w:rPr>
              <w:t>Two or more individuals</w:t>
            </w:r>
          </w:p>
        </w:tc>
        <w:tc>
          <w:tcPr>
            <w:tcW w:w="3560" w:type="dxa"/>
            <w:vAlign w:val="bottom"/>
          </w:tcPr>
          <w:p>
            <w:pPr>
              <w:ind w:left="100"/>
              <w:spacing w:after="0"/>
              <w:rPr>
                <w:sz w:val="20"/>
                <w:szCs w:val="20"/>
                <w:color w:val="auto"/>
              </w:rPr>
            </w:pPr>
            <w:r>
              <w:rPr>
                <w:rFonts w:ascii="Arial" w:cs="Arial" w:eastAsia="Arial" w:hAnsi="Arial"/>
                <w:sz w:val="18"/>
                <w:szCs w:val="18"/>
                <w:color w:val="auto"/>
                <w:w w:val="90"/>
              </w:rPr>
              <w:t>The actual owner of the account or, if combined</w:t>
            </w:r>
          </w:p>
        </w:tc>
        <w:tc>
          <w:tcPr>
            <w:tcW w:w="360" w:type="dxa"/>
            <w:vAlign w:val="bottom"/>
          </w:tcPr>
          <w:p>
            <w:pPr>
              <w:ind w:left="80"/>
              <w:spacing w:after="0"/>
              <w:rPr>
                <w:sz w:val="20"/>
                <w:szCs w:val="20"/>
                <w:color w:val="auto"/>
              </w:rPr>
            </w:pPr>
            <w:r>
              <w:rPr>
                <w:rFonts w:ascii="Arial" w:cs="Arial" w:eastAsia="Arial" w:hAnsi="Arial"/>
                <w:sz w:val="18"/>
                <w:szCs w:val="18"/>
                <w:color w:val="auto"/>
              </w:rPr>
              <w:t>7.</w:t>
            </w:r>
          </w:p>
        </w:tc>
        <w:tc>
          <w:tcPr>
            <w:tcW w:w="3420" w:type="dxa"/>
            <w:vAlign w:val="bottom"/>
          </w:tcPr>
          <w:p>
            <w:pPr>
              <w:ind w:left="60"/>
              <w:spacing w:after="0"/>
              <w:rPr>
                <w:sz w:val="20"/>
                <w:szCs w:val="20"/>
                <w:color w:val="auto"/>
              </w:rPr>
            </w:pPr>
            <w:r>
              <w:rPr>
                <w:rFonts w:ascii="Arial" w:cs="Arial" w:eastAsia="Arial" w:hAnsi="Arial"/>
                <w:sz w:val="18"/>
                <w:szCs w:val="18"/>
                <w:color w:val="auto"/>
              </w:rPr>
              <w:t>A valid trust, estate, or pension trust</w:t>
            </w:r>
          </w:p>
        </w:tc>
        <w:tc>
          <w:tcPr>
            <w:tcW w:w="1980" w:type="dxa"/>
            <w:vAlign w:val="bottom"/>
          </w:tcPr>
          <w:p>
            <w:pPr>
              <w:ind w:left="40"/>
              <w:spacing w:after="0"/>
              <w:rPr>
                <w:sz w:val="20"/>
                <w:szCs w:val="20"/>
                <w:color w:val="auto"/>
              </w:rPr>
            </w:pPr>
            <w:r>
              <w:rPr>
                <w:rFonts w:ascii="Arial" w:cs="Arial" w:eastAsia="Arial" w:hAnsi="Arial"/>
                <w:sz w:val="18"/>
                <w:szCs w:val="18"/>
                <w:color w:val="auto"/>
              </w:rPr>
              <w:t>Legal entity(4)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(joint account)</w:t>
            </w:r>
          </w:p>
        </w:tc>
        <w:tc>
          <w:tcPr>
            <w:tcW w:w="3560" w:type="dxa"/>
            <w:vAlign w:val="bottom"/>
          </w:tcPr>
          <w:p>
            <w:pPr>
              <w:ind w:left="100"/>
              <w:spacing w:after="0"/>
              <w:rPr>
                <w:sz w:val="20"/>
                <w:szCs w:val="20"/>
                <w:color w:val="auto"/>
              </w:rPr>
            </w:pPr>
            <w:r>
              <w:rPr>
                <w:rFonts w:ascii="Arial" w:cs="Arial" w:eastAsia="Arial" w:hAnsi="Arial"/>
                <w:sz w:val="18"/>
                <w:szCs w:val="18"/>
                <w:color w:val="auto"/>
              </w:rPr>
              <w:t>funds, the first individual on the account(1)</w:t>
            </w: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900" w:type="dxa"/>
            <w:vAlign w:val="bottom"/>
          </w:tcPr>
          <w:p>
            <w:pPr>
              <w:ind w:left="60"/>
              <w:spacing w:after="0"/>
              <w:rPr>
                <w:sz w:val="20"/>
                <w:szCs w:val="20"/>
                <w:color w:val="auto"/>
              </w:rPr>
            </w:pPr>
            <w:r>
              <w:rPr>
                <w:rFonts w:ascii="Arial" w:cs="Arial" w:eastAsia="Arial" w:hAnsi="Arial"/>
                <w:sz w:val="18"/>
                <w:szCs w:val="18"/>
                <w:color w:val="auto"/>
                <w:w w:val="98"/>
              </w:rPr>
              <w:t>Custodian account of a</w:t>
            </w:r>
          </w:p>
        </w:tc>
        <w:tc>
          <w:tcPr>
            <w:tcW w:w="3560" w:type="dxa"/>
            <w:vAlign w:val="bottom"/>
          </w:tcPr>
          <w:p>
            <w:pPr>
              <w:ind w:left="100"/>
              <w:spacing w:after="0"/>
              <w:rPr>
                <w:sz w:val="20"/>
                <w:szCs w:val="20"/>
                <w:color w:val="auto"/>
              </w:rPr>
            </w:pPr>
            <w:r>
              <w:rPr>
                <w:rFonts w:ascii="Arial" w:cs="Arial" w:eastAsia="Arial" w:hAnsi="Arial"/>
                <w:sz w:val="18"/>
                <w:szCs w:val="18"/>
                <w:color w:val="auto"/>
              </w:rPr>
              <w:t>The minor(2)</w:t>
            </w:r>
          </w:p>
        </w:tc>
        <w:tc>
          <w:tcPr>
            <w:tcW w:w="360" w:type="dxa"/>
            <w:vAlign w:val="bottom"/>
          </w:tcPr>
          <w:p>
            <w:pPr>
              <w:ind w:left="80"/>
              <w:spacing w:after="0"/>
              <w:rPr>
                <w:sz w:val="20"/>
                <w:szCs w:val="20"/>
                <w:color w:val="auto"/>
              </w:rPr>
            </w:pPr>
            <w:r>
              <w:rPr>
                <w:rFonts w:ascii="Arial" w:cs="Arial" w:eastAsia="Arial" w:hAnsi="Arial"/>
                <w:sz w:val="18"/>
                <w:szCs w:val="18"/>
                <w:color w:val="auto"/>
              </w:rPr>
              <w:t>8.</w:t>
            </w:r>
          </w:p>
        </w:tc>
        <w:tc>
          <w:tcPr>
            <w:tcW w:w="3420" w:type="dxa"/>
            <w:vAlign w:val="bottom"/>
          </w:tcPr>
          <w:p>
            <w:pPr>
              <w:ind w:left="60"/>
              <w:spacing w:after="0"/>
              <w:rPr>
                <w:sz w:val="20"/>
                <w:szCs w:val="20"/>
                <w:color w:val="auto"/>
              </w:rPr>
            </w:pPr>
            <w:r>
              <w:rPr>
                <w:rFonts w:ascii="Arial" w:cs="Arial" w:eastAsia="Arial" w:hAnsi="Arial"/>
                <w:sz w:val="18"/>
                <w:szCs w:val="18"/>
                <w:color w:val="auto"/>
                <w:w w:val="91"/>
              </w:rPr>
              <w:t>Corporate or LLC electing corporate status on</w:t>
            </w:r>
          </w:p>
        </w:tc>
        <w:tc>
          <w:tcPr>
            <w:tcW w:w="1980" w:type="dxa"/>
            <w:vAlign w:val="bottom"/>
          </w:tcPr>
          <w:p>
            <w:pPr>
              <w:ind w:left="40"/>
              <w:spacing w:after="0"/>
              <w:rPr>
                <w:sz w:val="20"/>
                <w:szCs w:val="20"/>
                <w:color w:val="auto"/>
              </w:rPr>
            </w:pPr>
            <w:r>
              <w:rPr>
                <w:rFonts w:ascii="Arial" w:cs="Arial" w:eastAsia="Arial" w:hAnsi="Arial"/>
                <w:sz w:val="18"/>
                <w:szCs w:val="18"/>
                <w:color w:val="auto"/>
              </w:rPr>
              <w:t>The corporation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minor (Uniform Gift to</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Form 8832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Minors Act)</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1900" w:type="dxa"/>
            <w:vAlign w:val="bottom"/>
          </w:tcPr>
          <w:p>
            <w:pPr>
              <w:ind w:left="60"/>
              <w:spacing w:after="0"/>
              <w:rPr>
                <w:sz w:val="20"/>
                <w:szCs w:val="20"/>
                <w:color w:val="auto"/>
              </w:rPr>
            </w:pPr>
            <w:r>
              <w:rPr>
                <w:rFonts w:ascii="Arial" w:cs="Arial" w:eastAsia="Arial" w:hAnsi="Arial"/>
                <w:sz w:val="18"/>
                <w:szCs w:val="18"/>
                <w:color w:val="auto"/>
                <w:w w:val="97"/>
              </w:rPr>
              <w:t>a.  The usual revocable</w:t>
            </w:r>
          </w:p>
        </w:tc>
        <w:tc>
          <w:tcPr>
            <w:tcW w:w="3560" w:type="dxa"/>
            <w:vAlign w:val="bottom"/>
          </w:tcPr>
          <w:p>
            <w:pPr>
              <w:ind w:left="100"/>
              <w:spacing w:after="0"/>
              <w:rPr>
                <w:sz w:val="20"/>
                <w:szCs w:val="20"/>
                <w:color w:val="auto"/>
              </w:rPr>
            </w:pPr>
            <w:r>
              <w:rPr>
                <w:rFonts w:ascii="Arial" w:cs="Arial" w:eastAsia="Arial" w:hAnsi="Arial"/>
                <w:sz w:val="18"/>
                <w:szCs w:val="18"/>
                <w:color w:val="auto"/>
              </w:rPr>
              <w:t>The grantor-trustee(1)</w:t>
            </w:r>
          </w:p>
        </w:tc>
        <w:tc>
          <w:tcPr>
            <w:tcW w:w="360" w:type="dxa"/>
            <w:vAlign w:val="bottom"/>
          </w:tcPr>
          <w:p>
            <w:pPr>
              <w:ind w:left="80"/>
              <w:spacing w:after="0"/>
              <w:rPr>
                <w:sz w:val="20"/>
                <w:szCs w:val="20"/>
                <w:color w:val="auto"/>
              </w:rPr>
            </w:pPr>
            <w:r>
              <w:rPr>
                <w:rFonts w:ascii="Arial" w:cs="Arial" w:eastAsia="Arial" w:hAnsi="Arial"/>
                <w:sz w:val="18"/>
                <w:szCs w:val="18"/>
                <w:color w:val="auto"/>
              </w:rPr>
              <w:t>9.</w:t>
            </w:r>
          </w:p>
        </w:tc>
        <w:tc>
          <w:tcPr>
            <w:tcW w:w="3420" w:type="dxa"/>
            <w:vAlign w:val="bottom"/>
          </w:tcPr>
          <w:p>
            <w:pPr>
              <w:ind w:left="60"/>
              <w:spacing w:after="0"/>
              <w:rPr>
                <w:sz w:val="20"/>
                <w:szCs w:val="20"/>
                <w:color w:val="auto"/>
              </w:rPr>
            </w:pPr>
            <w:r>
              <w:rPr>
                <w:rFonts w:ascii="Arial" w:cs="Arial" w:eastAsia="Arial" w:hAnsi="Arial"/>
                <w:sz w:val="18"/>
                <w:szCs w:val="18"/>
                <w:color w:val="auto"/>
              </w:rPr>
              <w:t>Association, club, religious, charitable,</w:t>
            </w:r>
          </w:p>
        </w:tc>
        <w:tc>
          <w:tcPr>
            <w:tcW w:w="1980" w:type="dxa"/>
            <w:vAlign w:val="bottom"/>
          </w:tcPr>
          <w:p>
            <w:pPr>
              <w:ind w:left="40"/>
              <w:spacing w:after="0"/>
              <w:rPr>
                <w:sz w:val="20"/>
                <w:szCs w:val="20"/>
                <w:color w:val="auto"/>
              </w:rPr>
            </w:pPr>
            <w:r>
              <w:rPr>
                <w:rFonts w:ascii="Arial" w:cs="Arial" w:eastAsia="Arial" w:hAnsi="Arial"/>
                <w:sz w:val="18"/>
                <w:szCs w:val="18"/>
                <w:color w:val="auto"/>
              </w:rPr>
              <w:t>The organization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w w:val="93"/>
              </w:rPr>
              <w:t>savings trust (grantor</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w w:val="93"/>
              </w:rPr>
              <w:t>educational or other tax-exempt organization</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rPr>
              <w:t>is also trustee)</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b. So-called “trust”</w:t>
            </w:r>
          </w:p>
        </w:tc>
        <w:tc>
          <w:tcPr>
            <w:tcW w:w="3560" w:type="dxa"/>
            <w:vAlign w:val="bottom"/>
          </w:tcPr>
          <w:p>
            <w:pPr>
              <w:ind w:left="100"/>
              <w:spacing w:after="0"/>
              <w:rPr>
                <w:sz w:val="20"/>
                <w:szCs w:val="20"/>
                <w:color w:val="auto"/>
              </w:rPr>
            </w:pPr>
            <w:r>
              <w:rPr>
                <w:rFonts w:ascii="Arial" w:cs="Arial" w:eastAsia="Arial" w:hAnsi="Arial"/>
                <w:sz w:val="18"/>
                <w:szCs w:val="18"/>
                <w:color w:val="auto"/>
              </w:rPr>
              <w:t>The actual owner(1)</w:t>
            </w:r>
          </w:p>
        </w:tc>
        <w:tc>
          <w:tcPr>
            <w:tcW w:w="360" w:type="dxa"/>
            <w:vAlign w:val="bottom"/>
          </w:tcPr>
          <w:p>
            <w:pPr>
              <w:ind w:left="80"/>
              <w:spacing w:after="0"/>
              <w:rPr>
                <w:sz w:val="20"/>
                <w:szCs w:val="20"/>
                <w:color w:val="auto"/>
              </w:rPr>
            </w:pPr>
            <w:r>
              <w:rPr>
                <w:rFonts w:ascii="Arial" w:cs="Arial" w:eastAsia="Arial" w:hAnsi="Arial"/>
                <w:sz w:val="18"/>
                <w:szCs w:val="18"/>
                <w:color w:val="auto"/>
              </w:rPr>
              <w:t>10.</w:t>
            </w:r>
          </w:p>
        </w:tc>
        <w:tc>
          <w:tcPr>
            <w:tcW w:w="3420" w:type="dxa"/>
            <w:vAlign w:val="bottom"/>
          </w:tcPr>
          <w:p>
            <w:pPr>
              <w:ind w:left="60"/>
              <w:spacing w:after="0"/>
              <w:rPr>
                <w:sz w:val="20"/>
                <w:szCs w:val="20"/>
                <w:color w:val="auto"/>
              </w:rPr>
            </w:pPr>
            <w:r>
              <w:rPr>
                <w:rFonts w:ascii="Arial" w:cs="Arial" w:eastAsia="Arial" w:hAnsi="Arial"/>
                <w:sz w:val="18"/>
                <w:szCs w:val="18"/>
                <w:color w:val="auto"/>
              </w:rPr>
              <w:t>Partnership or Multi-Member LLC</w:t>
            </w:r>
          </w:p>
        </w:tc>
        <w:tc>
          <w:tcPr>
            <w:tcW w:w="1980" w:type="dxa"/>
            <w:vAlign w:val="bottom"/>
          </w:tcPr>
          <w:p>
            <w:pPr>
              <w:ind w:left="40"/>
              <w:spacing w:after="0"/>
              <w:rPr>
                <w:sz w:val="20"/>
                <w:szCs w:val="20"/>
                <w:color w:val="auto"/>
              </w:rPr>
            </w:pPr>
            <w:r>
              <w:rPr>
                <w:rFonts w:ascii="Arial" w:cs="Arial" w:eastAsia="Arial" w:hAnsi="Arial"/>
                <w:sz w:val="18"/>
                <w:szCs w:val="18"/>
                <w:color w:val="auto"/>
              </w:rPr>
              <w:t>The partnership</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w w:val="98"/>
              </w:rPr>
              <w:t>account that is not a</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rPr>
              <w:t>legal or valid trust</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rPr>
              <w:t>under state law</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1900" w:type="dxa"/>
            <w:vAlign w:val="bottom"/>
          </w:tcPr>
          <w:p>
            <w:pPr>
              <w:ind w:left="60"/>
              <w:spacing w:after="0"/>
              <w:rPr>
                <w:sz w:val="20"/>
                <w:szCs w:val="20"/>
                <w:color w:val="auto"/>
              </w:rPr>
            </w:pPr>
            <w:r>
              <w:rPr>
                <w:rFonts w:ascii="Arial" w:cs="Arial" w:eastAsia="Arial" w:hAnsi="Arial"/>
                <w:sz w:val="18"/>
                <w:szCs w:val="18"/>
                <w:color w:val="auto"/>
              </w:rPr>
              <w:t>Sole proprietorship or</w:t>
            </w:r>
          </w:p>
        </w:tc>
        <w:tc>
          <w:tcPr>
            <w:tcW w:w="3560" w:type="dxa"/>
            <w:vAlign w:val="bottom"/>
          </w:tcPr>
          <w:p>
            <w:pPr>
              <w:ind w:left="100"/>
              <w:spacing w:after="0"/>
              <w:rPr>
                <w:sz w:val="20"/>
                <w:szCs w:val="20"/>
                <w:color w:val="auto"/>
              </w:rPr>
            </w:pPr>
            <w:r>
              <w:rPr>
                <w:rFonts w:ascii="Arial" w:cs="Arial" w:eastAsia="Arial" w:hAnsi="Arial"/>
                <w:sz w:val="18"/>
                <w:szCs w:val="18"/>
                <w:color w:val="auto"/>
              </w:rPr>
              <w:t>The owner(3)</w:t>
            </w:r>
          </w:p>
        </w:tc>
        <w:tc>
          <w:tcPr>
            <w:tcW w:w="360" w:type="dxa"/>
            <w:vAlign w:val="bottom"/>
          </w:tcPr>
          <w:p>
            <w:pPr>
              <w:ind w:left="80"/>
              <w:spacing w:after="0"/>
              <w:rPr>
                <w:sz w:val="20"/>
                <w:szCs w:val="20"/>
                <w:color w:val="auto"/>
              </w:rPr>
            </w:pPr>
            <w:r>
              <w:rPr>
                <w:rFonts w:ascii="Arial" w:cs="Arial" w:eastAsia="Arial" w:hAnsi="Arial"/>
                <w:sz w:val="18"/>
                <w:szCs w:val="18"/>
                <w:color w:val="auto"/>
              </w:rPr>
              <w:t>11.</w:t>
            </w:r>
          </w:p>
        </w:tc>
        <w:tc>
          <w:tcPr>
            <w:tcW w:w="3420" w:type="dxa"/>
            <w:vAlign w:val="bottom"/>
          </w:tcPr>
          <w:p>
            <w:pPr>
              <w:ind w:left="60"/>
              <w:spacing w:after="0"/>
              <w:rPr>
                <w:sz w:val="20"/>
                <w:szCs w:val="20"/>
                <w:color w:val="auto"/>
              </w:rPr>
            </w:pPr>
            <w:r>
              <w:rPr>
                <w:rFonts w:ascii="Arial" w:cs="Arial" w:eastAsia="Arial" w:hAnsi="Arial"/>
                <w:sz w:val="18"/>
                <w:szCs w:val="18"/>
                <w:color w:val="auto"/>
              </w:rPr>
              <w:t>A broker or registered nominee</w:t>
            </w:r>
          </w:p>
        </w:tc>
        <w:tc>
          <w:tcPr>
            <w:tcW w:w="1980" w:type="dxa"/>
            <w:vAlign w:val="bottom"/>
          </w:tcPr>
          <w:p>
            <w:pPr>
              <w:ind w:left="40"/>
              <w:spacing w:after="0"/>
              <w:rPr>
                <w:sz w:val="20"/>
                <w:szCs w:val="20"/>
                <w:color w:val="auto"/>
              </w:rPr>
            </w:pPr>
            <w:r>
              <w:rPr>
                <w:rFonts w:ascii="Arial" w:cs="Arial" w:eastAsia="Arial" w:hAnsi="Arial"/>
                <w:sz w:val="18"/>
                <w:szCs w:val="18"/>
                <w:color w:val="auto"/>
              </w:rPr>
              <w:t>The broker or nominee</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single-owner LLC</w:t>
            </w:r>
          </w:p>
        </w:tc>
        <w:tc>
          <w:tcPr>
            <w:tcW w:w="3560" w:type="dxa"/>
            <w:vAlign w:val="bottom"/>
          </w:tcPr>
          <w:p>
            <w:pPr>
              <w:spacing w:after="0"/>
              <w:rPr>
                <w:sz w:val="19"/>
                <w:szCs w:val="19"/>
                <w:color w:val="auto"/>
              </w:rPr>
            </w:pPr>
          </w:p>
        </w:tc>
        <w:tc>
          <w:tcPr>
            <w:tcW w:w="360" w:type="dxa"/>
            <w:vAlign w:val="bottom"/>
            <w:vMerge w:val="restart"/>
          </w:tcPr>
          <w:p>
            <w:pPr>
              <w:ind w:left="80"/>
              <w:spacing w:after="0"/>
              <w:rPr>
                <w:sz w:val="20"/>
                <w:szCs w:val="20"/>
                <w:color w:val="auto"/>
              </w:rPr>
            </w:pPr>
            <w:r>
              <w:rPr>
                <w:rFonts w:ascii="Arial" w:cs="Arial" w:eastAsia="Arial" w:hAnsi="Arial"/>
                <w:sz w:val="18"/>
                <w:szCs w:val="18"/>
                <w:color w:val="auto"/>
              </w:rPr>
              <w:t>12.</w:t>
            </w:r>
          </w:p>
        </w:tc>
        <w:tc>
          <w:tcPr>
            <w:tcW w:w="3420" w:type="dxa"/>
            <w:vAlign w:val="bottom"/>
            <w:vMerge w:val="restart"/>
          </w:tcPr>
          <w:p>
            <w:pPr>
              <w:ind w:left="60"/>
              <w:spacing w:after="0"/>
              <w:rPr>
                <w:sz w:val="20"/>
                <w:szCs w:val="20"/>
                <w:color w:val="auto"/>
              </w:rPr>
            </w:pPr>
            <w:r>
              <w:rPr>
                <w:rFonts w:ascii="Arial" w:cs="Arial" w:eastAsia="Arial" w:hAnsi="Arial"/>
                <w:sz w:val="18"/>
                <w:szCs w:val="18"/>
                <w:color w:val="auto"/>
                <w:w w:val="92"/>
              </w:rPr>
              <w:t>Account with the Department of Agriculture in</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The public entity</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4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w w:val="91"/>
              </w:rPr>
              <w:t>the name of a public entity (such as a state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w w:val="97"/>
              </w:rPr>
              <w:t>local government, school district, or prison)</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5"/>
              </w:rPr>
              <w:t>that receives agricultural program payments</w:t>
            </w: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60" w:right="60" w:hanging="408"/>
        <w:spacing w:after="0" w:line="259" w:lineRule="auto"/>
        <w:tabs>
          <w:tab w:leader="none" w:pos="4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you are an individual, you must generally enter the name shown on your social security card. However, if you have changed your last name, for instance, due to marriage, without informing the Social Security Administration of the name change, enter your first name, the last name shown on your social security card, and your new last name.</w:t>
      </w:r>
    </w:p>
    <w:p>
      <w:pPr>
        <w:spacing w:after="0" w:line="59" w:lineRule="exact"/>
        <w:rPr>
          <w:sz w:val="20"/>
          <w:szCs w:val="20"/>
          <w:color w:val="auto"/>
        </w:rPr>
      </w:pPr>
    </w:p>
    <w:p>
      <w:pPr>
        <w:ind w:left="460" w:right="400" w:hanging="452"/>
        <w:spacing w:after="0" w:line="268"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14" w:name="page315"/>
    <w:bookmarkEnd w:id="314"/>
    <w:p>
      <w:pPr>
        <w:ind w:left="460" w:hanging="452"/>
        <w:spacing w:after="0" w:line="259"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must show your individual name and you may also enter your business or “DBA” name on the second name line. You may use either your social security number or employer identification number (if you have one). If you are a sole proprietor, the Internal Revenue Service encourages you to use your social security number.</w:t>
      </w:r>
    </w:p>
    <w:p>
      <w:pPr>
        <w:spacing w:after="0" w:line="59"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TIN of the personal representative or trustee unless the legal entity itself is not designated in the account title.)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9" w:right="31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NUMBER ON SUBSTITUTE FORM W-9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TIN</w:t>
      </w:r>
    </w:p>
    <w:p>
      <w:pPr>
        <w:spacing w:after="0" w:line="9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 xml:space="preserve">If you do not have a TIN or you do not know your number, obtain </w:t>
      </w:r>
      <w:r>
        <w:rPr>
          <w:rFonts w:ascii="Arial" w:cs="Arial" w:eastAsia="Arial" w:hAnsi="Arial"/>
          <w:sz w:val="16"/>
          <w:szCs w:val="16"/>
          <w:b w:val="1"/>
          <w:bCs w:val="1"/>
          <w:color w:val="auto"/>
        </w:rPr>
        <w:t>Form SS-5</w:t>
      </w:r>
      <w:r>
        <w:rPr>
          <w:rFonts w:ascii="Arial" w:cs="Arial" w:eastAsia="Arial" w:hAnsi="Arial"/>
          <w:sz w:val="16"/>
          <w:szCs w:val="16"/>
          <w:color w:val="auto"/>
        </w:rPr>
        <w:t xml:space="preserve">, Application for a Social Security Card (for resident individuals), </w:t>
      </w:r>
      <w:r>
        <w:rPr>
          <w:rFonts w:ascii="Arial" w:cs="Arial" w:eastAsia="Arial" w:hAnsi="Arial"/>
          <w:sz w:val="16"/>
          <w:szCs w:val="16"/>
          <w:b w:val="1"/>
          <w:bCs w:val="1"/>
          <w:color w:val="auto"/>
        </w:rPr>
        <w:t>Form SS-4</w:t>
      </w:r>
      <w:r>
        <w:rPr>
          <w:rFonts w:ascii="Arial" w:cs="Arial" w:eastAsia="Arial" w:hAnsi="Arial"/>
          <w:sz w:val="16"/>
          <w:szCs w:val="16"/>
          <w:color w:val="auto"/>
        </w:rPr>
        <w:t>, Application for Employer Identification Number (for businesses and all other entities),</w:t>
      </w:r>
      <w:r>
        <w:rPr>
          <w:rFonts w:ascii="Arial" w:cs="Arial" w:eastAsia="Arial" w:hAnsi="Arial"/>
          <w:sz w:val="16"/>
          <w:szCs w:val="16"/>
          <w:b w:val="1"/>
          <w:bCs w:val="1"/>
          <w:color w:val="auto"/>
        </w:rPr>
        <w:t xml:space="preserve"> Form W-7</w:t>
      </w:r>
      <w:r>
        <w:rPr>
          <w:rFonts w:ascii="Arial" w:cs="Arial" w:eastAsia="Arial" w:hAnsi="Arial"/>
          <w:sz w:val="16"/>
          <w:szCs w:val="16"/>
          <w:color w:val="auto"/>
        </w:rPr>
        <w:t>, Application for IRS Individual Taxpayer Identification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(for resident alien individuals required to file U.S. tax returns). You may obtain Form SS-5 from your local Social Security Administration Office and Forms SS-4 and W-7 from the IRS by calling 1-800-TAX-FORM (1-800-829-3676) or from the IRS’s Internet Web Site at </w:t>
      </w:r>
      <w:r>
        <w:rPr>
          <w:rFonts w:ascii="Arial" w:cs="Arial" w:eastAsia="Arial" w:hAnsi="Arial"/>
          <w:sz w:val="16"/>
          <w:szCs w:val="16"/>
          <w:i w:val="1"/>
          <w:iCs w:val="1"/>
          <w:color w:val="auto"/>
        </w:rPr>
        <w:t>www.irs.gov.</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To complete Substitute Form W-9 if you do not have a TIN, write “Applied For” in the space for the TIN in Part 1, sign and date the form, and give it to the payor. Generally, you will then have 60 days to obtain a TIN and furnish it to the payor. If the payor does not receive your TIN within 60 days, backup withholding, if applicable, will begin and will continue until you furnish your TIN to the payor. </w:t>
      </w:r>
      <w:r>
        <w:rPr>
          <w:rFonts w:ascii="Arial" w:cs="Arial" w:eastAsia="Arial" w:hAnsi="Arial"/>
          <w:sz w:val="18"/>
          <w:szCs w:val="18"/>
          <w:b w:val="1"/>
          <w:b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Writing “Applied For” means that you have already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applied for a TIN </w:t>
      </w:r>
      <w:r>
        <w:rPr>
          <w:rFonts w:ascii="Arial" w:cs="Arial" w:eastAsia="Arial" w:hAnsi="Arial"/>
          <w:sz w:val="18"/>
          <w:szCs w:val="18"/>
          <w:b w:val="1"/>
          <w:bCs w:val="1"/>
          <w:i w:val="1"/>
          <w:iCs w:val="1"/>
          <w:color w:val="auto"/>
        </w:rPr>
        <w:t>OR</w:t>
      </w:r>
      <w:r>
        <w:rPr>
          <w:rFonts w:ascii="Arial" w:cs="Arial" w:eastAsia="Arial" w:hAnsi="Arial"/>
          <w:sz w:val="18"/>
          <w:szCs w:val="18"/>
          <w:i w:val="1"/>
          <w:iCs w:val="1"/>
          <w:color w:val="auto"/>
        </w:rPr>
        <w:t xml:space="preserve"> that you intend to apply for one soon.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Unless otherwise noted herein, all references below to section numbers or to regulations are references to the Internal Revenue Code of 1986, as amended, and the regulations promulgated thereunder.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90" w:lineRule="exact"/>
        <w:rPr>
          <w:sz w:val="20"/>
          <w:szCs w:val="20"/>
          <w:color w:val="auto"/>
        </w:rPr>
      </w:pPr>
    </w:p>
    <w:p>
      <w:pPr>
        <w:ind w:left="900" w:hanging="325"/>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any IRA, or a custodial account under section 403(b)(7) if the account satisfies the requirements of section 401(f)(2).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 international organization or any of its agencies or instrumentalities.</w:t>
      </w:r>
    </w:p>
    <w:p>
      <w:pPr>
        <w:spacing w:after="0" w:line="16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Exempt payees described above should file a Substitute Form W-9 to avoid possible backup withholding. FURNISH YOUR TIN IN PART 1, WRITE “EXEMPT” IN PART 3, SIGN AND DATE THE FORM AND RETURN IT TO THE PAYOR.</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payments not subject to information reporting also are not subject to backup withholding. For details, see sections 6041, 6041A(a), 6042, 6044, 6045, 6049, 6050A, and 6050N, and their regulations.</w:t>
      </w:r>
    </w:p>
    <w:p>
      <w:pPr>
        <w:spacing w:after="0" w:line="126"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Privacy Act Notice</w:t>
      </w:r>
      <w:r>
        <w:rPr>
          <w:rFonts w:ascii="Arial" w:cs="Arial" w:eastAsia="Arial" w:hAnsi="Arial"/>
          <w:sz w:val="15"/>
          <w:szCs w:val="15"/>
          <w:color w:val="auto"/>
        </w:rPr>
        <w:t>. Section 6109 requires you to give your correct TIN to persons who must file information returns with the IRS to report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and certain other payments. The IRS uses the numbers for identification purposes and to help verify the accuracy of your tax return. The IRS also may provide this information to the Department of Justice for civil and criminal litigation, and to cities, states and the District of Columbia to carry out their tax laws.</w:t>
      </w:r>
    </w:p>
    <w:p>
      <w:pPr>
        <w:spacing w:after="0" w:line="79"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You must provide your TIN to the payor whether or not you are required to file a tax return</w:t>
      </w:r>
      <w:r>
        <w:rPr>
          <w:rFonts w:ascii="Arial" w:cs="Arial" w:eastAsia="Arial" w:hAnsi="Arial"/>
          <w:sz w:val="18"/>
          <w:szCs w:val="18"/>
          <w:color w:val="auto"/>
        </w:rPr>
        <w:t>. Payors must generally withhold 28% of taxable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and certain other payments to a payee who does not give a TIN to a payor. Certain penalties also may apply.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90" w:lineRule="exact"/>
        <w:rPr>
          <w:sz w:val="20"/>
          <w:szCs w:val="20"/>
          <w:color w:val="auto"/>
        </w:rPr>
      </w:pPr>
    </w:p>
    <w:p>
      <w:pPr>
        <w:ind w:right="80" w:firstLine="464"/>
        <w:spacing w:after="0" w:line="275"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Penalty for Failure to Furnish a TIN</w:t>
      </w:r>
      <w:r>
        <w:rPr>
          <w:rFonts w:ascii="Arial" w:cs="Arial" w:eastAsia="Arial" w:hAnsi="Arial"/>
          <w:sz w:val="18"/>
          <w:szCs w:val="18"/>
          <w:color w:val="auto"/>
        </w:rPr>
        <w:t>—If you fail to furnish your TIN to a payor, you are subject to a penalty of $50 for each such failure unless your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is due to reasonable cause and not to willful neglect.</w:t>
      </w:r>
    </w:p>
    <w:p>
      <w:pPr>
        <w:spacing w:after="0" w:line="119" w:lineRule="exact"/>
        <w:rPr>
          <w:rFonts w:ascii="Arial" w:cs="Arial" w:eastAsia="Arial" w:hAnsi="Arial"/>
          <w:sz w:val="18"/>
          <w:szCs w:val="18"/>
          <w:color w:val="auto"/>
        </w:rPr>
      </w:pPr>
    </w:p>
    <w:p>
      <w:pPr>
        <w:ind w:right="560" w:firstLine="464"/>
        <w:spacing w:after="0" w:line="275"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Civil Penalty for False Statements With Respect to Withholding</w:t>
      </w:r>
      <w:r>
        <w:rPr>
          <w:rFonts w:ascii="Arial" w:cs="Arial" w:eastAsia="Arial" w:hAnsi="Arial"/>
          <w:sz w:val="18"/>
          <w:szCs w:val="18"/>
          <w:color w:val="auto"/>
        </w:rPr>
        <w:t>—If you make a false statement with no reasonable basis which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imposition of backup withholding, you are subject to a $500 penalty.</w:t>
      </w:r>
    </w:p>
    <w:p>
      <w:pPr>
        <w:spacing w:after="0" w:line="119" w:lineRule="exact"/>
        <w:rPr>
          <w:rFonts w:ascii="Arial" w:cs="Arial" w:eastAsia="Arial" w:hAnsi="Arial"/>
          <w:sz w:val="18"/>
          <w:szCs w:val="18"/>
          <w:color w:val="auto"/>
        </w:rPr>
      </w:pPr>
    </w:p>
    <w:p>
      <w:pPr>
        <w:ind w:right="60" w:firstLine="464"/>
        <w:spacing w:after="0" w:line="275" w:lineRule="auto"/>
        <w:tabs>
          <w:tab w:leader="none" w:pos="705"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—Willfully falsifying certifications or affirmations may subject you to criminal penalties including fines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imprisonment.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ADDITIONAL INFORMATION CONTACT YOUR TAX CONSULTANT OR THE INTERNAL REVENUE SERVICE.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3" w:right="239" w:bottom="1440" w:gutter="0" w:footer="0" w:header="0"/>
        </w:sectPr>
      </w:pPr>
    </w:p>
    <w:bookmarkStart w:id="316" w:name="page317"/>
    <w:bookmarkEnd w:id="316"/>
    <w:p>
      <w:pPr>
        <w:ind w:left="10520"/>
        <w:spacing w:after="0"/>
        <w:rPr>
          <w:sz w:val="20"/>
          <w:szCs w:val="20"/>
          <w:color w:val="auto"/>
        </w:rPr>
      </w:pPr>
      <w:r>
        <w:rPr>
          <w:rFonts w:ascii="Arial" w:cs="Arial" w:eastAsia="Arial" w:hAnsi="Arial"/>
          <w:sz w:val="16"/>
          <w:szCs w:val="16"/>
          <w:b w:val="1"/>
          <w:bCs w:val="1"/>
          <w:color w:val="auto"/>
        </w:rPr>
        <w:t>Exhibit 99.2</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NOTICE OF GUARANTEED DELIVERY</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gridSpan w:val="2"/>
          </w:tcPr>
          <w:p>
            <w:pPr>
              <w:jc w:val="center"/>
              <w:ind w:left="4114"/>
              <w:spacing w:after="0"/>
              <w:rPr>
                <w:sz w:val="20"/>
                <w:szCs w:val="20"/>
                <w:color w:val="auto"/>
              </w:rPr>
            </w:pPr>
            <w:r>
              <w:rPr>
                <w:rFonts w:ascii="Arial" w:cs="Arial" w:eastAsia="Arial" w:hAnsi="Arial"/>
                <w:sz w:val="18"/>
                <w:szCs w:val="18"/>
                <w:b w:val="1"/>
                <w:bCs w:val="1"/>
                <w:color w:val="auto"/>
                <w:w w:val="88"/>
              </w:rPr>
              <w:t>Offer to Exchange</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14"/>
              <w:spacing w:after="0"/>
              <w:rPr>
                <w:sz w:val="20"/>
                <w:szCs w:val="20"/>
                <w:color w:val="auto"/>
              </w:rPr>
            </w:pPr>
            <w:r>
              <w:rPr>
                <w:rFonts w:ascii="Arial" w:cs="Arial" w:eastAsia="Arial" w:hAnsi="Arial"/>
                <w:sz w:val="18"/>
                <w:szCs w:val="18"/>
                <w:b w:val="1"/>
                <w:bCs w:val="1"/>
                <w:color w:val="auto"/>
                <w:w w:val="87"/>
              </w:rPr>
              <w:t>$1,320,000,000 of their outstanding</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34"/>
              <w:spacing w:after="0"/>
              <w:rPr>
                <w:sz w:val="20"/>
                <w:szCs w:val="20"/>
                <w:color w:val="auto"/>
              </w:rPr>
            </w:pPr>
            <w:r>
              <w:rPr>
                <w:rFonts w:ascii="Arial" w:cs="Arial" w:eastAsia="Arial" w:hAnsi="Arial"/>
                <w:sz w:val="18"/>
                <w:szCs w:val="18"/>
                <w:b w:val="1"/>
                <w:bCs w:val="1"/>
                <w:color w:val="auto"/>
                <w:w w:val="89"/>
              </w:rPr>
              <w:t xml:space="preserve">7 </w:t>
            </w:r>
            <w:r>
              <w:rPr>
                <w:rFonts w:ascii="Arial" w:cs="Arial" w:eastAsia="Arial" w:hAnsi="Arial"/>
                <w:sz w:val="11"/>
                <w:szCs w:val="11"/>
                <w:b w:val="1"/>
                <w:bCs w:val="1"/>
                <w:color w:val="auto"/>
                <w:w w:val="89"/>
              </w:rPr>
              <w:t>3</w:t>
            </w:r>
            <w:r>
              <w:rPr>
                <w:rFonts w:ascii="Arial" w:cs="Arial" w:eastAsia="Arial" w:hAnsi="Arial"/>
                <w:sz w:val="18"/>
                <w:szCs w:val="18"/>
                <w:b w:val="1"/>
                <w:bCs w:val="1"/>
                <w:color w:val="auto"/>
                <w:w w:val="89"/>
              </w:rPr>
              <w:t>/</w:t>
            </w:r>
            <w:r>
              <w:rPr>
                <w:rFonts w:ascii="Arial" w:cs="Arial" w:eastAsia="Arial" w:hAnsi="Arial"/>
                <w:sz w:val="13"/>
                <w:szCs w:val="13"/>
                <w:b w:val="1"/>
                <w:bCs w:val="1"/>
                <w:color w:val="auto"/>
                <w:w w:val="89"/>
              </w:rPr>
              <w:t>4</w:t>
            </w:r>
            <w:r>
              <w:rPr>
                <w:rFonts w:ascii="Arial" w:cs="Arial" w:eastAsia="Arial" w:hAnsi="Arial"/>
                <w:sz w:val="18"/>
                <w:szCs w:val="18"/>
                <w:b w:val="1"/>
                <w:bCs w:val="1"/>
                <w:color w:val="auto"/>
                <w:w w:val="89"/>
              </w:rPr>
              <w:t>% First Mortgage Notes due 2020</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14"/>
              <w:spacing w:after="0"/>
              <w:rPr>
                <w:sz w:val="20"/>
                <w:szCs w:val="20"/>
                <w:color w:val="auto"/>
              </w:rPr>
            </w:pPr>
            <w:r>
              <w:rPr>
                <w:rFonts w:ascii="Arial" w:cs="Arial" w:eastAsia="Arial" w:hAnsi="Arial"/>
                <w:sz w:val="18"/>
                <w:szCs w:val="18"/>
                <w:b w:val="1"/>
                <w:bCs w:val="1"/>
                <w:color w:val="auto"/>
                <w:w w:val="86"/>
              </w:rPr>
              <w:t>Issued on August 4, 2010</w:t>
            </w:r>
          </w:p>
        </w:tc>
        <w:tc>
          <w:tcPr>
            <w:tcW w:w="42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76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for</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34"/>
              <w:spacing w:after="0"/>
              <w:rPr>
                <w:sz w:val="20"/>
                <w:szCs w:val="20"/>
                <w:color w:val="auto"/>
              </w:rPr>
            </w:pPr>
            <w:r>
              <w:rPr>
                <w:rFonts w:ascii="Arial" w:cs="Arial" w:eastAsia="Arial" w:hAnsi="Arial"/>
                <w:sz w:val="18"/>
                <w:szCs w:val="18"/>
                <w:b w:val="1"/>
                <w:bCs w:val="1"/>
                <w:color w:val="auto"/>
                <w:w w:val="89"/>
              </w:rPr>
              <w:t xml:space="preserve">7 </w:t>
            </w:r>
            <w:r>
              <w:rPr>
                <w:rFonts w:ascii="Arial" w:cs="Arial" w:eastAsia="Arial" w:hAnsi="Arial"/>
                <w:sz w:val="11"/>
                <w:szCs w:val="11"/>
                <w:b w:val="1"/>
                <w:bCs w:val="1"/>
                <w:color w:val="auto"/>
                <w:w w:val="89"/>
              </w:rPr>
              <w:t>3</w:t>
            </w:r>
            <w:r>
              <w:rPr>
                <w:rFonts w:ascii="Arial" w:cs="Arial" w:eastAsia="Arial" w:hAnsi="Arial"/>
                <w:sz w:val="18"/>
                <w:szCs w:val="18"/>
                <w:b w:val="1"/>
                <w:bCs w:val="1"/>
                <w:color w:val="auto"/>
                <w:w w:val="89"/>
              </w:rPr>
              <w:t>/</w:t>
            </w:r>
            <w:r>
              <w:rPr>
                <w:rFonts w:ascii="Arial" w:cs="Arial" w:eastAsia="Arial" w:hAnsi="Arial"/>
                <w:sz w:val="13"/>
                <w:szCs w:val="13"/>
                <w:b w:val="1"/>
                <w:bCs w:val="1"/>
                <w:color w:val="auto"/>
                <w:w w:val="89"/>
              </w:rPr>
              <w:t>4</w:t>
            </w:r>
            <w:r>
              <w:rPr>
                <w:rFonts w:ascii="Arial" w:cs="Arial" w:eastAsia="Arial" w:hAnsi="Arial"/>
                <w:sz w:val="18"/>
                <w:szCs w:val="18"/>
                <w:b w:val="1"/>
                <w:bCs w:val="1"/>
                <w:color w:val="auto"/>
                <w:w w:val="89"/>
              </w:rPr>
              <w:t>% First Mortgage Notes due 2020</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14"/>
              <w:spacing w:after="0"/>
              <w:rPr>
                <w:sz w:val="20"/>
                <w:szCs w:val="20"/>
                <w:color w:val="auto"/>
              </w:rPr>
            </w:pPr>
            <w:r>
              <w:rPr>
                <w:rFonts w:ascii="Arial" w:cs="Arial" w:eastAsia="Arial" w:hAnsi="Arial"/>
                <w:sz w:val="18"/>
                <w:szCs w:val="18"/>
                <w:b w:val="1"/>
                <w:bCs w:val="1"/>
                <w:color w:val="auto"/>
                <w:w w:val="88"/>
              </w:rPr>
              <w:t>That Have Been Registered Under</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34"/>
              <w:spacing w:after="0"/>
              <w:rPr>
                <w:sz w:val="20"/>
                <w:szCs w:val="20"/>
                <w:color w:val="auto"/>
              </w:rPr>
            </w:pPr>
            <w:r>
              <w:rPr>
                <w:rFonts w:ascii="Arial" w:cs="Arial" w:eastAsia="Arial" w:hAnsi="Arial"/>
                <w:sz w:val="18"/>
                <w:szCs w:val="18"/>
                <w:b w:val="1"/>
                <w:bCs w:val="1"/>
                <w:color w:val="auto"/>
                <w:w w:val="86"/>
              </w:rPr>
              <w:t>the Securities Act of 1933, as Amended,</w:t>
            </w:r>
          </w:p>
        </w:tc>
        <w:tc>
          <w:tcPr>
            <w:tcW w:w="4240" w:type="dxa"/>
            <w:vAlign w:val="bottom"/>
          </w:tcPr>
          <w:p>
            <w:pPr>
              <w:spacing w:after="0"/>
              <w:rPr>
                <w:sz w:val="18"/>
                <w:szCs w:val="18"/>
                <w:color w:val="auto"/>
              </w:rPr>
            </w:pPr>
          </w:p>
        </w:tc>
      </w:tr>
      <w:tr>
        <w:trPr>
          <w:trHeight w:val="228"/>
        </w:trPr>
        <w:tc>
          <w:tcPr>
            <w:tcW w:w="7220" w:type="dxa"/>
            <w:vAlign w:val="bottom"/>
            <w:gridSpan w:val="2"/>
          </w:tcPr>
          <w:p>
            <w:pPr>
              <w:ind w:left="3740"/>
              <w:spacing w:after="0"/>
              <w:rPr>
                <w:sz w:val="20"/>
                <w:szCs w:val="20"/>
                <w:color w:val="auto"/>
              </w:rPr>
            </w:pPr>
            <w:r>
              <w:rPr>
                <w:rFonts w:ascii="Arial" w:cs="Arial" w:eastAsia="Arial" w:hAnsi="Arial"/>
                <w:sz w:val="18"/>
                <w:szCs w:val="18"/>
                <w:b w:val="1"/>
                <w:bCs w:val="1"/>
                <w:color w:val="auto"/>
              </w:rPr>
              <w:t>Pursuant to the Prospectus, dated</w:t>
            </w:r>
          </w:p>
        </w:tc>
        <w:tc>
          <w:tcPr>
            <w:tcW w:w="4240" w:type="dxa"/>
            <w:vAlign w:val="bottom"/>
          </w:tcPr>
          <w:p>
            <w:pPr>
              <w:jc w:val="right"/>
              <w:ind w:right="3692"/>
              <w:spacing w:after="0"/>
              <w:rPr>
                <w:sz w:val="20"/>
                <w:szCs w:val="20"/>
                <w:color w:val="auto"/>
              </w:rPr>
            </w:pPr>
            <w:r>
              <w:rPr>
                <w:rFonts w:ascii="Arial" w:cs="Arial" w:eastAsia="Arial" w:hAnsi="Arial"/>
                <w:sz w:val="18"/>
                <w:szCs w:val="18"/>
                <w:b w:val="1"/>
                <w:bCs w:val="1"/>
                <w:color w:val="auto"/>
                <w:w w:val="87"/>
              </w:rPr>
              <w:t>, 2010</w:t>
            </w:r>
          </w:p>
        </w:tc>
      </w:tr>
      <w:tr>
        <w:trPr>
          <w:trHeight w:val="201"/>
        </w:trPr>
        <w:tc>
          <w:tcPr>
            <w:tcW w:w="546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2"/>
          </w:tcPr>
          <w:p>
            <w:pPr>
              <w:spacing w:after="0"/>
              <w:rPr>
                <w:sz w:val="17"/>
                <w:szCs w:val="17"/>
                <w:color w:val="auto"/>
              </w:rPr>
            </w:pPr>
          </w:p>
        </w:tc>
      </w:tr>
      <w:tr>
        <w:trPr>
          <w:trHeight w:val="174"/>
        </w:trPr>
        <w:tc>
          <w:tcPr>
            <w:tcW w:w="5460" w:type="dxa"/>
            <w:vAlign w:val="bottom"/>
          </w:tcPr>
          <w:p>
            <w:pPr>
              <w:ind w:left="140"/>
              <w:spacing w:after="0"/>
              <w:rPr>
                <w:sz w:val="20"/>
                <w:szCs w:val="20"/>
                <w:color w:val="auto"/>
              </w:rPr>
            </w:pPr>
            <w:r>
              <w:rPr>
                <w:rFonts w:ascii="Arial" w:cs="Arial" w:eastAsia="Arial" w:hAnsi="Arial"/>
                <w:sz w:val="14"/>
                <w:szCs w:val="14"/>
                <w:b w:val="1"/>
                <w:bCs w:val="1"/>
                <w:color w:val="auto"/>
              </w:rPr>
              <w:t>THE EXCHANGE OFFER WILL EXPIRE AT 5:00 P.M., NEW YORK CITY TIME, ON</w:t>
            </w:r>
          </w:p>
        </w:tc>
        <w:tc>
          <w:tcPr>
            <w:tcW w:w="600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 2010, UNLESS EXTENDED BY THE ISSUERS (THE “EXPIRATION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6465" cy="261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6465" cy="2616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b w:val="1"/>
          <w:bCs w:val="1"/>
          <w:color w:val="auto"/>
        </w:rPr>
        <w:t>TENDERS MAY BE WITHDRAWN PRIOR TO 5:00 P.M., NEW YORK CITY TIME, ON THE EXPIRATION DATE.</w:t>
      </w:r>
    </w:p>
    <w:p>
      <w:pPr>
        <w:spacing w:after="0" w:line="205" w:lineRule="exact"/>
        <w:rPr>
          <w:sz w:val="20"/>
          <w:szCs w:val="20"/>
          <w:color w:val="auto"/>
        </w:rPr>
      </w:pPr>
    </w:p>
    <w:p>
      <w:pPr>
        <w:ind w:right="120" w:firstLine="342"/>
        <w:spacing w:after="0" w:line="208" w:lineRule="auto"/>
        <w:rPr>
          <w:sz w:val="20"/>
          <w:szCs w:val="20"/>
          <w:color w:val="auto"/>
        </w:rPr>
      </w:pPr>
      <w:r>
        <w:rPr>
          <w:rFonts w:ascii="Arial" w:cs="Arial" w:eastAsia="Arial" w:hAnsi="Arial"/>
          <w:sz w:val="12"/>
          <w:szCs w:val="12"/>
          <w:color w:val="auto"/>
        </w:rPr>
        <w:t xml:space="preserve">This form or one substantially equivalent hereto must be used to accept the offer (the “Exchange Offer”) of Wynn Las Vegas, LLC and Wynn Las Vegas Capital Corp. (together, the “Issuers”) to exchange an aggregate principal amount of up to $1,320,000,000 7 </w:t>
      </w:r>
      <w:r>
        <w:rPr>
          <w:rFonts w:ascii="Arial" w:cs="Arial" w:eastAsia="Arial" w:hAnsi="Arial"/>
          <w:sz w:val="19"/>
          <w:szCs w:val="19"/>
          <w:color w:val="auto"/>
          <w:vertAlign w:val="superscript"/>
        </w:rPr>
        <w:t>3</w:t>
      </w:r>
      <w:r>
        <w:rPr>
          <w:rFonts w:ascii="Arial" w:cs="Arial" w:eastAsia="Arial" w:hAnsi="Arial"/>
          <w:sz w:val="12"/>
          <w:szCs w:val="12"/>
          <w:color w:val="auto"/>
        </w:rPr>
        <w:t xml:space="preserve">/4% First Mortgage Notes due 2020 of the Issuers issued on August 4, 2010 (the “Old Notes”) for 7 </w:t>
      </w:r>
      <w:r>
        <w:rPr>
          <w:rFonts w:ascii="Arial" w:cs="Arial" w:eastAsia="Arial" w:hAnsi="Arial"/>
          <w:sz w:val="19"/>
          <w:szCs w:val="19"/>
          <w:color w:val="auto"/>
          <w:vertAlign w:val="superscript"/>
        </w:rPr>
        <w:t>3</w:t>
      </w:r>
      <w:r>
        <w:rPr>
          <w:rFonts w:ascii="Arial" w:cs="Arial" w:eastAsia="Arial" w:hAnsi="Arial"/>
          <w:sz w:val="12"/>
          <w:szCs w:val="12"/>
          <w:color w:val="auto"/>
        </w:rPr>
        <w:t>/4% First Mortgage Notes due 2020 of the Issuers</w:t>
      </w:r>
    </w:p>
    <w:p>
      <w:pPr>
        <w:ind w:right="60"/>
        <w:spacing w:after="0" w:line="266" w:lineRule="auto"/>
        <w:rPr>
          <w:sz w:val="20"/>
          <w:szCs w:val="20"/>
          <w:color w:val="auto"/>
        </w:rPr>
      </w:pPr>
      <w:r>
        <w:rPr>
          <w:rFonts w:ascii="Arial" w:cs="Arial" w:eastAsia="Arial" w:hAnsi="Arial"/>
          <w:sz w:val="12"/>
          <w:szCs w:val="12"/>
          <w:color w:val="auto"/>
        </w:rPr>
        <w:t>that have been registered under the Securities Act of 1933, as amended (the “New Notes”), upon the terms and subject to the conditions set forth in the Prospectus, dated , 2010 (the “Prospectus”) and the related Letter of Transmittal (the “Letter of Transmittal”), if certificates for the Old Notes are not immediately available or if the procedure for book-entry transfer cannot be completed on a timely basis or time will not permit all required documents to reach U.S. Bank National Association, as exchange agent (the “Exchange Agent”), prior to 5:00 p.m., New York City time, on the Expiration Date. Such form may be delivered or transmitted by facsimile transmission, mail or hand delivery to the Exchange Agent as set forth below. In addition, in order to utilize the guaranteed delivery procedure to tender Old Notes pursuant to the Exchange Offer, a completed, signed and dated Letter of Transmittal, or facsimile thereof or Agent’s Message in lieu thereof, must also be received by the Exchange Agent prior to 5:00 p.m., New York City time, on the Expiration Date. Capitalized terms not defined herein shall have the respective meanings set forth in the Prospectus.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i w:val="1"/>
          <w:iCs w:val="1"/>
          <w:color w:val="auto"/>
        </w:rPr>
        <w:t>Delivery To: U.S. Bank National Association, Exchange Agent</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By Hand, Overnight Delivery or by Mail:</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60 Livingston Avenue</w:t>
      </w:r>
    </w:p>
    <w:p>
      <w:pPr>
        <w:jc w:val="center"/>
        <w:ind w:right="40"/>
        <w:spacing w:after="0" w:line="221" w:lineRule="auto"/>
        <w:rPr>
          <w:sz w:val="20"/>
          <w:szCs w:val="20"/>
          <w:color w:val="auto"/>
        </w:rPr>
      </w:pPr>
      <w:r>
        <w:rPr>
          <w:rFonts w:ascii="Arial" w:cs="Arial" w:eastAsia="Arial" w:hAnsi="Arial"/>
          <w:sz w:val="14"/>
          <w:szCs w:val="14"/>
          <w:color w:val="auto"/>
        </w:rPr>
        <w:t>St. Paul, Minnesota 55107-2292</w:t>
      </w:r>
    </w:p>
    <w:p>
      <w:pPr>
        <w:jc w:val="center"/>
        <w:ind w:right="40"/>
        <w:spacing w:after="0"/>
        <w:rPr>
          <w:sz w:val="20"/>
          <w:szCs w:val="20"/>
          <w:color w:val="auto"/>
        </w:rPr>
      </w:pPr>
      <w:r>
        <w:rPr>
          <w:rFonts w:ascii="Arial" w:cs="Arial" w:eastAsia="Arial" w:hAnsi="Arial"/>
          <w:sz w:val="14"/>
          <w:szCs w:val="14"/>
          <w:color w:val="auto"/>
        </w:rPr>
        <w:t>Attention: Specialized Finance Dept.</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By Facsimile Transmission</w:t>
      </w:r>
    </w:p>
    <w:p>
      <w:pPr>
        <w:jc w:val="center"/>
        <w:ind w:right="40"/>
        <w:spacing w:after="0"/>
        <w:rPr>
          <w:sz w:val="20"/>
          <w:szCs w:val="20"/>
          <w:color w:val="auto"/>
        </w:rPr>
      </w:pPr>
      <w:r>
        <w:rPr>
          <w:rFonts w:ascii="Arial" w:cs="Arial" w:eastAsia="Arial" w:hAnsi="Arial"/>
          <w:sz w:val="14"/>
          <w:szCs w:val="14"/>
          <w:color w:val="auto"/>
        </w:rPr>
        <w:t>(for Eligible Institutions only):</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651-495-8158</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Confirm by Telephone:</w:t>
      </w:r>
    </w:p>
    <w:p>
      <w:pPr>
        <w:jc w:val="center"/>
        <w:ind w:right="40"/>
        <w:spacing w:after="0"/>
        <w:rPr>
          <w:sz w:val="20"/>
          <w:szCs w:val="20"/>
          <w:color w:val="auto"/>
        </w:rPr>
      </w:pPr>
      <w:r>
        <w:rPr>
          <w:rFonts w:ascii="Arial" w:cs="Arial" w:eastAsia="Arial" w:hAnsi="Arial"/>
          <w:sz w:val="14"/>
          <w:szCs w:val="14"/>
          <w:color w:val="auto"/>
        </w:rPr>
        <w:t>800-934-6802</w:t>
      </w:r>
    </w:p>
    <w:p>
      <w:pPr>
        <w:spacing w:after="0" w:line="138" w:lineRule="exact"/>
        <w:rPr>
          <w:sz w:val="20"/>
          <w:szCs w:val="20"/>
          <w:color w:val="auto"/>
        </w:rPr>
      </w:pPr>
    </w:p>
    <w:p>
      <w:pPr>
        <w:ind w:right="280" w:firstLine="342"/>
        <w:spacing w:after="0" w:line="239" w:lineRule="auto"/>
        <w:rPr>
          <w:sz w:val="20"/>
          <w:szCs w:val="20"/>
          <w:color w:val="auto"/>
        </w:rPr>
      </w:pPr>
      <w:r>
        <w:rPr>
          <w:rFonts w:ascii="Arial" w:cs="Arial" w:eastAsia="Arial" w:hAnsi="Arial"/>
          <w:sz w:val="14"/>
          <w:szCs w:val="14"/>
          <w:b w:val="1"/>
          <w:bCs w:val="1"/>
          <w:i w:val="1"/>
          <w:iCs w:val="1"/>
          <w:color w:val="auto"/>
        </w:rPr>
        <w:t>DELIVERY OF THIS INSTRUMENT TO AN ADDRESS OTHER THAN AS SET FORTH ABOVE, OR TRANSMISSION OF THIS INSTRUMENT VIA FACSIMILE OTHER THAN AS SET FORTH ABOVE, WILL NOT CONSTITUTE A VALID DELIVERY.</w:t>
      </w:r>
    </w:p>
    <w:p>
      <w:pPr>
        <w:spacing w:after="0" w:line="139" w:lineRule="exact"/>
        <w:rPr>
          <w:sz w:val="20"/>
          <w:szCs w:val="20"/>
          <w:color w:val="auto"/>
        </w:rPr>
      </w:pPr>
    </w:p>
    <w:p>
      <w:pPr>
        <w:ind w:right="520" w:firstLine="342"/>
        <w:spacing w:after="0" w:line="239" w:lineRule="auto"/>
        <w:rPr>
          <w:sz w:val="20"/>
          <w:szCs w:val="20"/>
          <w:color w:val="auto"/>
        </w:rPr>
      </w:pPr>
      <w:r>
        <w:rPr>
          <w:rFonts w:ascii="Arial" w:cs="Arial" w:eastAsia="Arial" w:hAnsi="Arial"/>
          <w:sz w:val="14"/>
          <w:szCs w:val="14"/>
          <w:color w:val="auto"/>
        </w:rPr>
        <w:t>This Notice is not to be used to guarantee signatures. If a signature on a Letter of Transmittal is required to be guaranteed by a “Medallion Signature Guarantor” under the instructions thereto, such signature guarantee must appear in the applicable space provided in the signature box on the Letter of Transmittal.</w:t>
      </w:r>
    </w:p>
    <w:p>
      <w:pPr>
        <w:sectPr>
          <w:pgSz w:w="11900" w:h="16838" w:orient="portrait"/>
          <w:cols w:equalWidth="0" w:num="1">
            <w:col w:w="11460"/>
          </w:cols>
          <w:pgMar w:left="240" w:top="125" w:right="19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Upon the terms and conditions set forth in the Prospectus and the accompanying Letter of Transmittal, receipt of which the undersigned hereby acknowledges, the undersigned hereby tenders to the Issuers the aggregate principal amount of Old Notes set forth below pursuant to the guaranteed delivery procedures described in “The Exchange Offer—Guaranteed Delivery Procedures” section of the Prospectus.</w:t>
      </w:r>
    </w:p>
    <w:p>
      <w:pPr>
        <w:sectPr>
          <w:pgSz w:w="11900" w:h="16838" w:orient="portrait"/>
          <w:cols w:equalWidth="0" w:num="1">
            <w:col w:w="11200"/>
          </w:cols>
          <w:pgMar w:left="240" w:top="279" w:right="45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260" w:right="100"/>
        <w:spacing w:after="0" w:line="259" w:lineRule="auto"/>
        <w:rPr>
          <w:sz w:val="20"/>
          <w:szCs w:val="20"/>
          <w:color w:val="auto"/>
        </w:rPr>
      </w:pPr>
      <w:r>
        <w:rPr>
          <w:rFonts w:ascii="Arial" w:cs="Arial" w:eastAsia="Arial" w:hAnsi="Arial"/>
          <w:sz w:val="18"/>
          <w:szCs w:val="18"/>
          <w:color w:val="auto"/>
        </w:rPr>
        <w:t>Aggregate Principal Amount of Old Notes Tendered (must be in denominations of principal amount of $2,000 and integral multiples of $1,000 in excess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3267075" cy="56515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67075" cy="56515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Name(s) of 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Eligible Guarantor Institution Guaranteeing Delivery</w:t>
      </w:r>
    </w:p>
    <w:p>
      <w:pPr>
        <w:spacing w:after="0" w:line="293" w:lineRule="exact"/>
        <w:rPr>
          <w:sz w:val="20"/>
          <w:szCs w:val="20"/>
          <w:color w:val="auto"/>
        </w:rPr>
      </w:pPr>
    </w:p>
    <w:p>
      <w:pPr>
        <w:ind w:left="260" w:right="240"/>
        <w:spacing w:after="0" w:line="268" w:lineRule="auto"/>
        <w:rPr>
          <w:sz w:val="20"/>
          <w:szCs w:val="20"/>
          <w:color w:val="auto"/>
        </w:rPr>
      </w:pPr>
      <w:r>
        <w:rPr>
          <w:rFonts w:ascii="Arial" w:cs="Arial" w:eastAsia="Arial" w:hAnsi="Arial"/>
          <w:sz w:val="18"/>
          <w:szCs w:val="18"/>
          <w:color w:val="auto"/>
        </w:rPr>
        <w:t>Provide the following information for Old Notes certificates to be delivered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Tendering Institution</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DTC Account Number</w:t>
      </w:r>
    </w:p>
    <w:p>
      <w:pPr>
        <w:spacing w:after="0" w:line="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228"/>
        </w:trPr>
        <w:tc>
          <w:tcPr>
            <w:tcW w:w="2600" w:type="dxa"/>
            <w:vAlign w:val="bottom"/>
          </w:tcPr>
          <w:p>
            <w:pPr>
              <w:spacing w:after="0"/>
              <w:rPr>
                <w:sz w:val="20"/>
                <w:szCs w:val="20"/>
                <w:color w:val="auto"/>
              </w:rPr>
            </w:pPr>
            <w:r>
              <w:rPr>
                <w:rFonts w:ascii="Arial" w:cs="Arial" w:eastAsia="Arial" w:hAnsi="Arial"/>
                <w:sz w:val="18"/>
                <w:szCs w:val="18"/>
                <w:b w:val="1"/>
                <w:bCs w:val="1"/>
                <w:color w:val="auto"/>
              </w:rPr>
              <w:t>PLEASE SIGN HERE</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839"/>
        </w:trPr>
        <w:tc>
          <w:tcPr>
            <w:tcW w:w="260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2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439"/>
        </w:trPr>
        <w:tc>
          <w:tcPr>
            <w:tcW w:w="260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28"/>
        </w:trPr>
        <w:tc>
          <w:tcPr>
            <w:tcW w:w="2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Signature(s) of Owner(s)</w:t>
            </w: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22"/>
        </w:trPr>
        <w:tc>
          <w:tcPr>
            <w:tcW w:w="2600" w:type="dxa"/>
            <w:vAlign w:val="bottom"/>
          </w:tcPr>
          <w:p>
            <w:pPr>
              <w:ind w:left="100"/>
              <w:spacing w:after="0"/>
              <w:rPr>
                <w:sz w:val="20"/>
                <w:szCs w:val="20"/>
                <w:color w:val="auto"/>
              </w:rPr>
            </w:pPr>
            <w:r>
              <w:rPr>
                <w:rFonts w:ascii="Arial" w:cs="Arial" w:eastAsia="Arial" w:hAnsi="Arial"/>
                <w:sz w:val="18"/>
                <w:szCs w:val="18"/>
                <w:color w:val="auto"/>
              </w:rPr>
              <w:t>or Authorized Signatory</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-1267460</wp:posOffset>
            </wp:positionV>
            <wp:extent cx="3395980" cy="56515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95980" cy="5651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Area Code and Telephone Number</w:t>
      </w:r>
    </w:p>
    <w:p>
      <w:pPr>
        <w:spacing w:after="0" w:line="63"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color w:val="auto"/>
        </w:rPr>
        <w:t>The Notice of Guaranteed Delivery must be signed by the registered holder(s) of the Old Notes certificate(s),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If signature is by a trustee, executor, administrator, guardian, attorney-in-fact, officer of a corporation or other person acting in a fiduciary or representative capacity, such person must set forth his or her full title below and, unless waived by the Issuers, submit proper evidence satisfactory to the Issuers of such person’s authority to so act. Please print name(s) and address(es).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Name(s)</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120" w:space="560"/>
            <w:col w:w="5520"/>
          </w:cols>
          <w:pgMar w:left="240" w:top="279" w:right="459" w:bottom="1440" w:gutter="0" w:footer="0" w:header="0"/>
          <w:type w:val="continuous"/>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to be Used for Signature Guarantees)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undersigned, a financial institution (including most banks, savings and loan associations and brokerage houses) that is a participant in the Securities Transfer Agents Medallion Program, the New York Stock Exchange Medallion Signature Program or the Stock Exchange Medallion Program, hereby guarantees that the certificates representing the principal amount of Old Notes tendered hereby in proper form for transfer, or timely confirmation of the book-entry transfer of such Old Notes into the Exchange Agent’s account at The Depository Trust Company pursuant to the procedures set forth in “The Exchange Offer— Guaranteed Delivery Procedures” section of the Prospectus, together with one or more properly and duly executed Letters of Transmittal, or facsimile thereof or Agent’s Message in lieu thereof, and any required signature guarantee and any other documents required by the Letter of Transmittal, will be received by the Exchange Agent at the address set forth above, no later than three New York Stock Exchange trading days after the Expiration Date.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gridSpan w:val="2"/>
          </w:tcPr>
          <w:p>
            <w:pPr>
              <w:jc w:val="center"/>
              <w:ind w:right="1660"/>
              <w:spacing w:after="0"/>
              <w:rPr>
                <w:sz w:val="20"/>
                <w:szCs w:val="20"/>
                <w:color w:val="auto"/>
              </w:rPr>
            </w:pPr>
            <w:r>
              <w:rPr>
                <w:rFonts w:ascii="Arial" w:cs="Arial" w:eastAsia="Arial" w:hAnsi="Arial"/>
                <w:sz w:val="18"/>
                <w:szCs w:val="18"/>
                <w:color w:val="auto"/>
                <w:w w:val="91"/>
              </w:rPr>
              <w:t>Name of Firm</w:t>
            </w:r>
          </w:p>
        </w:tc>
        <w:tc>
          <w:tcPr>
            <w:tcW w:w="2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Authorized Signature</w:t>
            </w:r>
          </w:p>
        </w:tc>
        <w:tc>
          <w:tcPr>
            <w:tcW w:w="0" w:type="dxa"/>
            <w:vAlign w:val="bottom"/>
          </w:tcPr>
          <w:p>
            <w:pPr>
              <w:spacing w:after="0"/>
              <w:rPr>
                <w:sz w:val="1"/>
                <w:szCs w:val="1"/>
                <w:color w:val="auto"/>
              </w:rPr>
            </w:pPr>
          </w:p>
        </w:tc>
      </w:tr>
      <w:tr>
        <w:trPr>
          <w:trHeight w:val="439"/>
        </w:trPr>
        <w:tc>
          <w:tcPr>
            <w:tcW w:w="16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4140" w:type="dxa"/>
            <w:vAlign w:val="bottom"/>
            <w:gridSpan w:val="2"/>
          </w:tcPr>
          <w:p>
            <w:pPr>
              <w:jc w:val="center"/>
              <w:ind w:right="1660"/>
              <w:spacing w:after="0"/>
              <w:rPr>
                <w:sz w:val="20"/>
                <w:szCs w:val="20"/>
                <w:color w:val="auto"/>
              </w:rPr>
            </w:pPr>
            <w:r>
              <w:rPr>
                <w:rFonts w:ascii="Arial" w:cs="Arial" w:eastAsia="Arial" w:hAnsi="Arial"/>
                <w:sz w:val="18"/>
                <w:szCs w:val="18"/>
                <w:color w:val="auto"/>
                <w:w w:val="84"/>
              </w:rPr>
              <w:t>Address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Title</w:t>
            </w:r>
          </w:p>
        </w:tc>
        <w:tc>
          <w:tcPr>
            <w:tcW w:w="0" w:type="dxa"/>
            <w:vAlign w:val="bottom"/>
          </w:tcPr>
          <w:p>
            <w:pPr>
              <w:spacing w:after="0"/>
              <w:rPr>
                <w:sz w:val="1"/>
                <w:szCs w:val="1"/>
                <w:color w:val="auto"/>
              </w:rPr>
            </w:pPr>
          </w:p>
        </w:tc>
      </w:tr>
      <w:tr>
        <w:trPr>
          <w:trHeight w:val="412"/>
        </w:trPr>
        <w:tc>
          <w:tcPr>
            <w:tcW w:w="1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tcBorders>
              <w:top w:val="single" w:sz="8" w:color="auto"/>
              <w:bottom w:val="single" w:sz="8" w:color="auto"/>
            </w:tcBorders>
            <w:vMerge w:val="restart"/>
          </w:tcPr>
          <w:p>
            <w:pPr>
              <w:jc w:val="center"/>
              <w:ind w:left="272"/>
              <w:spacing w:after="0"/>
              <w:rPr>
                <w:sz w:val="20"/>
                <w:szCs w:val="20"/>
                <w:color w:val="auto"/>
              </w:rPr>
            </w:pPr>
            <w:r>
              <w:rPr>
                <w:rFonts w:ascii="Arial" w:cs="Arial" w:eastAsia="Arial" w:hAnsi="Arial"/>
                <w:sz w:val="18"/>
                <w:szCs w:val="18"/>
                <w:color w:val="auto"/>
                <w:w w:val="86"/>
              </w:rPr>
              <w:t>(Please Type or Print)</w:t>
            </w:r>
          </w:p>
        </w:tc>
        <w:tc>
          <w:tcPr>
            <w:tcW w:w="8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tcPr>
          <w:p>
            <w:pPr>
              <w:spacing w:after="0"/>
              <w:rPr>
                <w:sz w:val="17"/>
                <w:szCs w:val="17"/>
                <w:color w:val="auto"/>
              </w:rPr>
            </w:pPr>
          </w:p>
        </w:tc>
        <w:tc>
          <w:tcPr>
            <w:tcW w:w="4140" w:type="dxa"/>
            <w:vAlign w:val="bottom"/>
            <w:gridSpan w:val="2"/>
          </w:tcPr>
          <w:p>
            <w:pPr>
              <w:jc w:val="center"/>
              <w:ind w:right="1680"/>
              <w:spacing w:after="0" w:line="203" w:lineRule="exact"/>
              <w:rPr>
                <w:sz w:val="20"/>
                <w:szCs w:val="20"/>
                <w:color w:val="auto"/>
              </w:rPr>
            </w:pPr>
            <w:r>
              <w:rPr>
                <w:rFonts w:ascii="Arial" w:cs="Arial" w:eastAsia="Arial" w:hAnsi="Arial"/>
                <w:sz w:val="18"/>
                <w:szCs w:val="18"/>
                <w:color w:val="auto"/>
                <w:w w:val="90"/>
              </w:rPr>
              <w:t>Zip Code</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680" w:type="dxa"/>
            <w:vAlign w:val="bottom"/>
          </w:tcPr>
          <w:p>
            <w:pPr>
              <w:spacing w:after="0"/>
              <w:rPr>
                <w:sz w:val="20"/>
                <w:szCs w:val="20"/>
                <w:color w:val="auto"/>
              </w:rPr>
            </w:pPr>
            <w:r>
              <w:rPr>
                <w:rFonts w:ascii="Arial" w:cs="Arial" w:eastAsia="Arial" w:hAnsi="Arial"/>
                <w:sz w:val="18"/>
                <w:szCs w:val="18"/>
                <w:color w:val="auto"/>
                <w:w w:val="87"/>
              </w:rPr>
              <w:t>Area Code and Tel. No:</w:t>
            </w:r>
          </w:p>
        </w:tc>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Dated:</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920" w:right="840" w:hanging="919"/>
        <w:spacing w:after="0" w:line="262" w:lineRule="auto"/>
        <w:tabs>
          <w:tab w:leader="none" w:pos="9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b w:val="1"/>
          <w:bCs w:val="1"/>
          <w:color w:val="auto"/>
        </w:rPr>
        <w:t>DO NOT SEND THE PHYSICAL CERTIFICATES REPRESENTING OLD NOTES WITH THIS NOTICE. SUCH PHYSICAL CERTIFICATES SHOULD BE SENT TO THE EXCHANGE AGENT, TOGETHER WITH A COPY OF YOUR PREVIOUSLY EXECUTED LETTER OF TRANSMITTAL.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99.3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ectPr>
          <w:pgSz w:w="11900" w:h="16838" w:orient="portrait"/>
          <w:cols w:equalWidth="0" w:num="1">
            <w:col w:w="11420"/>
          </w:cols>
          <w:pgMar w:left="240" w:top="125" w:right="239" w:bottom="1440" w:gutter="0" w:footer="0" w:header="0"/>
        </w:sectPr>
      </w:pPr>
    </w:p>
    <w:p>
      <w:pPr>
        <w:spacing w:after="0" w:line="15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Offer to Exchange</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$1,320,000,000 of their outstanding</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0"/>
          <w:szCs w:val="10"/>
          <w:b w:val="1"/>
          <w:bCs w:val="1"/>
          <w:color w:val="auto"/>
        </w:rPr>
        <w:t>3</w:t>
      </w:r>
      <w:r>
        <w:rPr>
          <w:rFonts w:ascii="Arial" w:cs="Arial" w:eastAsia="Arial" w:hAnsi="Arial"/>
          <w:sz w:val="16"/>
          <w:szCs w:val="16"/>
          <w:b w:val="1"/>
          <w:bCs w:val="1"/>
          <w:color w:val="auto"/>
        </w:rPr>
        <w:t>/</w:t>
      </w:r>
      <w:r>
        <w:rPr>
          <w:rFonts w:ascii="Arial" w:cs="Arial" w:eastAsia="Arial" w:hAnsi="Arial"/>
          <w:sz w:val="12"/>
          <w:szCs w:val="12"/>
          <w:b w:val="1"/>
          <w:bCs w:val="1"/>
          <w:color w:val="auto"/>
        </w:rPr>
        <w:t>4</w:t>
      </w:r>
      <w:r>
        <w:rPr>
          <w:rFonts w:ascii="Arial" w:cs="Arial" w:eastAsia="Arial" w:hAnsi="Arial"/>
          <w:sz w:val="16"/>
          <w:szCs w:val="16"/>
          <w:b w:val="1"/>
          <w:bCs w:val="1"/>
          <w:color w:val="auto"/>
        </w:rPr>
        <w:t>% First Mortgage Notes due 2020</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Issued on August 4, 2010</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0"/>
          <w:szCs w:val="10"/>
          <w:b w:val="1"/>
          <w:bCs w:val="1"/>
          <w:color w:val="auto"/>
        </w:rPr>
        <w:t>3</w:t>
      </w:r>
      <w:r>
        <w:rPr>
          <w:rFonts w:ascii="Arial" w:cs="Arial" w:eastAsia="Arial" w:hAnsi="Arial"/>
          <w:sz w:val="16"/>
          <w:szCs w:val="16"/>
          <w:b w:val="1"/>
          <w:bCs w:val="1"/>
          <w:color w:val="auto"/>
        </w:rPr>
        <w:t>/</w:t>
      </w:r>
      <w:r>
        <w:rPr>
          <w:rFonts w:ascii="Arial" w:cs="Arial" w:eastAsia="Arial" w:hAnsi="Arial"/>
          <w:sz w:val="12"/>
          <w:szCs w:val="12"/>
          <w:b w:val="1"/>
          <w:bCs w:val="1"/>
          <w:color w:val="auto"/>
        </w:rPr>
        <w:t>4</w:t>
      </w:r>
      <w:r>
        <w:rPr>
          <w:rFonts w:ascii="Arial" w:cs="Arial" w:eastAsia="Arial" w:hAnsi="Arial"/>
          <w:sz w:val="16"/>
          <w:szCs w:val="16"/>
          <w:b w:val="1"/>
          <w:bCs w:val="1"/>
          <w:color w:val="auto"/>
        </w:rPr>
        <w:t>% First Mortgage Notes due 2020</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2010</w:t>
      </w:r>
    </w:p>
    <w:p>
      <w:pPr>
        <w:spacing w:after="0" w:line="205"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To Our Clients:</w:t>
      </w:r>
    </w:p>
    <w:p>
      <w:pPr>
        <w:spacing w:after="0" w:line="96" w:lineRule="exact"/>
        <w:rPr>
          <w:sz w:val="20"/>
          <w:szCs w:val="20"/>
          <w:color w:val="auto"/>
        </w:rPr>
      </w:pPr>
    </w:p>
    <w:p>
      <w:pPr>
        <w:ind w:left="460"/>
        <w:spacing w:after="0"/>
        <w:tabs>
          <w:tab w:leader="none" w:pos="5160" w:val="left"/>
        </w:tabs>
        <w:rPr>
          <w:sz w:val="20"/>
          <w:szCs w:val="20"/>
          <w:color w:val="auto"/>
        </w:rPr>
      </w:pPr>
      <w:r>
        <w:rPr>
          <w:rFonts w:ascii="Arial" w:cs="Arial" w:eastAsia="Arial" w:hAnsi="Arial"/>
          <w:sz w:val="18"/>
          <w:szCs w:val="18"/>
          <w:color w:val="auto"/>
        </w:rPr>
        <w:t>Enclosed for your consideration is a Prospectus, dated</w:t>
      </w:r>
      <w:r>
        <w:rPr>
          <w:sz w:val="20"/>
          <w:szCs w:val="20"/>
          <w:color w:val="auto"/>
        </w:rPr>
        <w:tab/>
      </w:r>
      <w:r>
        <w:rPr>
          <w:rFonts w:ascii="Arial" w:cs="Arial" w:eastAsia="Arial" w:hAnsi="Arial"/>
          <w:sz w:val="16"/>
          <w:szCs w:val="16"/>
          <w:color w:val="auto"/>
        </w:rPr>
        <w:t>, 2010 (the “Prospectus”), and the related Letter of Transmittal (the “Letter of</w:t>
      </w:r>
    </w:p>
    <w:p>
      <w:pPr>
        <w:sectPr>
          <w:pgSz w:w="11900" w:h="16838" w:orient="portrait"/>
          <w:cols w:equalWidth="0" w:num="1">
            <w:col w:w="11420"/>
          </w:cols>
          <w:pgMar w:left="240" w:top="125" w:right="239" w:bottom="1440" w:gutter="0" w:footer="0" w:header="0"/>
          <w:type w:val="continuous"/>
        </w:sectPr>
      </w:pPr>
    </w:p>
    <w:p>
      <w:pPr>
        <w:spacing w:after="0" w:line="1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Transmittal”), relating to the offer (the “Exchange Offer”) of Wynn Las Vegas, LLC and Wynn Las Vegas Capital Corp. (together, the “Issuers”) to exchange an aggregate principal amount of up to $1,320,000,000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First Mortgage Notes due 2020 of the Issuers issued on August 4, 2010 (the “Old Notes”) for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of the Issuers that have been registered under the Securities Act of 1933, as amended (the “New Notes”), upon the terms and subject to the conditions set forth in the Prospectus and the Letter of Transmittal. The Exchange Offer is being made to satisfy certain obligations of the Issuers contained in the Registration Rights Agreement, dated August 4, 2010, by and among the Issuers, the guarantors referred to therein and the initial purchasers referred to therein.</w:t>
      </w:r>
    </w:p>
    <w:p>
      <w:pPr>
        <w:spacing w:after="0" w:line="14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material is being forwarded to you as the beneficial owner of the Old Notes held by us for your account but not registered in your name. A TENDER OF SUCH OLD NOTES MAY ONLY BE MADE BY US AS THE HOLDER OF RECORD AND PURSUANT TO YOUR INSTRUCTIONS.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Accordingly, we request instructions as to whether you wish us to tender on your behalf the Old Notes held by us for your account, pursuant to the terms and conditions set forth in the enclosed Prospectus and Letter of Transmittal.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instructions should be forwarded to us as promptly as possible in order to permit us to tender the Old Notes on your behalf in accordance with the</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provisions of the Exchange Offer. The Exchange Offer will expire at 5:00 p.m., New York City time, on , 2010, unless extended by the Issuers. Any Old Notes tendered pursuant to the Exchange Offer may be withdrawn at any time before the Expiration Date.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attention is directed to the following:</w:t>
      </w:r>
    </w:p>
    <w:p>
      <w:pPr>
        <w:spacing w:after="0" w:line="90" w:lineRule="exact"/>
        <w:rPr>
          <w:sz w:val="20"/>
          <w:szCs w:val="20"/>
          <w:color w:val="auto"/>
        </w:rPr>
      </w:pPr>
    </w:p>
    <w:p>
      <w:pPr>
        <w:ind w:left="1080" w:hanging="177"/>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Exchange Offer is for any and all Old Notes.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07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set forth in the Prospectus in the section captioned “The Exchange Offer—Conditions to the Exchange Offer.”</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7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transfer taxes incident to the transfer of Old Notes from the holder to the Issuers will be paid by the Issuers, except as otherwise provided in the Instructions in the Letter of Transmittal.</w:t>
      </w:r>
    </w:p>
    <w:p>
      <w:pPr>
        <w:spacing w:after="0" w:line="51" w:lineRule="exact"/>
        <w:rPr>
          <w:sz w:val="20"/>
          <w:szCs w:val="20"/>
          <w:color w:val="auto"/>
        </w:rPr>
      </w:pPr>
    </w:p>
    <w:p>
      <w:pPr>
        <w:ind w:left="900"/>
        <w:spacing w:after="0"/>
        <w:tabs>
          <w:tab w:leader="none" w:pos="6620" w:val="left"/>
        </w:tabs>
        <w:rPr>
          <w:sz w:val="20"/>
          <w:szCs w:val="20"/>
          <w:color w:val="auto"/>
        </w:rPr>
      </w:pPr>
      <w:r>
        <w:rPr>
          <w:rFonts w:ascii="Arial" w:cs="Arial" w:eastAsia="Arial" w:hAnsi="Arial"/>
          <w:sz w:val="18"/>
          <w:szCs w:val="18"/>
          <w:color w:val="auto"/>
        </w:rPr>
        <w:t>4. The Exchange Offer expires at 5:00 p.m., New York City time, on</w:t>
      </w:r>
      <w:r>
        <w:rPr>
          <w:sz w:val="20"/>
          <w:szCs w:val="20"/>
          <w:color w:val="auto"/>
        </w:rPr>
        <w:tab/>
      </w:r>
      <w:r>
        <w:rPr>
          <w:rFonts w:ascii="Arial" w:cs="Arial" w:eastAsia="Arial" w:hAnsi="Arial"/>
          <w:sz w:val="15"/>
          <w:szCs w:val="15"/>
          <w:color w:val="auto"/>
        </w:rPr>
        <w:t>, 2010, unless extended by the Issuers.</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If you wish to have us tender your Old Notes, please so instruct us by completing, executing and returning to us the instruction form on the back of this letter. THE LETTER OF TRANSMITTAL IS FURNISHED TO YOU FOR INFORMATION ONLY AND MAY NOT BE USED DIRECTLY BY YOU TO TENDER OLD NOTES.</w:t>
      </w:r>
    </w:p>
    <w:p>
      <w:pPr>
        <w:sectPr>
          <w:pgSz w:w="11900" w:h="16838" w:orient="portrait"/>
          <w:cols w:equalWidth="0" w:num="1">
            <w:col w:w="11420"/>
          </w:cols>
          <w:pgMar w:left="240" w:top="125" w:right="239" w:bottom="1440" w:gutter="0" w:footer="0" w:header="0"/>
          <w:type w:val="continuous"/>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 WITH RESPECT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6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undersigned acknowledge(s) receipt of your letter and the enclosed material referred to therein relating to the Exchange Offer made by Wynn Las Vegas, LLC and Wynn Las Vegas Capital Corp. with respect to the Old Notes.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will instruct you to tender the Old Notes held by you for the account of the undersigned, upon the terms and subject to the conditions set forth in the Prospectus and the related Letter of Transmittal.</w:t>
      </w:r>
    </w:p>
    <w:p>
      <w:pPr>
        <w:spacing w:after="0" w:line="132"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sell, assign and transfer all right, title and interest in the Old Notes and to acquire the New Notes, issuable upon the exchange of such Old Notes, and that, when such validly tendered Old Notes are accepted by the Issuers for exchange, the Issuers will acquire good and unencumbered title thereto, free and clear of all liens, restrictions, charges and encumbrances and not subject to any adverse claim.</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By completing, executing and delivering these Instructions, the undersigned hereby (i) makes the acknowledgments, representations and warranties referred to above, (ii) instructs you to tender the Old Notes held by you for the account of the undersigned, upon the terms and subject to the conditions set forth in the Prospectus and Letter of Transmittal and (iii) expressly agrees to be bound by the Letter of Transmittal and that such Letter of Transmittal may be enforced against the undersigned.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Please tender the </w:t>
      </w:r>
      <w:r>
        <w:rPr>
          <w:rFonts w:ascii="Arial" w:cs="Arial" w:eastAsia="Arial" w:hAnsi="Arial"/>
          <w:sz w:val="18"/>
          <w:szCs w:val="18"/>
          <w:b w:val="1"/>
          <w:bCs w:val="1"/>
          <w:u w:val="single" w:color="auto"/>
          <w:color w:val="auto"/>
        </w:rPr>
        <w:t>Old Notes</w:t>
      </w:r>
      <w:r>
        <w:rPr>
          <w:rFonts w:ascii="Arial" w:cs="Arial" w:eastAsia="Arial" w:hAnsi="Arial"/>
          <w:sz w:val="18"/>
          <w:szCs w:val="18"/>
          <w:color w:val="auto"/>
        </w:rPr>
        <w:t xml:space="preserve"> held by you for my account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15030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15030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4</w:t>
      </w:r>
      <w:r>
        <w:rPr>
          <w:rFonts w:ascii="Arial" w:cs="Arial" w:eastAsia="Arial" w:hAnsi="Arial"/>
          <w:sz w:val="18"/>
          <w:szCs w:val="18"/>
          <w:b w:val="1"/>
          <w:bCs w:val="1"/>
          <w:color w:val="auto"/>
        </w:rPr>
        <w:t>% FIRST MORTGAGE NOTES DUE 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940" w:type="dxa"/>
            <w:vAlign w:val="bottom"/>
            <w:tcBorders>
              <w:top w:val="single" w:sz="8" w:color="auto"/>
            </w:tcBorders>
          </w:tcPr>
          <w:p>
            <w:pPr>
              <w:ind w:left="1380"/>
              <w:spacing w:after="0" w:line="147" w:lineRule="exact"/>
              <w:rPr>
                <w:sz w:val="20"/>
                <w:szCs w:val="20"/>
                <w:color w:val="auto"/>
              </w:rPr>
            </w:pPr>
            <w:r>
              <w:rPr>
                <w:rFonts w:ascii="Arial" w:cs="Arial" w:eastAsia="Arial" w:hAnsi="Arial"/>
                <w:sz w:val="14"/>
                <w:szCs w:val="14"/>
                <w:b w:val="1"/>
                <w:bCs w:val="1"/>
                <w:color w:val="auto"/>
              </w:rPr>
              <w:t>Certificate Numbers*</w:t>
            </w:r>
          </w:p>
        </w:tc>
        <w:tc>
          <w:tcPr>
            <w:tcW w:w="3840" w:type="dxa"/>
            <w:vAlign w:val="bottom"/>
            <w:tcBorders>
              <w:top w:val="single" w:sz="8" w:color="auto"/>
            </w:tcBorders>
          </w:tcPr>
          <w:p>
            <w:pPr>
              <w:ind w:left="1300"/>
              <w:spacing w:after="0" w:line="147" w:lineRule="exact"/>
              <w:rPr>
                <w:sz w:val="20"/>
                <w:szCs w:val="20"/>
                <w:color w:val="auto"/>
              </w:rPr>
            </w:pPr>
            <w:r>
              <w:rPr>
                <w:rFonts w:ascii="Arial" w:cs="Arial" w:eastAsia="Arial" w:hAnsi="Arial"/>
                <w:sz w:val="14"/>
                <w:szCs w:val="14"/>
                <w:b w:val="1"/>
                <w:bCs w:val="1"/>
                <w:color w:val="auto"/>
              </w:rPr>
              <w:t>Principal Amount**</w:t>
            </w:r>
          </w:p>
        </w:tc>
        <w:tc>
          <w:tcPr>
            <w:tcW w:w="3640" w:type="dxa"/>
            <w:vAlign w:val="bottom"/>
            <w:tcBorders>
              <w:top w:val="single" w:sz="8" w:color="auto"/>
            </w:tcBorders>
          </w:tcPr>
          <w:p>
            <w:pPr>
              <w:ind w:left="1360"/>
              <w:spacing w:after="0" w:line="147" w:lineRule="exact"/>
              <w:rPr>
                <w:sz w:val="20"/>
                <w:szCs w:val="20"/>
                <w:color w:val="auto"/>
              </w:rPr>
            </w:pPr>
            <w:r>
              <w:rPr>
                <w:rFonts w:ascii="Arial" w:cs="Arial" w:eastAsia="Arial" w:hAnsi="Arial"/>
                <w:sz w:val="14"/>
                <w:szCs w:val="14"/>
                <w:b w:val="1"/>
                <w:bCs w:val="1"/>
                <w:color w:val="auto"/>
              </w:rPr>
              <w:t>Old Notes are</w:t>
            </w:r>
          </w:p>
        </w:tc>
      </w:tr>
    </w:tbl>
    <w:p>
      <w:pPr>
        <w:jc w:val="center"/>
        <w:ind w:left="7640"/>
        <w:spacing w:after="0" w:line="221" w:lineRule="auto"/>
        <w:rPr>
          <w:sz w:val="20"/>
          <w:szCs w:val="20"/>
          <w:color w:val="auto"/>
        </w:rPr>
      </w:pPr>
      <w:r>
        <w:rPr>
          <w:rFonts w:ascii="Arial" w:cs="Arial" w:eastAsia="Arial" w:hAnsi="Arial"/>
          <w:sz w:val="14"/>
          <w:szCs w:val="14"/>
          <w:b w:val="1"/>
          <w:bCs w:val="1"/>
          <w:color w:val="auto"/>
        </w:rPr>
        <w:t>to be Tendered</w:t>
      </w:r>
    </w:p>
    <w:p>
      <w:pPr>
        <w:jc w:val="center"/>
        <w:ind w:left="7640"/>
        <w:spacing w:after="0"/>
        <w:rPr>
          <w:sz w:val="20"/>
          <w:szCs w:val="20"/>
          <w:color w:val="auto"/>
        </w:rPr>
      </w:pPr>
      <w:r>
        <w:rPr>
          <w:rFonts w:ascii="Arial" w:cs="Arial" w:eastAsia="Arial" w:hAnsi="Arial"/>
          <w:sz w:val="14"/>
          <w:szCs w:val="14"/>
          <w:b w:val="1"/>
          <w:bCs w:val="1"/>
          <w:color w:val="auto"/>
        </w:rPr>
        <w:t>(“Yes” or “No”)***</w:t>
      </w:r>
    </w:p>
    <w:p>
      <w:pPr>
        <w:spacing w:after="0" w:line="200" w:lineRule="exact"/>
        <w:rPr>
          <w:sz w:val="20"/>
          <w:szCs w:val="20"/>
          <w:color w:val="auto"/>
        </w:rPr>
      </w:pPr>
    </w:p>
    <w:p>
      <w:pPr>
        <w:spacing w:after="0" w:line="346" w:lineRule="exact"/>
        <w:rPr>
          <w:sz w:val="20"/>
          <w:szCs w:val="20"/>
          <w:color w:val="auto"/>
        </w:rPr>
      </w:pPr>
    </w:p>
    <w:p>
      <w:pPr>
        <w:ind w:left="520" w:hanging="390"/>
        <w:spacing w:after="0"/>
        <w:tabs>
          <w:tab w:leader="none" w:pos="5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Need not be completed if Old Notes are being tendered by book-entry transfer.</w:t>
      </w:r>
    </w:p>
    <w:p>
      <w:pPr>
        <w:spacing w:after="0" w:line="15" w:lineRule="exact"/>
        <w:rPr>
          <w:sz w:val="20"/>
          <w:szCs w:val="20"/>
          <w:color w:val="auto"/>
        </w:rPr>
      </w:pPr>
    </w:p>
    <w:p>
      <w:pPr>
        <w:ind w:left="560" w:right="120" w:hanging="430"/>
        <w:spacing w:after="0" w:line="250" w:lineRule="auto"/>
        <w:tabs>
          <w:tab w:leader="none" w:pos="52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Notes represented by the Old Notes indicated in column 2. See Instruction 2 of the Letter of Transmittal. Old Notes tendered hereby must be in denominations of principal amount of $2,000 and integral multiples of $1,000 in excess of $2,000. See Instruction 1 of the Letter of Transmittal.</w:t>
      </w:r>
    </w:p>
    <w:p>
      <w:pPr>
        <w:spacing w:after="0" w:line="1" w:lineRule="exact"/>
        <w:rPr>
          <w:rFonts w:ascii="Arial" w:cs="Arial" w:eastAsia="Arial" w:hAnsi="Arial"/>
          <w:sz w:val="18"/>
          <w:szCs w:val="18"/>
          <w:color w:val="auto"/>
        </w:rPr>
      </w:pPr>
    </w:p>
    <w:p>
      <w:pPr>
        <w:ind w:left="480" w:hanging="350"/>
        <w:spacing w:after="0"/>
        <w:tabs>
          <w:tab w:leader="none" w:pos="4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Unless otherwise indicated, “yes” will be assumed.</w:t>
      </w:r>
    </w:p>
    <w:p>
      <w:pPr>
        <w:spacing w:after="0" w:line="232" w:lineRule="exact"/>
        <w:rPr>
          <w:sz w:val="20"/>
          <w:szCs w:val="20"/>
          <w:color w:val="auto"/>
        </w:rPr>
      </w:pPr>
    </w:p>
    <w:p>
      <w:pPr>
        <w:ind w:left="1480" w:hanging="567"/>
        <w:spacing w:after="0"/>
        <w:tabs>
          <w:tab w:leader="none" w:pos="1480" w:val="left"/>
        </w:tabs>
        <w:numPr>
          <w:ilvl w:val="0"/>
          <w:numId w:val="262"/>
        </w:numPr>
        <w:rPr>
          <w:rFonts w:ascii="MS PGothic" w:cs="MS PGothic" w:eastAsia="MS PGothic" w:hAnsi="MS PGothic"/>
          <w:sz w:val="18"/>
          <w:szCs w:val="18"/>
          <w:color w:val="auto"/>
        </w:rPr>
      </w:pPr>
      <w:r>
        <w:rPr>
          <w:rFonts w:ascii="Arial" w:cs="Arial" w:eastAsia="Arial" w:hAnsi="Arial"/>
          <w:sz w:val="18"/>
          <w:szCs w:val="18"/>
          <w:color w:val="auto"/>
        </w:rPr>
        <w:t>Please do not tender any Old Notes held by you for my account.</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Signature(s):</w:t>
      </w:r>
    </w:p>
    <w:p>
      <w:pPr>
        <w:spacing w:after="0" w:line="171" w:lineRule="exact"/>
        <w:rPr>
          <w:rFonts w:ascii="MS PGothic" w:cs="MS PGothic" w:eastAsia="MS PGothic" w:hAnsi="MS PGothic"/>
          <w:sz w:val="18"/>
          <w:szCs w:val="18"/>
          <w:color w:val="auto"/>
        </w:rPr>
      </w:pPr>
    </w:p>
    <w:p>
      <w:pPr>
        <w:ind w:right="10020"/>
        <w:spacing w:after="0" w:line="493" w:lineRule="auto"/>
        <w:rPr>
          <w:rFonts w:ascii="MS PGothic" w:cs="MS PGothic" w:eastAsia="MS PGothic" w:hAnsi="MS PGothic"/>
          <w:sz w:val="18"/>
          <w:szCs w:val="18"/>
          <w:color w:val="auto"/>
        </w:rPr>
      </w:pPr>
      <w:r>
        <w:rPr>
          <w:rFonts w:ascii="Arial" w:cs="Arial" w:eastAsia="Arial" w:hAnsi="Arial"/>
          <w:sz w:val="16"/>
          <w:szCs w:val="16"/>
          <w:color w:val="auto"/>
        </w:rPr>
        <w:t>Print Name(s) here: Print Address(es):</w:t>
      </w:r>
    </w:p>
    <w:p>
      <w:pPr>
        <w:spacing w:after="0"/>
        <w:rPr>
          <w:rFonts w:ascii="MS PGothic" w:cs="MS PGothic" w:eastAsia="MS PGothic" w:hAnsi="MS PGothic"/>
          <w:sz w:val="18"/>
          <w:szCs w:val="18"/>
          <w:color w:val="auto"/>
        </w:rPr>
      </w:pPr>
      <w:r>
        <w:rPr>
          <w:rFonts w:ascii="Arial" w:cs="Arial" w:eastAsia="Arial" w:hAnsi="Arial"/>
          <w:sz w:val="18"/>
          <w:szCs w:val="18"/>
          <w:color w:val="auto"/>
        </w:rPr>
        <w:t>Area Code and Telephone Number(s):</w:t>
      </w:r>
    </w:p>
    <w:p>
      <w:pPr>
        <w:spacing w:after="0" w:line="171" w:lineRule="exact"/>
        <w:rPr>
          <w:rFonts w:ascii="MS PGothic" w:cs="MS PGothic" w:eastAsia="MS PGothic" w:hAnsi="MS PGothic"/>
          <w:sz w:val="18"/>
          <w:szCs w:val="18"/>
          <w:color w:val="auto"/>
        </w:rPr>
      </w:pPr>
    </w:p>
    <w:p>
      <w:pPr>
        <w:ind w:right="8000"/>
        <w:spacing w:after="0" w:line="456" w:lineRule="auto"/>
        <w:rPr>
          <w:rFonts w:ascii="MS PGothic" w:cs="MS PGothic" w:eastAsia="MS PGothic" w:hAnsi="MS PGothic"/>
          <w:sz w:val="18"/>
          <w:szCs w:val="18"/>
          <w:color w:val="auto"/>
        </w:rPr>
      </w:pPr>
      <w:r>
        <w:rPr>
          <w:rFonts w:ascii="Arial" w:cs="Arial" w:eastAsia="Arial" w:hAnsi="Arial"/>
          <w:sz w:val="18"/>
          <w:szCs w:val="18"/>
          <w:color w:val="auto"/>
        </w:rPr>
        <w:t>Tax Identification or Social Security Number(s): My Account Number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-1342390</wp:posOffset>
            </wp:positionV>
            <wp:extent cx="543496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-1102360</wp:posOffset>
            </wp:positionV>
            <wp:extent cx="50723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07238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-862330</wp:posOffset>
            </wp:positionV>
            <wp:extent cx="51562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5620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-622300</wp:posOffset>
            </wp:positionV>
            <wp:extent cx="40690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069080" cy="889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-382270</wp:posOffset>
            </wp:positionV>
            <wp:extent cx="351155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511550" cy="889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-141605</wp:posOffset>
            </wp:positionV>
            <wp:extent cx="43757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75785" cy="8890"/>
                    </a:xfrm>
                    <a:prstGeom prst="rect">
                      <a:avLst/>
                    </a:prstGeom>
                    <a:noFill/>
                  </pic:spPr>
                </pic:pic>
              </a:graphicData>
            </a:graphic>
          </wp:anchor>
        </w:drawing>
      </w:r>
    </w:p>
    <w:p>
      <w:pPr>
        <w:spacing w:after="0" w:line="3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21" w:name="page322"/>
    <w:bookmarkEnd w:id="32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 be signed by the registered holder(s) of the Old Notes,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(as defined in the Letter of Transmittal). If signature is by a trustee, executor, administrator, guardian, attorney-in-fact, officer of a corporation or other person acting in a fiduciary or representative capacity, such person must set forth his or her full title next to his or her name above and, unless waived by the Issuers, submit proper evidence satisfactory to the Issuers of such person’s authority to so act. See Instruction 3 to the Letter of Transmittal.)</w:t>
      </w:r>
    </w:p>
    <w:p>
      <w:pPr>
        <w:spacing w:after="0" w:line="12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None of the Old Notes held by us for your account will be tendered unless we receive written instructions from you to do so. Unless a specific contrary instruction is given in the space provided, your signature(s) hereon shall constitute an instruction to us to tender all the Old Notes held by us for your account.</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22" w:name="page323"/>
    <w:bookmarkEnd w:id="322"/>
    <w:p>
      <w:pPr>
        <w:ind w:left="10520"/>
        <w:spacing w:after="0"/>
        <w:rPr>
          <w:sz w:val="20"/>
          <w:szCs w:val="20"/>
          <w:color w:val="auto"/>
        </w:rPr>
      </w:pPr>
      <w:r>
        <w:rPr>
          <w:rFonts w:ascii="Arial" w:cs="Arial" w:eastAsia="Arial" w:hAnsi="Arial"/>
          <w:sz w:val="16"/>
          <w:szCs w:val="16"/>
          <w:b w:val="1"/>
          <w:bCs w:val="1"/>
          <w:color w:val="auto"/>
        </w:rPr>
        <w:t>Exhibit 99.4</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220" w:type="dxa"/>
            <w:vAlign w:val="bottom"/>
            <w:gridSpan w:val="2"/>
          </w:tcPr>
          <w:p>
            <w:pPr>
              <w:jc w:val="center"/>
              <w:ind w:left="4125"/>
              <w:spacing w:after="0"/>
              <w:rPr>
                <w:sz w:val="20"/>
                <w:szCs w:val="20"/>
                <w:color w:val="auto"/>
              </w:rPr>
            </w:pPr>
            <w:r>
              <w:rPr>
                <w:rFonts w:ascii="Arial" w:cs="Arial" w:eastAsia="Arial" w:hAnsi="Arial"/>
                <w:sz w:val="18"/>
                <w:szCs w:val="18"/>
                <w:b w:val="1"/>
                <w:bCs w:val="1"/>
                <w:color w:val="auto"/>
                <w:w w:val="88"/>
              </w:rPr>
              <w:t>Offer to Exchange</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25"/>
              <w:spacing w:after="0"/>
              <w:rPr>
                <w:sz w:val="20"/>
                <w:szCs w:val="20"/>
                <w:color w:val="auto"/>
              </w:rPr>
            </w:pPr>
            <w:r>
              <w:rPr>
                <w:rFonts w:ascii="Arial" w:cs="Arial" w:eastAsia="Arial" w:hAnsi="Arial"/>
                <w:sz w:val="18"/>
                <w:szCs w:val="18"/>
                <w:b w:val="1"/>
                <w:bCs w:val="1"/>
                <w:color w:val="auto"/>
                <w:w w:val="87"/>
              </w:rPr>
              <w:t>$1,320,000,000 of their outstanding</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45"/>
              <w:spacing w:after="0"/>
              <w:rPr>
                <w:sz w:val="20"/>
                <w:szCs w:val="20"/>
                <w:color w:val="auto"/>
              </w:rPr>
            </w:pPr>
            <w:r>
              <w:rPr>
                <w:rFonts w:ascii="Arial" w:cs="Arial" w:eastAsia="Arial" w:hAnsi="Arial"/>
                <w:sz w:val="18"/>
                <w:szCs w:val="18"/>
                <w:b w:val="1"/>
                <w:bCs w:val="1"/>
                <w:color w:val="auto"/>
                <w:w w:val="89"/>
              </w:rPr>
              <w:t xml:space="preserve">7 </w:t>
            </w:r>
            <w:r>
              <w:rPr>
                <w:rFonts w:ascii="Arial" w:cs="Arial" w:eastAsia="Arial" w:hAnsi="Arial"/>
                <w:sz w:val="11"/>
                <w:szCs w:val="11"/>
                <w:b w:val="1"/>
                <w:bCs w:val="1"/>
                <w:color w:val="auto"/>
                <w:w w:val="89"/>
              </w:rPr>
              <w:t>3</w:t>
            </w:r>
            <w:r>
              <w:rPr>
                <w:rFonts w:ascii="Arial" w:cs="Arial" w:eastAsia="Arial" w:hAnsi="Arial"/>
                <w:sz w:val="18"/>
                <w:szCs w:val="18"/>
                <w:b w:val="1"/>
                <w:bCs w:val="1"/>
                <w:color w:val="auto"/>
                <w:w w:val="89"/>
              </w:rPr>
              <w:t>/</w:t>
            </w:r>
            <w:r>
              <w:rPr>
                <w:rFonts w:ascii="Arial" w:cs="Arial" w:eastAsia="Arial" w:hAnsi="Arial"/>
                <w:sz w:val="13"/>
                <w:szCs w:val="13"/>
                <w:b w:val="1"/>
                <w:bCs w:val="1"/>
                <w:color w:val="auto"/>
                <w:w w:val="89"/>
              </w:rPr>
              <w:t>4</w:t>
            </w:r>
            <w:r>
              <w:rPr>
                <w:rFonts w:ascii="Arial" w:cs="Arial" w:eastAsia="Arial" w:hAnsi="Arial"/>
                <w:sz w:val="18"/>
                <w:szCs w:val="18"/>
                <w:b w:val="1"/>
                <w:bCs w:val="1"/>
                <w:color w:val="auto"/>
                <w:w w:val="89"/>
              </w:rPr>
              <w:t>% First Mortgage Notes due 2020</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25"/>
              <w:spacing w:after="0"/>
              <w:rPr>
                <w:sz w:val="20"/>
                <w:szCs w:val="20"/>
                <w:color w:val="auto"/>
              </w:rPr>
            </w:pPr>
            <w:r>
              <w:rPr>
                <w:rFonts w:ascii="Arial" w:cs="Arial" w:eastAsia="Arial" w:hAnsi="Arial"/>
                <w:sz w:val="18"/>
                <w:szCs w:val="18"/>
                <w:b w:val="1"/>
                <w:bCs w:val="1"/>
                <w:color w:val="auto"/>
                <w:w w:val="86"/>
              </w:rPr>
              <w:t>Issued on August 4, 2010</w:t>
            </w:r>
          </w:p>
        </w:tc>
        <w:tc>
          <w:tcPr>
            <w:tcW w:w="42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760" w:type="dxa"/>
            <w:vAlign w:val="bottom"/>
          </w:tcPr>
          <w:p>
            <w:pPr>
              <w:jc w:val="center"/>
              <w:ind w:right="1182"/>
              <w:spacing w:after="0"/>
              <w:rPr>
                <w:sz w:val="20"/>
                <w:szCs w:val="20"/>
                <w:color w:val="auto"/>
              </w:rPr>
            </w:pPr>
            <w:r>
              <w:rPr>
                <w:rFonts w:ascii="Arial" w:cs="Arial" w:eastAsia="Arial" w:hAnsi="Arial"/>
                <w:sz w:val="18"/>
                <w:szCs w:val="18"/>
                <w:b w:val="1"/>
                <w:bCs w:val="1"/>
                <w:color w:val="auto"/>
                <w:w w:val="91"/>
              </w:rPr>
              <w:t>for</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45"/>
              <w:spacing w:after="0"/>
              <w:rPr>
                <w:sz w:val="20"/>
                <w:szCs w:val="20"/>
                <w:color w:val="auto"/>
              </w:rPr>
            </w:pPr>
            <w:r>
              <w:rPr>
                <w:rFonts w:ascii="Arial" w:cs="Arial" w:eastAsia="Arial" w:hAnsi="Arial"/>
                <w:sz w:val="18"/>
                <w:szCs w:val="18"/>
                <w:b w:val="1"/>
                <w:bCs w:val="1"/>
                <w:color w:val="auto"/>
                <w:w w:val="89"/>
              </w:rPr>
              <w:t xml:space="preserve">7 </w:t>
            </w:r>
            <w:r>
              <w:rPr>
                <w:rFonts w:ascii="Arial" w:cs="Arial" w:eastAsia="Arial" w:hAnsi="Arial"/>
                <w:sz w:val="11"/>
                <w:szCs w:val="11"/>
                <w:b w:val="1"/>
                <w:bCs w:val="1"/>
                <w:color w:val="auto"/>
                <w:w w:val="89"/>
              </w:rPr>
              <w:t>3</w:t>
            </w:r>
            <w:r>
              <w:rPr>
                <w:rFonts w:ascii="Arial" w:cs="Arial" w:eastAsia="Arial" w:hAnsi="Arial"/>
                <w:sz w:val="18"/>
                <w:szCs w:val="18"/>
                <w:b w:val="1"/>
                <w:bCs w:val="1"/>
                <w:color w:val="auto"/>
                <w:w w:val="89"/>
              </w:rPr>
              <w:t>/</w:t>
            </w:r>
            <w:r>
              <w:rPr>
                <w:rFonts w:ascii="Arial" w:cs="Arial" w:eastAsia="Arial" w:hAnsi="Arial"/>
                <w:sz w:val="13"/>
                <w:szCs w:val="13"/>
                <w:b w:val="1"/>
                <w:bCs w:val="1"/>
                <w:color w:val="auto"/>
                <w:w w:val="89"/>
              </w:rPr>
              <w:t>4</w:t>
            </w:r>
            <w:r>
              <w:rPr>
                <w:rFonts w:ascii="Arial" w:cs="Arial" w:eastAsia="Arial" w:hAnsi="Arial"/>
                <w:sz w:val="18"/>
                <w:szCs w:val="18"/>
                <w:b w:val="1"/>
                <w:bCs w:val="1"/>
                <w:color w:val="auto"/>
                <w:w w:val="89"/>
              </w:rPr>
              <w:t>% First Mortgage Notes due 2020</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25"/>
              <w:spacing w:after="0"/>
              <w:rPr>
                <w:sz w:val="20"/>
                <w:szCs w:val="20"/>
                <w:color w:val="auto"/>
              </w:rPr>
            </w:pPr>
            <w:r>
              <w:rPr>
                <w:rFonts w:ascii="Arial" w:cs="Arial" w:eastAsia="Arial" w:hAnsi="Arial"/>
                <w:sz w:val="18"/>
                <w:szCs w:val="18"/>
                <w:b w:val="1"/>
                <w:bCs w:val="1"/>
                <w:color w:val="auto"/>
                <w:w w:val="88"/>
              </w:rPr>
              <w:t>That Have Been Registered Under</w:t>
            </w:r>
          </w:p>
        </w:tc>
        <w:tc>
          <w:tcPr>
            <w:tcW w:w="4240" w:type="dxa"/>
            <w:vAlign w:val="bottom"/>
          </w:tcPr>
          <w:p>
            <w:pPr>
              <w:spacing w:after="0"/>
              <w:rPr>
                <w:sz w:val="18"/>
                <w:szCs w:val="18"/>
                <w:color w:val="auto"/>
              </w:rPr>
            </w:pPr>
          </w:p>
        </w:tc>
      </w:tr>
      <w:tr>
        <w:trPr>
          <w:trHeight w:val="216"/>
        </w:trPr>
        <w:tc>
          <w:tcPr>
            <w:tcW w:w="7220" w:type="dxa"/>
            <w:vAlign w:val="bottom"/>
            <w:gridSpan w:val="2"/>
          </w:tcPr>
          <w:p>
            <w:pPr>
              <w:jc w:val="center"/>
              <w:ind w:left="4145"/>
              <w:spacing w:after="0"/>
              <w:rPr>
                <w:sz w:val="20"/>
                <w:szCs w:val="20"/>
                <w:color w:val="auto"/>
              </w:rPr>
            </w:pPr>
            <w:r>
              <w:rPr>
                <w:rFonts w:ascii="Arial" w:cs="Arial" w:eastAsia="Arial" w:hAnsi="Arial"/>
                <w:sz w:val="18"/>
                <w:szCs w:val="18"/>
                <w:b w:val="1"/>
                <w:bCs w:val="1"/>
                <w:color w:val="auto"/>
                <w:w w:val="86"/>
              </w:rPr>
              <w:t>the Securities Act of 1933, as Amended,</w:t>
            </w:r>
          </w:p>
        </w:tc>
        <w:tc>
          <w:tcPr>
            <w:tcW w:w="4240" w:type="dxa"/>
            <w:vAlign w:val="bottom"/>
          </w:tcPr>
          <w:p>
            <w:pPr>
              <w:spacing w:after="0"/>
              <w:rPr>
                <w:sz w:val="18"/>
                <w:szCs w:val="18"/>
                <w:color w:val="auto"/>
              </w:rPr>
            </w:pPr>
          </w:p>
        </w:tc>
      </w:tr>
      <w:tr>
        <w:trPr>
          <w:trHeight w:val="228"/>
        </w:trPr>
        <w:tc>
          <w:tcPr>
            <w:tcW w:w="7220" w:type="dxa"/>
            <w:vAlign w:val="bottom"/>
            <w:gridSpan w:val="2"/>
          </w:tcPr>
          <w:p>
            <w:pPr>
              <w:ind w:left="3740"/>
              <w:spacing w:after="0"/>
              <w:rPr>
                <w:sz w:val="20"/>
                <w:szCs w:val="20"/>
                <w:color w:val="auto"/>
              </w:rPr>
            </w:pPr>
            <w:r>
              <w:rPr>
                <w:rFonts w:ascii="Arial" w:cs="Arial" w:eastAsia="Arial" w:hAnsi="Arial"/>
                <w:sz w:val="18"/>
                <w:szCs w:val="18"/>
                <w:b w:val="1"/>
                <w:bCs w:val="1"/>
                <w:color w:val="auto"/>
              </w:rPr>
              <w:t>Pursuant to the Prospectus, dated</w:t>
            </w:r>
          </w:p>
        </w:tc>
        <w:tc>
          <w:tcPr>
            <w:tcW w:w="4240" w:type="dxa"/>
            <w:vAlign w:val="bottom"/>
          </w:tcPr>
          <w:p>
            <w:pPr>
              <w:jc w:val="right"/>
              <w:ind w:right="3692"/>
              <w:spacing w:after="0"/>
              <w:rPr>
                <w:sz w:val="20"/>
                <w:szCs w:val="20"/>
                <w:color w:val="auto"/>
              </w:rPr>
            </w:pPr>
            <w:r>
              <w:rPr>
                <w:rFonts w:ascii="Arial" w:cs="Arial" w:eastAsia="Arial" w:hAnsi="Arial"/>
                <w:sz w:val="18"/>
                <w:szCs w:val="18"/>
                <w:b w:val="1"/>
                <w:bCs w:val="1"/>
                <w:color w:val="auto"/>
                <w:w w:val="87"/>
              </w:rPr>
              <w:t>, 2010</w:t>
            </w:r>
          </w:p>
        </w:tc>
      </w:tr>
      <w:tr>
        <w:trPr>
          <w:trHeight w:val="201"/>
        </w:trPr>
        <w:tc>
          <w:tcPr>
            <w:tcW w:w="546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gridSpan w:val="2"/>
          </w:tcPr>
          <w:p>
            <w:pPr>
              <w:spacing w:after="0"/>
              <w:rPr>
                <w:sz w:val="17"/>
                <w:szCs w:val="17"/>
                <w:color w:val="auto"/>
              </w:rPr>
            </w:pPr>
          </w:p>
        </w:tc>
      </w:tr>
      <w:tr>
        <w:trPr>
          <w:trHeight w:val="160"/>
        </w:trPr>
        <w:tc>
          <w:tcPr>
            <w:tcW w:w="5460" w:type="dxa"/>
            <w:vAlign w:val="bottom"/>
            <w:tcBorders>
              <w:left w:val="single" w:sz="8" w:color="auto"/>
            </w:tcBorders>
          </w:tcPr>
          <w:p>
            <w:pPr>
              <w:ind w:left="140"/>
              <w:spacing w:after="0" w:line="159" w:lineRule="exact"/>
              <w:rPr>
                <w:sz w:val="20"/>
                <w:szCs w:val="20"/>
                <w:color w:val="auto"/>
              </w:rPr>
            </w:pPr>
            <w:r>
              <w:rPr>
                <w:rFonts w:ascii="Arial" w:cs="Arial" w:eastAsia="Arial" w:hAnsi="Arial"/>
                <w:sz w:val="14"/>
                <w:szCs w:val="14"/>
                <w:b w:val="1"/>
                <w:bCs w:val="1"/>
                <w:color w:val="auto"/>
              </w:rPr>
              <w:t>THE EXCHANGE OFFER WILL EXPIRE AT 5:00 P.M., NEW YORK CITY TIME, ON</w:t>
            </w:r>
          </w:p>
        </w:tc>
        <w:tc>
          <w:tcPr>
            <w:tcW w:w="6000" w:type="dxa"/>
            <w:vAlign w:val="bottom"/>
            <w:tcBorders>
              <w:right w:val="single" w:sz="8" w:color="auto"/>
            </w:tcBorders>
            <w:gridSpan w:val="2"/>
          </w:tcPr>
          <w:p>
            <w:pPr>
              <w:jc w:val="right"/>
              <w:ind w:right="572"/>
              <w:spacing w:after="0" w:line="159" w:lineRule="exact"/>
              <w:rPr>
                <w:sz w:val="20"/>
                <w:szCs w:val="20"/>
                <w:color w:val="auto"/>
              </w:rPr>
            </w:pPr>
            <w:r>
              <w:rPr>
                <w:rFonts w:ascii="Arial" w:cs="Arial" w:eastAsia="Arial" w:hAnsi="Arial"/>
                <w:sz w:val="14"/>
                <w:szCs w:val="14"/>
                <w:b w:val="1"/>
                <w:bCs w:val="1"/>
                <w:color w:val="auto"/>
              </w:rPr>
              <w:t>, 2010, UNLESS EXTENDED BY THE ISSUERS (THE “EXPIRATION DATE”).</w:t>
            </w:r>
          </w:p>
        </w:tc>
      </w:tr>
      <w:tr>
        <w:trPr>
          <w:trHeight w:val="174"/>
        </w:trPr>
        <w:tc>
          <w:tcPr>
            <w:tcW w:w="7220" w:type="dxa"/>
            <w:vAlign w:val="bottom"/>
            <w:tcBorders>
              <w:lef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9"/>
              </w:rPr>
              <w:t>TENDERS MAY BE WITHDRAWN PRIOR TO 5:00 P.M., NEW YORK CITY TIME, ON THE EXPIRATION DATE.</w:t>
            </w:r>
          </w:p>
        </w:tc>
        <w:tc>
          <w:tcPr>
            <w:tcW w:w="4240" w:type="dxa"/>
            <w:vAlign w:val="bottom"/>
            <w:tcBorders>
              <w:right w:val="single" w:sz="8" w:color="auto"/>
            </w:tcBorders>
          </w:tcPr>
          <w:p>
            <w:pPr>
              <w:spacing w:after="0"/>
              <w:rPr>
                <w:sz w:val="15"/>
                <w:szCs w:val="15"/>
                <w:color w:val="auto"/>
              </w:rPr>
            </w:pPr>
          </w:p>
        </w:tc>
      </w:tr>
      <w:tr>
        <w:trPr>
          <w:trHeight w:val="38"/>
        </w:trPr>
        <w:tc>
          <w:tcPr>
            <w:tcW w:w="7220" w:type="dxa"/>
            <w:vAlign w:val="bottom"/>
            <w:tcBorders>
              <w:left w:val="single" w:sz="8" w:color="auto"/>
              <w:bottom w:val="single" w:sz="8" w:color="auto"/>
            </w:tcBorders>
            <w:gridSpan w:val="2"/>
          </w:tcPr>
          <w:p>
            <w:pPr>
              <w:spacing w:after="0"/>
              <w:rPr>
                <w:sz w:val="3"/>
                <w:szCs w:val="3"/>
                <w:color w:val="auto"/>
              </w:rPr>
            </w:pPr>
          </w:p>
        </w:tc>
        <w:tc>
          <w:tcPr>
            <w:tcW w:w="4240" w:type="dxa"/>
            <w:vAlign w:val="bottom"/>
            <w:tcBorders>
              <w:bottom w:val="single" w:sz="8" w:color="auto"/>
              <w:right w:val="single" w:sz="8" w:color="auto"/>
            </w:tcBorders>
          </w:tcPr>
          <w:p>
            <w:pPr>
              <w:spacing w:after="0"/>
              <w:rPr>
                <w:sz w:val="3"/>
                <w:szCs w:val="3"/>
                <w:color w:val="auto"/>
              </w:rPr>
            </w:pPr>
          </w:p>
        </w:tc>
      </w:tr>
      <w:tr>
        <w:trPr>
          <w:trHeight w:val="361"/>
        </w:trPr>
        <w:tc>
          <w:tcPr>
            <w:tcW w:w="7220" w:type="dxa"/>
            <w:vAlign w:val="bottom"/>
            <w:gridSpan w:val="2"/>
          </w:tcPr>
          <w:p>
            <w:pPr>
              <w:spacing w:after="0"/>
              <w:rPr>
                <w:sz w:val="20"/>
                <w:szCs w:val="20"/>
                <w:color w:val="auto"/>
              </w:rPr>
            </w:pPr>
            <w:r>
              <w:rPr>
                <w:rFonts w:ascii="Arial" w:cs="Arial" w:eastAsia="Arial" w:hAnsi="Arial"/>
                <w:sz w:val="14"/>
                <w:szCs w:val="14"/>
                <w:color w:val="auto"/>
                <w:w w:val="92"/>
              </w:rPr>
              <w:t>To:BROKERS, DEALERS, COMMERCIAL BANKS, TRUST COMPANIES AND OTHER NOMINEES:</w:t>
            </w:r>
          </w:p>
        </w:tc>
        <w:tc>
          <w:tcPr>
            <w:tcW w:w="4240" w:type="dxa"/>
            <w:vAlign w:val="bottom"/>
          </w:tcPr>
          <w:p>
            <w:pPr>
              <w:spacing w:after="0"/>
              <w:rPr>
                <w:sz w:val="24"/>
                <w:szCs w:val="24"/>
                <w:color w:val="auto"/>
              </w:rPr>
            </w:pPr>
          </w:p>
        </w:tc>
      </w:tr>
    </w:tbl>
    <w:p>
      <w:pPr>
        <w:spacing w:after="0" w:line="39" w:lineRule="exact"/>
        <w:rPr>
          <w:sz w:val="20"/>
          <w:szCs w:val="20"/>
          <w:color w:val="auto"/>
        </w:rPr>
      </w:pPr>
    </w:p>
    <w:p>
      <w:pPr>
        <w:ind w:right="160" w:firstLine="342"/>
        <w:spacing w:after="0" w:line="189" w:lineRule="auto"/>
        <w:rPr>
          <w:sz w:val="20"/>
          <w:szCs w:val="20"/>
          <w:color w:val="auto"/>
        </w:rPr>
      </w:pPr>
      <w:r>
        <w:rPr>
          <w:rFonts w:ascii="Arial" w:cs="Arial" w:eastAsia="Arial" w:hAnsi="Arial"/>
          <w:sz w:val="12"/>
          <w:szCs w:val="12"/>
          <w:color w:val="auto"/>
        </w:rPr>
        <w:t xml:space="preserve">Wynn Las Vegas, LLC and Wynn Las Vegas Capital Corp. (together, the “Issuers”) are offering to exchange an aggregate principal amount of up to $1,320,000,000 7 </w:t>
      </w:r>
      <w:r>
        <w:rPr>
          <w:rFonts w:ascii="Arial" w:cs="Arial" w:eastAsia="Arial" w:hAnsi="Arial"/>
          <w:sz w:val="18"/>
          <w:szCs w:val="18"/>
          <w:color w:val="auto"/>
          <w:vertAlign w:val="superscript"/>
        </w:rPr>
        <w:t>3</w:t>
      </w:r>
      <w:r>
        <w:rPr>
          <w:rFonts w:ascii="Arial" w:cs="Arial" w:eastAsia="Arial" w:hAnsi="Arial"/>
          <w:sz w:val="12"/>
          <w:szCs w:val="12"/>
          <w:color w:val="auto"/>
        </w:rPr>
        <w:t xml:space="preserve">/4% First Mortgage Notes due 2020 of the Issuers issued on August 4, 2010 (the “Old Notes”) for 7 </w:t>
      </w:r>
      <w:r>
        <w:rPr>
          <w:rFonts w:ascii="Arial" w:cs="Arial" w:eastAsia="Arial" w:hAnsi="Arial"/>
          <w:sz w:val="18"/>
          <w:szCs w:val="18"/>
          <w:color w:val="auto"/>
          <w:vertAlign w:val="superscript"/>
        </w:rPr>
        <w:t>3</w:t>
      </w:r>
      <w:r>
        <w:rPr>
          <w:rFonts w:ascii="Arial" w:cs="Arial" w:eastAsia="Arial" w:hAnsi="Arial"/>
          <w:sz w:val="12"/>
          <w:szCs w:val="12"/>
          <w:color w:val="auto"/>
        </w:rPr>
        <w:t>/4% First Mortgage Notes due 2020 of the Issuers that have been registered under the Securities Act of 1933, as amended (the “New Notes”),</w:t>
      </w:r>
    </w:p>
    <w:p>
      <w:pPr>
        <w:spacing w:after="0" w:line="2" w:lineRule="exact"/>
        <w:rPr>
          <w:sz w:val="20"/>
          <w:szCs w:val="20"/>
          <w:color w:val="auto"/>
        </w:rPr>
      </w:pPr>
    </w:p>
    <w:p>
      <w:pPr>
        <w:ind w:right="220"/>
        <w:spacing w:after="0" w:line="227" w:lineRule="auto"/>
        <w:rPr>
          <w:sz w:val="20"/>
          <w:szCs w:val="20"/>
          <w:color w:val="auto"/>
        </w:rPr>
      </w:pPr>
      <w:r>
        <w:rPr>
          <w:rFonts w:ascii="Arial" w:cs="Arial" w:eastAsia="Arial" w:hAnsi="Arial"/>
          <w:sz w:val="14"/>
          <w:szCs w:val="14"/>
          <w:color w:val="auto"/>
        </w:rPr>
        <w:t>upon the terms and subject to the conditions set forth in the Prospectus, dated , 2010 (the “Prospectus”) and the enclosed Letter of Transmittal (the “Letter of Transmittal”). The Exchange Offer is being made to satisfy certain obligations of the Issuers contained in the Registration Rights Agreement, dated August 4, 2010, by and among the Issuers, the guarantors referred to therein and the initial purchasers referred to therein.</w:t>
      </w:r>
    </w:p>
    <w:p>
      <w:pPr>
        <w:spacing w:after="0" w:line="139" w:lineRule="exact"/>
        <w:rPr>
          <w:sz w:val="20"/>
          <w:szCs w:val="20"/>
          <w:color w:val="auto"/>
        </w:rPr>
      </w:pPr>
    </w:p>
    <w:p>
      <w:pPr>
        <w:ind w:right="560" w:firstLine="342"/>
        <w:spacing w:after="0" w:line="318" w:lineRule="auto"/>
        <w:rPr>
          <w:sz w:val="20"/>
          <w:szCs w:val="20"/>
          <w:color w:val="auto"/>
        </w:rPr>
      </w:pPr>
      <w:r>
        <w:rPr>
          <w:rFonts w:ascii="Arial" w:cs="Arial" w:eastAsia="Arial" w:hAnsi="Arial"/>
          <w:sz w:val="12"/>
          <w:szCs w:val="12"/>
          <w:color w:val="auto"/>
        </w:rPr>
        <w:t>We are requesting that you contact your clients for whom you hold Old Notes regarding the Exchange Offer. For your information and for forwarding to your clients for whom you hold Old Notes registered in your name or in the name of your nominee, or who hold Old Notes registered in their own names, we are enclosing the following documents:</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1420" w:type="dxa"/>
            <w:vAlign w:val="bottom"/>
          </w:tcPr>
          <w:p>
            <w:pPr>
              <w:spacing w:after="0"/>
              <w:rPr>
                <w:sz w:val="20"/>
                <w:szCs w:val="20"/>
                <w:color w:val="auto"/>
              </w:rPr>
            </w:pPr>
            <w:r>
              <w:rPr>
                <w:rFonts w:ascii="Arial" w:cs="Arial" w:eastAsia="Arial" w:hAnsi="Arial"/>
                <w:sz w:val="14"/>
                <w:szCs w:val="14"/>
                <w:color w:val="auto"/>
              </w:rPr>
              <w:t>1. Prospectus dated</w:t>
            </w:r>
          </w:p>
        </w:tc>
        <w:tc>
          <w:tcPr>
            <w:tcW w:w="740" w:type="dxa"/>
            <w:vAlign w:val="bottom"/>
          </w:tcPr>
          <w:p>
            <w:pPr>
              <w:jc w:val="right"/>
              <w:spacing w:after="0"/>
              <w:rPr>
                <w:sz w:val="20"/>
                <w:szCs w:val="20"/>
                <w:color w:val="auto"/>
              </w:rPr>
            </w:pPr>
            <w:r>
              <w:rPr>
                <w:rFonts w:ascii="Arial" w:cs="Arial" w:eastAsia="Arial" w:hAnsi="Arial"/>
                <w:sz w:val="14"/>
                <w:szCs w:val="14"/>
                <w:color w:val="auto"/>
              </w:rPr>
              <w:t>, 2010;</w:t>
            </w:r>
          </w:p>
        </w:tc>
      </w:tr>
    </w:tbl>
    <w:p>
      <w:pPr>
        <w:spacing w:after="0" w:line="57" w:lineRule="exact"/>
        <w:rPr>
          <w:sz w:val="20"/>
          <w:szCs w:val="20"/>
          <w:color w:val="auto"/>
        </w:rPr>
      </w:pPr>
    </w:p>
    <w:p>
      <w:pPr>
        <w:ind w:left="820" w:hanging="138"/>
        <w:spacing w:after="0"/>
        <w:tabs>
          <w:tab w:leader="none" w:pos="820" w:val="left"/>
        </w:tabs>
        <w:numPr>
          <w:ilvl w:val="0"/>
          <w:numId w:val="263"/>
        </w:numPr>
        <w:rPr>
          <w:rFonts w:ascii="Arial" w:cs="Arial" w:eastAsia="Arial" w:hAnsi="Arial"/>
          <w:sz w:val="14"/>
          <w:szCs w:val="14"/>
          <w:color w:val="auto"/>
        </w:rPr>
      </w:pPr>
      <w:r>
        <w:rPr>
          <w:rFonts w:ascii="Arial" w:cs="Arial" w:eastAsia="Arial" w:hAnsi="Arial"/>
          <w:sz w:val="14"/>
          <w:szCs w:val="14"/>
          <w:color w:val="auto"/>
        </w:rPr>
        <w:t>The Letter of Transmittal for your use and for the information of your clients;</w:t>
      </w:r>
    </w:p>
    <w:p>
      <w:pPr>
        <w:spacing w:after="0" w:line="68" w:lineRule="exact"/>
        <w:rPr>
          <w:rFonts w:ascii="Arial" w:cs="Arial" w:eastAsia="Arial" w:hAnsi="Arial"/>
          <w:sz w:val="14"/>
          <w:szCs w:val="14"/>
          <w:color w:val="auto"/>
        </w:rPr>
      </w:pPr>
    </w:p>
    <w:p>
      <w:pPr>
        <w:ind w:left="360" w:right="300" w:firstLine="322"/>
        <w:spacing w:after="0" w:line="239" w:lineRule="auto"/>
        <w:tabs>
          <w:tab w:leader="none" w:pos="827" w:val="left"/>
        </w:tabs>
        <w:numPr>
          <w:ilvl w:val="0"/>
          <w:numId w:val="263"/>
        </w:numPr>
        <w:rPr>
          <w:rFonts w:ascii="Arial" w:cs="Arial" w:eastAsia="Arial" w:hAnsi="Arial"/>
          <w:sz w:val="14"/>
          <w:szCs w:val="14"/>
          <w:color w:val="auto"/>
        </w:rPr>
      </w:pPr>
      <w:r>
        <w:rPr>
          <w:rFonts w:ascii="Arial" w:cs="Arial" w:eastAsia="Arial" w:hAnsi="Arial"/>
          <w:sz w:val="14"/>
          <w:szCs w:val="14"/>
          <w:color w:val="auto"/>
        </w:rPr>
        <w:t>A Notice of Guaranteed Delivery to be used to accept the Exchange Offer if certificates for Old Notes are not immediately available or time will not permit all required documents to reach the Exchange Agent prior to the Expiration Date or if the procedure for book-entry transfer cannot be completed on a timely basis;</w:t>
      </w:r>
    </w:p>
    <w:p>
      <w:pPr>
        <w:spacing w:after="0" w:line="57" w:lineRule="exact"/>
        <w:rPr>
          <w:rFonts w:ascii="Arial" w:cs="Arial" w:eastAsia="Arial" w:hAnsi="Arial"/>
          <w:sz w:val="14"/>
          <w:szCs w:val="14"/>
          <w:color w:val="auto"/>
        </w:rPr>
      </w:pPr>
    </w:p>
    <w:p>
      <w:pPr>
        <w:ind w:left="360" w:right="300" w:firstLine="322"/>
        <w:spacing w:after="0" w:line="239" w:lineRule="auto"/>
        <w:tabs>
          <w:tab w:leader="none" w:pos="827" w:val="left"/>
        </w:tabs>
        <w:numPr>
          <w:ilvl w:val="0"/>
          <w:numId w:val="263"/>
        </w:numPr>
        <w:rPr>
          <w:rFonts w:ascii="Arial" w:cs="Arial" w:eastAsia="Arial" w:hAnsi="Arial"/>
          <w:sz w:val="14"/>
          <w:szCs w:val="14"/>
          <w:color w:val="auto"/>
        </w:rPr>
      </w:pPr>
      <w:r>
        <w:rPr>
          <w:rFonts w:ascii="Arial" w:cs="Arial" w:eastAsia="Arial" w:hAnsi="Arial"/>
          <w:sz w:val="14"/>
          <w:szCs w:val="14"/>
          <w:color w:val="auto"/>
        </w:rPr>
        <w:t>A form of letter which may be sent to your clients for whose account you hold Old Notes registered in your name or the name of your nominee, with space provided for obtaining such clients’ instructions with regard to the Exchange Offer;</w:t>
      </w:r>
    </w:p>
    <w:p>
      <w:pPr>
        <w:spacing w:after="0" w:line="57" w:lineRule="exact"/>
        <w:rPr>
          <w:rFonts w:ascii="Arial" w:cs="Arial" w:eastAsia="Arial" w:hAnsi="Arial"/>
          <w:sz w:val="14"/>
          <w:szCs w:val="14"/>
          <w:color w:val="auto"/>
        </w:rPr>
      </w:pPr>
    </w:p>
    <w:p>
      <w:pPr>
        <w:ind w:left="820" w:hanging="138"/>
        <w:spacing w:after="0"/>
        <w:tabs>
          <w:tab w:leader="none" w:pos="820" w:val="left"/>
        </w:tabs>
        <w:numPr>
          <w:ilvl w:val="0"/>
          <w:numId w:val="263"/>
        </w:numPr>
        <w:rPr>
          <w:rFonts w:ascii="Arial" w:cs="Arial" w:eastAsia="Arial" w:hAnsi="Arial"/>
          <w:sz w:val="14"/>
          <w:szCs w:val="14"/>
          <w:color w:val="auto"/>
        </w:rPr>
      </w:pPr>
      <w:r>
        <w:rPr>
          <w:rFonts w:ascii="Arial" w:cs="Arial" w:eastAsia="Arial" w:hAnsi="Arial"/>
          <w:sz w:val="14"/>
          <w:szCs w:val="14"/>
          <w:color w:val="auto"/>
        </w:rPr>
        <w:t>Guidelines for Certification of Taxpayer Identification Number on Substitute Form W-9; and</w:t>
      </w:r>
    </w:p>
    <w:p>
      <w:pPr>
        <w:spacing w:after="0" w:line="68" w:lineRule="exact"/>
        <w:rPr>
          <w:rFonts w:ascii="Arial" w:cs="Arial" w:eastAsia="Arial" w:hAnsi="Arial"/>
          <w:sz w:val="14"/>
          <w:szCs w:val="14"/>
          <w:color w:val="auto"/>
        </w:rPr>
      </w:pPr>
    </w:p>
    <w:p>
      <w:pPr>
        <w:ind w:left="820" w:hanging="138"/>
        <w:spacing w:after="0"/>
        <w:tabs>
          <w:tab w:leader="none" w:pos="820" w:val="left"/>
        </w:tabs>
        <w:numPr>
          <w:ilvl w:val="0"/>
          <w:numId w:val="263"/>
        </w:numPr>
        <w:rPr>
          <w:rFonts w:ascii="Arial" w:cs="Arial" w:eastAsia="Arial" w:hAnsi="Arial"/>
          <w:sz w:val="14"/>
          <w:szCs w:val="14"/>
          <w:color w:val="auto"/>
        </w:rPr>
      </w:pPr>
      <w:r>
        <w:rPr>
          <w:rFonts w:ascii="Arial" w:cs="Arial" w:eastAsia="Arial" w:hAnsi="Arial"/>
          <w:sz w:val="14"/>
          <w:szCs w:val="14"/>
          <w:color w:val="auto"/>
        </w:rPr>
        <w:t>Return envelopes addressed to U.S. Bank National Association, the Exchange Agent for the Exchange Offer.</w:t>
      </w:r>
    </w:p>
    <w:p>
      <w:pPr>
        <w:spacing w:after="0" w:line="148" w:lineRule="exact"/>
        <w:rPr>
          <w:sz w:val="20"/>
          <w:szCs w:val="20"/>
          <w:color w:val="auto"/>
        </w:rPr>
      </w:pPr>
    </w:p>
    <w:p>
      <w:pPr>
        <w:ind w:right="240" w:firstLine="342"/>
        <w:spacing w:after="0" w:line="241" w:lineRule="auto"/>
        <w:rPr>
          <w:sz w:val="20"/>
          <w:szCs w:val="20"/>
          <w:color w:val="auto"/>
        </w:rPr>
      </w:pPr>
      <w:r>
        <w:rPr>
          <w:rFonts w:ascii="Arial" w:cs="Arial" w:eastAsia="Arial" w:hAnsi="Arial"/>
          <w:sz w:val="14"/>
          <w:szCs w:val="14"/>
          <w:b w:val="1"/>
          <w:bCs w:val="1"/>
          <w:color w:val="auto"/>
        </w:rPr>
        <w:t>YOUR PROMPT ACTION IS REQUESTED. THE EXCHANGE OFFER WILL EXPIRE AT 5:00 P.M., NEW YORK CITY TIME, ON , 2010, UNLESS EXTENDED BY THE ISSUERS. OLD NOTES TENDERED PURSUANT TO THE EXCHANGE OFFER MAY BE WITHDRAWN AT ANY TIME BEFORE THE EXPIRATION DATE.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 participate in the Exchange Offer, a duly executed and properly completed Letter of Transmittal (or facsimile thereof or Agent’s Message (as defined in the Letter of Transmittal) in lieu thereof), with any required signature guarantees and any other required documents, should be sent to the Exchange Agent and certificates representing the Old Notes should be delivered to the Exchange Agent, all in accordance with the instructions set forth in the Letter of Transmittal and the Prospectus.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 registered holder of Old Notes desires to tender Old Notes, but such Old Notes are not immediately available, or time will not permit such holder’s Old Notes or other required documents to reach the Exchange Agent before the Expiration Date, or the procedure for book-entry transfer cannot be completed on a timely basis, a tender may be effected by following the guaranteed delivery procedures described in the Prospectus under the caption “The Exchange Offer— Guaranteed Delivery Procedures.”</w:t>
      </w:r>
    </w:p>
    <w:p>
      <w:pPr>
        <w:sectPr>
          <w:pgSz w:w="11900" w:h="16838" w:orient="portrait"/>
          <w:cols w:equalWidth="0" w:num="1">
            <w:col w:w="11460"/>
          </w:cols>
          <w:pgMar w:left="240" w:top="125" w:right="199" w:bottom="1440" w:gutter="0" w:footer="0" w:header="0"/>
        </w:sectPr>
      </w:pPr>
    </w:p>
    <w:bookmarkStart w:id="323" w:name="page324"/>
    <w:bookmarkEnd w:id="323"/>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Issuers will, upon request, reimburse brokers, dealers, commercial banks and trust companies for reasonable and necessary costs and expenses incurred by them in forwarding the Prospectus and the related documents to the beneficial owners of Old Notes held by them as nominee or in a fiduciary capacity. The Issuers will pay or cause to be paid all stock transfer taxes applicable to the exchange of Old Notes pursuant to the Exchange Offer, except as set forth in Instruction 6 of the Letter of Transmittal.</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inquiries you may have with respect to the procedure for tendering Old Notes pursuant to the Exchange Offer, or requests for additional copies of the enclosed materials, should be directed to U.S. Bank National Association, the Exchange Agent for the Exchange Offer, at its address and telephone number set forth on the front of the Letter of Transmittal.</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NOTHING HEREIN OR IN THE ENCLOSED DOCUMENTS SHALL CONSTITUTE YOU OR ANY PERSON AS AN AGENT OF THE ISSUERS OR THE EXCHANGE AGENT, OR AUTHORIZE YOU OR ANY OTHER PERSON TO USE ANY DOCUMENT OR MAKE ANY STATEMENTS ON BEHALF OF ANY OF THEM WITH RESPECT TO THE EXCHANGE OFFER, EXCEPT FOR STATEMENTS EXPRESSLY MADE IN THE PROSPECTUS OR THE LETTER OF TRANSMITTAL.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7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EE1348"/>
    <w:multiLevelType w:val="hybridMultilevel"/>
    <w:lvl w:ilvl="0">
      <w:lvlJc w:val="left"/>
      <w:lvlText w:val="(%1)"/>
      <w:numFmt w:val="decimal"/>
      <w:start w:val="213"/>
    </w:lvl>
  </w:abstractNum>
  <w:abstractNum w:abstractNumId="1">
    <w:nsid w:val="4427069A"/>
    <w:multiLevelType w:val="hybridMultilevel"/>
    <w:lvl w:ilvl="0">
      <w:lvlJc w:val="left"/>
      <w:lvlText w:val="(%1)"/>
      <w:numFmt w:val="decimal"/>
      <w:start w:val="1"/>
    </w:lvl>
  </w:abstractNum>
  <w:abstractNum w:abstractNumId="2">
    <w:nsid w:val="B37E80A"/>
    <w:multiLevelType w:val="hybridMultilevel"/>
    <w:lvl w:ilvl="0">
      <w:lvlJc w:val="left"/>
      <w:lvlText w:val="*"/>
      <w:numFmt w:val="bullet"/>
      <w:start w:val="1"/>
    </w:lvl>
  </w:abstractNum>
  <w:abstractNum w:abstractNumId="3">
    <w:nsid w:val="2157F6BC"/>
    <w:multiLevelType w:val="hybridMultilevel"/>
    <w:lvl w:ilvl="0">
      <w:lvlJc w:val="left"/>
      <w:lvlText w:val="7"/>
      <w:numFmt w:val="bullet"/>
      <w:start w:val="1"/>
    </w:lvl>
  </w:abstractNum>
  <w:abstractNum w:abstractNumId="4">
    <w:nsid w:val="704E1DD5"/>
    <w:multiLevelType w:val="hybridMultilevel"/>
    <w:lvl w:ilvl="0">
      <w:lvlJc w:val="left"/>
      <w:lvlText w:val="7"/>
      <w:numFmt w:val="bullet"/>
      <w:start w:val="1"/>
    </w:lvl>
  </w:abstractNum>
  <w:abstractNum w:abstractNumId="5">
    <w:nsid w:val="57D2F10E"/>
    <w:multiLevelType w:val="hybridMultilevel"/>
    <w:lvl w:ilvl="0">
      <w:lvlJc w:val="left"/>
      <w:lvlText w:val="•"/>
      <w:numFmt w:val="bullet"/>
      <w:start w:val="1"/>
    </w:lvl>
  </w:abstractNum>
  <w:abstractNum w:abstractNumId="6">
    <w:nsid w:val="BFFAE18"/>
    <w:multiLevelType w:val="hybridMultilevel"/>
    <w:lvl w:ilvl="0">
      <w:lvlJc w:val="left"/>
      <w:lvlText w:val="•"/>
      <w:numFmt w:val="bullet"/>
      <w:start w:val="1"/>
    </w:lvl>
  </w:abstractNum>
  <w:abstractNum w:abstractNumId="7">
    <w:nsid w:val="E3E47A8"/>
    <w:multiLevelType w:val="hybridMultilevel"/>
    <w:lvl w:ilvl="0">
      <w:lvlJc w:val="left"/>
      <w:lvlText w:val="•"/>
      <w:numFmt w:val="bullet"/>
      <w:start w:val="1"/>
    </w:lvl>
  </w:abstractNum>
  <w:abstractNum w:abstractNumId="8">
    <w:nsid w:val="2E48F044"/>
    <w:multiLevelType w:val="hybridMultilevel"/>
    <w:lvl w:ilvl="0">
      <w:lvlJc w:val="left"/>
      <w:lvlText w:val="•"/>
      <w:numFmt w:val="bullet"/>
      <w:start w:val="1"/>
    </w:lvl>
  </w:abstractNum>
  <w:abstractNum w:abstractNumId="9">
    <w:nsid w:val="49D0FEAC"/>
    <w:multiLevelType w:val="hybridMultilevel"/>
    <w:lvl w:ilvl="0">
      <w:lvlJc w:val="left"/>
      <w:lvlText w:val="•"/>
      <w:numFmt w:val="bullet"/>
      <w:start w:val="1"/>
    </w:lvl>
  </w:abstractNum>
  <w:abstractNum w:abstractNumId="10">
    <w:nsid w:val="4BEE5A5B"/>
    <w:multiLevelType w:val="hybridMultilevel"/>
    <w:lvl w:ilvl="0">
      <w:lvlJc w:val="left"/>
      <w:lvlText w:val="•"/>
      <w:numFmt w:val="bullet"/>
      <w:start w:val="1"/>
    </w:lvl>
  </w:abstractNum>
  <w:abstractNum w:abstractNumId="11">
    <w:nsid w:val="5551B9F3"/>
    <w:multiLevelType w:val="hybridMultilevel"/>
    <w:lvl w:ilvl="0">
      <w:lvlJc w:val="left"/>
      <w:lvlText w:val="•"/>
      <w:numFmt w:val="bullet"/>
      <w:start w:val="1"/>
    </w:lvl>
    <w:lvl w:ilvl="1">
      <w:lvlJc w:val="left"/>
      <w:lvlText w:val="•"/>
      <w:numFmt w:val="bullet"/>
      <w:start w:val="1"/>
    </w:lvl>
  </w:abstractNum>
  <w:abstractNum w:abstractNumId="12">
    <w:nsid w:val="24F6AB8E"/>
    <w:multiLevelType w:val="hybridMultilevel"/>
    <w:lvl w:ilvl="0">
      <w:lvlJc w:val="left"/>
      <w:lvlText w:val="•"/>
      <w:numFmt w:val="bullet"/>
      <w:start w:val="1"/>
    </w:lvl>
  </w:abstractNum>
  <w:abstractNum w:abstractNumId="13">
    <w:nsid w:val="634C574C"/>
    <w:multiLevelType w:val="hybridMultilevel"/>
    <w:lvl w:ilvl="0">
      <w:lvlJc w:val="left"/>
      <w:lvlText w:val="•"/>
      <w:numFmt w:val="bullet"/>
      <w:start w:val="1"/>
    </w:lvl>
  </w:abstractNum>
  <w:abstractNum w:abstractNumId="14">
    <w:nsid w:val="24E99DD7"/>
    <w:multiLevelType w:val="hybridMultilevel"/>
    <w:lvl w:ilvl="0">
      <w:lvlJc w:val="left"/>
      <w:lvlText w:val="(%1)"/>
      <w:numFmt w:val="lowerRoman"/>
      <w:start w:val="2"/>
    </w:lvl>
  </w:abstractNum>
  <w:abstractNum w:abstractNumId="15">
    <w:nsid w:val="2A31B62D"/>
    <w:multiLevelType w:val="hybridMultilevel"/>
    <w:lvl w:ilvl="0">
      <w:lvlJc w:val="left"/>
      <w:lvlText w:val="•"/>
      <w:numFmt w:val="bullet"/>
      <w:start w:val="1"/>
    </w:lvl>
  </w:abstractNum>
  <w:abstractNum w:abstractNumId="16">
    <w:nsid w:val="1849C29B"/>
    <w:multiLevelType w:val="hybridMultilevel"/>
    <w:lvl w:ilvl="0">
      <w:lvlJc w:val="left"/>
      <w:lvlText w:val="•"/>
      <w:numFmt w:val="bullet"/>
      <w:start w:val="1"/>
    </w:lvl>
    <w:lvl w:ilvl="1">
      <w:lvlJc w:val="left"/>
      <w:lvlText w:val="•"/>
      <w:numFmt w:val="bullet"/>
      <w:start w:val="1"/>
    </w:lvl>
  </w:abstractNum>
  <w:abstractNum w:abstractNumId="17">
    <w:nsid w:val="7DFF9D09"/>
    <w:multiLevelType w:val="hybridMultilevel"/>
    <w:lvl w:ilvl="0">
      <w:lvlJc w:val="left"/>
      <w:lvlText w:val="•"/>
      <w:numFmt w:val="bullet"/>
      <w:start w:val="1"/>
    </w:lvl>
  </w:abstractNum>
  <w:abstractNum w:abstractNumId="18">
    <w:nsid w:val="754342"/>
    <w:multiLevelType w:val="hybridMultilevel"/>
    <w:lvl w:ilvl="0">
      <w:lvlJc w:val="left"/>
      <w:lvlText w:val="•"/>
      <w:numFmt w:val="bullet"/>
      <w:start w:val="1"/>
    </w:lvl>
  </w:abstractNum>
  <w:abstractNum w:abstractNumId="19">
    <w:nsid w:val="69E7F3E5"/>
    <w:multiLevelType w:val="hybridMultilevel"/>
    <w:lvl w:ilvl="0">
      <w:lvlJc w:val="left"/>
      <w:lvlText w:val="•"/>
      <w:numFmt w:val="bullet"/>
      <w:start w:val="1"/>
    </w:lvl>
  </w:abstractNum>
  <w:abstractNum w:abstractNumId="20">
    <w:nsid w:val="2A6DE806"/>
    <w:multiLevelType w:val="hybridMultilevel"/>
    <w:lvl w:ilvl="0">
      <w:lvlJc w:val="left"/>
      <w:lvlText w:val="•"/>
      <w:numFmt w:val="bullet"/>
      <w:start w:val="1"/>
    </w:lvl>
    <w:lvl w:ilvl="1">
      <w:lvlJc w:val="left"/>
      <w:lvlText w:val="•"/>
      <w:numFmt w:val="bullet"/>
      <w:start w:val="1"/>
    </w:lvl>
  </w:abstractNum>
  <w:abstractNum w:abstractNumId="21">
    <w:nsid w:val="1816F8C4"/>
    <w:multiLevelType w:val="hybridMultilevel"/>
    <w:lvl w:ilvl="0">
      <w:lvlJc w:val="left"/>
      <w:lvlText w:val="•"/>
      <w:numFmt w:val="bullet"/>
      <w:start w:val="1"/>
    </w:lvl>
  </w:abstractNum>
  <w:abstractNum w:abstractNumId="22">
    <w:nsid w:val="37DF2233"/>
    <w:multiLevelType w:val="hybridMultilevel"/>
    <w:lvl w:ilvl="0">
      <w:lvlJc w:val="left"/>
      <w:lvlText w:val="•"/>
      <w:numFmt w:val="bullet"/>
      <w:start w:val="1"/>
    </w:lvl>
  </w:abstractNum>
  <w:abstractNum w:abstractNumId="23">
    <w:nsid w:val="7AB49DAF"/>
    <w:multiLevelType w:val="hybridMultilevel"/>
    <w:lvl w:ilvl="0">
      <w:lvlJc w:val="left"/>
      <w:lvlText w:val="(%1)"/>
      <w:numFmt w:val="decimal"/>
      <w:start w:val="1"/>
    </w:lvl>
  </w:abstractNum>
  <w:abstractNum w:abstractNumId="24">
    <w:nsid w:val="759F82CD"/>
    <w:multiLevelType w:val="hybridMultilevel"/>
    <w:lvl w:ilvl="0">
      <w:lvlJc w:val="left"/>
      <w:lvlText w:val="•"/>
      <w:numFmt w:val="bullet"/>
      <w:start w:val="1"/>
    </w:lvl>
  </w:abstractNum>
  <w:abstractNum w:abstractNumId="25">
    <w:nsid w:val="61E74EA3"/>
    <w:multiLevelType w:val="hybridMultilevel"/>
    <w:lvl w:ilvl="0">
      <w:lvlJc w:val="left"/>
      <w:lvlText w:val="(%1)"/>
      <w:numFmt w:val="decimal"/>
      <w:start w:val="1"/>
    </w:lvl>
  </w:abstractNum>
  <w:abstractNum w:abstractNumId="26">
    <w:nsid w:val="597B4D84"/>
    <w:multiLevelType w:val="hybridMultilevel"/>
    <w:lvl w:ilvl="0">
      <w:lvlJc w:val="left"/>
      <w:lvlText w:val="(%1)"/>
      <w:numFmt w:val="decimal"/>
      <w:start w:val="1"/>
    </w:lvl>
  </w:abstractNum>
  <w:abstractNum w:abstractNumId="27">
    <w:nsid w:val="F819E7F"/>
    <w:multiLevelType w:val="hybridMultilevel"/>
    <w:lvl w:ilvl="0">
      <w:lvlJc w:val="left"/>
      <w:lvlText w:val="•"/>
      <w:numFmt w:val="bullet"/>
      <w:start w:val="1"/>
    </w:lvl>
  </w:abstractNum>
  <w:abstractNum w:abstractNumId="28">
    <w:nsid w:val="57C7D42D"/>
    <w:multiLevelType w:val="hybridMultilevel"/>
    <w:lvl w:ilvl="0">
      <w:lvlJc w:val="left"/>
      <w:lvlText w:val="•"/>
      <w:numFmt w:val="bullet"/>
      <w:start w:val="1"/>
    </w:lvl>
  </w:abstractNum>
  <w:abstractNum w:abstractNumId="29">
    <w:nsid w:val="312167AD"/>
    <w:multiLevelType w:val="hybridMultilevel"/>
    <w:lvl w:ilvl="0">
      <w:lvlJc w:val="left"/>
      <w:lvlText w:val="•"/>
      <w:numFmt w:val="bullet"/>
      <w:start w:val="1"/>
    </w:lvl>
  </w:abstractNum>
  <w:abstractNum w:abstractNumId="30">
    <w:nsid w:val="631B64D4"/>
    <w:multiLevelType w:val="hybridMultilevel"/>
    <w:lvl w:ilvl="0">
      <w:lvlJc w:val="left"/>
      <w:lvlText w:val="•"/>
      <w:numFmt w:val="bullet"/>
      <w:start w:val="1"/>
    </w:lvl>
  </w:abstractNum>
  <w:abstractNum w:abstractNumId="31">
    <w:nsid w:val="78B5E776"/>
    <w:multiLevelType w:val="hybridMultilevel"/>
    <w:lvl w:ilvl="0">
      <w:lvlJc w:val="left"/>
      <w:lvlText w:val="(%1)"/>
      <w:numFmt w:val="decimal"/>
      <w:start w:val="1"/>
    </w:lvl>
  </w:abstractNum>
  <w:abstractNum w:abstractNumId="32">
    <w:nsid w:val="75486E47"/>
    <w:multiLevelType w:val="hybridMultilevel"/>
    <w:lvl w:ilvl="0">
      <w:lvlJc w:val="left"/>
      <w:lvlText w:val="%1"/>
      <w:numFmt w:val="upperLetter"/>
      <w:start w:val="53"/>
    </w:lvl>
  </w:abstractNum>
  <w:abstractNum w:abstractNumId="33">
    <w:nsid w:val="6E534CDE"/>
    <w:multiLevelType w:val="hybridMultilevel"/>
    <w:lvl w:ilvl="0">
      <w:lvlJc w:val="left"/>
      <w:lvlText w:val="•"/>
      <w:numFmt w:val="bullet"/>
      <w:start w:val="1"/>
    </w:lvl>
  </w:abstractNum>
  <w:abstractNum w:abstractNumId="34">
    <w:nsid w:val="1A0DDE32"/>
    <w:multiLevelType w:val="hybridMultilevel"/>
    <w:lvl w:ilvl="0">
      <w:lvlJc w:val="left"/>
      <w:lvlText w:val="•"/>
      <w:numFmt w:val="bullet"/>
      <w:start w:val="1"/>
    </w:lvl>
  </w:abstractNum>
  <w:abstractNum w:abstractNumId="35">
    <w:nsid w:val="65968C1C"/>
    <w:multiLevelType w:val="hybridMultilevel"/>
    <w:lvl w:ilvl="0">
      <w:lvlJc w:val="left"/>
      <w:lvlText w:val="•"/>
      <w:numFmt w:val="bullet"/>
      <w:start w:val="1"/>
    </w:lvl>
  </w:abstractNum>
  <w:abstractNum w:abstractNumId="36">
    <w:nsid w:val="46263DEC"/>
    <w:multiLevelType w:val="hybridMultilevel"/>
    <w:lvl w:ilvl="0">
      <w:lvlJc w:val="left"/>
      <w:lvlText w:val="•"/>
      <w:numFmt w:val="bullet"/>
      <w:start w:val="1"/>
    </w:lvl>
  </w:abstractNum>
  <w:abstractNum w:abstractNumId="37">
    <w:nsid w:val="260D8C4A"/>
    <w:multiLevelType w:val="hybridMultilevel"/>
    <w:lvl w:ilvl="0">
      <w:lvlJc w:val="left"/>
      <w:lvlText w:val="•"/>
      <w:numFmt w:val="bullet"/>
      <w:start w:val="1"/>
    </w:lvl>
  </w:abstractNum>
  <w:abstractNum w:abstractNumId="38">
    <w:nsid w:val="73D4D3C4"/>
    <w:multiLevelType w:val="hybridMultilevel"/>
    <w:lvl w:ilvl="0">
      <w:lvlJc w:val="left"/>
      <w:lvlText w:val="•"/>
      <w:numFmt w:val="bullet"/>
      <w:start w:val="1"/>
    </w:lvl>
  </w:abstractNum>
  <w:abstractNum w:abstractNumId="39">
    <w:nsid w:val="746F2E30"/>
    <w:multiLevelType w:val="hybridMultilevel"/>
    <w:lvl w:ilvl="0">
      <w:lvlJc w:val="left"/>
      <w:lvlText w:val="•"/>
      <w:numFmt w:val="bullet"/>
      <w:start w:val="1"/>
    </w:lvl>
  </w:abstractNum>
  <w:abstractNum w:abstractNumId="40">
    <w:nsid w:val="6FDE8AF6"/>
    <w:multiLevelType w:val="hybridMultilevel"/>
    <w:lvl w:ilvl="0">
      <w:lvlJc w:val="left"/>
      <w:lvlText w:val="(%1)"/>
      <w:numFmt w:val="decimal"/>
      <w:start w:val="1"/>
    </w:lvl>
    <w:lvl w:ilvl="1">
      <w:lvlJc w:val="left"/>
      <w:lvlText w:val="(%2)"/>
      <w:numFmt w:val="lowerRoman"/>
      <w:start w:val="1"/>
    </w:lvl>
  </w:abstractNum>
  <w:abstractNum w:abstractNumId="41">
    <w:nsid w:val="3FC32E20"/>
    <w:multiLevelType w:val="hybridMultilevel"/>
    <w:lvl w:ilvl="0">
      <w:lvlJc w:val="left"/>
      <w:lvlText w:val="(%1)"/>
      <w:numFmt w:val="decimal"/>
      <w:start w:val="4"/>
    </w:lvl>
  </w:abstractNum>
  <w:abstractNum w:abstractNumId="42">
    <w:nsid w:val="49C0E823"/>
    <w:multiLevelType w:val="hybridMultilevel"/>
    <w:lvl w:ilvl="0">
      <w:lvlJc w:val="left"/>
      <w:lvlText w:val="(%1)"/>
      <w:numFmt w:val="decimal"/>
      <w:start w:val="1"/>
    </w:lvl>
    <w:lvl w:ilvl="1">
      <w:lvlJc w:val="left"/>
      <w:lvlText w:val="(%2)"/>
      <w:numFmt w:val="lowerRoman"/>
      <w:start w:val="1"/>
    </w:lvl>
  </w:abstractNum>
  <w:abstractNum w:abstractNumId="43">
    <w:nsid w:val="14D53685"/>
    <w:multiLevelType w:val="hybridMultilevel"/>
    <w:lvl w:ilvl="0">
      <w:lvlJc w:val="left"/>
      <w:lvlText w:val="(%1)"/>
      <w:numFmt w:val="lowerRoman"/>
      <w:start w:val="1"/>
    </w:lvl>
  </w:abstractNum>
  <w:abstractNum w:abstractNumId="44">
    <w:nsid w:val="230F856C"/>
    <w:multiLevelType w:val="hybridMultilevel"/>
    <w:lvl w:ilvl="0">
      <w:lvlJc w:val="left"/>
      <w:lvlText w:val="(%1)"/>
      <w:numFmt w:val="lowerRoman"/>
      <w:start w:val="1"/>
    </w:lvl>
  </w:abstractNum>
  <w:abstractNum w:abstractNumId="45">
    <w:nsid w:val="6EAA85FB"/>
    <w:multiLevelType w:val="hybridMultilevel"/>
    <w:lvl w:ilvl="0">
      <w:lvlJc w:val="left"/>
      <w:lvlText w:val="(%1)"/>
      <w:numFmt w:val="lowerRoman"/>
      <w:start w:val="1"/>
    </w:lvl>
  </w:abstractNum>
  <w:abstractNum w:abstractNumId="46">
    <w:nsid w:val="3F06ECB2"/>
    <w:multiLevelType w:val="hybridMultilevel"/>
    <w:lvl w:ilvl="0">
      <w:lvlJc w:val="left"/>
      <w:lvlText w:val="(%1)"/>
      <w:numFmt w:val="lowerRoman"/>
      <w:start w:val="1"/>
    </w:lvl>
  </w:abstractNum>
  <w:abstractNum w:abstractNumId="47">
    <w:nsid w:val="3B594807"/>
    <w:multiLevelType w:val="hybridMultilevel"/>
    <w:lvl w:ilvl="0">
      <w:lvlJc w:val="left"/>
      <w:lvlText w:val="(%1)"/>
      <w:numFmt w:val="decimal"/>
      <w:start w:val="1"/>
    </w:lvl>
  </w:abstractNum>
  <w:abstractNum w:abstractNumId="48">
    <w:nsid w:val="6CAA2304"/>
    <w:multiLevelType w:val="hybridMultilevel"/>
    <w:lvl w:ilvl="0">
      <w:lvlJc w:val="left"/>
      <w:lvlText w:val="(%1)"/>
      <w:numFmt w:val="decimal"/>
      <w:start w:val="1"/>
    </w:lvl>
    <w:lvl w:ilvl="1">
      <w:lvlJc w:val="left"/>
      <w:lvlText w:val="%2."/>
      <w:numFmt w:val="lowerLetter"/>
      <w:start w:val="1"/>
    </w:lvl>
  </w:abstractNum>
  <w:abstractNum w:abstractNumId="49">
    <w:nsid w:val="3F7C2FF4"/>
    <w:multiLevelType w:val="hybridMultilevel"/>
    <w:lvl w:ilvl="0">
      <w:lvlJc w:val="left"/>
      <w:lvlText w:val="(%1)"/>
      <w:numFmt w:val="decimal"/>
      <w:start w:val="3"/>
    </w:lvl>
    <w:lvl w:ilvl="1">
      <w:lvlJc w:val="left"/>
      <w:lvlText w:val="%2."/>
      <w:numFmt w:val="lowerLetter"/>
      <w:start w:val="1"/>
    </w:lvl>
  </w:abstractNum>
  <w:abstractNum w:abstractNumId="50">
    <w:nsid w:val="25413BEC"/>
    <w:multiLevelType w:val="hybridMultilevel"/>
    <w:lvl w:ilvl="0">
      <w:lvlJc w:val="left"/>
      <w:lvlText w:val="(%1)"/>
      <w:numFmt w:val="lowerRoman"/>
      <w:start w:val="3"/>
    </w:lvl>
  </w:abstractNum>
  <w:abstractNum w:abstractNumId="51">
    <w:nsid w:val="17180B0B"/>
    <w:multiLevelType w:val="hybridMultilevel"/>
    <w:lvl w:ilvl="0">
      <w:lvlJc w:val="left"/>
      <w:lvlText w:val="(%1)"/>
      <w:numFmt w:val="decimal"/>
      <w:start w:val="1"/>
    </w:lvl>
  </w:abstractNum>
  <w:abstractNum w:abstractNumId="52">
    <w:nsid w:val="579328B9"/>
    <w:multiLevelType w:val="hybridMultilevel"/>
    <w:lvl w:ilvl="0">
      <w:lvlJc w:val="left"/>
      <w:lvlText w:val="(%1)"/>
      <w:numFmt w:val="decimal"/>
      <w:start w:val="1"/>
    </w:lvl>
  </w:abstractNum>
  <w:abstractNum w:abstractNumId="53">
    <w:nsid w:val="5D205E20"/>
    <w:multiLevelType w:val="hybridMultilevel"/>
    <w:lvl w:ilvl="0">
      <w:lvlJc w:val="left"/>
      <w:lvlText w:val="(%1)"/>
      <w:numFmt w:val="decimal"/>
      <w:start w:val="1"/>
    </w:lvl>
  </w:abstractNum>
  <w:abstractNum w:abstractNumId="54">
    <w:nsid w:val="11CCA8BA"/>
    <w:multiLevelType w:val="hybridMultilevel"/>
    <w:lvl w:ilvl="0">
      <w:lvlJc w:val="left"/>
      <w:lvlText w:val="(%1)"/>
      <w:numFmt w:val="decimal"/>
      <w:start w:val="1"/>
    </w:lvl>
  </w:abstractNum>
  <w:abstractNum w:abstractNumId="55">
    <w:nsid w:val="4D32AB86"/>
    <w:multiLevelType w:val="hybridMultilevel"/>
    <w:lvl w:ilvl="0">
      <w:lvlJc w:val="left"/>
      <w:lvlText w:val="(%1)"/>
      <w:numFmt w:val="decimal"/>
      <w:start w:val="3"/>
    </w:lvl>
  </w:abstractNum>
  <w:abstractNum w:abstractNumId="56">
    <w:nsid w:val="3F07ACC3"/>
    <w:multiLevelType w:val="hybridMultilevel"/>
    <w:lvl w:ilvl="0">
      <w:lvlJc w:val="left"/>
      <w:lvlText w:val="(%1)"/>
      <w:numFmt w:val="decimal"/>
      <w:start w:val="1"/>
    </w:lvl>
  </w:abstractNum>
  <w:abstractNum w:abstractNumId="57">
    <w:nsid w:val="6B47F63E"/>
    <w:multiLevelType w:val="hybridMultilevel"/>
    <w:lvl w:ilvl="0">
      <w:lvlJc w:val="left"/>
      <w:lvlText w:val="(%1)"/>
      <w:numFmt w:val="decimal"/>
      <w:start w:val="1"/>
    </w:lvl>
  </w:abstractNum>
  <w:abstractNum w:abstractNumId="58">
    <w:nsid w:val="5CB44A05"/>
    <w:multiLevelType w:val="hybridMultilevel"/>
    <w:lvl w:ilvl="0">
      <w:lvlJc w:val="left"/>
      <w:lvlText w:val="*"/>
      <w:numFmt w:val="bullet"/>
      <w:start w:val="1"/>
    </w:lvl>
  </w:abstractNum>
  <w:abstractNum w:abstractNumId="59">
    <w:nsid w:val="16CF80F1"/>
    <w:multiLevelType w:val="hybridMultilevel"/>
    <w:lvl w:ilvl="0">
      <w:lvlJc w:val="left"/>
      <w:lvlText w:val="(%1)"/>
      <w:numFmt w:val="decimal"/>
      <w:start w:val="1"/>
    </w:lvl>
  </w:abstractNum>
  <w:abstractNum w:abstractNumId="60">
    <w:nsid w:val="1C695DEC"/>
    <w:multiLevelType w:val="hybridMultilevel"/>
    <w:lvl w:ilvl="0">
      <w:lvlJc w:val="left"/>
      <w:lvlText w:val="(%1)"/>
      <w:numFmt w:val="decimal"/>
      <w:start w:val="2"/>
    </w:lvl>
  </w:abstractNum>
  <w:abstractNum w:abstractNumId="61">
    <w:nsid w:val="3FCFAED9"/>
    <w:multiLevelType w:val="hybridMultilevel"/>
    <w:lvl w:ilvl="0">
      <w:lvlJc w:val="left"/>
      <w:lvlText w:val="(%1)"/>
      <w:numFmt w:val="decimal"/>
      <w:start w:val="16"/>
    </w:lvl>
  </w:abstractNum>
  <w:abstractNum w:abstractNumId="62">
    <w:nsid w:val="F856867"/>
    <w:multiLevelType w:val="hybridMultilevel"/>
    <w:lvl w:ilvl="0">
      <w:lvlJc w:val="left"/>
      <w:lvlText w:val="(%1)"/>
      <w:numFmt w:val="lowerLetter"/>
      <w:start w:val="2"/>
    </w:lvl>
  </w:abstractNum>
  <w:abstractNum w:abstractNumId="63">
    <w:nsid w:val="11B1CC33"/>
    <w:multiLevelType w:val="hybridMultilevel"/>
    <w:lvl w:ilvl="0">
      <w:lvlJc w:val="left"/>
      <w:lvlText w:val="(%1)"/>
      <w:numFmt w:val="lowerLetter"/>
      <w:start w:val="2"/>
    </w:lvl>
  </w:abstractNum>
  <w:abstractNum w:abstractNumId="64">
    <w:nsid w:val="2E22FBB7"/>
    <w:multiLevelType w:val="hybridMultilevel"/>
    <w:lvl w:ilvl="0">
      <w:lvlJc w:val="left"/>
      <w:lvlText w:val="•"/>
      <w:numFmt w:val="bullet"/>
      <w:start w:val="1"/>
    </w:lvl>
  </w:abstractNum>
  <w:abstractNum w:abstractNumId="65">
    <w:nsid w:val="29934699"/>
    <w:multiLevelType w:val="hybridMultilevel"/>
    <w:lvl w:ilvl="0">
      <w:lvlJc w:val="left"/>
      <w:lvlText w:val="•"/>
      <w:numFmt w:val="bullet"/>
      <w:start w:val="1"/>
    </w:lvl>
  </w:abstractNum>
  <w:abstractNum w:abstractNumId="66">
    <w:nsid w:val="77485850"/>
    <w:multiLevelType w:val="hybridMultilevel"/>
    <w:lvl w:ilvl="0">
      <w:lvlJc w:val="left"/>
      <w:lvlText w:val="•"/>
      <w:numFmt w:val="bullet"/>
      <w:start w:val="1"/>
    </w:lvl>
  </w:abstractNum>
  <w:abstractNum w:abstractNumId="67">
    <w:nsid w:val="744939A3"/>
    <w:multiLevelType w:val="hybridMultilevel"/>
    <w:lvl w:ilvl="0">
      <w:lvlJc w:val="left"/>
      <w:lvlText w:val="•"/>
      <w:numFmt w:val="bullet"/>
      <w:start w:val="1"/>
    </w:lvl>
  </w:abstractNum>
  <w:abstractNum w:abstractNumId="68">
    <w:nsid w:val="4FA0D2E3"/>
    <w:multiLevelType w:val="hybridMultilevel"/>
    <w:lvl w:ilvl="0">
      <w:lvlJc w:val="left"/>
      <w:lvlText w:val="•"/>
      <w:numFmt w:val="bullet"/>
      <w:start w:val="1"/>
    </w:lvl>
  </w:abstractNum>
  <w:abstractNum w:abstractNumId="69">
    <w:nsid w:val="6B1D2C14"/>
    <w:multiLevelType w:val="hybridMultilevel"/>
    <w:lvl w:ilvl="0">
      <w:lvlJc w:val="left"/>
      <w:lvlText w:val="•"/>
      <w:numFmt w:val="bullet"/>
      <w:start w:val="1"/>
    </w:lvl>
  </w:abstractNum>
  <w:abstractNum w:abstractNumId="70">
    <w:nsid w:val="68B867D3"/>
    <w:multiLevelType w:val="hybridMultilevel"/>
    <w:lvl w:ilvl="0">
      <w:lvlJc w:val="left"/>
      <w:lvlText w:val="•"/>
      <w:numFmt w:val="bullet"/>
      <w:start w:val="1"/>
    </w:lvl>
  </w:abstractNum>
  <w:abstractNum w:abstractNumId="71">
    <w:nsid w:val="3F7F5DD9"/>
    <w:multiLevelType w:val="hybridMultilevel"/>
    <w:lvl w:ilvl="0">
      <w:lvlJc w:val="left"/>
      <w:lvlText w:val="•"/>
      <w:numFmt w:val="bullet"/>
      <w:start w:val="1"/>
    </w:lvl>
  </w:abstractNum>
  <w:abstractNum w:abstractNumId="72">
    <w:nsid w:val="2AE05A34"/>
    <w:multiLevelType w:val="hybridMultilevel"/>
    <w:lvl w:ilvl="0">
      <w:lvlJc w:val="left"/>
      <w:lvlText w:val="•"/>
      <w:numFmt w:val="bullet"/>
      <w:start w:val="1"/>
    </w:lvl>
  </w:abstractNum>
  <w:abstractNum w:abstractNumId="73">
    <w:nsid w:val="32794FF7"/>
    <w:multiLevelType w:val="hybridMultilevel"/>
    <w:lvl w:ilvl="0">
      <w:lvlJc w:val="left"/>
      <w:lvlText w:val="•"/>
      <w:numFmt w:val="bullet"/>
      <w:start w:val="1"/>
    </w:lvl>
  </w:abstractNum>
  <w:abstractNum w:abstractNumId="74">
    <w:nsid w:val="5454945E"/>
    <w:multiLevelType w:val="hybridMultilevel"/>
    <w:lvl w:ilvl="0">
      <w:lvlJc w:val="left"/>
      <w:lvlText w:val="•"/>
      <w:numFmt w:val="bullet"/>
      <w:start w:val="1"/>
    </w:lvl>
  </w:abstractNum>
  <w:abstractNum w:abstractNumId="75">
    <w:nsid w:val="4DEFDFA0"/>
    <w:multiLevelType w:val="hybridMultilevel"/>
    <w:lvl w:ilvl="0">
      <w:lvlJc w:val="left"/>
      <w:lvlText w:val="•"/>
      <w:numFmt w:val="bullet"/>
      <w:start w:val="1"/>
    </w:lvl>
  </w:abstractNum>
  <w:abstractNum w:abstractNumId="76">
    <w:nsid w:val="2123D5F2"/>
    <w:multiLevelType w:val="hybridMultilevel"/>
    <w:lvl w:ilvl="0">
      <w:lvlJc w:val="left"/>
      <w:lvlText w:val="•"/>
      <w:numFmt w:val="bullet"/>
      <w:start w:val="1"/>
    </w:lvl>
  </w:abstractNum>
  <w:abstractNum w:abstractNumId="77">
    <w:nsid w:val="135B8110"/>
    <w:multiLevelType w:val="hybridMultilevel"/>
    <w:lvl w:ilvl="0">
      <w:lvlJc w:val="left"/>
      <w:lvlText w:val="•"/>
      <w:numFmt w:val="bullet"/>
      <w:start w:val="1"/>
    </w:lvl>
  </w:abstractNum>
  <w:abstractNum w:abstractNumId="78">
    <w:nsid w:val="94927A8"/>
    <w:multiLevelType w:val="hybridMultilevel"/>
    <w:lvl w:ilvl="0">
      <w:lvlJc w:val="left"/>
      <w:lvlText w:val="(%1)"/>
      <w:numFmt w:val="decimal"/>
      <w:start w:val="1"/>
    </w:lvl>
    <w:lvl w:ilvl="1">
      <w:lvlJc w:val="left"/>
      <w:lvlText w:val="(%2)"/>
      <w:numFmt w:val="lowerLetter"/>
      <w:start w:val="1"/>
    </w:lvl>
  </w:abstractNum>
  <w:abstractNum w:abstractNumId="79">
    <w:nsid w:val="DCDF8F6"/>
    <w:multiLevelType w:val="hybridMultilevel"/>
    <w:lvl w:ilvl="0">
      <w:lvlJc w:val="left"/>
      <w:lvlText w:val="(%1)"/>
      <w:numFmt w:val="decimal"/>
      <w:start w:val="1"/>
    </w:lvl>
  </w:abstractNum>
  <w:abstractNum w:abstractNumId="80">
    <w:nsid w:val="52D7B105"/>
    <w:multiLevelType w:val="hybridMultilevel"/>
    <w:lvl w:ilvl="0">
      <w:lvlJc w:val="left"/>
      <w:lvlText w:val="(%1)"/>
      <w:numFmt w:val="decimal"/>
      <w:start w:val="1"/>
    </w:lvl>
  </w:abstractNum>
  <w:abstractNum w:abstractNumId="81">
    <w:nsid w:val="2E8A6394"/>
    <w:multiLevelType w:val="hybridMultilevel"/>
    <w:lvl w:ilvl="0">
      <w:lvlJc w:val="left"/>
      <w:lvlText w:val="(%1)"/>
      <w:numFmt w:val="decimal"/>
      <w:start w:val="1"/>
    </w:lvl>
  </w:abstractNum>
  <w:abstractNum w:abstractNumId="82">
    <w:nsid w:val="24E60401"/>
    <w:multiLevelType w:val="hybridMultilevel"/>
    <w:lvl w:ilvl="0">
      <w:lvlJc w:val="left"/>
      <w:lvlText w:val="(%1)"/>
      <w:numFmt w:val="decimal"/>
      <w:start w:val="3"/>
    </w:lvl>
  </w:abstractNum>
  <w:abstractNum w:abstractNumId="83">
    <w:nsid w:val="2A6AD9BE"/>
    <w:multiLevelType w:val="hybridMultilevel"/>
    <w:lvl w:ilvl="0">
      <w:lvlJc w:val="left"/>
      <w:lvlText w:val="(%1)"/>
      <w:numFmt w:val="decimal"/>
      <w:start w:val="1"/>
    </w:lvl>
  </w:abstractNum>
  <w:abstractNum w:abstractNumId="84">
    <w:nsid w:val="BAAC1B4"/>
    <w:multiLevelType w:val="hybridMultilevel"/>
    <w:lvl w:ilvl="0">
      <w:lvlJc w:val="left"/>
      <w:lvlText w:val="(%1)"/>
      <w:numFmt w:val="decimal"/>
      <w:start w:val="1"/>
    </w:lvl>
  </w:abstractNum>
  <w:abstractNum w:abstractNumId="85">
    <w:nsid w:val="36B2ACBC"/>
    <w:multiLevelType w:val="hybridMultilevel"/>
    <w:lvl w:ilvl="0">
      <w:lvlJc w:val="left"/>
      <w:lvlText w:val="%1"/>
      <w:numFmt w:val="decimal"/>
      <w:start w:val="1"/>
    </w:lvl>
    <w:lvl w:ilvl="1">
      <w:lvlJc w:val="left"/>
      <w:lvlText w:val="(%2)"/>
      <w:numFmt w:val="decimal"/>
      <w:start w:val="4"/>
    </w:lvl>
  </w:abstractNum>
  <w:abstractNum w:abstractNumId="86">
    <w:nsid w:val="779D8544"/>
    <w:multiLevelType w:val="hybridMultilevel"/>
    <w:lvl w:ilvl="0">
      <w:lvlJc w:val="left"/>
      <w:lvlText w:val="(%1)"/>
      <w:numFmt w:val="decimal"/>
      <w:start w:val="6"/>
    </w:lvl>
    <w:lvl w:ilvl="1">
      <w:lvlJc w:val="left"/>
      <w:lvlText w:val="%2"/>
      <w:numFmt w:val="decimal"/>
      <w:start w:val="1"/>
    </w:lvl>
  </w:abstractNum>
  <w:abstractNum w:abstractNumId="87">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21FAA2FA"/>
    <w:multiLevelType w:val="hybridMultilevel"/>
    <w:lvl w:ilvl="0">
      <w:lvlJc w:val="left"/>
      <w:lvlText w:val="(%1)"/>
      <w:numFmt w:val="decimal"/>
      <w:start w:val="1"/>
    </w:lvl>
  </w:abstractNum>
  <w:abstractNum w:abstractNumId="89">
    <w:nsid w:val="5451CF49"/>
    <w:multiLevelType w:val="hybridMultilevel"/>
    <w:lvl w:ilvl="0">
      <w:lvlJc w:val="left"/>
      <w:lvlText w:val="(%1)"/>
      <w:numFmt w:val="decimal"/>
      <w:start w:val="1"/>
    </w:lvl>
  </w:abstractNum>
  <w:abstractNum w:abstractNumId="90">
    <w:nsid w:val="6181EF69"/>
    <w:multiLevelType w:val="hybridMultilevel"/>
    <w:lvl w:ilvl="0">
      <w:lvlJc w:val="left"/>
      <w:lvlText w:val="(%1)"/>
      <w:numFmt w:val="decimal"/>
      <w:start w:val="3"/>
    </w:lvl>
  </w:abstractNum>
  <w:abstractNum w:abstractNumId="91">
    <w:nsid w:val="3E6400E6"/>
    <w:multiLevelType w:val="hybridMultilevel"/>
    <w:lvl w:ilvl="0">
      <w:lvlJc w:val="left"/>
      <w:lvlText w:val="(%1)"/>
      <w:numFmt w:val="decimal"/>
      <w:start w:val="1"/>
    </w:lvl>
    <w:lvl w:ilvl="1">
      <w:lvlJc w:val="left"/>
      <w:lvlText w:val="(%2)"/>
      <w:numFmt w:val="lowerLetter"/>
      <w:start w:val="1"/>
    </w:lvl>
  </w:abstractNum>
  <w:abstractNum w:abstractNumId="92">
    <w:nsid w:val="14217E23"/>
    <w:multiLevelType w:val="hybridMultilevel"/>
    <w:lvl w:ilvl="0">
      <w:lvlJc w:val="left"/>
      <w:lvlText w:val="(%1)"/>
      <w:numFmt w:val="decimal"/>
      <w:start w:val="1"/>
    </w:lvl>
  </w:abstractNum>
  <w:abstractNum w:abstractNumId="93">
    <w:nsid w:val="710757D0"/>
    <w:multiLevelType w:val="hybridMultilevel"/>
    <w:lvl w:ilvl="0">
      <w:lvlJc w:val="left"/>
      <w:lvlText w:val="(%1)"/>
      <w:numFmt w:val="decimal"/>
      <w:start w:val="1"/>
    </w:lvl>
  </w:abstractNum>
  <w:abstractNum w:abstractNumId="94">
    <w:nsid w:val="5015CD1A"/>
    <w:multiLevelType w:val="hybridMultilevel"/>
    <w:lvl w:ilvl="0">
      <w:lvlJc w:val="left"/>
      <w:lvlText w:val="%1"/>
      <w:numFmt w:val="lowerLetter"/>
      <w:start w:val="1"/>
    </w:lvl>
    <w:lvl w:ilvl="1">
      <w:lvlJc w:val="left"/>
      <w:lvlText w:val="(%2)"/>
      <w:numFmt w:val="decimal"/>
      <w:start w:val="1"/>
    </w:lvl>
  </w:abstractNum>
  <w:abstractNum w:abstractNumId="95">
    <w:nsid w:val="424479DA"/>
    <w:multiLevelType w:val="hybridMultilevel"/>
    <w:lvl w:ilvl="0">
      <w:lvlJc w:val="left"/>
      <w:lvlText w:val="(%1)"/>
      <w:numFmt w:val="lowerLetter"/>
      <w:start w:val="2"/>
    </w:lvl>
    <w:lvl w:ilvl="1">
      <w:lvlJc w:val="left"/>
      <w:lvlText w:val="(%2)"/>
      <w:numFmt w:val="decimal"/>
      <w:start w:val="2"/>
    </w:lvl>
  </w:abstractNum>
  <w:abstractNum w:abstractNumId="96">
    <w:nsid w:val="1A9A9E69"/>
    <w:multiLevelType w:val="hybridMultilevel"/>
    <w:lvl w:ilvl="0">
      <w:lvlJc w:val="left"/>
      <w:lvlText w:val="(%1)"/>
      <w:numFmt w:val="decimal"/>
      <w:start w:val="1"/>
    </w:lvl>
  </w:abstractNum>
  <w:abstractNum w:abstractNumId="97">
    <w:nsid w:val="475E256A"/>
    <w:multiLevelType w:val="hybridMultilevel"/>
    <w:lvl w:ilvl="0">
      <w:lvlJc w:val="left"/>
      <w:lvlText w:val="(%1)"/>
      <w:numFmt w:val="decimal"/>
      <w:start w:val="3"/>
    </w:lvl>
    <w:lvl w:ilvl="1">
      <w:lvlJc w:val="left"/>
      <w:lvlText w:val="(%2)"/>
      <w:numFmt w:val="lowerLetter"/>
      <w:start w:val="1"/>
    </w:lvl>
  </w:abstractNum>
  <w:abstractNum w:abstractNumId="98">
    <w:nsid w:val="368DB37E"/>
    <w:multiLevelType w:val="hybridMultilevel"/>
    <w:lvl w:ilvl="0">
      <w:lvlJc w:val="left"/>
      <w:lvlText w:val="(%1)"/>
      <w:numFmt w:val="lowerLetter"/>
      <w:start w:val="4"/>
    </w:lvl>
  </w:abstractNum>
  <w:abstractNum w:abstractNumId="99">
    <w:nsid w:val="6A3B714C"/>
    <w:multiLevelType w:val="hybridMultilevel"/>
    <w:lvl w:ilvl="0">
      <w:lvlJc w:val="left"/>
      <w:lvlText w:val="(%1)"/>
      <w:numFmt w:val="decimal"/>
      <w:start w:val="1"/>
    </w:lvl>
  </w:abstractNum>
  <w:abstractNum w:abstractNumId="100">
    <w:nsid w:val="327B517E"/>
    <w:multiLevelType w:val="hybridMultilevel"/>
    <w:lvl w:ilvl="0">
      <w:lvlJc w:val="left"/>
      <w:lvlText w:val="(%1)"/>
      <w:numFmt w:val="decimal"/>
      <w:start w:val="5"/>
    </w:lvl>
  </w:abstractNum>
  <w:abstractNum w:abstractNumId="101">
    <w:nsid w:val="1F461B51"/>
    <w:multiLevelType w:val="hybridMultilevel"/>
    <w:lvl w:ilvl="0">
      <w:lvlJc w:val="left"/>
      <w:lvlText w:val="(%1)"/>
      <w:numFmt w:val="decimal"/>
      <w:start w:val="7"/>
    </w:lvl>
  </w:abstractNum>
  <w:abstractNum w:abstractNumId="102">
    <w:nsid w:val="29BACF25"/>
    <w:multiLevelType w:val="hybridMultilevel"/>
    <w:lvl w:ilvl="0">
      <w:lvlJc w:val="left"/>
      <w:lvlText w:val="(%1)"/>
      <w:numFmt w:val="decimal"/>
      <w:start w:val="2"/>
    </w:lvl>
  </w:abstractNum>
  <w:abstractNum w:abstractNumId="103">
    <w:nsid w:val="5D5BABB3"/>
    <w:multiLevelType w:val="hybridMultilevel"/>
    <w:lvl w:ilvl="0">
      <w:lvlJc w:val="left"/>
      <w:lvlText w:val="%1"/>
      <w:numFmt w:val="lowerRoman"/>
      <w:start w:val="1"/>
    </w:lvl>
    <w:lvl w:ilvl="1">
      <w:lvlJc w:val="left"/>
      <w:lvlText w:val="(%2)"/>
      <w:numFmt w:val="decimal"/>
      <w:start w:val="1"/>
    </w:lvl>
  </w:abstractNum>
  <w:abstractNum w:abstractNumId="104">
    <w:nsid w:val="51BF6B48"/>
    <w:multiLevelType w:val="hybridMultilevel"/>
    <w:lvl w:ilvl="0">
      <w:lvlJc w:val="left"/>
      <w:lvlText w:val="(%1)"/>
      <w:numFmt w:val="lowerRoman"/>
      <w:start w:val="2"/>
    </w:lvl>
    <w:lvl w:ilvl="1">
      <w:lvlJc w:val="left"/>
      <w:lvlText w:val="%2"/>
      <w:numFmt w:val="decimal"/>
      <w:start w:val="1"/>
    </w:lvl>
  </w:abstractNum>
  <w:abstractNum w:abstractNumId="105">
    <w:nsid w:val="7E0F6384"/>
    <w:multiLevelType w:val="hybridMultilevel"/>
    <w:lvl w:ilvl="0">
      <w:lvlJc w:val="left"/>
      <w:lvlText w:val="(%1)"/>
      <w:numFmt w:val="decimal"/>
      <w:start w:val="2"/>
    </w:lvl>
    <w:lvl w:ilvl="1">
      <w:lvlJc w:val="left"/>
      <w:lvlText w:val="(%2)"/>
      <w:numFmt w:val="lowerLetter"/>
      <w:start w:val="1"/>
    </w:lvl>
  </w:abstractNum>
  <w:abstractNum w:abstractNumId="106">
    <w:nsid w:val="2B4B8B53"/>
    <w:multiLevelType w:val="hybridMultilevel"/>
    <w:lvl w:ilvl="0">
      <w:lvlJc w:val="left"/>
      <w:lvlText w:val="%1"/>
      <w:numFmt w:val="upperLetter"/>
      <w:start w:val="1"/>
    </w:lvl>
    <w:lvl w:ilvl="1">
      <w:lvlJc w:val="left"/>
      <w:lvlText w:val="(%2)"/>
      <w:numFmt w:val="decimal"/>
      <w:start w:val="5"/>
    </w:lvl>
  </w:abstractNum>
  <w:abstractNum w:abstractNumId="107">
    <w:nsid w:val="72E3413A"/>
    <w:multiLevelType w:val="hybridMultilevel"/>
    <w:lvl w:ilvl="0">
      <w:lvlJc w:val="left"/>
      <w:lvlText w:val="(%1)"/>
      <w:numFmt w:val="decimal"/>
      <w:start w:val="9"/>
    </w:lvl>
  </w:abstractNum>
  <w:abstractNum w:abstractNumId="108">
    <w:nsid w:val="116AE494"/>
    <w:multiLevelType w:val="hybridMultilevel"/>
    <w:lvl w:ilvl="0">
      <w:lvlJc w:val="left"/>
      <w:lvlText w:val="(%1)"/>
      <w:numFmt w:val="decimal"/>
      <w:start w:val="1"/>
    </w:lvl>
    <w:lvl w:ilvl="1">
      <w:lvlJc w:val="left"/>
      <w:lvlText w:val="(%2)"/>
      <w:numFmt w:val="lowerLetter"/>
      <w:start w:val="1"/>
    </w:lvl>
  </w:abstractNum>
  <w:abstractNum w:abstractNumId="109">
    <w:nsid w:val="3494B2FB"/>
    <w:multiLevelType w:val="hybridMultilevel"/>
    <w:lvl w:ilvl="0">
      <w:lvlJc w:val="left"/>
      <w:lvlText w:val="(%1)"/>
      <w:numFmt w:val="decimal"/>
      <w:start w:val="1"/>
    </w:lvl>
  </w:abstractNum>
  <w:abstractNum w:abstractNumId="110">
    <w:nsid w:val="B13A31"/>
    <w:multiLevelType w:val="hybridMultilevel"/>
    <w:lvl w:ilvl="0">
      <w:lvlJc w:val="left"/>
      <w:lvlText w:val="(%1)"/>
      <w:numFmt w:val="decimal"/>
      <w:start w:val="1"/>
    </w:lvl>
  </w:abstractNum>
  <w:abstractNum w:abstractNumId="111">
    <w:nsid w:val="64429599"/>
    <w:multiLevelType w:val="hybridMultilevel"/>
    <w:lvl w:ilvl="0">
      <w:lvlJc w:val="left"/>
      <w:lvlText w:val="(%1)"/>
      <w:numFmt w:val="decimal"/>
      <w:start w:val="6"/>
    </w:lvl>
  </w:abstractNum>
  <w:abstractNum w:abstractNumId="112">
    <w:nsid w:val="631F1690"/>
    <w:multiLevelType w:val="hybridMultilevel"/>
    <w:lvl w:ilvl="0">
      <w:lvlJc w:val="left"/>
      <w:lvlText w:val="(%1)"/>
      <w:numFmt w:val="decimal"/>
      <w:start w:val="1"/>
    </w:lvl>
    <w:lvl w:ilvl="1">
      <w:lvlJc w:val="left"/>
      <w:lvlText w:val="(%2)"/>
      <w:numFmt w:val="lowerLetter"/>
      <w:start w:val="1"/>
    </w:lvl>
  </w:abstractNum>
  <w:abstractNum w:abstractNumId="113">
    <w:nsid w:val="25973E32"/>
    <w:multiLevelType w:val="hybridMultilevel"/>
    <w:lvl w:ilvl="0">
      <w:lvlJc w:val="left"/>
      <w:lvlText w:val="(%1)"/>
      <w:numFmt w:val="decimal"/>
      <w:start w:val="6"/>
    </w:lvl>
  </w:abstractNum>
  <w:abstractNum w:abstractNumId="114">
    <w:nsid w:val="EAD6F57"/>
    <w:multiLevelType w:val="hybridMultilevel"/>
    <w:lvl w:ilvl="0">
      <w:lvlJc w:val="left"/>
      <w:lvlText w:val="(%1)"/>
      <w:numFmt w:val="decimal"/>
      <w:start w:val="1"/>
    </w:lvl>
  </w:abstractNum>
  <w:abstractNum w:abstractNumId="115">
    <w:nsid w:val="6EC9D844"/>
    <w:multiLevelType w:val="hybridMultilevel"/>
    <w:lvl w:ilvl="0">
      <w:lvlJc w:val="left"/>
      <w:lvlText w:val="(%1)"/>
      <w:numFmt w:val="decimal"/>
      <w:start w:val="3"/>
    </w:lvl>
  </w:abstractNum>
  <w:abstractNum w:abstractNumId="116">
    <w:nsid w:val="5C49EAEE"/>
    <w:multiLevelType w:val="hybridMultilevel"/>
    <w:lvl w:ilvl="0">
      <w:lvlJc w:val="left"/>
      <w:lvlText w:val="(%1)"/>
      <w:numFmt w:val="decimal"/>
      <w:start w:val="1"/>
    </w:lvl>
  </w:abstractNum>
  <w:abstractNum w:abstractNumId="117">
    <w:nsid w:val="64AF49B"/>
    <w:multiLevelType w:val="hybridMultilevel"/>
    <w:lvl w:ilvl="0">
      <w:lvlJc w:val="left"/>
      <w:lvlText w:val="(%1)"/>
      <w:numFmt w:val="decimal"/>
      <w:start w:val="7"/>
    </w:lvl>
  </w:abstractNum>
  <w:abstractNum w:abstractNumId="118">
    <w:nsid w:val="397C46BC"/>
    <w:multiLevelType w:val="hybridMultilevel"/>
    <w:lvl w:ilvl="0">
      <w:lvlJc w:val="left"/>
      <w:lvlText w:val="(%1)"/>
      <w:numFmt w:val="decimal"/>
      <w:start w:val="1"/>
    </w:lvl>
  </w:abstractNum>
  <w:abstractNum w:abstractNumId="119">
    <w:nsid w:val="7E448DE9"/>
    <w:multiLevelType w:val="hybridMultilevel"/>
    <w:lvl w:ilvl="0">
      <w:lvlJc w:val="left"/>
      <w:lvlText w:val="(%1)"/>
      <w:numFmt w:val="decimal"/>
      <w:start w:val="1"/>
    </w:lvl>
    <w:lvl w:ilvl="1">
      <w:lvlJc w:val="left"/>
      <w:lvlText w:val="(%2)"/>
      <w:numFmt w:val="lowerLetter"/>
      <w:start w:val="1"/>
    </w:lvl>
  </w:abstractNum>
  <w:abstractNum w:abstractNumId="120">
    <w:nsid w:val="5A9CC3E5"/>
    <w:multiLevelType w:val="hybridMultilevel"/>
    <w:lvl w:ilvl="0">
      <w:lvlJc w:val="left"/>
      <w:lvlText w:val="%1"/>
      <w:numFmt w:val="decimal"/>
      <w:start w:val="1"/>
    </w:lvl>
    <w:lvl w:ilvl="1">
      <w:lvlJc w:val="left"/>
      <w:lvlText w:val="(%2)"/>
      <w:numFmt w:val="lowerLetter"/>
      <w:start w:val="2"/>
    </w:lvl>
  </w:abstractNum>
  <w:abstractNum w:abstractNumId="121">
    <w:nsid w:val="1AFE3625"/>
    <w:multiLevelType w:val="hybridMultilevel"/>
    <w:lvl w:ilvl="0">
      <w:lvlJc w:val="left"/>
      <w:lvlText w:val="(%1)"/>
      <w:numFmt w:val="decimal"/>
      <w:start w:val="2"/>
    </w:lvl>
    <w:lvl w:ilvl="1">
      <w:lvlJc w:val="left"/>
      <w:lvlText w:val="%2"/>
      <w:numFmt w:val="lowerLetter"/>
      <w:start w:val="1"/>
    </w:lvl>
  </w:abstractNum>
  <w:abstractNum w:abstractNumId="122">
    <w:nsid w:val="3CA88ECF"/>
    <w:multiLevelType w:val="hybridMultilevel"/>
    <w:lvl w:ilvl="0">
      <w:lvlJc w:val="left"/>
      <w:lvlText w:val="(%1)"/>
      <w:numFmt w:val="decimal"/>
      <w:start w:val="1"/>
    </w:lvl>
  </w:abstractNum>
  <w:abstractNum w:abstractNumId="123">
    <w:nsid w:val="6EBE4208"/>
    <w:multiLevelType w:val="hybridMultilevel"/>
    <w:lvl w:ilvl="0">
      <w:lvlJc w:val="left"/>
      <w:lvlText w:val="(%1)"/>
      <w:numFmt w:val="decimal"/>
      <w:start w:val="1"/>
    </w:lvl>
  </w:abstractNum>
  <w:abstractNum w:abstractNumId="124">
    <w:nsid w:val="C058DF5"/>
    <w:multiLevelType w:val="hybridMultilevel"/>
    <w:lvl w:ilvl="0">
      <w:lvlJc w:val="left"/>
      <w:lvlText w:val="(%1)"/>
      <w:numFmt w:val="decimal"/>
      <w:start w:val="3"/>
    </w:lvl>
  </w:abstractNum>
  <w:abstractNum w:abstractNumId="125">
    <w:nsid w:val="CBE5BE9"/>
    <w:multiLevelType w:val="hybridMultilevel"/>
    <w:lvl w:ilvl="0">
      <w:lvlJc w:val="left"/>
      <w:lvlText w:val="(%1)"/>
      <w:numFmt w:val="decimal"/>
      <w:start w:val="1"/>
    </w:lvl>
  </w:abstractNum>
  <w:abstractNum w:abstractNumId="126">
    <w:nsid w:val="3102BBE2"/>
    <w:multiLevelType w:val="hybridMultilevel"/>
    <w:lvl w:ilvl="0">
      <w:lvlJc w:val="left"/>
      <w:lvlText w:val="%1"/>
      <w:numFmt w:val="decimal"/>
      <w:start w:val="1"/>
    </w:lvl>
    <w:lvl w:ilvl="1">
      <w:lvlJc w:val="left"/>
      <w:lvlText w:val="(%2)"/>
      <w:numFmt w:val="lowerLetter"/>
      <w:start w:val="2"/>
    </w:lvl>
  </w:abstractNum>
  <w:abstractNum w:abstractNumId="127">
    <w:nsid w:val="26A02C5E"/>
    <w:multiLevelType w:val="hybridMultilevel"/>
    <w:lvl w:ilvl="0">
      <w:lvlJc w:val="left"/>
      <w:lvlText w:val="(%1)"/>
      <w:numFmt w:val="decimal"/>
      <w:start w:val="2"/>
    </w:lvl>
    <w:lvl w:ilvl="1">
      <w:lvlJc w:val="left"/>
      <w:lvlText w:val="(%2)"/>
      <w:numFmt w:val="lowerLetter"/>
      <w:start w:val="1"/>
    </w:lvl>
  </w:abstractNum>
  <w:abstractNum w:abstractNumId="128">
    <w:nsid w:val="541C8153"/>
    <w:multiLevelType w:val="hybridMultilevel"/>
    <w:lvl w:ilvl="0">
      <w:lvlJc w:val="left"/>
      <w:lvlText w:val="(%1)"/>
      <w:numFmt w:val="decimal"/>
      <w:start w:val="1"/>
    </w:lvl>
    <w:lvl w:ilvl="1">
      <w:lvlJc w:val="left"/>
      <w:lvlText w:val="(%2)"/>
      <w:numFmt w:val="lowerLetter"/>
      <w:start w:val="1"/>
    </w:lvl>
  </w:abstractNum>
  <w:abstractNum w:abstractNumId="129">
    <w:nsid w:val="67906F60"/>
    <w:multiLevelType w:val="hybridMultilevel"/>
    <w:lvl w:ilvl="0">
      <w:lvlJc w:val="left"/>
      <w:lvlText w:val="(%1)"/>
      <w:numFmt w:val="decimal"/>
      <w:start w:val="1"/>
    </w:lvl>
  </w:abstractNum>
  <w:abstractNum w:abstractNumId="130">
    <w:nsid w:val="10DB9DAA"/>
    <w:multiLevelType w:val="hybridMultilevel"/>
    <w:lvl w:ilvl="0">
      <w:lvlJc w:val="left"/>
      <w:lvlText w:val="(%1)"/>
      <w:numFmt w:val="decimal"/>
      <w:start w:val="1"/>
    </w:lvl>
  </w:abstractNum>
  <w:abstractNum w:abstractNumId="131">
    <w:nsid w:val="697D2D2"/>
    <w:multiLevelType w:val="hybridMultilevel"/>
    <w:lvl w:ilvl="0">
      <w:lvlJc w:val="left"/>
      <w:lvlText w:val="(%1)"/>
      <w:numFmt w:val="decimal"/>
      <w:start w:val="1"/>
    </w:lvl>
    <w:lvl w:ilvl="1">
      <w:lvlJc w:val="left"/>
      <w:lvlText w:val="(%2)"/>
      <w:numFmt w:val="lowerLetter"/>
      <w:start w:val="1"/>
    </w:lvl>
  </w:abstractNum>
  <w:abstractNum w:abstractNumId="132">
    <w:nsid w:val="6D68AB2"/>
    <w:multiLevelType w:val="hybridMultilevel"/>
    <w:lvl w:ilvl="0">
      <w:lvlJc w:val="left"/>
      <w:lvlText w:val="(%1)"/>
      <w:numFmt w:val="decimal"/>
      <w:start w:val="7"/>
    </w:lvl>
  </w:abstractNum>
  <w:abstractNum w:abstractNumId="133">
    <w:nsid w:val="3A966CD0"/>
    <w:multiLevelType w:val="hybridMultilevel"/>
    <w:lvl w:ilvl="0">
      <w:lvlJc w:val="left"/>
      <w:lvlText w:val="(%1)"/>
      <w:numFmt w:val="decimal"/>
      <w:start w:val="1"/>
    </w:lvl>
  </w:abstractNum>
  <w:abstractNum w:abstractNumId="134">
    <w:nsid w:val="63F37E85"/>
    <w:multiLevelType w:val="hybridMultilevel"/>
    <w:lvl w:ilvl="0">
      <w:lvlJc w:val="left"/>
      <w:lvlText w:val="(%1)"/>
      <w:numFmt w:val="decimal"/>
      <w:start w:val="1"/>
    </w:lvl>
  </w:abstractNum>
  <w:abstractNum w:abstractNumId="135">
    <w:nsid w:val="5895F5FA"/>
    <w:multiLevelType w:val="hybridMultilevel"/>
    <w:lvl w:ilvl="0">
      <w:lvlJc w:val="left"/>
      <w:lvlText w:val="(%1)"/>
      <w:numFmt w:val="decimal"/>
      <w:start w:val="1"/>
    </w:lvl>
  </w:abstractNum>
  <w:abstractNum w:abstractNumId="136">
    <w:nsid w:val="38A5D054"/>
    <w:multiLevelType w:val="hybridMultilevel"/>
    <w:lvl w:ilvl="0">
      <w:lvlJc w:val="left"/>
      <w:lvlText w:val="%1"/>
      <w:numFmt w:val="lowerLetter"/>
      <w:start w:val="1"/>
    </w:lvl>
    <w:lvl w:ilvl="1">
      <w:lvlJc w:val="left"/>
      <w:lvlText w:val="(%2)"/>
      <w:numFmt w:val="decimal"/>
      <w:start w:val="1"/>
    </w:lvl>
  </w:abstractNum>
  <w:abstractNum w:abstractNumId="137">
    <w:nsid w:val="F3F09D8"/>
    <w:multiLevelType w:val="hybridMultilevel"/>
    <w:lvl w:ilvl="0">
      <w:lvlJc w:val="left"/>
      <w:lvlText w:val="(%1)"/>
      <w:numFmt w:val="lowerLetter"/>
      <w:start w:val="1"/>
    </w:lvl>
    <w:lvl w:ilvl="1">
      <w:lvlJc w:val="left"/>
      <w:lvlText w:val="(%2)"/>
      <w:numFmt w:val="decimal"/>
      <w:start w:val="3"/>
    </w:lvl>
  </w:abstractNum>
  <w:abstractNum w:abstractNumId="138">
    <w:nsid w:val="4B793735"/>
    <w:multiLevelType w:val="hybridMultilevel"/>
    <w:lvl w:ilvl="0">
      <w:lvlJc w:val="left"/>
      <w:lvlText w:val="(%1)"/>
      <w:numFmt w:val="decimal"/>
      <w:start w:val="1"/>
    </w:lvl>
  </w:abstractNum>
  <w:abstractNum w:abstractNumId="139">
    <w:nsid w:val="4A10B4E8"/>
    <w:multiLevelType w:val="hybridMultilevel"/>
    <w:lvl w:ilvl="0">
      <w:lvlJc w:val="left"/>
      <w:lvlText w:val="%1"/>
      <w:numFmt w:val="lowerLetter"/>
      <w:start w:val="1"/>
    </w:lvl>
    <w:lvl w:ilvl="1">
      <w:lvlJc w:val="left"/>
      <w:lvlText w:val="(%2)"/>
      <w:numFmt w:val="decimal"/>
      <w:start w:val="1"/>
    </w:lvl>
  </w:abstractNum>
  <w:abstractNum w:abstractNumId="140">
    <w:nsid w:val="43D3BCD4"/>
    <w:multiLevelType w:val="hybridMultilevel"/>
    <w:lvl w:ilvl="0">
      <w:lvlJc w:val="left"/>
      <w:lvlText w:val="(%1)"/>
      <w:numFmt w:val="lowerLetter"/>
      <w:start w:val="1"/>
    </w:lvl>
    <w:lvl w:ilvl="1">
      <w:lvlJc w:val="left"/>
      <w:lvlText w:val="%2"/>
      <w:numFmt w:val="decimal"/>
      <w:start w:val="1"/>
    </w:lvl>
  </w:abstractNum>
  <w:abstractNum w:abstractNumId="141">
    <w:nsid w:val="4C2A7166"/>
    <w:multiLevelType w:val="hybridMultilevel"/>
    <w:lvl w:ilvl="0">
      <w:lvlJc w:val="left"/>
      <w:lvlText w:val="(%1)"/>
      <w:numFmt w:val="decimal"/>
      <w:start w:val="10"/>
    </w:lvl>
  </w:abstractNum>
  <w:abstractNum w:abstractNumId="142">
    <w:nsid w:val="2E534A82"/>
    <w:multiLevelType w:val="hybridMultilevel"/>
    <w:lvl w:ilvl="0">
      <w:lvlJc w:val="left"/>
      <w:lvlText w:val="(%1)"/>
      <w:numFmt w:val="decimal"/>
      <w:start w:val="1"/>
    </w:lvl>
  </w:abstractNum>
  <w:abstractNum w:abstractNumId="143">
    <w:nsid w:val="26F2D364"/>
    <w:multiLevelType w:val="hybridMultilevel"/>
    <w:lvl w:ilvl="0">
      <w:lvlJc w:val="left"/>
      <w:lvlText w:val="(%1)"/>
      <w:numFmt w:val="decimal"/>
      <w:start w:val="1"/>
    </w:lvl>
    <w:lvl w:ilvl="1">
      <w:lvlJc w:val="left"/>
      <w:lvlText w:val="(%2)"/>
      <w:numFmt w:val="lowerLetter"/>
      <w:start w:val="1"/>
    </w:lvl>
  </w:abstractNum>
  <w:abstractNum w:abstractNumId="144">
    <w:nsid w:val="71C1AF98"/>
    <w:multiLevelType w:val="hybridMultilevel"/>
    <w:lvl w:ilvl="0">
      <w:lvlJc w:val="left"/>
      <w:lvlText w:val="(%1)"/>
      <w:numFmt w:val="decimal"/>
      <w:start w:val="3"/>
    </w:lvl>
  </w:abstractNum>
  <w:abstractNum w:abstractNumId="145">
    <w:nsid w:val="3D00B9D9"/>
    <w:multiLevelType w:val="hybridMultilevel"/>
    <w:lvl w:ilvl="0">
      <w:lvlJc w:val="left"/>
      <w:lvlText w:val="(%1)"/>
      <w:numFmt w:val="decimal"/>
      <w:start w:val="1"/>
    </w:lvl>
  </w:abstractNum>
  <w:abstractNum w:abstractNumId="146">
    <w:nsid w:val="15BCABA8"/>
    <w:multiLevelType w:val="hybridMultilevel"/>
    <w:lvl w:ilvl="0">
      <w:lvlJc w:val="left"/>
      <w:lvlText w:val="(%1)"/>
      <w:numFmt w:val="decimal"/>
      <w:start w:val="1"/>
    </w:lvl>
  </w:abstractNum>
  <w:abstractNum w:abstractNumId="147">
    <w:nsid w:val="4E0B9A87"/>
    <w:multiLevelType w:val="hybridMultilevel"/>
    <w:lvl w:ilvl="0">
      <w:lvlJc w:val="left"/>
      <w:lvlText w:val="(%1)"/>
      <w:numFmt w:val="decimal"/>
      <w:start w:val="1"/>
    </w:lvl>
  </w:abstractNum>
  <w:abstractNum w:abstractNumId="148">
    <w:nsid w:val="434BAE75"/>
    <w:multiLevelType w:val="hybridMultilevel"/>
    <w:lvl w:ilvl="0">
      <w:lvlJc w:val="left"/>
      <w:lvlText w:val="(%1)"/>
      <w:numFmt w:val="decimal"/>
      <w:start w:val="1"/>
    </w:lvl>
  </w:abstractNum>
  <w:abstractNum w:abstractNumId="149">
    <w:nsid w:val="4F38F265"/>
    <w:multiLevelType w:val="hybridMultilevel"/>
    <w:lvl w:ilvl="0">
      <w:lvlJc w:val="left"/>
      <w:lvlText w:val="(%1)"/>
      <w:numFmt w:val="decimal"/>
      <w:start w:val="1"/>
    </w:lvl>
  </w:abstractNum>
  <w:abstractNum w:abstractNumId="150">
    <w:nsid w:val="4C502870"/>
    <w:multiLevelType w:val="hybridMultilevel"/>
    <w:lvl w:ilvl="0">
      <w:lvlJc w:val="left"/>
      <w:lvlText w:val="(%1)"/>
      <w:numFmt w:val="decimal"/>
      <w:start w:val="1"/>
    </w:lvl>
  </w:abstractNum>
  <w:abstractNum w:abstractNumId="151">
    <w:nsid w:val="1DE8725A"/>
    <w:multiLevelType w:val="hybridMultilevel"/>
    <w:lvl w:ilvl="0">
      <w:lvlJc w:val="left"/>
      <w:lvlText w:val="(%1)"/>
      <w:numFmt w:val="decimal"/>
      <w:start w:val="1"/>
    </w:lvl>
    <w:lvl w:ilvl="1">
      <w:lvlJc w:val="left"/>
      <w:lvlText w:val="(%2)"/>
      <w:numFmt w:val="lowerLetter"/>
      <w:start w:val="1"/>
    </w:lvl>
  </w:abstractNum>
  <w:abstractNum w:abstractNumId="152">
    <w:nsid w:val="6A37288A"/>
    <w:multiLevelType w:val="hybridMultilevel"/>
    <w:lvl w:ilvl="0">
      <w:lvlJc w:val="left"/>
      <w:lvlText w:val="%1"/>
      <w:numFmt w:val="lowerRoman"/>
      <w:start w:val="1"/>
    </w:lvl>
    <w:lvl w:ilvl="1">
      <w:lvlJc w:val="left"/>
      <w:lvlText w:val="(%2)"/>
      <w:numFmt w:val="decimal"/>
      <w:start w:val="8"/>
    </w:lvl>
  </w:abstractNum>
  <w:abstractNum w:abstractNumId="153">
    <w:nsid w:val="8F8B73F"/>
    <w:multiLevelType w:val="hybridMultilevel"/>
    <w:lvl w:ilvl="0">
      <w:lvlJc w:val="left"/>
      <w:lvlText w:val="(%1)"/>
      <w:numFmt w:val="lowerRoman"/>
      <w:start w:val="2"/>
    </w:lvl>
    <w:lvl w:ilvl="1">
      <w:lvlJc w:val="left"/>
      <w:lvlText w:val="(%2)"/>
      <w:numFmt w:val="decimal"/>
      <w:start w:val="12"/>
    </w:lvl>
  </w:abstractNum>
  <w:abstractNum w:abstractNumId="154">
    <w:nsid w:val="CA6B462"/>
    <w:multiLevelType w:val="hybridMultilevel"/>
    <w:lvl w:ilvl="0">
      <w:lvlJc w:val="left"/>
      <w:lvlText w:val="(%1)"/>
      <w:numFmt w:val="decimal"/>
      <w:start w:val="1"/>
    </w:lvl>
  </w:abstractNum>
  <w:abstractNum w:abstractNumId="155">
    <w:nsid w:val="763CB680"/>
    <w:multiLevelType w:val="hybridMultilevel"/>
    <w:lvl w:ilvl="0">
      <w:lvlJc w:val="left"/>
      <w:lvlText w:val="(%1)"/>
      <w:numFmt w:val="decimal"/>
      <w:start w:val="1"/>
    </w:lvl>
  </w:abstractNum>
  <w:abstractNum w:abstractNumId="156">
    <w:nsid w:val="15B71329"/>
    <w:multiLevelType w:val="hybridMultilevel"/>
    <w:lvl w:ilvl="0">
      <w:lvlJc w:val="left"/>
      <w:lvlText w:val="(%1)"/>
      <w:numFmt w:val="decimal"/>
      <w:start w:val="1"/>
    </w:lvl>
  </w:abstractNum>
  <w:abstractNum w:abstractNumId="157">
    <w:nsid w:val="3DA97044"/>
    <w:multiLevelType w:val="hybridMultilevel"/>
    <w:lvl w:ilvl="0">
      <w:lvlJc w:val="left"/>
      <w:lvlText w:val="(%1)"/>
      <w:numFmt w:val="decimal"/>
      <w:start w:val="8"/>
    </w:lvl>
  </w:abstractNum>
  <w:abstractNum w:abstractNumId="158">
    <w:nsid w:val="1CDCE2DE"/>
    <w:multiLevelType w:val="hybridMultilevel"/>
    <w:lvl w:ilvl="0">
      <w:lvlJc w:val="left"/>
      <w:lvlText w:val="(%1)"/>
      <w:numFmt w:val="decimal"/>
      <w:start w:val="1"/>
    </w:lvl>
    <w:lvl w:ilvl="1">
      <w:lvlJc w:val="left"/>
      <w:lvlText w:val="(%2)"/>
      <w:numFmt w:val="lowerLetter"/>
      <w:start w:val="1"/>
    </w:lvl>
  </w:abstractNum>
  <w:abstractNum w:abstractNumId="159">
    <w:nsid w:val="69D3947C"/>
    <w:multiLevelType w:val="hybridMultilevel"/>
    <w:lvl w:ilvl="0">
      <w:lvlJc w:val="left"/>
      <w:lvlText w:val="(%1)"/>
      <w:numFmt w:val="decimal"/>
      <w:start w:val="1"/>
    </w:lvl>
  </w:abstractNum>
  <w:abstractNum w:abstractNumId="160">
    <w:nsid w:val="2539DFA5"/>
    <w:multiLevelType w:val="hybridMultilevel"/>
    <w:lvl w:ilvl="0">
      <w:lvlJc w:val="left"/>
      <w:lvlText w:val="(%1)"/>
      <w:numFmt w:val="decimal"/>
      <w:start w:val="1"/>
    </w:lvl>
  </w:abstractNum>
  <w:abstractNum w:abstractNumId="161">
    <w:nsid w:val="2DB88089"/>
    <w:multiLevelType w:val="hybridMultilevel"/>
    <w:lvl w:ilvl="0">
      <w:lvlJc w:val="left"/>
      <w:lvlText w:val="(%1)"/>
      <w:numFmt w:val="decimal"/>
      <w:start w:val="4"/>
    </w:lvl>
  </w:abstractNum>
  <w:abstractNum w:abstractNumId="162">
    <w:nsid w:val="706B674E"/>
    <w:multiLevelType w:val="hybridMultilevel"/>
    <w:lvl w:ilvl="0">
      <w:lvlJc w:val="left"/>
      <w:lvlText w:val="(%1)"/>
      <w:numFmt w:val="lowerLetter"/>
      <w:start w:val="1"/>
    </w:lvl>
  </w:abstractNum>
  <w:abstractNum w:abstractNumId="163">
    <w:nsid w:val="2C106A57"/>
    <w:multiLevelType w:val="hybridMultilevel"/>
    <w:lvl w:ilvl="0">
      <w:lvlJc w:val="left"/>
      <w:lvlText w:val="(%1)"/>
      <w:numFmt w:val="decimal"/>
      <w:start w:val="1"/>
    </w:lvl>
  </w:abstractNum>
  <w:abstractNum w:abstractNumId="164">
    <w:nsid w:val="684EED59"/>
    <w:multiLevelType w:val="hybridMultilevel"/>
    <w:lvl w:ilvl="0">
      <w:lvlJc w:val="left"/>
      <w:lvlText w:val="(%1)"/>
      <w:numFmt w:val="decimal"/>
      <w:start w:val="1"/>
    </w:lvl>
  </w:abstractNum>
  <w:abstractNum w:abstractNumId="165">
    <w:nsid w:val="545EE5D3"/>
    <w:multiLevelType w:val="hybridMultilevel"/>
    <w:lvl w:ilvl="0">
      <w:lvlJc w:val="left"/>
      <w:lvlText w:val="(%1)"/>
      <w:numFmt w:val="decimal"/>
      <w:start w:val="1"/>
    </w:lvl>
  </w:abstractNum>
  <w:abstractNum w:abstractNumId="166">
    <w:nsid w:val="4A66051"/>
    <w:multiLevelType w:val="hybridMultilevel"/>
    <w:lvl w:ilvl="0">
      <w:lvlJc w:val="left"/>
      <w:lvlText w:val="(%1)"/>
      <w:numFmt w:val="decimal"/>
      <w:start w:val="1"/>
    </w:lvl>
  </w:abstractNum>
  <w:abstractNum w:abstractNumId="167">
    <w:nsid w:val="20F4BDAD"/>
    <w:multiLevelType w:val="hybridMultilevel"/>
    <w:lvl w:ilvl="0">
      <w:lvlJc w:val="left"/>
      <w:lvlText w:val="(%1)"/>
      <w:numFmt w:val="decimal"/>
      <w:start w:val="2"/>
    </w:lvl>
  </w:abstractNum>
  <w:abstractNum w:abstractNumId="168">
    <w:nsid w:val="639DEFAC"/>
    <w:multiLevelType w:val="hybridMultilevel"/>
    <w:lvl w:ilvl="0">
      <w:lvlJc w:val="left"/>
      <w:lvlText w:val="(%1)"/>
      <w:numFmt w:val="decimal"/>
      <w:start w:val="1"/>
    </w:lvl>
  </w:abstractNum>
  <w:abstractNum w:abstractNumId="169">
    <w:nsid w:val="501F9786"/>
    <w:multiLevelType w:val="hybridMultilevel"/>
    <w:lvl w:ilvl="0">
      <w:lvlJc w:val="left"/>
      <w:lvlText w:val="(%1)"/>
      <w:numFmt w:val="decimal"/>
      <w:start w:val="2"/>
    </w:lvl>
  </w:abstractNum>
  <w:abstractNum w:abstractNumId="170">
    <w:nsid w:val="6B057295"/>
    <w:multiLevelType w:val="hybridMultilevel"/>
    <w:lvl w:ilvl="0">
      <w:lvlJc w:val="left"/>
      <w:lvlText w:val="(%1)"/>
      <w:numFmt w:val="decimal"/>
      <w:start w:val="1"/>
    </w:lvl>
  </w:abstractNum>
  <w:abstractNum w:abstractNumId="171">
    <w:nsid w:val="2771AC80"/>
    <w:multiLevelType w:val="hybridMultilevel"/>
    <w:lvl w:ilvl="0">
      <w:lvlJc w:val="left"/>
      <w:lvlText w:val="(%1)"/>
      <w:numFmt w:val="decimal"/>
      <w:start w:val="1"/>
    </w:lvl>
  </w:abstractNum>
  <w:abstractNum w:abstractNumId="172">
    <w:nsid w:val="1C4A08EC"/>
    <w:multiLevelType w:val="hybridMultilevel"/>
    <w:lvl w:ilvl="0">
      <w:lvlJc w:val="left"/>
      <w:lvlText w:val="(%1)"/>
      <w:numFmt w:val="decimal"/>
      <w:start w:val="1"/>
    </w:lvl>
  </w:abstractNum>
  <w:abstractNum w:abstractNumId="173">
    <w:nsid w:val="1958BD17"/>
    <w:multiLevelType w:val="hybridMultilevel"/>
    <w:lvl w:ilvl="0">
      <w:lvlJc w:val="left"/>
      <w:lvlText w:val="(%1)"/>
      <w:numFmt w:val="decimal"/>
      <w:start w:val="2"/>
    </w:lvl>
  </w:abstractNum>
  <w:abstractNum w:abstractNumId="174">
    <w:nsid w:val="4E647FE4"/>
    <w:multiLevelType w:val="hybridMultilevel"/>
    <w:lvl w:ilvl="0">
      <w:lvlJc w:val="left"/>
      <w:lvlText w:val="(%1)"/>
      <w:numFmt w:val="decimal"/>
      <w:start w:val="1"/>
    </w:lvl>
  </w:abstractNum>
  <w:abstractNum w:abstractNumId="175">
    <w:nsid w:val="E0BB885"/>
    <w:multiLevelType w:val="hybridMultilevel"/>
    <w:lvl w:ilvl="0">
      <w:lvlJc w:val="left"/>
      <w:lvlText w:val="(%1)"/>
      <w:numFmt w:val="decimal"/>
      <w:start w:val="1"/>
    </w:lvl>
  </w:abstractNum>
  <w:abstractNum w:abstractNumId="176">
    <w:nsid w:val="565976F1"/>
    <w:multiLevelType w:val="hybridMultilevel"/>
    <w:lvl w:ilvl="0">
      <w:lvlJc w:val="left"/>
      <w:lvlText w:val="(%1)"/>
      <w:numFmt w:val="decimal"/>
      <w:start w:val="1"/>
    </w:lvl>
  </w:abstractNum>
  <w:abstractNum w:abstractNumId="177">
    <w:nsid w:val="64212B8C"/>
    <w:multiLevelType w:val="hybridMultilevel"/>
    <w:lvl w:ilvl="0">
      <w:lvlJc w:val="left"/>
      <w:lvlText w:val="(%1)"/>
      <w:numFmt w:val="decimal"/>
      <w:start w:val="5"/>
    </w:lvl>
  </w:abstractNum>
  <w:abstractNum w:abstractNumId="178">
    <w:nsid w:val="5C17530C"/>
    <w:multiLevelType w:val="hybridMultilevel"/>
    <w:lvl w:ilvl="0">
      <w:lvlJc w:val="left"/>
      <w:lvlText w:val="(%1)"/>
      <w:numFmt w:val="decimal"/>
      <w:start w:val="1"/>
    </w:lvl>
    <w:lvl w:ilvl="1">
      <w:lvlJc w:val="left"/>
      <w:lvlText w:val="(%2)"/>
      <w:numFmt w:val="lowerLetter"/>
      <w:start w:val="1"/>
    </w:lvl>
  </w:abstractNum>
  <w:abstractNum w:abstractNumId="179">
    <w:nsid w:val="19A52566"/>
    <w:multiLevelType w:val="hybridMultilevel"/>
    <w:lvl w:ilvl="0">
      <w:lvlJc w:val="left"/>
      <w:lvlText w:val="(%1)"/>
      <w:numFmt w:val="decimal"/>
      <w:start w:val="1"/>
    </w:lvl>
  </w:abstractNum>
  <w:abstractNum w:abstractNumId="180">
    <w:nsid w:val="335A1DF1"/>
    <w:multiLevelType w:val="hybridMultilevel"/>
    <w:lvl w:ilvl="0">
      <w:lvlJc w:val="left"/>
      <w:lvlText w:val="(%1)"/>
      <w:numFmt w:val="decimal"/>
      <w:start w:val="1"/>
    </w:lvl>
  </w:abstractNum>
  <w:abstractNum w:abstractNumId="181">
    <w:nsid w:val="28677B7C"/>
    <w:multiLevelType w:val="hybridMultilevel"/>
    <w:lvl w:ilvl="0">
      <w:lvlJc w:val="left"/>
      <w:lvlText w:val="(%1)"/>
      <w:numFmt w:val="decimal"/>
      <w:start w:val="1"/>
    </w:lvl>
  </w:abstractNum>
  <w:abstractNum w:abstractNumId="182">
    <w:nsid w:val="378D97C0"/>
    <w:multiLevelType w:val="hybridMultilevel"/>
    <w:lvl w:ilvl="0">
      <w:lvlJc w:val="left"/>
      <w:lvlText w:val="(%1)"/>
      <w:numFmt w:val="decimal"/>
      <w:start w:val="1"/>
    </w:lvl>
  </w:abstractNum>
  <w:abstractNum w:abstractNumId="183">
    <w:nsid w:val="1D91467C"/>
    <w:multiLevelType w:val="hybridMultilevel"/>
    <w:lvl w:ilvl="0">
      <w:lvlJc w:val="left"/>
      <w:lvlText w:val="(%1)"/>
      <w:numFmt w:val="decimal"/>
      <w:start w:val="2"/>
    </w:lvl>
  </w:abstractNum>
  <w:abstractNum w:abstractNumId="184">
    <w:nsid w:val="316032BB"/>
    <w:multiLevelType w:val="hybridMultilevel"/>
    <w:lvl w:ilvl="0">
      <w:lvlJc w:val="left"/>
      <w:lvlText w:val="%1"/>
      <w:numFmt w:val="lowerRoman"/>
      <w:start w:val="1"/>
    </w:lvl>
    <w:lvl w:ilvl="1">
      <w:lvlJc w:val="left"/>
      <w:lvlText w:val="(%2)"/>
      <w:numFmt w:val="decimal"/>
      <w:start w:val="1"/>
    </w:lvl>
  </w:abstractNum>
  <w:abstractNum w:abstractNumId="185">
    <w:nsid w:val="44344C22"/>
    <w:multiLevelType w:val="hybridMultilevel"/>
    <w:lvl w:ilvl="0">
      <w:lvlJc w:val="left"/>
      <w:lvlText w:val="(%1)"/>
      <w:numFmt w:val="lowerRoman"/>
      <w:start w:val="2"/>
    </w:lvl>
    <w:lvl w:ilvl="1">
      <w:lvlJc w:val="left"/>
      <w:lvlText w:val="(%2)"/>
      <w:numFmt w:val="decimal"/>
      <w:start w:val="4"/>
    </w:lvl>
  </w:abstractNum>
  <w:abstractNum w:abstractNumId="186">
    <w:nsid w:val="13CDFCFC"/>
    <w:multiLevelType w:val="hybridMultilevel"/>
    <w:lvl w:ilvl="0">
      <w:lvlJc w:val="left"/>
      <w:lvlText w:val="%1"/>
      <w:numFmt w:val="lowerLetter"/>
      <w:start w:val="1"/>
    </w:lvl>
    <w:lvl w:ilvl="1">
      <w:lvlJc w:val="left"/>
      <w:lvlText w:val="(%2)"/>
      <w:numFmt w:val="decimal"/>
      <w:start w:val="1"/>
    </w:lvl>
  </w:abstractNum>
  <w:abstractNum w:abstractNumId="187">
    <w:nsid w:val="471745E4"/>
    <w:multiLevelType w:val="hybridMultilevel"/>
    <w:lvl w:ilvl="0">
      <w:lvlJc w:val="left"/>
      <w:lvlText w:val="(%1)"/>
      <w:numFmt w:val="lowerLetter"/>
      <w:start w:val="1"/>
    </w:lvl>
    <w:lvl w:ilvl="1">
      <w:lvlJc w:val="left"/>
      <w:lvlText w:val="(%2)"/>
      <w:numFmt w:val="decimal"/>
      <w:start w:val="3"/>
    </w:lvl>
  </w:abstractNum>
  <w:abstractNum w:abstractNumId="188">
    <w:nsid w:val="1DDBC66"/>
    <w:multiLevelType w:val="hybridMultilevel"/>
    <w:lvl w:ilvl="0">
      <w:lvlJc w:val="left"/>
      <w:lvlText w:val="(%1)"/>
      <w:numFmt w:val="decimal"/>
      <w:start w:val="1"/>
    </w:lvl>
    <w:lvl w:ilvl="1">
      <w:lvlJc w:val="left"/>
      <w:lvlText w:val="(%2)"/>
      <w:numFmt w:val="lowerLetter"/>
      <w:start w:val="1"/>
    </w:lvl>
  </w:abstractNum>
  <w:abstractNum w:abstractNumId="189">
    <w:nsid w:val="30AADFDA"/>
    <w:multiLevelType w:val="hybridMultilevel"/>
    <w:lvl w:ilvl="0">
      <w:lvlJc w:val="left"/>
      <w:lvlText w:val="(%1)"/>
      <w:numFmt w:val="decimal"/>
      <w:start w:val="4"/>
    </w:lvl>
  </w:abstractNum>
  <w:abstractNum w:abstractNumId="190">
    <w:nsid w:val="30EADA61"/>
    <w:multiLevelType w:val="hybridMultilevel"/>
    <w:lvl w:ilvl="0">
      <w:lvlJc w:val="left"/>
      <w:lvlText w:val="(%1)"/>
      <w:numFmt w:val="decimal"/>
      <w:start w:val="1"/>
    </w:lvl>
  </w:abstractNum>
  <w:abstractNum w:abstractNumId="191">
    <w:nsid w:val="27179C0B"/>
    <w:multiLevelType w:val="hybridMultilevel"/>
    <w:lvl w:ilvl="0">
      <w:lvlJc w:val="left"/>
      <w:lvlText w:val="(%1)"/>
      <w:numFmt w:val="decimal"/>
      <w:start w:val="2"/>
    </w:lvl>
    <w:lvl w:ilvl="1">
      <w:lvlJc w:val="left"/>
      <w:lvlText w:val="(%2)"/>
      <w:numFmt w:val="lowerLetter"/>
      <w:start w:val="1"/>
    </w:lvl>
  </w:abstractNum>
  <w:abstractNum w:abstractNumId="192">
    <w:nsid w:val="5E636063"/>
    <w:multiLevelType w:val="hybridMultilevel"/>
    <w:lvl w:ilvl="0">
      <w:lvlJc w:val="left"/>
      <w:lvlText w:val="(%1)"/>
      <w:numFmt w:val="decimal"/>
      <w:start w:val="12"/>
    </w:lvl>
    <w:lvl w:ilvl="1">
      <w:lvlJc w:val="left"/>
      <w:lvlText w:val="(%2)"/>
      <w:numFmt w:val="lowerLetter"/>
      <w:start w:val="1"/>
    </w:lvl>
  </w:abstractNum>
  <w:abstractNum w:abstractNumId="193">
    <w:nsid w:val="215641AF"/>
    <w:multiLevelType w:val="hybridMultilevel"/>
    <w:lvl w:ilvl="0">
      <w:lvlJc w:val="left"/>
      <w:lvlText w:val="\emdash "/>
      <w:numFmt w:val="bullet"/>
      <w:start w:val="1"/>
    </w:lvl>
    <w:lvl w:ilvl="1">
      <w:lvlJc w:val="left"/>
      <w:lvlText w:val="(%2)"/>
      <w:numFmt w:val="decimal"/>
      <w:start w:val="21"/>
    </w:lvl>
  </w:abstractNum>
  <w:abstractNum w:abstractNumId="194">
    <w:nsid w:val="53280662"/>
    <w:multiLevelType w:val="hybridMultilevel"/>
    <w:lvl w:ilvl="0">
      <w:lvlJc w:val="left"/>
      <w:lvlText w:val="(%1)"/>
      <w:numFmt w:val="decimal"/>
      <w:start w:val="1"/>
    </w:lvl>
  </w:abstractNum>
  <w:abstractNum w:abstractNumId="195">
    <w:nsid w:val="46B24DBC"/>
    <w:multiLevelType w:val="hybridMultilevel"/>
    <w:lvl w:ilvl="0">
      <w:lvlJc w:val="left"/>
      <w:lvlText w:val="(%1)"/>
      <w:numFmt w:val="decimal"/>
      <w:start w:val="3"/>
    </w:lvl>
  </w:abstractNum>
  <w:abstractNum w:abstractNumId="196">
    <w:nsid w:val="75B52783"/>
    <w:multiLevelType w:val="hybridMultilevel"/>
    <w:lvl w:ilvl="0">
      <w:lvlJc w:val="left"/>
      <w:lvlText w:val="(%1)"/>
      <w:numFmt w:val="decimal"/>
      <w:start w:val="1"/>
    </w:lvl>
  </w:abstractNum>
  <w:abstractNum w:abstractNumId="197">
    <w:nsid w:val="57CE66B4"/>
    <w:multiLevelType w:val="hybridMultilevel"/>
    <w:lvl w:ilvl="0">
      <w:lvlJc w:val="left"/>
      <w:lvlText w:val="(%1)"/>
      <w:numFmt w:val="decimal"/>
      <w:start w:val="1"/>
    </w:lvl>
  </w:abstractNum>
  <w:abstractNum w:abstractNumId="198">
    <w:nsid w:val="67A70B69"/>
    <w:multiLevelType w:val="hybridMultilevel"/>
    <w:lvl w:ilvl="0">
      <w:lvlJc w:val="left"/>
      <w:lvlText w:val="(%1)"/>
      <w:numFmt w:val="decimal"/>
      <w:start w:val="1"/>
    </w:lvl>
  </w:abstractNum>
  <w:abstractNum w:abstractNumId="199">
    <w:nsid w:val="5953172F"/>
    <w:multiLevelType w:val="hybridMultilevel"/>
    <w:lvl w:ilvl="0">
      <w:lvlJc w:val="left"/>
      <w:lvlText w:val="(%1)"/>
      <w:numFmt w:val="decimal"/>
      <w:start w:val="1"/>
    </w:lvl>
  </w:abstractNum>
  <w:abstractNum w:abstractNumId="200">
    <w:nsid w:val="27EDFE3A"/>
    <w:multiLevelType w:val="hybridMultilevel"/>
    <w:lvl w:ilvl="0">
      <w:lvlJc w:val="left"/>
      <w:lvlText w:val="(%1)"/>
      <w:numFmt w:val="decimal"/>
      <w:start w:val="1"/>
    </w:lvl>
  </w:abstractNum>
  <w:abstractNum w:abstractNumId="201">
    <w:nsid w:val="52AC7DFF"/>
    <w:multiLevelType w:val="hybridMultilevel"/>
    <w:lvl w:ilvl="0">
      <w:lvlJc w:val="left"/>
      <w:lvlText w:val="(%1)"/>
      <w:numFmt w:val="decimal"/>
      <w:start w:val="1"/>
    </w:lvl>
  </w:abstractNum>
  <w:abstractNum w:abstractNumId="202">
    <w:nsid w:val="C4C3AF"/>
    <w:multiLevelType w:val="hybridMultilevel"/>
    <w:lvl w:ilvl="0">
      <w:lvlJc w:val="left"/>
      <w:lvlText w:val="(%1)"/>
      <w:numFmt w:val="decimal"/>
      <w:start w:val="1"/>
    </w:lvl>
  </w:abstractNum>
  <w:abstractNum w:abstractNumId="203">
    <w:nsid w:val="44380727"/>
    <w:multiLevelType w:val="hybridMultilevel"/>
    <w:lvl w:ilvl="0">
      <w:lvlJc w:val="left"/>
      <w:lvlText w:val="(%1)"/>
      <w:numFmt w:val="lowerRoman"/>
      <w:start w:val="2"/>
    </w:lvl>
  </w:abstractNum>
  <w:abstractNum w:abstractNumId="204">
    <w:nsid w:val="6C053B16"/>
    <w:multiLevelType w:val="hybridMultilevel"/>
    <w:lvl w:ilvl="0">
      <w:lvlJc w:val="left"/>
      <w:lvlText w:val="•"/>
      <w:numFmt w:val="bullet"/>
      <w:start w:val="1"/>
    </w:lvl>
  </w:abstractNum>
  <w:abstractNum w:abstractNumId="205">
    <w:nsid w:val="4F294393"/>
    <w:multiLevelType w:val="hybridMultilevel"/>
    <w:lvl w:ilvl="0">
      <w:lvlJc w:val="left"/>
      <w:lvlText w:val="•"/>
      <w:numFmt w:val="bullet"/>
      <w:start w:val="1"/>
    </w:lvl>
    <w:lvl w:ilvl="1">
      <w:lvlJc w:val="left"/>
      <w:lvlText w:val="•"/>
      <w:numFmt w:val="bullet"/>
      <w:start w:val="1"/>
    </w:lvl>
  </w:abstractNum>
  <w:abstractNum w:abstractNumId="206">
    <w:nsid w:val="5243BFAC"/>
    <w:multiLevelType w:val="hybridMultilevel"/>
    <w:lvl w:ilvl="0">
      <w:lvlJc w:val="left"/>
      <w:lvlText w:val="•"/>
      <w:numFmt w:val="bullet"/>
      <w:start w:val="1"/>
    </w:lvl>
  </w:abstractNum>
  <w:abstractNum w:abstractNumId="207">
    <w:nsid w:val="425EB207"/>
    <w:multiLevelType w:val="hybridMultilevel"/>
    <w:lvl w:ilvl="0">
      <w:lvlJc w:val="left"/>
      <w:lvlText w:val="•"/>
      <w:numFmt w:val="bullet"/>
      <w:start w:val="1"/>
    </w:lvl>
  </w:abstractNum>
  <w:abstractNum w:abstractNumId="208">
    <w:nsid w:val="334A6F1F"/>
    <w:multiLevelType w:val="hybridMultilevel"/>
    <w:lvl w:ilvl="0">
      <w:lvlJc w:val="left"/>
      <w:lvlText w:val="•"/>
      <w:numFmt w:val="bullet"/>
      <w:start w:val="1"/>
    </w:lvl>
  </w:abstractNum>
  <w:abstractNum w:abstractNumId="209">
    <w:nsid w:val="2E5B12B8"/>
    <w:multiLevelType w:val="hybridMultilevel"/>
    <w:lvl w:ilvl="0">
      <w:lvlJc w:val="left"/>
      <w:lvlText w:val="•"/>
      <w:numFmt w:val="bullet"/>
      <w:start w:val="1"/>
    </w:lvl>
  </w:abstractNum>
  <w:abstractNum w:abstractNumId="210">
    <w:nsid w:val="5C03D76D"/>
    <w:multiLevelType w:val="hybridMultilevel"/>
    <w:lvl w:ilvl="0">
      <w:lvlJc w:val="left"/>
      <w:lvlText w:val="•"/>
      <w:numFmt w:val="bullet"/>
      <w:start w:val="1"/>
    </w:lvl>
  </w:abstractNum>
  <w:abstractNum w:abstractNumId="211">
    <w:nsid w:val="66A48D11"/>
    <w:multiLevelType w:val="hybridMultilevel"/>
    <w:lvl w:ilvl="0">
      <w:lvlJc w:val="left"/>
      <w:lvlText w:val="(%1)"/>
      <w:numFmt w:val="lowerRoman"/>
      <w:start w:val="1"/>
    </w:lvl>
  </w:abstractNum>
  <w:abstractNum w:abstractNumId="212">
    <w:nsid w:val="56C28E34"/>
    <w:multiLevelType w:val="hybridMultilevel"/>
    <w:lvl w:ilvl="0">
      <w:lvlJc w:val="left"/>
      <w:lvlText w:val="•"/>
      <w:numFmt w:val="bullet"/>
      <w:start w:val="1"/>
    </w:lvl>
  </w:abstractNum>
  <w:abstractNum w:abstractNumId="213">
    <w:nsid w:val="13916F2D"/>
    <w:multiLevelType w:val="hybridMultilevel"/>
    <w:lvl w:ilvl="0">
      <w:lvlJc w:val="left"/>
      <w:lvlText w:val="•"/>
      <w:numFmt w:val="bullet"/>
      <w:start w:val="1"/>
    </w:lvl>
    <w:lvl w:ilvl="1">
      <w:lvlJc w:val="left"/>
      <w:lvlText w:val="•"/>
      <w:numFmt w:val="bullet"/>
      <w:start w:val="1"/>
    </w:lvl>
  </w:abstractNum>
  <w:abstractNum w:abstractNumId="214">
    <w:nsid w:val="435D38D"/>
    <w:multiLevelType w:val="hybridMultilevel"/>
    <w:lvl w:ilvl="0">
      <w:lvlJc w:val="left"/>
      <w:lvlText w:val="•"/>
      <w:numFmt w:val="bullet"/>
      <w:start w:val="1"/>
    </w:lvl>
    <w:lvl w:ilvl="1">
      <w:lvlJc w:val="left"/>
      <w:lvlText w:val="•"/>
      <w:numFmt w:val="bullet"/>
      <w:start w:val="1"/>
    </w:lvl>
  </w:abstractNum>
  <w:abstractNum w:abstractNumId="215">
    <w:nsid w:val="822C0EF"/>
    <w:multiLevelType w:val="hybridMultilevel"/>
    <w:lvl w:ilvl="0">
      <w:lvlJc w:val="left"/>
      <w:lvlText w:val="•"/>
      <w:numFmt w:val="bullet"/>
      <w:start w:val="1"/>
    </w:lvl>
  </w:abstractNum>
  <w:abstractNum w:abstractNumId="216">
    <w:nsid w:val="57C5BB4F"/>
    <w:multiLevelType w:val="hybridMultilevel"/>
    <w:lvl w:ilvl="0">
      <w:lvlJc w:val="left"/>
      <w:lvlText w:val="•"/>
      <w:numFmt w:val="bullet"/>
      <w:start w:val="1"/>
    </w:lvl>
  </w:abstractNum>
  <w:abstractNum w:abstractNumId="217">
    <w:nsid w:val="1803D089"/>
    <w:multiLevelType w:val="hybridMultilevel"/>
    <w:lvl w:ilvl="0">
      <w:lvlJc w:val="left"/>
      <w:lvlText w:val="•"/>
      <w:numFmt w:val="bullet"/>
      <w:start w:val="1"/>
    </w:lvl>
  </w:abstractNum>
  <w:abstractNum w:abstractNumId="218">
    <w:nsid w:val="4F3A06D4"/>
    <w:multiLevelType w:val="hybridMultilevel"/>
    <w:lvl w:ilvl="0">
      <w:lvlJc w:val="left"/>
      <w:lvlText w:val="*"/>
      <w:numFmt w:val="bullet"/>
      <w:start w:val="1"/>
    </w:lvl>
  </w:abstractNum>
  <w:abstractNum w:abstractNumId="219">
    <w:nsid w:val="59A377B6"/>
    <w:multiLevelType w:val="hybridMultilevel"/>
    <w:lvl w:ilvl="0">
      <w:lvlJc w:val="left"/>
      <w:lvlText w:val="%1."/>
      <w:numFmt w:val="decimal"/>
      <w:start w:val="1"/>
    </w:lvl>
  </w:abstractNum>
  <w:abstractNum w:abstractNumId="220">
    <w:nsid w:val="48AEB063"/>
    <w:multiLevelType w:val="hybridMultilevel"/>
    <w:lvl w:ilvl="0">
      <w:lvlJc w:val="left"/>
      <w:lvlText w:val="%1."/>
      <w:numFmt w:val="decimal"/>
      <w:start w:val="8"/>
    </w:lvl>
  </w:abstractNum>
  <w:abstractNum w:abstractNumId="221">
    <w:nsid w:val="24E135"/>
    <w:multiLevelType w:val="hybridMultilevel"/>
    <w:lvl w:ilvl="0">
      <w:lvlJc w:val="left"/>
      <w:lvlText w:val="%1."/>
      <w:numFmt w:val="decimal"/>
      <w:start w:val="10"/>
    </w:lvl>
  </w:abstractNum>
  <w:abstractNum w:abstractNumId="222">
    <w:nsid w:val="BB13C1"/>
    <w:multiLevelType w:val="hybridMultilevel"/>
    <w:lvl w:ilvl="0">
      <w:lvlJc w:val="left"/>
      <w:lvlText w:val="%1."/>
      <w:numFmt w:val="decimal"/>
      <w:start w:val="2"/>
    </w:lvl>
  </w:abstractNum>
  <w:abstractNum w:abstractNumId="223">
    <w:nsid w:val="271210C7"/>
    <w:multiLevelType w:val="hybridMultilevel"/>
    <w:lvl w:ilvl="0">
      <w:lvlJc w:val="left"/>
      <w:lvlText w:val="(%1)"/>
      <w:numFmt w:val="lowerLetter"/>
      <w:start w:val="4"/>
    </w:lvl>
  </w:abstractNum>
  <w:abstractNum w:abstractNumId="224">
    <w:nsid w:val="217B22E4"/>
    <w:multiLevelType w:val="hybridMultilevel"/>
    <w:lvl w:ilvl="0">
      <w:lvlJc w:val="left"/>
      <w:lvlText w:val="(%1)"/>
      <w:numFmt w:val="lowerRoman"/>
      <w:start w:val="3"/>
    </w:lvl>
  </w:abstractNum>
  <w:abstractNum w:abstractNumId="225">
    <w:nsid w:val="53E31A24"/>
    <w:multiLevelType w:val="hybridMultilevel"/>
    <w:lvl w:ilvl="0">
      <w:lvlJc w:val="left"/>
      <w:lvlText w:val="%1."/>
      <w:numFmt w:val="decimal"/>
      <w:start w:val="11"/>
    </w:lvl>
  </w:abstractNum>
  <w:abstractNum w:abstractNumId="226">
    <w:nsid w:val="6DC45E83"/>
    <w:multiLevelType w:val="hybridMultilevel"/>
    <w:lvl w:ilvl="0">
      <w:lvlJc w:val="left"/>
      <w:lvlText w:val="%1."/>
      <w:numFmt w:val="decimal"/>
      <w:start w:val="12"/>
    </w:lvl>
  </w:abstractNum>
  <w:abstractNum w:abstractNumId="227">
    <w:nsid w:val="17304A67"/>
    <w:multiLevelType w:val="hybridMultilevel"/>
    <w:lvl w:ilvl="0">
      <w:lvlJc w:val="left"/>
      <w:lvlText w:val="7"/>
      <w:numFmt w:val="bullet"/>
      <w:start w:val="1"/>
    </w:lvl>
  </w:abstractNum>
  <w:abstractNum w:abstractNumId="228">
    <w:nsid w:val="2BB180D8"/>
    <w:multiLevelType w:val="hybridMultilevel"/>
    <w:lvl w:ilvl="0">
      <w:lvlJc w:val="left"/>
      <w:lvlText w:val="(%1)"/>
      <w:numFmt w:val="decimal"/>
      <w:start w:val="1"/>
    </w:lvl>
  </w:abstractNum>
  <w:abstractNum w:abstractNumId="229">
    <w:nsid w:val="556B69ED"/>
    <w:multiLevelType w:val="hybridMultilevel"/>
    <w:lvl w:ilvl="0">
      <w:lvlJc w:val="left"/>
      <w:lvlText w:val="(%1)"/>
      <w:numFmt w:val="decimal"/>
      <w:start w:val="21"/>
    </w:lvl>
  </w:abstractNum>
  <w:abstractNum w:abstractNumId="230">
    <w:nsid w:val="708361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1">
    <w:nsid w:val="539F7F12"/>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32">
    <w:nsid w:val="2817E7E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33">
    <w:nsid w:val="71482545"/>
    <w:multiLevelType w:val="hybridMultilevel"/>
    <w:lvl w:ilvl="0">
      <w:lvlJc w:val="left"/>
      <w:lvlText w:val="(%1)"/>
      <w:numFmt w:val="decimal"/>
      <w:start w:val="1"/>
    </w:lvl>
  </w:abstractNum>
  <w:abstractNum w:abstractNumId="234">
    <w:nsid w:val="17D78639"/>
    <w:multiLevelType w:val="hybridMultilevel"/>
    <w:lvl w:ilvl="0">
      <w:lvlJc w:val="left"/>
      <w:lvlText w:val="(%1)"/>
      <w:numFmt w:val="decimal"/>
      <w:start w:val="14"/>
    </w:lvl>
  </w:abstractNum>
  <w:abstractNum w:abstractNumId="235">
    <w:nsid w:val="141D2302"/>
    <w:multiLevelType w:val="hybridMultilevel"/>
    <w:lvl w:ilvl="0">
      <w:lvlJc w:val="left"/>
      <w:lvlText w:val="(%1)"/>
      <w:numFmt w:val="lowerLetter"/>
      <w:start w:val="1"/>
    </w:lvl>
  </w:abstractNum>
  <w:abstractNum w:abstractNumId="236">
    <w:nsid w:val="407168D8"/>
    <w:multiLevelType w:val="hybridMultilevel"/>
    <w:lvl w:ilvl="0">
      <w:lvlJc w:val="left"/>
      <w:lvlText w:val="(%1)"/>
      <w:numFmt w:val="lowerLetter"/>
      <w:start w:val="1"/>
    </w:lvl>
  </w:abstractNum>
  <w:abstractNum w:abstractNumId="237">
    <w:nsid w:val="6A1B45E5"/>
    <w:multiLevelType w:val="hybridMultilevel"/>
    <w:lvl w:ilvl="0">
      <w:lvlJc w:val="left"/>
      <w:lvlText w:val="(%1)"/>
      <w:numFmt w:val="lowerLetter"/>
      <w:start w:val="4"/>
    </w:lvl>
  </w:abstractNum>
  <w:abstractNum w:abstractNumId="238">
    <w:nsid w:val="567BD50A"/>
    <w:multiLevelType w:val="hybridMultilevel"/>
    <w:lvl w:ilvl="0">
      <w:lvlJc w:val="left"/>
      <w:lvlText w:val="%1."/>
      <w:numFmt w:val="decimal"/>
      <w:start w:val="1"/>
    </w:lvl>
  </w:abstractNum>
  <w:abstractNum w:abstractNumId="239">
    <w:nsid w:val="73BBD7F8"/>
    <w:multiLevelType w:val="hybridMultilevel"/>
    <w:lvl w:ilvl="0">
      <w:lvlJc w:val="left"/>
      <w:lvlText w:val="☐"/>
      <w:numFmt w:val="bullet"/>
      <w:start w:val="1"/>
    </w:lvl>
  </w:abstractNum>
  <w:abstractNum w:abstractNumId="240">
    <w:nsid w:val="1876589D"/>
    <w:multiLevelType w:val="hybridMultilevel"/>
    <w:lvl w:ilvl="0">
      <w:lvlJc w:val="left"/>
      <w:lvlText w:val="%1)"/>
      <w:numFmt w:val="lowerLetter"/>
      <w:start w:val="1"/>
    </w:lvl>
  </w:abstractNum>
  <w:abstractNum w:abstractNumId="241">
    <w:nsid w:val="327FAC77"/>
    <w:multiLevelType w:val="hybridMultilevel"/>
    <w:lvl w:ilvl="0">
      <w:lvlJc w:val="left"/>
      <w:lvlText w:val="%1)"/>
      <w:numFmt w:val="lowerLetter"/>
      <w:start w:val="2"/>
    </w:lvl>
  </w:abstractNum>
  <w:abstractNum w:abstractNumId="242">
    <w:nsid w:val="5A606509"/>
    <w:multiLevelType w:val="hybridMultilevel"/>
    <w:lvl w:ilvl="0">
      <w:lvlJc w:val="left"/>
      <w:lvlText w:val="*"/>
      <w:numFmt w:val="bullet"/>
      <w:start w:val="1"/>
    </w:lvl>
    <w:lvl w:ilvl="1">
      <w:lvlJc w:val="left"/>
      <w:lvlText w:val="%2."/>
      <w:numFmt w:val="decimal"/>
      <w:start w:val="1"/>
    </w:lvl>
  </w:abstractNum>
  <w:abstractNum w:abstractNumId="243">
    <w:nsid w:val="6F38E6D1"/>
    <w:multiLevelType w:val="hybridMultilevel"/>
    <w:lvl w:ilvl="0">
      <w:lvlJc w:val="left"/>
      <w:lvlText w:val="**"/>
      <w:numFmt w:val="bullet"/>
      <w:start w:val="1"/>
    </w:lvl>
    <w:lvl w:ilvl="1">
      <w:lvlJc w:val="left"/>
      <w:lvlText w:val="%2"/>
      <w:numFmt w:val="decimal"/>
      <w:start w:val="1"/>
    </w:lvl>
  </w:abstractNum>
  <w:abstractNum w:abstractNumId="244">
    <w:nsid w:val="46111BA5"/>
    <w:multiLevelType w:val="hybridMultilevel"/>
    <w:lvl w:ilvl="0">
      <w:lvlJc w:val="left"/>
      <w:lvlText w:val="*"/>
      <w:numFmt w:val="bullet"/>
      <w:start w:val="1"/>
    </w:lvl>
  </w:abstractNum>
  <w:abstractNum w:abstractNumId="245">
    <w:nsid w:val="5E963896"/>
    <w:multiLevelType w:val="hybridMultilevel"/>
    <w:lvl w:ilvl="0">
      <w:lvlJc w:val="left"/>
      <w:lvlText w:val="**"/>
      <w:numFmt w:val="bullet"/>
      <w:start w:val="1"/>
    </w:lvl>
  </w:abstractNum>
  <w:abstractNum w:abstractNumId="246">
    <w:nsid w:val="775BA7C1"/>
    <w:multiLevelType w:val="hybridMultilevel"/>
    <w:lvl w:ilvl="0">
      <w:lvlJc w:val="left"/>
      <w:lvlText w:val="☐"/>
      <w:numFmt w:val="bullet"/>
      <w:start w:val="1"/>
    </w:lvl>
  </w:abstractNum>
  <w:abstractNum w:abstractNumId="247">
    <w:nsid w:val="1DD6D6F4"/>
    <w:multiLevelType w:val="hybridMultilevel"/>
    <w:lvl w:ilvl="0">
      <w:lvlJc w:val="left"/>
      <w:lvlText w:val="☐"/>
      <w:numFmt w:val="bullet"/>
      <w:start w:val="1"/>
    </w:lvl>
  </w:abstractNum>
  <w:abstractNum w:abstractNumId="248">
    <w:nsid w:val="769A091F"/>
    <w:multiLevelType w:val="hybridMultilevel"/>
    <w:lvl w:ilvl="0">
      <w:lvlJc w:val="left"/>
      <w:lvlText w:val="(%1)"/>
      <w:numFmt w:val="lowerRoman"/>
      <w:start w:val="2"/>
    </w:lvl>
  </w:abstractNum>
  <w:abstractNum w:abstractNumId="249">
    <w:nsid w:val="4695AE95"/>
    <w:multiLevelType w:val="hybridMultilevel"/>
    <w:lvl w:ilvl="0">
      <w:lvlJc w:val="left"/>
      <w:lvlText w:val="☐"/>
      <w:numFmt w:val="bullet"/>
      <w:start w:val="1"/>
    </w:lvl>
  </w:abstractNum>
  <w:abstractNum w:abstractNumId="250">
    <w:nsid w:val="777A4EAA"/>
    <w:multiLevelType w:val="hybridMultilevel"/>
    <w:lvl w:ilvl="0">
      <w:lvlJc w:val="left"/>
      <w:lvlText w:val="(%1)"/>
      <w:numFmt w:val="lowerRoman"/>
      <w:start w:val="4"/>
    </w:lvl>
  </w:abstractNum>
  <w:abstractNum w:abstractNumId="251">
    <w:nsid w:val="3F48B982"/>
    <w:multiLevelType w:val="hybridMultilevel"/>
    <w:lvl w:ilvl="0">
      <w:lvlJc w:val="left"/>
      <w:lvlText w:val="(%1)"/>
      <w:numFmt w:val="decimal"/>
      <w:start w:val="1"/>
    </w:lvl>
  </w:abstractNum>
  <w:abstractNum w:abstractNumId="252">
    <w:nsid w:val="46BA8FCA"/>
    <w:multiLevelType w:val="hybridMultilevel"/>
    <w:lvl w:ilvl="0">
      <w:lvlJc w:val="left"/>
      <w:lvlText w:val="*"/>
      <w:numFmt w:val="bullet"/>
      <w:start w:val="1"/>
    </w:lvl>
  </w:abstractNum>
  <w:abstractNum w:abstractNumId="253">
    <w:nsid w:val="7835626C"/>
    <w:multiLevelType w:val="hybridMultilevel"/>
    <w:lvl w:ilvl="0">
      <w:lvlJc w:val="left"/>
      <w:lvlText w:val="(%1)"/>
      <w:numFmt w:val="decimal"/>
      <w:start w:val="1"/>
    </w:lvl>
  </w:abstractNum>
  <w:abstractNum w:abstractNumId="254">
    <w:nsid w:val="665ACA49"/>
    <w:multiLevelType w:val="hybridMultilevel"/>
    <w:lvl w:ilvl="0">
      <w:lvlJc w:val="left"/>
      <w:lvlText w:val="(%1)"/>
      <w:numFmt w:val="decimal"/>
      <w:start w:val="3"/>
    </w:lvl>
  </w:abstractNum>
  <w:abstractNum w:abstractNumId="255">
    <w:nsid w:val="6835B2AE"/>
    <w:multiLevelType w:val="hybridMultilevel"/>
    <w:lvl w:ilvl="0">
      <w:lvlJc w:val="left"/>
      <w:lvlText w:val="•"/>
      <w:numFmt w:val="bullet"/>
      <w:start w:val="1"/>
    </w:lvl>
  </w:abstractNum>
  <w:abstractNum w:abstractNumId="256">
    <w:nsid w:val="4C187C90"/>
    <w:multiLevelType w:val="hybridMultilevel"/>
    <w:lvl w:ilvl="0">
      <w:lvlJc w:val="left"/>
      <w:lvlText w:val="(%1)"/>
      <w:numFmt w:val="decimal"/>
      <w:start w:val="1"/>
    </w:lvl>
  </w:abstractNum>
  <w:abstractNum w:abstractNumId="257">
    <w:nsid w:val="541F28CD"/>
    <w:multiLevelType w:val="hybridMultilevel"/>
    <w:lvl w:ilvl="0">
      <w:lvlJc w:val="left"/>
      <w:lvlText w:val="%1."/>
      <w:numFmt w:val="decimal"/>
      <w:start w:val="1"/>
    </w:lvl>
  </w:abstractNum>
  <w:abstractNum w:abstractNumId="258">
    <w:nsid w:val="7F65FD16"/>
    <w:multiLevelType w:val="hybridMultilevel"/>
    <w:lvl w:ilvl="0">
      <w:lvlJc w:val="left"/>
      <w:lvlText w:val="*"/>
      <w:numFmt w:val="bullet"/>
      <w:start w:val="1"/>
    </w:lvl>
  </w:abstractNum>
  <w:abstractNum w:abstractNumId="259">
    <w:nsid w:val="77C9FD68"/>
    <w:multiLevelType w:val="hybridMultilevel"/>
    <w:lvl w:ilvl="0">
      <w:lvlJc w:val="left"/>
      <w:lvlText w:val="**"/>
      <w:numFmt w:val="bullet"/>
      <w:start w:val="1"/>
    </w:lvl>
  </w:abstractNum>
  <w:abstractNum w:abstractNumId="260">
    <w:nsid w:val="298A92BA"/>
    <w:multiLevelType w:val="hybridMultilevel"/>
    <w:lvl w:ilvl="0">
      <w:lvlJc w:val="left"/>
      <w:lvlText w:val="***"/>
      <w:numFmt w:val="bullet"/>
      <w:start w:val="1"/>
    </w:lvl>
  </w:abstractNum>
  <w:abstractNum w:abstractNumId="261">
    <w:nsid w:val="6FE95EAC"/>
    <w:multiLevelType w:val="hybridMultilevel"/>
    <w:lvl w:ilvl="0">
      <w:lvlJc w:val="left"/>
      <w:lvlText w:val="☐"/>
      <w:numFmt w:val="bullet"/>
      <w:start w:val="1"/>
    </w:lvl>
  </w:abstractNum>
  <w:abstractNum w:abstractNumId="262">
    <w:nsid w:val="4B697C7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2019-12-20T18:30:16Z</dcterms:created>
  <dcterms:modified xsi:type="dcterms:W3CDTF">2019-12-20T18:30:16Z</dcterms:modified>
</cp:coreProperties>
</file>