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2159000</wp:posOffset>
            </wp:positionH>
            <wp:positionV relativeFrom="paragraph">
              <wp:posOffset>299085</wp:posOffset>
            </wp:positionV>
            <wp:extent cx="28568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2159000</wp:posOffset>
            </wp:positionH>
            <wp:positionV relativeFrom="paragraph">
              <wp:posOffset>191770</wp:posOffset>
            </wp:positionV>
            <wp:extent cx="28568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March 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2159000</wp:posOffset>
            </wp:positionH>
            <wp:positionV relativeFrom="paragraph">
              <wp:posOffset>201295</wp:posOffset>
            </wp:positionV>
            <wp:extent cx="285686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3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WYNN RESORTS, LIMITED</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98"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40" w:type="dxa"/>
            <w:vAlign w:val="bottom"/>
            <w:gridSpan w:val="2"/>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w w:val="97"/>
              </w:rPr>
              <w:t>Nevada</w:t>
            </w:r>
          </w:p>
        </w:tc>
        <w:tc>
          <w:tcPr>
            <w:tcW w:w="3260" w:type="dxa"/>
            <w:vAlign w:val="bottom"/>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000-50028</w:t>
            </w:r>
          </w:p>
        </w:tc>
        <w:tc>
          <w:tcPr>
            <w:tcW w:w="2760" w:type="dxa"/>
            <w:vAlign w:val="bottom"/>
            <w:gridSpan w:val="3"/>
          </w:tcPr>
          <w:p>
            <w:pPr>
              <w:jc w:val="right"/>
              <w:ind w:right="1640"/>
              <w:spacing w:after="0"/>
              <w:rPr>
                <w:sz w:val="20"/>
                <w:szCs w:val="20"/>
                <w:color w:val="auto"/>
              </w:rPr>
            </w:pPr>
            <w:r>
              <w:rPr>
                <w:rFonts w:ascii="Times New Roman" w:cs="Times New Roman" w:eastAsia="Times New Roman" w:hAnsi="Times New Roman"/>
                <w:sz w:val="14"/>
                <w:szCs w:val="14"/>
                <w:b w:val="1"/>
                <w:bCs w:val="1"/>
                <w:color w:val="auto"/>
              </w:rPr>
              <w:t>46-0484987</w:t>
            </w:r>
          </w:p>
        </w:tc>
        <w:tc>
          <w:tcPr>
            <w:tcW w:w="1260" w:type="dxa"/>
            <w:vAlign w:val="bottom"/>
          </w:tcPr>
          <w:p>
            <w:pPr>
              <w:spacing w:after="0"/>
              <w:rPr>
                <w:sz w:val="16"/>
                <w:szCs w:val="16"/>
                <w:color w:val="auto"/>
              </w:rPr>
            </w:pPr>
          </w:p>
        </w:tc>
      </w:tr>
      <w:tr>
        <w:trPr>
          <w:trHeight w:val="149"/>
        </w:trPr>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40" w:type="dxa"/>
            <w:vAlign w:val="bottom"/>
            <w:gridSpan w:val="2"/>
          </w:tcPr>
          <w:p>
            <w:pPr>
              <w:jc w:val="center"/>
              <w:ind w:left="276"/>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1140" w:type="dxa"/>
            <w:vAlign w:val="bottom"/>
          </w:tcPr>
          <w:p>
            <w:pPr>
              <w:spacing w:after="0"/>
              <w:rPr>
                <w:sz w:val="12"/>
                <w:szCs w:val="12"/>
                <w:color w:val="auto"/>
              </w:rPr>
            </w:pPr>
          </w:p>
        </w:tc>
        <w:tc>
          <w:tcPr>
            <w:tcW w:w="212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(Commission</w:t>
            </w:r>
          </w:p>
        </w:tc>
        <w:tc>
          <w:tcPr>
            <w:tcW w:w="120" w:type="dxa"/>
            <w:vAlign w:val="bottom"/>
          </w:tcPr>
          <w:p>
            <w:pPr>
              <w:spacing w:after="0"/>
              <w:rPr>
                <w:sz w:val="12"/>
                <w:szCs w:val="12"/>
                <w:color w:val="auto"/>
              </w:rPr>
            </w:pPr>
          </w:p>
        </w:tc>
        <w:tc>
          <w:tcPr>
            <w:tcW w:w="3900" w:type="dxa"/>
            <w:vAlign w:val="bottom"/>
            <w:gridSpan w:val="3"/>
          </w:tcPr>
          <w:p>
            <w:pPr>
              <w:jc w:val="center"/>
              <w:ind w:right="2600"/>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40" w:type="dxa"/>
            <w:vAlign w:val="bottom"/>
            <w:gridSpan w:val="2"/>
          </w:tcPr>
          <w:p>
            <w:pPr>
              <w:jc w:val="center"/>
              <w:ind w:left="276"/>
              <w:spacing w:after="0"/>
              <w:rPr>
                <w:sz w:val="20"/>
                <w:szCs w:val="20"/>
                <w:color w:val="auto"/>
              </w:rPr>
            </w:pPr>
            <w:r>
              <w:rPr>
                <w:rFonts w:ascii="Times New Roman" w:cs="Times New Roman" w:eastAsia="Times New Roman" w:hAnsi="Times New Roman"/>
                <w:sz w:val="11"/>
                <w:szCs w:val="11"/>
                <w:b w:val="1"/>
                <w:bCs w:val="1"/>
                <w:color w:val="auto"/>
              </w:rPr>
              <w:t>of incorporation)</w:t>
            </w:r>
          </w:p>
        </w:tc>
        <w:tc>
          <w:tcPr>
            <w:tcW w:w="1140" w:type="dxa"/>
            <w:vAlign w:val="bottom"/>
          </w:tcPr>
          <w:p>
            <w:pPr>
              <w:spacing w:after="0"/>
              <w:rPr>
                <w:sz w:val="12"/>
                <w:szCs w:val="12"/>
                <w:color w:val="auto"/>
              </w:rPr>
            </w:pPr>
          </w:p>
        </w:tc>
        <w:tc>
          <w:tcPr>
            <w:tcW w:w="212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120" w:type="dxa"/>
            <w:vAlign w:val="bottom"/>
          </w:tcPr>
          <w:p>
            <w:pPr>
              <w:spacing w:after="0"/>
              <w:rPr>
                <w:sz w:val="12"/>
                <w:szCs w:val="12"/>
                <w:color w:val="auto"/>
              </w:rPr>
            </w:pPr>
          </w:p>
        </w:tc>
        <w:tc>
          <w:tcPr>
            <w:tcW w:w="3900" w:type="dxa"/>
            <w:vAlign w:val="bottom"/>
            <w:gridSpan w:val="3"/>
          </w:tcPr>
          <w:p>
            <w:pPr>
              <w:jc w:val="center"/>
              <w:ind w:right="2580"/>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206"/>
        </w:trPr>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0" w:type="dxa"/>
            <w:vAlign w:val="bottom"/>
            <w:gridSpan w:val="4"/>
          </w:tcPr>
          <w:p>
            <w:pPr>
              <w:jc w:val="center"/>
              <w:ind w:right="2859"/>
              <w:spacing w:after="0"/>
              <w:rPr>
                <w:sz w:val="20"/>
                <w:szCs w:val="20"/>
                <w:color w:val="auto"/>
              </w:rPr>
            </w:pPr>
            <w:r>
              <w:rPr>
                <w:rFonts w:ascii="Times New Roman" w:cs="Times New Roman" w:eastAsia="Times New Roman" w:hAnsi="Times New Roman"/>
                <w:sz w:val="14"/>
                <w:szCs w:val="14"/>
                <w:b w:val="1"/>
                <w:bCs w:val="1"/>
                <w:color w:val="auto"/>
                <w:w w:val="99"/>
              </w:rPr>
              <w:t>3131 Las Vegas Boulevard South</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78"/>
        </w:trPr>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9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Las Vegas, Nevada</w:t>
            </w:r>
          </w:p>
        </w:tc>
        <w:tc>
          <w:tcPr>
            <w:tcW w:w="1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760" w:type="dxa"/>
            <w:vAlign w:val="bottom"/>
            <w:gridSpan w:val="3"/>
          </w:tcPr>
          <w:p>
            <w:pPr>
              <w:jc w:val="right"/>
              <w:ind w:right="1800"/>
              <w:spacing w:after="0"/>
              <w:rPr>
                <w:sz w:val="20"/>
                <w:szCs w:val="20"/>
                <w:color w:val="auto"/>
              </w:rPr>
            </w:pPr>
            <w:r>
              <w:rPr>
                <w:rFonts w:ascii="Times New Roman" w:cs="Times New Roman" w:eastAsia="Times New Roman" w:hAnsi="Times New Roman"/>
                <w:sz w:val="14"/>
                <w:szCs w:val="14"/>
                <w:b w:val="1"/>
                <w:bCs w:val="1"/>
                <w:color w:val="auto"/>
              </w:rPr>
              <w:t>89109</w:t>
            </w:r>
          </w:p>
        </w:tc>
        <w:tc>
          <w:tcPr>
            <w:tcW w:w="1260" w:type="dxa"/>
            <w:vAlign w:val="bottom"/>
          </w:tcPr>
          <w:p>
            <w:pPr>
              <w:spacing w:after="0"/>
              <w:rPr>
                <w:sz w:val="15"/>
                <w:szCs w:val="15"/>
                <w:color w:val="auto"/>
              </w:rPr>
            </w:pPr>
          </w:p>
        </w:tc>
      </w:tr>
      <w:tr>
        <w:trPr>
          <w:trHeight w:val="159"/>
        </w:trPr>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0" w:type="dxa"/>
            <w:vAlign w:val="bottom"/>
            <w:gridSpan w:val="4"/>
          </w:tcPr>
          <w:p>
            <w:pPr>
              <w:jc w:val="center"/>
              <w:ind w:right="2859"/>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120" w:type="dxa"/>
            <w:vAlign w:val="bottom"/>
          </w:tcPr>
          <w:p>
            <w:pPr>
              <w:spacing w:after="0"/>
              <w:rPr>
                <w:sz w:val="13"/>
                <w:szCs w:val="13"/>
                <w:color w:val="auto"/>
              </w:rPr>
            </w:pPr>
          </w:p>
        </w:tc>
        <w:tc>
          <w:tcPr>
            <w:tcW w:w="3900" w:type="dxa"/>
            <w:vAlign w:val="bottom"/>
            <w:gridSpan w:val="3"/>
          </w:tcPr>
          <w:p>
            <w:pPr>
              <w:jc w:val="center"/>
              <w:ind w:right="2580"/>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573"/>
        </w:trPr>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(702) 770-7555</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49"/>
        </w:trPr>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329"/>
        </w:trPr>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20" w:type="dxa"/>
            <w:vAlign w:val="bottom"/>
          </w:tcPr>
          <w:p>
            <w:pPr>
              <w:jc w:val="center"/>
              <w:ind w:right="1039"/>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49"/>
        </w:trPr>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93"/>
        </w:trPr>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457"/>
        </w:trPr>
        <w:tc>
          <w:tcPr>
            <w:tcW w:w="40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4"/>
        </w:trPr>
        <w:tc>
          <w:tcPr>
            <w:tcW w:w="1000" w:type="dxa"/>
            <w:vAlign w:val="bottom"/>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40" w:type="dxa"/>
            <w:vAlign w:val="bottom"/>
            <w:gridSpan w:val="2"/>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2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1260" w:type="dxa"/>
            <w:vAlign w:val="bottom"/>
          </w:tcPr>
          <w:p>
            <w:pPr>
              <w:spacing w:after="0"/>
              <w:rPr>
                <w:sz w:val="21"/>
                <w:szCs w:val="21"/>
                <w:color w:val="auto"/>
              </w:rPr>
            </w:pPr>
          </w:p>
        </w:tc>
      </w:tr>
      <w:tr>
        <w:trPr>
          <w:trHeight w:val="192"/>
        </w:trPr>
        <w:tc>
          <w:tcPr>
            <w:tcW w:w="400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color w:val="auto"/>
              </w:rPr>
              <w:t>Common stock, par value $0.01</w:t>
            </w:r>
          </w:p>
        </w:tc>
        <w:tc>
          <w:tcPr>
            <w:tcW w:w="3260" w:type="dxa"/>
            <w:vAlign w:val="bottom"/>
            <w:gridSpan w:val="2"/>
          </w:tcPr>
          <w:p>
            <w:pPr>
              <w:jc w:val="center"/>
              <w:ind w:right="2039"/>
              <w:spacing w:after="0"/>
              <w:rPr>
                <w:sz w:val="20"/>
                <w:szCs w:val="20"/>
                <w:color w:val="auto"/>
              </w:rPr>
            </w:pPr>
            <w:r>
              <w:rPr>
                <w:rFonts w:ascii="Times New Roman" w:cs="Times New Roman" w:eastAsia="Times New Roman" w:hAnsi="Times New Roman"/>
                <w:sz w:val="14"/>
                <w:szCs w:val="14"/>
                <w:color w:val="auto"/>
              </w:rPr>
              <w:t>WYNN</w:t>
            </w:r>
          </w:p>
        </w:tc>
        <w:tc>
          <w:tcPr>
            <w:tcW w:w="120" w:type="dxa"/>
            <w:vAlign w:val="bottom"/>
          </w:tcPr>
          <w:p>
            <w:pPr>
              <w:spacing w:after="0"/>
              <w:rPr>
                <w:sz w:val="16"/>
                <w:szCs w:val="16"/>
                <w:color w:val="auto"/>
              </w:rPr>
            </w:pPr>
          </w:p>
        </w:tc>
        <w:tc>
          <w:tcPr>
            <w:tcW w:w="3900" w:type="dxa"/>
            <w:vAlign w:val="bottom"/>
            <w:gridSpan w:val="3"/>
          </w:tcPr>
          <w:p>
            <w:pPr>
              <w:jc w:val="center"/>
              <w:ind w:right="1260"/>
              <w:spacing w:after="0"/>
              <w:rPr>
                <w:sz w:val="20"/>
                <w:szCs w:val="20"/>
                <w:color w:val="auto"/>
              </w:rPr>
            </w:pPr>
            <w:r>
              <w:rPr>
                <w:rFonts w:ascii="Times New Roman" w:cs="Times New Roman" w:eastAsia="Times New Roman" w:hAnsi="Times New Roman"/>
                <w:sz w:val="14"/>
                <w:szCs w:val="14"/>
                <w:color w:val="auto"/>
              </w:rPr>
              <w:t>Nasdaq Global Select Market</w:t>
            </w:r>
          </w:p>
        </w:tc>
      </w:tr>
      <w:tr>
        <w:trPr>
          <w:trHeight w:val="150"/>
        </w:trPr>
        <w:tc>
          <w:tcPr>
            <w:tcW w:w="10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bl>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0" w:lineRule="exact"/>
        <w:rPr>
          <w:sz w:val="24"/>
          <w:szCs w:val="2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4"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9"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8"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9" w:lineRule="exact"/>
        <w:rPr>
          <w:sz w:val="24"/>
          <w:szCs w:val="24"/>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1" w:lineRule="exact"/>
        <w:rPr>
          <w:sz w:val="24"/>
          <w:szCs w:val="24"/>
          <w:color w:val="auto"/>
        </w:rPr>
      </w:pPr>
    </w:p>
    <w:p>
      <w:pPr>
        <w:ind w:right="280"/>
        <w:spacing w:after="0" w:line="17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422910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 w:name="page2"/>
    <w:bookmarkEnd w:id="1"/>
    <w:p>
      <w:pPr>
        <w:ind w:left="20"/>
        <w:spacing w:after="0"/>
        <w:tabs>
          <w:tab w:leader="none" w:pos="134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85"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On March 2, 2023, Wynn Macau, Limited (“WML”), an indirect subsidiary of Wynn Resorts, Limited (the “Registrant”) with its ordinary shares of common stock listed on The Stock Exchange of Hong Kong Limited (the “HKSE”), filed with the HKSE an announcement (the “Announcement”) in connection with a proposed private offering (the “Offering”) pursuant to Rule 144A and Regulation S under the Securities Act of 1933 (the “Securities Act”) by WML of convertible bonds (the “Bonds”) convertible into ordinary shares of WML. The completion of the Offering is subject to, among other things, market conditions and investor interest.</w:t>
      </w:r>
    </w:p>
    <w:p>
      <w:pPr>
        <w:spacing w:after="0" w:line="162"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connection with the Offering, WM Cayman Holdings I Limited, a wholly owned subsidiary of the Registrant and the direct holder of approximately 72% of WML’s ordinary shares (the “Lender”), intends to enter into a stock borrowing and lending agreement with an affiliate of one of the initial purchasers of the Bonds (the “Borrower”) pursuant to which the Lender will lend ordinary shares of WML to the Borrower for the purposes of facilitating stock lending by the Borrower and/or its affiliates to investors in the Bonds.</w:t>
      </w:r>
    </w:p>
    <w:p>
      <w:pPr>
        <w:spacing w:after="0" w:line="15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Announcement also contains recent developments and preliminary results for the first quarter of 2023 of the Registrant’s Macau operations. The Announcement is furnished herewith as Exhibit 99.1.</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information furnished pursuant to this Item 7.01 (including Exhibit 99.1 hereto) shall not be deemed to be “filed” for purposes of Section 18 of the Securities Exchange Act of 1934, as</w:t>
      </w:r>
    </w:p>
    <w:p>
      <w:pPr>
        <w:spacing w:after="0" w:line="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amended (the “Exchange Act”), or otherwise subject to the liabilities of that section, nor shall it be deemed incorporated by reference in any filing under the Securities Act or the Exchange Act, except as shall be expressly set forth by specific reference in such a filing.</w:t>
      </w:r>
    </w:p>
    <w:p>
      <w:pPr>
        <w:spacing w:after="0" w:line="145"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This Current Report on Form 8-K contains forward-looking statements within the meaning of Section 27A of the Securities Act and Section 21E of the Exchange Act. Such forward-looking statements are subject to numerous assumptions, risks and uncertainties that could cause actual results to differ materially from those described in such statements. Such forward-looking statements are based on management’s expectations or beliefs as of March 2, 2023 and include, but are not limited to, statements regarding the proposed Offering, the stock borrowing and lending agreement and the preliminary results for the first quarter of 2023 of the Registrant’s Macau operations contained in Exhibit 99.1. Factors that might cause such differences include, but are not limited to, a variety of economic, competitive, and regulatory factors, many of which are beyond the Registrant’s control and are described in the Registrant’s Annual Report on Form 10-K filed by the Registrant on February 27, 2023 with the Securities and Exchange Commission (the “SEC”) and the other reports the Registrant files from time to time with the SEC. The Registrant undertakes no obligation to revise or publicly release any updates to such statements based on future information or actual results.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9.01</w:t>
            </w:r>
          </w:p>
        </w:tc>
        <w:tc>
          <w:tcPr>
            <w:tcW w:w="101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Financial Statements and Exhibits.</w:t>
            </w:r>
          </w:p>
        </w:tc>
      </w:tr>
      <w:tr>
        <w:trPr>
          <w:trHeight w:val="340"/>
        </w:trPr>
        <w:tc>
          <w:tcPr>
            <w:tcW w:w="2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 Exhibits.</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580" w:type="dxa"/>
            <w:vAlign w:val="bottom"/>
          </w:tcPr>
          <w:p>
            <w:pPr>
              <w:spacing w:after="0"/>
              <w:rPr>
                <w:sz w:val="18"/>
                <w:szCs w:val="18"/>
                <w:color w:val="auto"/>
              </w:rPr>
            </w:pPr>
          </w:p>
        </w:tc>
        <w:tc>
          <w:tcPr>
            <w:tcW w:w="10120" w:type="dxa"/>
            <w:vAlign w:val="bottom"/>
            <w:gridSpan w:val="4"/>
          </w:tcPr>
          <w:p>
            <w:pPr>
              <w:ind w:left="20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213"/>
        </w:trPr>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99.1</w:t>
            </w:r>
          </w:p>
        </w:tc>
        <w:tc>
          <w:tcPr>
            <w:tcW w:w="580" w:type="dxa"/>
            <w:vAlign w:val="bottom"/>
          </w:tcPr>
          <w:p>
            <w:pPr>
              <w:spacing w:after="0"/>
              <w:rPr>
                <w:sz w:val="18"/>
                <w:szCs w:val="18"/>
                <w:color w:val="auto"/>
              </w:rPr>
            </w:pPr>
          </w:p>
        </w:tc>
        <w:tc>
          <w:tcPr>
            <w:tcW w:w="1012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0000FF"/>
              </w:rPr>
              <w:t>Announcement of Wynn Macau, Limited, dated March 2, 2023</w:t>
            </w:r>
          </w:p>
        </w:tc>
      </w:tr>
      <w:tr>
        <w:trPr>
          <w:trHeight w:val="957"/>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3000" w:type="dxa"/>
            <w:vAlign w:val="bottom"/>
            <w:tcBorders>
              <w:top w:val="single" w:sz="8" w:color="0000FF"/>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b w:val="1"/>
          <w:bCs w:val="1"/>
          <w:color w:val="auto"/>
        </w:rPr>
        <w:t>WYNN RESORTS, LIMITED</w:t>
      </w:r>
    </w:p>
    <w:p>
      <w:pPr>
        <w:sectPr>
          <w:pgSz w:w="11900" w:h="16838" w:orient="portrait"/>
          <w:cols w:equalWidth="0" w:num="1">
            <w:col w:w="10320"/>
          </w:cols>
          <w:pgMar w:left="660" w:top="728" w:right="919" w:bottom="1440" w:gutter="0" w:footer="0" w:header="0"/>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March 2, 2023</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Julie Cameron-Doe</w:t>
      </w:r>
    </w:p>
    <w:p>
      <w:pPr>
        <w:spacing w:after="0" w:line="34" w:lineRule="exact"/>
        <w:rPr>
          <w:sz w:val="20"/>
          <w:szCs w:val="20"/>
          <w:color w:val="auto"/>
        </w:rPr>
      </w:pPr>
    </w:p>
    <w:p>
      <w:pPr>
        <w:sectPr>
          <w:pgSz w:w="11900" w:h="16838" w:orient="portrait"/>
          <w:cols w:equalWidth="0" w:num="2">
            <w:col w:w="5760" w:space="720"/>
            <w:col w:w="3840"/>
          </w:cols>
          <w:pgMar w:left="660" w:top="728" w:right="919" w:bottom="1440" w:gutter="0" w:footer="0" w:header="0"/>
          <w:type w:val="continuous"/>
        </w:sectPr>
      </w:pPr>
    </w:p>
    <w:p>
      <w:pPr>
        <w:ind w:left="6580"/>
        <w:spacing w:after="0"/>
        <w:rPr>
          <w:sz w:val="20"/>
          <w:szCs w:val="20"/>
          <w:color w:val="auto"/>
        </w:rPr>
      </w:pPr>
      <w:r>
        <w:rPr>
          <w:rFonts w:ascii="Times New Roman" w:cs="Times New Roman" w:eastAsia="Times New Roman" w:hAnsi="Times New Roman"/>
          <w:sz w:val="14"/>
          <w:szCs w:val="14"/>
          <w:color w:val="auto"/>
        </w:rPr>
        <w:t>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-101600</wp:posOffset>
            </wp:positionV>
            <wp:extent cx="24879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87930" cy="698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ectPr>
          <w:pgSz w:w="11900" w:h="16838" w:orient="portrait"/>
          <w:cols w:equalWidth="0" w:num="1">
            <w:col w:w="10320"/>
          </w:cols>
          <w:pgMar w:left="660" w:top="728" w:right="919" w:bottom="1440" w:gutter="0" w:footer="0" w:header="0"/>
          <w:type w:val="continuous"/>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2023-03-02T07:30:43Z</dcterms:created>
  <dcterms:modified xsi:type="dcterms:W3CDTF">2023-03-02T07:30:43Z</dcterms:modified>
</cp:coreProperties>
</file>