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320"/>
          </w:cols>
          <w:pgMar w:left="240" w:top="230" w:right="339" w:bottom="1440" w:gutter="0" w:footer="0" w:header="0"/>
        </w:sectPr>
      </w:pPr>
    </w:p>
    <w:p>
      <w:pPr>
        <w:spacing w:after="0" w:line="1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jc w:val="both"/>
        <w:ind w:right="2140" w:hanging="319"/>
        <w:spacing w:after="0" w:line="341" w:lineRule="auto"/>
        <w:rPr>
          <w:sz w:val="20"/>
          <w:szCs w:val="20"/>
          <w:color w:val="auto"/>
        </w:rPr>
      </w:pPr>
      <w:r>
        <w:rPr>
          <w:rFonts w:ascii="MS PGothic" w:cs="MS PGothic" w:eastAsia="MS PGothic" w:hAnsi="MS PGothic"/>
          <w:sz w:val="15"/>
          <w:szCs w:val="15"/>
          <w:color w:val="auto"/>
        </w:rPr>
        <w:t>☐</w:t>
      </w:r>
      <w:r>
        <w:rPr>
          <w:sz w:val="20"/>
          <w:szCs w:val="20"/>
          <w:color w:val="auto"/>
        </w:rPr>
        <w:t xml:space="preserve"> </w:t>
      </w:r>
      <w:r>
        <w:rPr>
          <w:rFonts w:ascii="Arial" w:cs="Arial" w:eastAsia="Arial" w:hAnsi="Arial"/>
          <w:sz w:val="15"/>
          <w:szCs w:val="15"/>
          <w:b w:val="1"/>
          <w:bCs w:val="1"/>
          <w:color w:val="auto"/>
        </w:rPr>
        <w:t>Confidential, for Use of the Commission Only (as permitted by Rule 14a-6(e)(2))</w:t>
      </w:r>
    </w:p>
    <w:p>
      <w:pPr>
        <w:spacing w:after="0" w:line="1" w:lineRule="exact"/>
        <w:rPr>
          <w:sz w:val="24"/>
          <w:szCs w:val="24"/>
          <w:color w:val="auto"/>
        </w:rPr>
      </w:pPr>
    </w:p>
    <w:p>
      <w:pPr>
        <w:sectPr>
          <w:pgSz w:w="11900" w:h="16838" w:orient="portrait"/>
          <w:cols w:equalWidth="0" w:num="3">
            <w:col w:w="160" w:space="200"/>
            <w:col w:w="5100" w:space="720"/>
            <w:col w:w="5140"/>
          </w:cols>
          <w:pgMar w:left="240" w:top="230" w:right="339" w:bottom="1440" w:gutter="0" w:footer="0" w:header="0"/>
          <w:type w:val="continuous"/>
        </w:sectPr>
      </w:pPr>
    </w:p>
    <w:p>
      <w:pPr>
        <w:ind w:left="360" w:hanging="352"/>
        <w:spacing w:after="0" w:line="228" w:lineRule="auto"/>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§240.14a-11(c) or §240.14a-12</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4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4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0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-2947035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-2458085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-1763395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-845820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205740</wp:posOffset>
            </wp:positionV>
            <wp:extent cx="2958465" cy="128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5846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(702) 770-7000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144145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Wednesday, May 12,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135890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right="100" w:firstLine="342"/>
        <w:spacing w:after="0" w:line="306" w:lineRule="auto"/>
        <w:rPr>
          <w:sz w:val="20"/>
          <w:szCs w:val="20"/>
          <w:color w:val="auto"/>
        </w:rPr>
      </w:pPr>
      <w:r>
        <w:rPr>
          <w:rFonts w:ascii="Arial" w:cs="Arial" w:eastAsia="Arial" w:hAnsi="Arial"/>
          <w:sz w:val="16"/>
          <w:szCs w:val="16"/>
          <w:color w:val="auto"/>
        </w:rPr>
        <w:t>Notice is hereby given that the Annual Meeting of Stockholders (the “Annual Meeting”) of Wynn Resorts, Limited, a Nevada corporation (the “Company”), will be held in the Encore Theater at Wynn Las Vegas, 3131 Las Vegas Boulevard South, Las Vegas, Nevada, on May 12, 2010, at 11 a.m. (local time), for the following purposes (which are more fully described in the proxy statement, which is attached and made a part of this Notice):</w:t>
      </w:r>
    </w:p>
    <w:p>
      <w:pPr>
        <w:spacing w:after="0" w:line="12" w:lineRule="exact"/>
        <w:rPr>
          <w:sz w:val="20"/>
          <w:szCs w:val="20"/>
          <w:color w:val="auto"/>
        </w:rPr>
      </w:pPr>
    </w:p>
    <w:p>
      <w:pPr>
        <w:ind w:left="800" w:hanging="454"/>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four directors named in the proxy statement, each to serve until the 2013 Annual Meeting of Stockholders and until his successor is elected and qualified, or until such director’s earlier death, resignation or removal;</w:t>
      </w:r>
    </w:p>
    <w:p>
      <w:pPr>
        <w:spacing w:after="0" w:line="37" w:lineRule="exact"/>
        <w:rPr>
          <w:rFonts w:ascii="Arial" w:cs="Arial" w:eastAsia="Arial" w:hAnsi="Arial"/>
          <w:sz w:val="18"/>
          <w:szCs w:val="18"/>
          <w:color w:val="auto"/>
        </w:rPr>
      </w:pPr>
    </w:p>
    <w:p>
      <w:pPr>
        <w:ind w:left="800" w:right="180" w:hanging="454"/>
        <w:spacing w:after="0" w:line="325" w:lineRule="auto"/>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amendments to our 2002 Stock Incentive Plan to increase the number of shares of our common stock subject to the 2002 Stock Incentive Plan from 9,750,000 shares to 12,750,000 shares, extend the term of the Plan and remove the ability to reprice stock options;</w:t>
      </w:r>
    </w:p>
    <w:p>
      <w:pPr>
        <w:spacing w:after="0" w:line="1" w:lineRule="exact"/>
        <w:rPr>
          <w:rFonts w:ascii="Arial" w:cs="Arial" w:eastAsia="Arial" w:hAnsi="Arial"/>
          <w:sz w:val="16"/>
          <w:szCs w:val="16"/>
          <w:color w:val="auto"/>
        </w:rPr>
      </w:pPr>
    </w:p>
    <w:p>
      <w:pPr>
        <w:ind w:left="800" w:right="140" w:hanging="454"/>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Audit Committee’s appointment of Ernst &amp; Young LLP as the independent auditors for the Company and all of its subsidiaries for 2010; and</w:t>
      </w:r>
    </w:p>
    <w:p>
      <w:pPr>
        <w:spacing w:after="0" w:line="37" w:lineRule="exact"/>
        <w:rPr>
          <w:rFonts w:ascii="Arial" w:cs="Arial" w:eastAsia="Arial" w:hAnsi="Arial"/>
          <w:sz w:val="18"/>
          <w:szCs w:val="18"/>
          <w:color w:val="auto"/>
        </w:rPr>
      </w:pPr>
    </w:p>
    <w:p>
      <w:pPr>
        <w:ind w:left="800" w:hanging="454"/>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consider and transact such other business as may properly come before the Annual Meeting or any adjournment or postponement thereof.</w:t>
      </w:r>
    </w:p>
    <w:p>
      <w:pPr>
        <w:spacing w:after="0" w:line="140" w:lineRule="exact"/>
        <w:rPr>
          <w:sz w:val="20"/>
          <w:szCs w:val="20"/>
          <w:color w:val="auto"/>
        </w:rPr>
      </w:pPr>
    </w:p>
    <w:p>
      <w:pPr>
        <w:ind w:right="80" w:firstLine="342"/>
        <w:spacing w:after="0" w:line="318" w:lineRule="auto"/>
        <w:rPr>
          <w:sz w:val="20"/>
          <w:szCs w:val="20"/>
          <w:color w:val="auto"/>
        </w:rPr>
      </w:pPr>
      <w:r>
        <w:rPr>
          <w:rFonts w:ascii="Arial" w:cs="Arial" w:eastAsia="Arial" w:hAnsi="Arial"/>
          <w:sz w:val="15"/>
          <w:szCs w:val="15"/>
          <w:color w:val="auto"/>
        </w:rPr>
        <w:t>Stockholders of record at the close of business on March 23, 2010, the record date fixed by the Board of Directors, are entitled to notice of and to vote at the Annual Meeting. A complete list of these stockholders will be available for inspection ten days prior to the Annual Meeting at the Company’s executive offices, located at 3131 Las Vegas Boulevard South, Las Vegas, Nevada 89109. On or about April 1, 2010, we mailed to our stockholders a notice containing instructions on how to access the proxy statement for our 2010 Annual Meeting and our 2009 annual report and vote online. The notice also contains instructions on how you can receive a paper copy of your annual meeting materials, including the notice of annual meeting, proxy statement and proxy card, should you wish.</w:t>
      </w:r>
    </w:p>
    <w:p>
      <w:pPr>
        <w:spacing w:after="0" w:line="46" w:lineRule="exact"/>
        <w:rPr>
          <w:sz w:val="20"/>
          <w:szCs w:val="20"/>
          <w:color w:val="auto"/>
        </w:rPr>
      </w:pPr>
    </w:p>
    <w:p>
      <w:pPr>
        <w:ind w:right="20" w:firstLine="342"/>
        <w:spacing w:after="0" w:line="255" w:lineRule="auto"/>
        <w:rPr>
          <w:sz w:val="20"/>
          <w:szCs w:val="20"/>
          <w:color w:val="auto"/>
        </w:rPr>
      </w:pPr>
      <w:r>
        <w:rPr>
          <w:rFonts w:ascii="Arial" w:cs="Arial" w:eastAsia="Arial" w:hAnsi="Arial"/>
          <w:sz w:val="18"/>
          <w:szCs w:val="18"/>
          <w:color w:val="auto"/>
        </w:rPr>
        <w:t>All stockholders are cordially invited to attend the Annual Meeting in person. Stockholders of record as of the record date will be admitted to the Annual Meeting upon presentation of identification. Stockholders who own shares of the Company’s common stock beneficially through a bank, broker or other nominee will be admitted to the Annual Meeting upon presentation of identification and proof of ownership or a valid proxy signed by the record holder. A recent brokerage statement or a letter from a bank or broker are examples of proof of ownership. Any other persons will be admitted at the discretion of the Company, as seating is limited.</w:t>
      </w:r>
    </w:p>
    <w:p>
      <w:pPr>
        <w:spacing w:after="0" w:line="89" w:lineRule="exact"/>
        <w:rPr>
          <w:sz w:val="20"/>
          <w:szCs w:val="20"/>
          <w:color w:val="auto"/>
        </w:rPr>
      </w:pPr>
    </w:p>
    <w:p>
      <w:pPr>
        <w:ind w:firstLine="342"/>
        <w:spacing w:after="0" w:line="298" w:lineRule="auto"/>
        <w:rPr>
          <w:sz w:val="20"/>
          <w:szCs w:val="20"/>
          <w:color w:val="auto"/>
        </w:rPr>
      </w:pPr>
      <w:r>
        <w:rPr>
          <w:rFonts w:ascii="Arial" w:cs="Arial" w:eastAsia="Arial" w:hAnsi="Arial"/>
          <w:sz w:val="16"/>
          <w:szCs w:val="16"/>
          <w:color w:val="auto"/>
        </w:rPr>
        <w:t>Whether or not you plan to attend the Annual Meeting, you are encouraged to read the proxy statement and then cast your vote as promptly as possible in accordance with the instructions in the notice you received. Even if you have given your proxy, you may still vote in person if you attend the Annual Meeting and, by voting in person, change or revoke your previously delivered proxy. Please note, however, that if your shares are held of record by a broker, bank or other nominee, and you wish to vote at the meeting, you must obtain from the record holder a proxy issued in your name.</w:t>
      </w:r>
    </w:p>
    <w:p>
      <w:pPr>
        <w:spacing w:after="0" w:line="59" w:lineRule="exact"/>
        <w:rPr>
          <w:sz w:val="20"/>
          <w:szCs w:val="20"/>
          <w:color w:val="auto"/>
        </w:rPr>
      </w:pPr>
    </w:p>
    <w:p>
      <w:pPr>
        <w:ind w:firstLine="342"/>
        <w:spacing w:after="0" w:line="259" w:lineRule="auto"/>
        <w:rPr>
          <w:sz w:val="20"/>
          <w:szCs w:val="20"/>
          <w:color w:val="auto"/>
        </w:rPr>
      </w:pPr>
      <w:r>
        <w:rPr>
          <w:rFonts w:ascii="Arial" w:cs="Arial" w:eastAsia="Arial" w:hAnsi="Arial"/>
          <w:sz w:val="18"/>
          <w:szCs w:val="18"/>
          <w:color w:val="auto"/>
        </w:rPr>
        <w:t>This is the first year that brokers are not permitted to vote on the election of directors without instructions from the beneficial owner. Therefore, if your shares are held in the name of your broker, bank or other nominee, your vote is especially important this year. Unless you vote your shares, your shares will not be voted in the election of directors.</w:t>
      </w:r>
    </w:p>
    <w:p>
      <w:pPr>
        <w:spacing w:after="0" w:line="5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45085</wp:posOffset>
            </wp:positionV>
            <wp:extent cx="2126615"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2661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Kim Sinatra</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 2010</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4"/>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Proxy Statement</w:t>
              </w:r>
            </w:hyperlink>
          </w:p>
        </w:tc>
        <w:tc>
          <w:tcPr>
            <w:tcW w:w="9880" w:type="dxa"/>
            <w:vAlign w:val="bottom"/>
            <w:gridSpan w:val="19"/>
            <w:vMerge w:val="restart"/>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1180" w:type="dxa"/>
            <w:vAlign w:val="bottom"/>
            <w:tcBorders>
              <w:bottom w:val="single" w:sz="8" w:color="0000EE"/>
            </w:tcBorders>
            <w:gridSpan w:val="4"/>
            <w:vMerge w:val="continue"/>
          </w:tcPr>
          <w:p>
            <w:pPr>
              <w:spacing w:after="0"/>
              <w:rPr>
                <w:sz w:val="14"/>
                <w:szCs w:val="14"/>
                <w:color w:val="auto"/>
              </w:rPr>
            </w:pPr>
          </w:p>
        </w:tc>
        <w:tc>
          <w:tcPr>
            <w:tcW w:w="9880" w:type="dxa"/>
            <w:vAlign w:val="bottom"/>
            <w:gridSpan w:val="19"/>
            <w:vMerge w:val="continue"/>
          </w:tcPr>
          <w:p>
            <w:pPr>
              <w:spacing w:after="0"/>
              <w:rPr>
                <w:sz w:val="14"/>
                <w:szCs w:val="14"/>
                <w:color w:val="auto"/>
              </w:rPr>
            </w:pPr>
          </w:p>
        </w:tc>
        <w:tc>
          <w:tcPr>
            <w:tcW w:w="3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5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Proposal No. 1 Election of Directors</w:t>
              </w:r>
            </w:hyperlink>
          </w:p>
        </w:tc>
        <w:tc>
          <w:tcPr>
            <w:tcW w:w="848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60" w:type="dxa"/>
            <w:vAlign w:val="bottom"/>
            <w:gridSpan w:val="23"/>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Proposal No. 2 Amendment to 2002 Stock Incentive Plan</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23"/>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Proposal No. 3 Ratification of Appointment of Independent Public Accountants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56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Report of the Audit Committee</w:t>
              </w:r>
            </w:hyperlink>
          </w:p>
        </w:tc>
        <w:tc>
          <w:tcPr>
            <w:tcW w:w="546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22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Executive Officers</w:t>
              </w:r>
            </w:hyperlink>
          </w:p>
        </w:tc>
        <w:tc>
          <w:tcPr>
            <w:tcW w:w="8860" w:type="dxa"/>
            <w:vAlign w:val="bottom"/>
            <w:gridSpan w:val="1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Security Ownership of Certain Beneficial Owners and Management</w:t>
              </w:r>
            </w:hyperlink>
          </w:p>
        </w:tc>
        <w:tc>
          <w:tcPr>
            <w:tcW w:w="6280" w:type="dxa"/>
            <w:vAlign w:val="bottom"/>
            <w:gridSpan w:val="3"/>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1060" w:type="dxa"/>
            <w:vAlign w:val="bottom"/>
            <w:gridSpan w:val="2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Further Information Concerning the Board of Directors Corporate Governance</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1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Codes of Ethics</w:t>
              </w:r>
            </w:hyperlink>
          </w:p>
        </w:tc>
        <w:tc>
          <w:tcPr>
            <w:tcW w:w="4400" w:type="dxa"/>
            <w:vAlign w:val="bottom"/>
            <w:tcBorders>
              <w:top w:val="single" w:sz="8" w:color="0000EE"/>
            </w:tcBorders>
            <w:gridSpan w:val="18"/>
          </w:tcPr>
          <w:p>
            <w:pPr>
              <w:spacing w:after="0"/>
              <w:rPr>
                <w:sz w:val="17"/>
                <w:szCs w:val="17"/>
                <w:color w:val="auto"/>
              </w:rPr>
            </w:pPr>
          </w:p>
        </w:tc>
        <w:tc>
          <w:tcPr>
            <w:tcW w:w="5540" w:type="dxa"/>
            <w:vAlign w:val="bottom"/>
            <w:gridSpan w:val="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1060" w:type="dxa"/>
            <w:vAlign w:val="bottom"/>
            <w:gridSpan w:val="2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Director and Executive Officer Compensation and Other Matters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28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Compensation Discussion and Analysis</w:t>
              </w:r>
            </w:hyperlink>
          </w:p>
        </w:tc>
        <w:tc>
          <w:tcPr>
            <w:tcW w:w="1760" w:type="dxa"/>
            <w:vAlign w:val="bottom"/>
            <w:tcBorders>
              <w:top w:val="single" w:sz="8" w:color="0000EE"/>
            </w:tcBorders>
            <w:gridSpan w:val="9"/>
          </w:tcPr>
          <w:p>
            <w:pPr>
              <w:spacing w:after="0"/>
              <w:rPr>
                <w:sz w:val="17"/>
                <w:szCs w:val="17"/>
                <w:color w:val="auto"/>
              </w:rPr>
            </w:pPr>
          </w:p>
        </w:tc>
        <w:tc>
          <w:tcPr>
            <w:tcW w:w="6500" w:type="dxa"/>
            <w:vAlign w:val="bottom"/>
            <w:gridSpan w:val="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Report of the Compensation Committee</w:t>
              </w:r>
            </w:hyperlink>
          </w:p>
        </w:tc>
        <w:tc>
          <w:tcPr>
            <w:tcW w:w="8240" w:type="dxa"/>
            <w:vAlign w:val="bottom"/>
            <w:gridSpan w:val="12"/>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5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2009 Summary Compensation Table</w:t>
              </w:r>
            </w:hyperlink>
          </w:p>
        </w:tc>
        <w:tc>
          <w:tcPr>
            <w:tcW w:w="8480" w:type="dxa"/>
            <w:vAlign w:val="bottom"/>
            <w:gridSpan w:val="1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2009 Grants of Plan-Based Awards Table</w:t>
              </w:r>
            </w:hyperlink>
          </w:p>
        </w:tc>
        <w:tc>
          <w:tcPr>
            <w:tcW w:w="8140" w:type="dxa"/>
            <w:vAlign w:val="bottom"/>
            <w:gridSpan w:val="10"/>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1060" w:type="dxa"/>
            <w:vAlign w:val="bottom"/>
            <w:gridSpan w:val="23"/>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2009 Outstanding Equity Awards at Fiscal Year-End</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36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2009 Option Exercises and Stock Vested</w:t>
              </w:r>
            </w:hyperlink>
          </w:p>
        </w:tc>
        <w:tc>
          <w:tcPr>
            <w:tcW w:w="738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Potential Payments Upon Termination or Change-in-Control</w:t>
              </w:r>
            </w:hyperlink>
          </w:p>
        </w:tc>
        <w:tc>
          <w:tcPr>
            <w:tcW w:w="6800" w:type="dxa"/>
            <w:vAlign w:val="bottom"/>
            <w:gridSpan w:val="5"/>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Certain Relationships and Related Transactions</w:t>
              </w:r>
            </w:hyperlink>
          </w:p>
        </w:tc>
        <w:tc>
          <w:tcPr>
            <w:tcW w:w="7720" w:type="dxa"/>
            <w:vAlign w:val="bottom"/>
            <w:gridSpan w:val="9"/>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1060" w:type="dxa"/>
            <w:vAlign w:val="bottom"/>
            <w:gridSpan w:val="23"/>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Section 16(a) Beneficial Ownership Reporting Compliance</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41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Stockholder Proposals</w:t>
              </w:r>
            </w:hyperlink>
          </w:p>
        </w:tc>
        <w:tc>
          <w:tcPr>
            <w:tcW w:w="6900" w:type="dxa"/>
            <w:vAlign w:val="bottom"/>
            <w:gridSpan w:val="6"/>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Annual Report</w:t>
              </w:r>
            </w:hyperlink>
          </w:p>
        </w:tc>
        <w:tc>
          <w:tcPr>
            <w:tcW w:w="9480" w:type="dxa"/>
            <w:vAlign w:val="bottom"/>
            <w:gridSpan w:val="17"/>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Householding</w:t>
              </w:r>
            </w:hyperlink>
          </w:p>
        </w:tc>
        <w:tc>
          <w:tcPr>
            <w:tcW w:w="40" w:type="dxa"/>
            <w:vAlign w:val="bottom"/>
            <w:tcBorders>
              <w:top w:val="single" w:sz="8" w:color="0000EE"/>
            </w:tcBorders>
          </w:tcPr>
          <w:p>
            <w:pPr>
              <w:spacing w:after="0"/>
              <w:rPr>
                <w:sz w:val="17"/>
                <w:szCs w:val="17"/>
                <w:color w:val="auto"/>
              </w:rPr>
            </w:pPr>
          </w:p>
        </w:tc>
        <w:tc>
          <w:tcPr>
            <w:tcW w:w="10020" w:type="dxa"/>
            <w:vAlign w:val="bottom"/>
            <w:gridSpan w:val="21"/>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27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Exhibit A—2002 Stock Incentive Plan</w:t>
              </w:r>
            </w:hyperlink>
          </w:p>
        </w:tc>
        <w:tc>
          <w:tcPr>
            <w:tcW w:w="8340" w:type="dxa"/>
            <w:vAlign w:val="bottom"/>
            <w:gridSpan w:val="14"/>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Las Vegas, Nevada 89109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proxy statement is furnished to stockholders in connection with the solicitation of proxies by the Board of Directors of Wynn Resorts, Limited (“Wynn Resorts,” “we” or the “Company”), for use at the Company’s Annual Meeting of Stockholders on May 12, 2010 (the “Annual Meeting”) to be held in the Encore Theater at Wynn Las Vegas, 3131 Las Vegas Boulevard South, Las Vegas, Nevada, at 11 a.m. (local time) and at any adjournment or postponement of that meeting. Matters to be considered and acted upon at the Annual Meeting are set forth in the Notice of Annual Meeting of Stockholders accompanying this proxy statement and are more fully outlined herein. Under rules adopted by the U.S. Securities and Exchange Commission (the “SEC”), we are furnishing proxy materials to our stockholders via the internet, instead of mailing printed copies of those materials to each stockholder. On or about April 1, 2010, we mailed to our stockholders a Notice of Internet Availability containing instructions on how to access our proxy materials, including our proxy statement and our annual report. The Notice of Internet Availability also instructs you as to how you may access your proxy card to vote through the internet or telephonically. This electronic access process is designed to expedite stockholders’ receipt of proxy materials, lower the costs of our annual meeting and help to conserve natural resources. However, if you would prefer to receive a printed copy of our proxy materials, and a paper proxy card, please follow the instructions included in the Notice of Internet Availability. If you have previously elected to receive our proxy materials electronically, you will continue to receive these materials via e-mail unless you elect otherwise.</w:t>
      </w:r>
    </w:p>
    <w:p>
      <w:pPr>
        <w:spacing w:after="0" w:line="124"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 xml:space="preserve">The Board of Directors believes that the election of the director nominees named herein, the amendment to the 2002 Stock Incentive Plan and ratification of Ernst &amp; Young LLP are in the best interests of the Company and its stockholders and recommends 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each of these matters.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Any stockholder giving a proxy may revoke it at any time prior to its exercise at the Annual Meeting by sending a written or other transmission revoking it, or by executing and delivering another proxy bearing a later date, to the Secretary of the Company at the Company’s Executive Offices located at 3131 Las Vegas Boulevard South, Las Vegas, Nevada 89109. Please note, however, that if your shares are held of record by a broker, bank or other nominee, you must contact that person if you wish to revoke previously given voting instructions. Attendance at the Annual Meeting in and of itself does not revoke a prior proxy.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and Solicitation</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Shares represented by duly executed and unrevoked proxies will be voted at the Annual Meeting in accordance with the specifications made therein by the stockholders. If no specification is made, shares represented by duly executed and unrevoked proxies will be voted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as directors of the nominees listed herein,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amendments to our 2002 Stock Incentive Plan to add additional shares, extend the term and remove the ability to reprice stock options,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Ernst &amp; Young LLP as the Company’s independent auditors, and in the discretion of the persons voting the respective proxies with respect to any other matter that may properly come before the Annual Meeting.</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cost of preparing, assembling and mailing proxy materials will be borne by the Company. Directors, executive officers and other employees may also solicit proxies by mail, telephone, electronic communication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in person, but will not receive any special compensation. Brokerage houses, nominees, fiduciaries and other custodians will be requested to forward soliciting materials to beneficial owners and will be reimbursed for their reasonable out-of-pocket expenses incurred in sending proxy materials to beneficial owners.</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At the close of business on March 23, 2010, the record date for determining stockholders entitled to vote at the Annual Meeting, 123,311,373 shares of the Company’s common stock, $.01 par value, were outstanding. Each stockholder is entitled to one vote for each share of common stock held of record on that date on all matters presented at the Annual Meeting. A plurality of the votes cast in person or by proxy at the Annual Meeting is required for the election of the director nominees. Under Nevada law, shares as to which a stockholder withholds voting authority in the election of directors and broker non-votes will not be counted as voting thereon and therefore will not affect the election of the nominees receiving a plurality of the votes cast. However, those shares will be counted for purposes of determining whether there is a quorum. A broker non-vote occurs when a bank, broker or other nominee does not have authority to vote on a particular item without instructions from the beneficial owner and has not received instructions. For each other item to be acted upon at the Annual Meeting, the item will be approved if the number of votes cast in favor of the item by the stockholders entitled to vote exceeds the number of votes cast in opposition to the item. Abstentions and broker non-votes will not be counted as voting on an item and therefore will not affect the outcome of these proposals, although they are counted for purposes of determining whether there is a quorum.</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1</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DIRECTORS</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Company’s Second Amended and Restated Articles of Incorporation (the “Articles”) and Fourth Amended and Restated Bylaws, as amended (the “Bylaws”), require that the number of directors on the Board of Directors be not less than one nor more than thirteen. Presently, the Board of Directors is set at 11 directors and is divided into three classes. Class I includes Linda Chen, John A. Moran and Elaine P. Wynn, whose terms expire in 2012. Class II consists of Stephen A. Wynn, Ray R. Irani, Alvin V. Shoemaker and D. Boone Wayson, whose terms expire in 2010. Class III consists of Russell Goldsmith, Kazuo Okada, Robert J. Miller and Allan Zeman, whose terms expire in 2011. At each annual meeting, the terms of one class of directors expire. Each director nominee is elected to the Board of Directors for a term of three years.</w:t>
      </w:r>
    </w:p>
    <w:p>
      <w:pPr>
        <w:spacing w:after="0" w:line="14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At the Annual Meeting, four Class II directors are to be elected, each to serve until the 2013 Annual Meeting of Stockholders and until his or her successor is elected and qualified, or until such director’s earlier death, resignation or removal. The persons designated as proxies will have discretion to cast votes for other persons in the event any nominee for director is unable to serve. At present, it is not anticipated that any nominee will be unable to serve.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the recommendation of the Nominating and Corporate Governance Committee, the Board is nominating the following four directors for re-election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Class II directors:</w:t>
      </w:r>
    </w:p>
    <w:p>
      <w:pPr>
        <w:spacing w:after="0" w:line="78"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Stephen A. Wynn</w:t>
      </w:r>
    </w:p>
    <w:p>
      <w:pPr>
        <w:spacing w:after="0" w:line="90" w:lineRule="exact"/>
        <w:rPr>
          <w:rFonts w:ascii="Arial" w:cs="Arial" w:eastAsia="Arial" w:hAnsi="Arial"/>
          <w:sz w:val="18"/>
          <w:szCs w:val="18"/>
          <w:b w:val="1"/>
          <w:bCs w:val="1"/>
          <w:color w:val="auto"/>
        </w:rPr>
      </w:pPr>
    </w:p>
    <w:p>
      <w:pPr>
        <w:ind w:left="900" w:hanging="325"/>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Ray R. Irani</w:t>
      </w:r>
    </w:p>
    <w:p>
      <w:pPr>
        <w:spacing w:after="0" w:line="90" w:lineRule="exact"/>
        <w:rPr>
          <w:rFonts w:ascii="Arial" w:cs="Arial" w:eastAsia="Arial" w:hAnsi="Arial"/>
          <w:sz w:val="18"/>
          <w:szCs w:val="18"/>
          <w:b w:val="1"/>
          <w:bCs w:val="1"/>
          <w:color w:val="auto"/>
        </w:rPr>
      </w:pPr>
    </w:p>
    <w:p>
      <w:pPr>
        <w:ind w:left="900" w:hanging="325"/>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Alvin V. Shoemaker</w:t>
      </w:r>
    </w:p>
    <w:p>
      <w:pPr>
        <w:spacing w:after="0" w:line="90" w:lineRule="exact"/>
        <w:rPr>
          <w:rFonts w:ascii="Arial" w:cs="Arial" w:eastAsia="Arial" w:hAnsi="Arial"/>
          <w:sz w:val="18"/>
          <w:szCs w:val="18"/>
          <w:b w:val="1"/>
          <w:bCs w:val="1"/>
          <w:color w:val="auto"/>
        </w:rPr>
      </w:pPr>
    </w:p>
    <w:p>
      <w:pPr>
        <w:ind w:left="900" w:hanging="325"/>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 Boone Wayson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Biographical and other information concerning these directors and the other directors serving on the Board is set forth below.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election of directors will be decided by the affirmative vote of a plurality of all the votes cast at the Annual Meeting.</w:t>
      </w:r>
    </w:p>
    <w:p>
      <w:pPr>
        <w:spacing w:after="0" w:line="165"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OUR BOARD OF DIRECTORS UNANIMOUSLY RECOMMENDS THAT YOU VOTE FOR THE ELECTION OF THE NOMINEES LISTED ABOVE.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Biographies and Qualifications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Set forth below is biographical information regarding the directors who have been nominated for election at the Annual Meeting and the directors whose terms do not expire this year. Also included are key skills and qualifications of our directors supporting their service as a director, in light of the Company’s business and structure.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 Directors (Terms expire at the 2010 Annual Meeting of Stockholders)</w:t>
      </w:r>
    </w:p>
    <w:p>
      <w:pPr>
        <w:spacing w:after="0" w:line="84"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b w:val="1"/>
          <w:bCs w:val="1"/>
          <w:color w:val="auto"/>
        </w:rPr>
        <w:t xml:space="preserve">Stephen A. Wynn. </w:t>
      </w:r>
      <w:r>
        <w:rPr>
          <w:rFonts w:ascii="Arial" w:cs="Arial" w:eastAsia="Arial" w:hAnsi="Arial"/>
          <w:sz w:val="18"/>
          <w:szCs w:val="18"/>
          <w:color w:val="auto"/>
        </w:rPr>
        <w:t>Mr. Wynn, 68, has served as Chairman of the Board and Chief Executive Officer of the Company since June 2002. Mr. Wynn also</w:t>
      </w:r>
      <w:r>
        <w:rPr>
          <w:rFonts w:ascii="Arial" w:cs="Arial" w:eastAsia="Arial" w:hAnsi="Arial"/>
          <w:sz w:val="18"/>
          <w:szCs w:val="18"/>
          <w:b w:val="1"/>
          <w:bCs w:val="1"/>
          <w:color w:val="auto"/>
        </w:rPr>
        <w:t xml:space="preserve"> </w:t>
      </w:r>
      <w:r>
        <w:rPr>
          <w:rFonts w:ascii="Arial" w:cs="Arial" w:eastAsia="Arial" w:hAnsi="Arial"/>
          <w:sz w:val="18"/>
          <w:szCs w:val="18"/>
          <w:color w:val="auto"/>
        </w:rPr>
        <w:t>serves as the Chairman and Chief Executive Officer of Wynn Macau, Limited, a majority owned subsidiary of the Company and as an officer and/or director of several of our subsidiaries. Mr. Wynn is the former husband of Elaine P. Wynn.</w:t>
      </w:r>
    </w:p>
    <w:p>
      <w:pPr>
        <w:spacing w:after="0" w:line="138" w:lineRule="exact"/>
        <w:rPr>
          <w:sz w:val="20"/>
          <w:szCs w:val="20"/>
          <w:color w:val="auto"/>
        </w:rPr>
      </w:pPr>
    </w:p>
    <w:p>
      <w:pPr>
        <w:jc w:val="both"/>
        <w:ind w:right="180" w:firstLine="456"/>
        <w:spacing w:after="0" w:line="268" w:lineRule="auto"/>
        <w:rPr>
          <w:sz w:val="20"/>
          <w:szCs w:val="20"/>
          <w:color w:val="auto"/>
        </w:rPr>
      </w:pPr>
      <w:r>
        <w:rPr>
          <w:rFonts w:ascii="Arial" w:cs="Arial" w:eastAsia="Arial" w:hAnsi="Arial"/>
          <w:sz w:val="18"/>
          <w:szCs w:val="18"/>
          <w:color w:val="auto"/>
        </w:rPr>
        <w:t>Mr. Wynn is the founder and creative and organizational force of Wynn Resorts. Mr. Wynn’s 40 years of experience in the industry has contributed to his brand name status as the preeminent designer, developer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operator of destination casino resorts. Mr. Wynn’s involvement with our casino resorts provides a distinct advantage over other gaming enterprises. As founder, Chairman and Chief Executive Officer, he has a unique perspective into the operations and vision for the Company. Mr. Wynn’s senior leadership experience also enables him to provide insights and guidance and to assess and respond to situations encountered in serving on the Company’s Board.</w:t>
      </w:r>
    </w:p>
    <w:p>
      <w:pPr>
        <w:spacing w:after="0" w:line="10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color w:val="auto"/>
        </w:rPr>
        <w:t xml:space="preserve">Dr. Ray. R. Irani. </w:t>
      </w:r>
      <w:r>
        <w:rPr>
          <w:rFonts w:ascii="Arial" w:cs="Arial" w:eastAsia="Arial" w:hAnsi="Arial"/>
          <w:sz w:val="16"/>
          <w:szCs w:val="16"/>
          <w:color w:val="auto"/>
        </w:rPr>
        <w:t>Dr. Ray R. Irani, 75, has served as a director of the Company since October 2007. Dr. Irani is Chairman and Chief Executive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of Occidental Petroleum Corporation, an international oil and gas exploration and production company as well as a major North American chemical manufacturer, a position he has held since 1990. He joined Occidental in 1983 as Chief Executive Officer and Chairman of Occidental Chemical Corporation, an Occidental subsidiary. Prior to joining Occidental, Dr. Irani served as President and Chief Operating Officer of Olin Corporation. Dr. Irani is a Director of the American Petroleum Institute, and The TCW Group, Inc. He is a Trustee of the University of Southern California and is Co-Chairman of the Board of the American University of Beirut, and also serves on the Board of Governors of Town Hall and the World Affairs Council. Dr. Irani is a member of the American Chemical Society, The Conference Board, the Council on Foreign Relations, the National Petroleum Council, and The Scientific Research Society of America. He also serves on the Advisory Board of RAND’s Center for Middle East Public Policy. Dr. Irani received a B.S. degree in chemistry from the American University of Beirut in 1953 and a Ph.D. in physical chemistry from the University of Southern California in 1957.</w:t>
      </w:r>
    </w:p>
    <w:p>
      <w:pPr>
        <w:spacing w:after="0" w:line="119"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After the opening of Wynn Macau in 2006, the Company sought additional representation on the Board by executives with experience in managing international operations and with keen insight into international relations, which are of increasing importance to the Company. Dr. Irani was identified to the Nominating and Governance Committee as a potential director by Mr. Wynn and was elected to the Board of Directors in 2007 as a result of his extensive international experience with such matters as the long time Chairman and Chief Executive Officer of Occidental Petroleum Corporation, an international oil and gas exploration and production company with operations throughout the world.</w:t>
      </w:r>
    </w:p>
    <w:p>
      <w:pPr>
        <w:spacing w:after="0" w:line="110"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Alvin V. Shoemaker. </w:t>
      </w:r>
      <w:r>
        <w:rPr>
          <w:rFonts w:ascii="Arial" w:cs="Arial" w:eastAsia="Arial" w:hAnsi="Arial"/>
          <w:sz w:val="16"/>
          <w:szCs w:val="16"/>
          <w:color w:val="auto"/>
        </w:rPr>
        <w:t>Mr. Shoemaker, 71, has served as a director of the Company since December 2002. Mr. Shoemaker is currently retired and was the</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of the Board of First Boston Inc. and First Boston Corp. from April 1983 until his retirement in January 1989, at the time of its sale to Credit Suisse Bank. Mr. Shoemaker is a member of the board of directors of Frontier Bank, Western Community Bank Shares, and Huntsman Chemical Co.</w:t>
      </w:r>
    </w:p>
    <w:p>
      <w:pPr>
        <w:spacing w:after="0" w:line="10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Mr. Shoemaker has served on the Board of Directors of the Company since its formation in 2002. With his extensive knowledge of the Company’s background, development and financing arrangements and his deep experience as a financial executive serving as the Chairman of First Boston, Mr. Shoemaker contributes particularly to the Board’s oversight of the Company’s financial matters. Mr. Shoemaker’s experience in this respect has continued to be important to the Company during the current financial crisis, and enables him to provide strong leadership of the Audit Committee.</w:t>
      </w:r>
    </w:p>
    <w:p>
      <w:pPr>
        <w:spacing w:after="0" w:line="107"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D. Boone Wayson. </w:t>
      </w:r>
      <w:r>
        <w:rPr>
          <w:rFonts w:ascii="Arial" w:cs="Arial" w:eastAsia="Arial" w:hAnsi="Arial"/>
          <w:sz w:val="16"/>
          <w:szCs w:val="16"/>
          <w:color w:val="auto"/>
        </w:rPr>
        <w:t>Mr. Wayson, 57, has served as a director of the Company since August 2003. Mr. Wayson has been a principal of Wayson’s</w:t>
      </w:r>
      <w:r>
        <w:rPr>
          <w:rFonts w:ascii="Arial" w:cs="Arial" w:eastAsia="Arial" w:hAnsi="Arial"/>
          <w:sz w:val="16"/>
          <w:szCs w:val="16"/>
          <w:b w:val="1"/>
          <w:bCs w:val="1"/>
          <w:color w:val="auto"/>
        </w:rPr>
        <w:t xml:space="preserve"> </w:t>
      </w:r>
      <w:r>
        <w:rPr>
          <w:rFonts w:ascii="Arial" w:cs="Arial" w:eastAsia="Arial" w:hAnsi="Arial"/>
          <w:sz w:val="16"/>
          <w:szCs w:val="16"/>
          <w:color w:val="auto"/>
        </w:rPr>
        <w:t>Properties, Incorporated, a real estate development and holding company, since 1970. He also serves as an officer and/or director of other real estate and business ventures. From 2000 through May 2003, Mr. Wayson served as a member of the board of directors of MGM MIRAGE.</w:t>
      </w:r>
    </w:p>
    <w:p>
      <w:pPr>
        <w:spacing w:after="0" w:line="10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Mr. Wayson’s experience in the real estate and gaming businesses contributes to the Board’s ability to assess and oversee these critical aspects of the Company’s business and to provide insights to the Company’s operations. Mr. Wayson has extensive operational experience in the casino finance area, beginning as casino controller and ultimately managing a resort casino property in Atlantic City, N.J. The Board is benefited from Mr. Wayson’s first hand experience in operations and utilizes his knowledge of the business, especially in the finance and marketing areas, to assist with its risk oversight responsibilities.</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 Directors (Terms expire at the 2012 Annual Meeting of Stockholders)</w:t>
      </w:r>
    </w:p>
    <w:p>
      <w:pPr>
        <w:spacing w:after="0" w:line="8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Linda Chen. </w:t>
      </w:r>
      <w:r>
        <w:rPr>
          <w:rFonts w:ascii="Arial" w:cs="Arial" w:eastAsia="Arial" w:hAnsi="Arial"/>
          <w:sz w:val="16"/>
          <w:szCs w:val="16"/>
          <w:color w:val="auto"/>
        </w:rPr>
        <w:t>Ms. Chen, 43, has served as a director of the Company since October 2007. Ms. Chen serves as the President of Wynn International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Limited, a wholly-owned indirect subsidiary of the Company, a position she has held since January 2005. In addition, Ms. Chen is the Chief Operating Officer of Wynn Resorts (Macau), S.A., a wholly owned indirect subsidiary of the Company, a role she has served in since June 2002, and is a member of the Board of Directors of Wynn Macau, Limited, a majority owned subsidiary of the Company. Ms. Chen is responsible for managing the Company’s global marketing efforts and is involved in the operations and strategic development of Wynn Macau. Ms. Chen has a Bachelor of Science degree in Hotel Administrations from Cornell University and is a graduate of the Stanford Graduate School of Business Executive Development Program.</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Ms. Chen’s insights and experience as the primary marketing executive for the Company’s Asian operations contributes to the Board’s ability to evaluate and make informed decisions that affect those operations. This experience becomes ever more important to the Company and its stockholders as the percentage of the Company’s operational revenue and profits generated from its Macau operations increases.</w:t>
      </w:r>
    </w:p>
    <w:p>
      <w:pPr>
        <w:spacing w:after="0" w:line="13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John A. Moran. </w:t>
      </w:r>
      <w:r>
        <w:rPr>
          <w:rFonts w:ascii="Arial" w:cs="Arial" w:eastAsia="Arial" w:hAnsi="Arial"/>
          <w:sz w:val="18"/>
          <w:szCs w:val="18"/>
          <w:color w:val="auto"/>
        </w:rPr>
        <w:t>Mr. Moran, 78, has served as a director of the Company since October 2002. Mr. Moran was with The Dyson-Kissner-Moran</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 private investment entity, from 1967 and retired as Chairman of the Board in 1994. Mr. Moran is the honorary Co-Chairman of the Republican Leadership Council of Washington, D.C. He served as Chairman of the Republican National Finance Committee from 1993 to 1995 and was the National Finance Chairman of the Dole for President Campaign.</w:t>
      </w:r>
    </w:p>
    <w:p>
      <w:pPr>
        <w:spacing w:after="0" w:line="14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With his extensive knowledge of the Company’s background, development and financing arrangements and his experience with financing and equity markets, Mr. Moran provides the Board insight that is important to the Board’s oversight of the Company’s financial structure. His guidance in the evaluation of capital deployment and management of the Company’s balance sheet is especially valuable. In addition, he brings to the Board experience in political and public policy matters.</w:t>
      </w:r>
    </w:p>
    <w:p>
      <w:pPr>
        <w:spacing w:after="0" w:line="137"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Elaine P. Wynn. </w:t>
      </w:r>
      <w:r>
        <w:rPr>
          <w:rFonts w:ascii="Arial" w:cs="Arial" w:eastAsia="Arial" w:hAnsi="Arial"/>
          <w:sz w:val="18"/>
          <w:szCs w:val="18"/>
          <w:color w:val="auto"/>
        </w:rPr>
        <w:t>Elaine Wynn, 67, has served as a director of the Company since October 2002. In addition to her service as a member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since 1995 Elaine Wynn has co-chaired the Greater Las Vegas After-School All-Stars. She is the founding Chairperson of Communities-in-Schools of Nevada and, in 2009, was appointed as Chairperson of the National Board of Communities in Schools. Elaine Wynn is the former wife of Stephen A. Wynn.</w:t>
      </w:r>
    </w:p>
    <w:p>
      <w:pPr>
        <w:spacing w:after="0" w:line="14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Elaine P. Wynn has been a creative partner of Stephen A. Wynn and has contributed to the development of the Company’s properties. In addition, her significant community and philanthropic contributions have guided the Company’s efforts in these areas.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III Directors (Terms expire at the 2011 Annual Meeting of Stockholders)</w:t>
      </w:r>
    </w:p>
    <w:p>
      <w:pPr>
        <w:spacing w:after="0" w:line="84"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 xml:space="preserve">Russell Goldsmith. </w:t>
      </w:r>
      <w:r>
        <w:rPr>
          <w:rFonts w:ascii="Arial" w:cs="Arial" w:eastAsia="Arial" w:hAnsi="Arial"/>
          <w:sz w:val="16"/>
          <w:szCs w:val="16"/>
          <w:color w:val="auto"/>
        </w:rPr>
        <w:t>Mr. Goldsmith, 60, has served as a director of the Company since May 2008. Mr. Goldsmith has served as Chief Executive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of City National Bank, a provider of a wide range of banking, investing and trust services</w:t>
      </w:r>
      <w:r>
        <w:rPr>
          <w:rFonts w:ascii="Arial" w:cs="Arial" w:eastAsia="Arial" w:hAnsi="Arial"/>
          <w:sz w:val="16"/>
          <w:szCs w:val="16"/>
          <w:b w:val="1"/>
          <w:bCs w:val="1"/>
          <w:color w:val="auto"/>
        </w:rPr>
        <w:t>,</w:t>
      </w:r>
      <w:r>
        <w:rPr>
          <w:rFonts w:ascii="Arial" w:cs="Arial" w:eastAsia="Arial" w:hAnsi="Arial"/>
          <w:sz w:val="16"/>
          <w:szCs w:val="16"/>
          <w:color w:val="auto"/>
        </w:rPr>
        <w:t xml:space="preserve"> since 1995. Additionally, he has served as Chief Executive Officer and either President or Vice Chairman of its publicly held parent company, City National Corporation, since 1995. He has been a director of both the bank and its parent company since 1978. Mr. Goldsmith also serves on the Federal Reserve Board’s 12-member Federal Advisory Council, representing the Twelfth Federal Reserve District, and he serves on the Board of Directors of the Financial Services Roundtable.</w:t>
      </w:r>
    </w:p>
    <w:p>
      <w:pPr>
        <w:spacing w:after="0" w:line="11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Mr. Goldsmith brings current insight and deep financial expertise to our Board. His service on the Federal Reserve Board’s Advisory Council has brought additional perspective on the macroeconomic and public policy issues facing our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1" w:lineRule="auto"/>
        <w:rPr>
          <w:sz w:val="20"/>
          <w:szCs w:val="20"/>
          <w:color w:val="auto"/>
        </w:rPr>
      </w:pPr>
      <w:r>
        <w:rPr>
          <w:rFonts w:ascii="Arial" w:cs="Arial" w:eastAsia="Arial" w:hAnsi="Arial"/>
          <w:sz w:val="15"/>
          <w:szCs w:val="15"/>
          <w:b w:val="1"/>
          <w:bCs w:val="1"/>
          <w:color w:val="auto"/>
        </w:rPr>
        <w:t xml:space="preserve">Kazuo Okada. </w:t>
      </w:r>
      <w:r>
        <w:rPr>
          <w:rFonts w:ascii="Arial" w:cs="Arial" w:eastAsia="Arial" w:hAnsi="Arial"/>
          <w:sz w:val="15"/>
          <w:szCs w:val="15"/>
          <w:color w:val="auto"/>
        </w:rPr>
        <w:t>Mr. Okada, 67, has served as Vice Chairman of the Board of the Company since October 2002. Mr. Okada also serves as a member of the</w:t>
      </w:r>
      <w:r>
        <w:rPr>
          <w:rFonts w:ascii="Arial" w:cs="Arial" w:eastAsia="Arial" w:hAnsi="Arial"/>
          <w:sz w:val="15"/>
          <w:szCs w:val="15"/>
          <w:b w:val="1"/>
          <w:bCs w:val="1"/>
          <w:color w:val="auto"/>
        </w:rPr>
        <w:t xml:space="preserve"> </w:t>
      </w:r>
      <w:r>
        <w:rPr>
          <w:rFonts w:ascii="Arial" w:cs="Arial" w:eastAsia="Arial" w:hAnsi="Arial"/>
          <w:sz w:val="15"/>
          <w:szCs w:val="15"/>
          <w:color w:val="auto"/>
        </w:rPr>
        <w:t>Board of Directors of Wynn Macau, Limited, a majority owned subsidiary of the Company. In 1969, Mr. Okada founded Universal Lease Co. Ltd., which became Aruze Corp. in 1998. In November 2009, the name of Aruze Corp. was changed to Universal Entertainment Corp and is a Japanese manufacturer of pachislot and pachinko machines, amusement machines, and video games. Universal has been issued a manufacturer license by the Nevada Gaming Commission. The Nevada Gaming Commission has also approved Universal’s suitability as the 100% shareholder for a subsidiary, Aruze USA, Inc. Aruze USA has been found suitable by the Nevada Gaming Commission as a major shareholder of the Company. Mr. Okada currently serves as Director and Chairman of the Board of Universal and as Director, President, Secretary and Treasurer of Aruze USA. Aruze Gaming America is privately owned by Mr. Okada and holds manufacturer, distributor, and operator licenses from the Nevada Gaming Commission. Mr. Okada also serves as Director, President, Secretary and Treasurer of Aruze Gaming America, Inc.</w:t>
      </w:r>
    </w:p>
    <w:p>
      <w:pPr>
        <w:spacing w:after="0" w:line="109" w:lineRule="exact"/>
        <w:rPr>
          <w:sz w:val="20"/>
          <w:szCs w:val="20"/>
          <w:color w:val="auto"/>
        </w:rPr>
      </w:pPr>
    </w:p>
    <w:p>
      <w:pPr>
        <w:jc w:val="both"/>
        <w:ind w:right="100" w:firstLine="456"/>
        <w:spacing w:after="0" w:line="370" w:lineRule="auto"/>
        <w:rPr>
          <w:sz w:val="20"/>
          <w:szCs w:val="20"/>
          <w:color w:val="auto"/>
        </w:rPr>
      </w:pPr>
      <w:r>
        <w:rPr>
          <w:rFonts w:ascii="Arial" w:cs="Arial" w:eastAsia="Arial" w:hAnsi="Arial"/>
          <w:sz w:val="15"/>
          <w:szCs w:val="15"/>
          <w:color w:val="auto"/>
        </w:rPr>
        <w:t>Mr. Okada, a founding stockholder along with Mr. Wynn, as well as the Company’s Vice Chairman, brings an international perspective that is essential to the Company’s strategic vision. In addition, his primary business as a manufacturer and developer of gaming equipment adds significant value to our operations.</w:t>
      </w:r>
    </w:p>
    <w:p>
      <w:pPr>
        <w:spacing w:after="0" w:line="5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 xml:space="preserve">Robert J. Miller. </w:t>
      </w:r>
      <w:r>
        <w:rPr>
          <w:rFonts w:ascii="Arial" w:cs="Arial" w:eastAsia="Arial" w:hAnsi="Arial"/>
          <w:sz w:val="18"/>
          <w:szCs w:val="18"/>
          <w:color w:val="auto"/>
        </w:rPr>
        <w:t>Mr. Miller, 64, has served as a director of the Company since October 2002. Since July 2005, he has been a principal of Dutko</w:t>
      </w:r>
      <w:r>
        <w:rPr>
          <w:rFonts w:ascii="Arial" w:cs="Arial" w:eastAsia="Arial" w:hAnsi="Arial"/>
          <w:sz w:val="18"/>
          <w:szCs w:val="18"/>
          <w:b w:val="1"/>
          <w:bCs w:val="1"/>
          <w:color w:val="auto"/>
        </w:rPr>
        <w:t xml:space="preserve"> </w:t>
      </w:r>
      <w:r>
        <w:rPr>
          <w:rFonts w:ascii="Arial" w:cs="Arial" w:eastAsia="Arial" w:hAnsi="Arial"/>
          <w:sz w:val="18"/>
          <w:szCs w:val="18"/>
          <w:color w:val="auto"/>
        </w:rPr>
        <w:t>Worldwide, a multidisciplinary governmental affairs strategy and management firm. From January 1999 until he joined Dutko Worldwide, Mr. Miller was a partner of the Nevada law firm of Jones Vargas. He was a partner in Miller &amp; Behar Strategies from January 2003 to August 2007 and has been a partner in Nevada Rose, LLC since November 2004. From January 1989 until January 1999, Mr. Miller served as Governor of the State of Nevada, and, from 1987 to 1989, he served as Lieutenant Governor of the State of Nevada. Mr. Miller also serves as a director of Zenith National Insurance Corp., Newmont Mining Corporation and International Game Technology. Mr. Miller received a B.A. degree in political science from the University of Santa Clara in 1967 and a Juris Doctor from Loyola Law School in 1971.</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Governor Miller’s extensive experience in Nevada and federal politics brings unique expertise and insight into state regulatory and public policy issues that directly impact the Company’s operations. In addition, his legal background and service as our Compliance Director and Chair of the Company’s Compliance Committee is an important element of maintaining our regulatory structure and probity.</w:t>
      </w:r>
    </w:p>
    <w:p>
      <w:pPr>
        <w:spacing w:after="0" w:line="13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Allan Zeman. </w:t>
      </w:r>
      <w:r>
        <w:rPr>
          <w:rFonts w:ascii="Arial" w:cs="Arial" w:eastAsia="Arial" w:hAnsi="Arial"/>
          <w:sz w:val="18"/>
          <w:szCs w:val="18"/>
          <w:color w:val="auto"/>
        </w:rPr>
        <w:t>Mr. Zeman, 61, has served as a director of the Company since October 2002. He is also Vice Chairman and a member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 Wynn Macau, Limited, a majority owned subsidiary of the Company. Mr. Zeman has been chairman of Lan Kwai Fong Holdings Limited, a Hong Kong based company engaged in property investment and development, since July 1996. Mr. Zeman is also chairman of Ocean Park, a major theme park in Hong Kong and serves on the Board of Directors of Pacific Century Premium Developments Limited (since 2004), Tsim Sha Tsui Properties Limited (since 2004) and Sino Land Company Limited (since 2004). In 2001, he was appointed a Justice of the Peace in Hong Kong and, in 2004, he was awarded the Gold Bauhinia Star by the Chief Executive of Hong Kong.</w:t>
      </w:r>
    </w:p>
    <w:p>
      <w:pPr>
        <w:spacing w:after="0" w:line="14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Mr. Zeman, a Hong Kong citizen and successful Hong Kong entrepreneur, has been a guiding force in the development of our Macau operations and the continued operation and strategic focus of Wynn Macau. His extensive knowledge of the Company’s background, development and marketing strategy in Asia contribute to the Board’s oversight of these aspects of the Company’s operations.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2</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TO 2002 STOCK INCENTIVE PLAN</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Company’s stockholders are being asked to approve amendments to the Company’s 2002 Stock Incentive Plan, as amended (the “2002 Plan”) to</w:t>
      </w:r>
    </w:p>
    <w:p>
      <w:pPr>
        <w:spacing w:after="0" w:line="38" w:lineRule="exact"/>
        <w:rPr>
          <w:sz w:val="20"/>
          <w:szCs w:val="20"/>
          <w:color w:val="auto"/>
        </w:rPr>
      </w:pPr>
    </w:p>
    <w:p>
      <w:pPr>
        <w:ind w:right="60" w:firstLine="8"/>
        <w:spacing w:after="0" w:line="292" w:lineRule="auto"/>
        <w:tabs>
          <w:tab w:leader="none" w:pos="21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increase the maximum number of shares of the Company’s common stock authorized for issuance over the term of the 2002 Plan by 3,000,000 shares from 9,750,000 shares to 12,750,000 shares; (ii) to extend the term of the plan to 2022; and (iii) to remove section 4(b)(xi) of the plan document which provides the ability to reprice stock options. This section, which would allow the Plan Administrator to reduce the exercise price of an option to the fair market value at the time of the reduction, if the fair market value of the common stock covered by the option had declined since the date it was granted, will be amended to state that the Plan Administrator will not allow such options to be repriced absent stockholder approval.</w:t>
      </w:r>
    </w:p>
    <w:p>
      <w:pPr>
        <w:spacing w:after="0" w:line="11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2002 Plan was originally adopted by the Company’s board of directors in September, 2002. The amendments to the 2002 Plan described under this Proposal No. 2 were adopted by the Company’s board of directors on February 26, 2010, subject to stockholder approval.</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March 1, 2010, there were only 289,545 shares remaining available for option grants and other awards under the 2002 Plan. The Company’s board of directors believes that it is necessary to increase the number of shares available for issuance under the 2002 Plan to enable the Company to continue using equity incentives to attract and retain highly qualified individuals who, by virtue of their ability and qualifications, make important contributions to the Company and that these amendments to the 2002 Plan are in the best interest of the Company. As of March 23, 2010, the fair market value of a share of the Company’s common stock was $76.33, measured as the closing sale price of the Company’s common stock on that date as reported by NASDAQ Global Select Market.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2002 Plan</w:t>
      </w:r>
    </w:p>
    <w:p>
      <w:pPr>
        <w:spacing w:after="0" w:line="9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 xml:space="preserve">The principal terms of the 2002 Plan, as proposed to be amended, are summarized below. This summary does not purport to be complete, and is subject to, and qualified by reference to, all provisions of the 2002 Plan, as proposed to be amended, a copy of which is attached to this proxy statement as </w:t>
      </w:r>
      <w:r>
        <w:rPr>
          <w:rFonts w:ascii="Arial" w:cs="Arial" w:eastAsia="Arial" w:hAnsi="Arial"/>
          <w:sz w:val="16"/>
          <w:szCs w:val="16"/>
          <w:i w:val="1"/>
          <w:iCs w:val="1"/>
          <w:color w:val="auto"/>
        </w:rPr>
        <w:t>Appendix A</w:t>
      </w:r>
      <w:r>
        <w:rPr>
          <w:rFonts w:ascii="Arial" w:cs="Arial" w:eastAsia="Arial" w:hAnsi="Arial"/>
          <w:sz w:val="16"/>
          <w:szCs w:val="16"/>
          <w:color w:val="auto"/>
        </w:rPr>
        <w:t xml:space="preserve"> and incorporated herein by reference. Any capitalized term not defined in this summary shall have the same meaning given to it in the 2002 Plan.</w:t>
      </w:r>
    </w:p>
    <w:p>
      <w:pPr>
        <w:spacing w:after="0" w:line="10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Purpose. </w:t>
      </w:r>
      <w:r>
        <w:rPr>
          <w:rFonts w:ascii="Arial" w:cs="Arial" w:eastAsia="Arial" w:hAnsi="Arial"/>
          <w:sz w:val="16"/>
          <w:szCs w:val="16"/>
          <w:color w:val="auto"/>
        </w:rPr>
        <w:t>The purposes of the 2002 Plan are to (a) attract and retain the best available personnel for positions of substantial responsibility; (b)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incentive to selected key employees, consultants and directors; and (c) promote the success of the Company’s business.</w:t>
      </w:r>
    </w:p>
    <w:p>
      <w:pPr>
        <w:spacing w:after="0" w:line="7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2002 Plan is administered by the Compensation Committee. Subject to the express provisions of the 2002 Plan,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has broad authority to designate recipients of awards, determine the terms and provisions of awards (including the price, expiration date, vesting schedule and terms of exercise), approve forms of award agreements, accelerate the vesting or exercisability of awards, construe and interpret the terms of the 2002 Plan, prescribe, amend and rescind rules and regulations relating to the 2002 Plan and make all other determinations it considers necessary or advisable for administering the 2002 Plan. All decisions, determinations and interpretations by the Compensation Committee regarding the 2002 Plan will be final and binding on all award holders.</w:t>
      </w:r>
    </w:p>
    <w:p>
      <w:pPr>
        <w:spacing w:after="0" w:line="139"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b w:val="1"/>
          <w:bCs w:val="1"/>
          <w:i w:val="1"/>
          <w:iCs w:val="1"/>
          <w:color w:val="auto"/>
        </w:rPr>
        <w:t>Participants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person who is an employee, consultant or director of the Company or of any parent or subsidiary will be eligible for selection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Administrator for the grant of awards under the 2002 Plan. Options intended to qualify as “incentive stock options” (“ISOs”) within the meaning of Section 422 of the Internal Revenue Code of 1986 (the “Code”) only may be granted to employees of the Company or certain subsidiaries. Although all of our 12,500 employees and 7 non-employee directors currently qualify to participate in the 2002 Plan, in practice fewer than 250 employees have received stock awards.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i w:val="1"/>
          <w:iCs w:val="1"/>
          <w:color w:val="auto"/>
        </w:rPr>
        <w:t>Shares Subject to the 2002 Plan and to Awards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2002 Plan currently authorizes the issuance of awards of up to 9,750,000 shares of the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of which 289,545 shares remained available for issuance as of March 23, 2010. Of the 9,750,000 shares from the 2002 Plan, 6,265,593 shares have been issued and were outstanding (unexercised or unvested) as of March 23, 2010. The amendment to the 2002 Plan will increase the aggregate number of shares available for issuance under the 2002 Plan by 3,000,000 shares to a total of 12,750,000 shares. The following shares will become available for future grant under the 2002 Plan: (a) shares subject to options that expire or become unexercisable without being exercised in full; (b) shares surrendered pursuant to any option exchange program (which, as amended, would be subject to stockholder approval); and (c) shares subject to stock awards that are cancelled or surrendered or expire without being received in full. Shares repurchased by the Company that were issued pursuant to the exercise of an option or grant of a stock award will not be available for future grant under the 2002 Plan. The shares issued pursuant to awards granted under the 2002 Plan may be shares that are authorized and unissued or issued shares that were reacquired by the Company. Subject to certain adjustments, the aggregate number of shares subject to options granted under the 2002 Plan during any fiscal year to any one participant will not exceed 1,500,000.</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Option Awards. </w:t>
      </w:r>
      <w:r>
        <w:rPr>
          <w:rFonts w:ascii="Arial" w:cs="Arial" w:eastAsia="Arial" w:hAnsi="Arial"/>
          <w:sz w:val="16"/>
          <w:szCs w:val="16"/>
          <w:color w:val="auto"/>
        </w:rPr>
        <w:t>Subject to the terms of the 2002 Plan, the Plan Administrator is authorized to make awards of stock options (both ISOs and options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not intended to qualify as ISOs, nonqualified stock options (“NQSOs”)) on such terms and conditions as the Plan Administrator determines. The Plan Administrator will establish the exercise price per share under each option, which, in the case of ISOs or NQSOs intended to qualify as “performance-based compensation” under Section 162(m) of the Code, will not be less than the fair market value (or 110% of the fair market value in the case of ISOs granted to employees who, at the time the ISO is granted, own stock representing more than 10% of the voting power of all classes of capital stock of the Company or any parent or subsidiary of the Company) of a share on the date the option is granted. The Plan Administrator will establish the term of each option, which in no case may exceed a period of ten (10) years from the date of grant (or five (5) years in the case of ISOs granted to employees who, at the time the ISO is granted, own stock representing more than 10% of the voting power of all classes of capital stock of the Company or any parent or subsidiary of the Company). The Plan Administrator will determine any conditions that must be satisfied before the option may be exercised. The Plan Administrator will determine the acceptable form of consideration for exercising an option, which may consist of cash, a promissory note, shares of the Company’s common stock, proceeds from the sale of shares underlying the options and any other method of payment permitted by applicable laws.</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Unless the Plan Administrator determines otherwise: (a) upon termination of employment other than due to death, disability or termination for cause, participants may continue to exercise their options for ninety (90) days (or until the expiration date of the option, if earlier) to the extent that they were exercisable upon the date of termination; (b) upon death or disability, participants (or their estates or beneficiaries in the case of death) may continue to exercise their options for twelve (12) months (or until the expiration date of the option, if earlier) to the extent that they were exercisable upon the date of such event; and (c) upon termination of employment for cause, all options (including any vested options) will be forfeited.</w:t>
      </w:r>
    </w:p>
    <w:p>
      <w:pPr>
        <w:spacing w:after="0" w:line="1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 proposed to be amended, the 2002 Plan does not permit the Plan Administrator to reduce the exercise price of an option to the fair market value at the time of the reduction if the fair market value of the common stock covered by the option has declined since the date it was granted.</w:t>
      </w:r>
    </w:p>
    <w:p>
      <w:pPr>
        <w:spacing w:after="0" w:line="8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Stock Awards. </w:t>
      </w:r>
      <w:r>
        <w:rPr>
          <w:rFonts w:ascii="Arial" w:cs="Arial" w:eastAsia="Arial" w:hAnsi="Arial"/>
          <w:sz w:val="16"/>
          <w:szCs w:val="16"/>
          <w:color w:val="auto"/>
        </w:rPr>
        <w:t>Subject to the terms of the 2002 Plan, the Plan Administrator is authorized to grant stock awards on such terms and conditions and subject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such restrictions, if any, as the Plan Administrator determines. The Plan Administrator may impose restrictions on stock awards and may waive the restricted period and any other terms, conditions or restrictions on the award. Unless otherwise determined by the Plan Administrator, participants holding stock awards granted under the 2002 Plan may exercise full voting rights with respect to shares underlying the stock awards during the period of restriction, and shares underlying stock awards will be entitled to receive all dividends paid with respect to those shares; provided, however, that dividends or distributions paid with respect to any unvested shares will be subject to forfeiture until the underlying shares have vested.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Amendment and Termination. </w:t>
      </w:r>
      <w:r>
        <w:rPr>
          <w:rFonts w:ascii="Arial" w:cs="Arial" w:eastAsia="Arial" w:hAnsi="Arial"/>
          <w:sz w:val="16"/>
          <w:szCs w:val="16"/>
          <w:color w:val="auto"/>
        </w:rPr>
        <w:t>The Board of Directors may amend, alter, suspend or terminate the 2002 Plan, except that the Company will obtain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 approval for any amendment that increases the maximum number of shares for which awards may be granted under the 2002 Plan or to the extent necessary and desirable to comply with Section 422 of the Code, NASDAQ requirements, or other applicable laws. In addition, no amendment, alteration, suspension or termination of the 2002 Plan may impair the rights of holders of outstanding awards without their consent.</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Corporate Transaction. </w:t>
      </w:r>
      <w:r>
        <w:rPr>
          <w:rFonts w:ascii="Arial" w:cs="Arial" w:eastAsia="Arial" w:hAnsi="Arial"/>
          <w:sz w:val="16"/>
          <w:szCs w:val="16"/>
          <w:color w:val="auto"/>
        </w:rPr>
        <w:t>Upon a merger, reorganization or sale of substantially all of the Company’s assets, the Plan Administrator may, in its discretion,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 one or more of the following: (a) shorten the period during which options are exercisable (provided they remain exercisable for at least thirty (30) days following the date notice of such shortening is given to the participants); (b) accelerate the vesting schedule to which outstanding awards are subject; (c) arrange to have the surviving or successor entity or any parent entity thereof assume outstanding stock awards and options or grant replacement options with appropriate adjustments in the terms thereof; or (d) cancel outstanding awards upon payment to the participants in cash with respect to each award to the extent then exercisable or vested (including, if applicable, awards as to which the vesting schedule has been accelerated) in an amount equivalent to the excess of the then fair market value of the common stock over the exercise price of the option and, with respect to each vested stock award, the then fair market value of the stock subject to the award. Upon the Company’s dissolution or liquidation, unexercised options and unvested stock awards will terminate immediately prior such event; provided, however, that the Plan Administrator may, in its discretion, accelerate the vesting of outstanding awards prior to such termination and give participants the right to exercise their options.</w:t>
      </w:r>
    </w:p>
    <w:p>
      <w:pPr>
        <w:spacing w:after="0" w:line="12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Adjustments. </w:t>
      </w:r>
      <w:r>
        <w:rPr>
          <w:rFonts w:ascii="Arial" w:cs="Arial" w:eastAsia="Arial" w:hAnsi="Arial"/>
          <w:sz w:val="16"/>
          <w:szCs w:val="16"/>
          <w:color w:val="auto"/>
        </w:rPr>
        <w:t>If the outstanding shares of the Company’s common stock are increased, decreased, changed into or exchanged for a different number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kind of shares or securities of the Company or a successor, or for other property, through a reorganization, recapitalization, reclassification, stock combination, stock dividend, stock split, reverse stock split, spin off or other similar transaction, the Plan Administrator will make an appropriate and proportional adjustment in the: (a) maximum number and kind of shares as to which options and stock awards may be granted under the 2002 Plan; and (b) number and kind of shares subject to outstanding awards under the 2002 Plan.</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Unless the Plan Administrator determines otherwise, options may not be sold, transferred, pledged, assigned, hypothecated, transferred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otherwise disposed of by a participant other than by will or the laws of descent and distribution, and may be exercisable only by the participant during his or her lifetime. To the extent permitted by the Plan Administrator, NQSOs may be assigned pursuant to a qualified domestic relations order or to certain family members.</w:t>
      </w:r>
    </w:p>
    <w:p>
      <w:pPr>
        <w:spacing w:after="0" w:line="137"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i w:val="1"/>
          <w:iCs w:val="1"/>
          <w:color w:val="auto"/>
        </w:rPr>
        <w:t>No Right to Company Employment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Nothing in the 2002 Plan or an award agreement will interfere with or limit in any way the right of the Company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terminate any participant’s employment, service on the Board or service for the Company at any time with or without cause, nor will the 2002 Plan or an award itself confer upon any participant any right to continue his or her employment or service with the Company.</w:t>
      </w:r>
    </w:p>
    <w:p>
      <w:pPr>
        <w:spacing w:after="0" w:line="13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Compliance with Law. </w:t>
      </w:r>
      <w:r>
        <w:rPr>
          <w:rFonts w:ascii="Arial" w:cs="Arial" w:eastAsia="Arial" w:hAnsi="Arial"/>
          <w:sz w:val="18"/>
          <w:szCs w:val="18"/>
          <w:color w:val="auto"/>
        </w:rPr>
        <w:t>The issuance of shares pursuant to an award under the 2002 Plan will be subject to compliance with all applicable laws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by the Company’s counsel with respect to such compliance. The Company may such impose restrictions on shares issued pursuant to awards under the 2002 Plan and request the participant to provide such assurance and representations to the Company as the Company may deem necessary or desirable to assure compliance with all applicable laws.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Effective Date and Termination of the 2002 Plan. </w:t>
      </w:r>
      <w:r>
        <w:rPr>
          <w:rFonts w:ascii="Arial" w:cs="Arial" w:eastAsia="Arial" w:hAnsi="Arial"/>
          <w:sz w:val="18"/>
          <w:szCs w:val="18"/>
          <w:color w:val="auto"/>
        </w:rPr>
        <w:t>The 2002 Plan was adopted by the Board of Directors on September 10, 2002. As amended, the 2002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will continue in effect for 20 years following such date, unless terminated earlier in accordance with its terms.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Treatment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tax discussion is a general summary as of the date of this proxy statement of the U.S. federal income tax consequences to the Company and the participants in the 2002 Plan. The discussion is intended solely for general information and does not make specific representations to any participant. The discussion does not address state, local or foreign income tax rules or other U.S. tax provisions, such as estate or gift taxes. A recipient’s particular situation may be such that some variation of the basic rules is applicable to him or her. In addition, the federal income tax laws and regulations frequently have been revised and may be changed again at any time. Therefore, each recipient is urged to consult a tax advisor before exercising any award or before disposing of any shares acquired under the plan both with respect to federal income tax consequences as well as any foreign, state or local tax consequences.</w:t>
      </w:r>
    </w:p>
    <w:p>
      <w:pPr>
        <w:spacing w:after="0" w:line="12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ISOs and NQSOs are treated differently for federal income tax purposes. ISOs are intended to comply with the requirements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422 of the Code. NQSOs do not comply with such requirements.</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 optionee is not taxed on the grant or exercise of an ISO. The difference between the exercise price and the fair market value of the shares on the exercise date will, however, be a preference item for purposes of the alternative minimum tax. If an optionee holds the shares acquired upon exercise of an ISO until the later of two years following the option grant date and one year following exercise, the optionee’s gain, if any, upon a subsequent disposition of such shares is long term capital gain. The measure of the gain is the difference between the proceeds received on disposition and the optionee’s basis in the shares (which generally equals the exercise price). If an optionee disposes of stock acquired pursuant to exercise of an ISO before satisfying these holding periods, the optionee will recognize ordinary income in the year of disposition an amount equal to the excess of the fair market value of the shares at the time of exercise (or, if less, the amount realized on the disposition of the shares), over the exercise price paid for the shares, and capital gain or loss for any other difference between the sale price and the exercise price. The Company is not entitled to an income tax deduction on the grant or exercise of an ISO or on the optionee’s disposition of the shares after satisfying the holding period requirement described above. If the holding periods are not satisfied, the Company will be entitled to a deduction in the year the optionee disposes of the shares in an amount equal to the ordinary income recognized by the optionee.</w:t>
      </w:r>
    </w:p>
    <w:p>
      <w:pPr>
        <w:spacing w:after="0" w:line="12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order for an option to qualify for ISO tax treatment, the grant of the option must satisfy various other conditions more fully described in the Code. The Company does not guarantee that any option will qualify for ISO tax treatment even if the option is intended to qualify for such treatment. In the event an option intended to be an ISO fails to so qualify, it will be taxed as an NQSO, as described below.</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An optionee is not taxed on the grant of an NQSO. On exercise, the optionee recognizes ordinary income equal to the difference between the exercise price and the fair market value of the shares acquired on the date of exercise. The Company is entitled to an income tax deduction in the year of exercise in the amount recognized by the optionee as ordinary income. The optionee’s gain (or loss) on subsequent disposition of the shares is long-term capital gain (or loss) if the shares are held for at least one year following exercise, and otherwise is short-term capital gain (or loss). The Company does not receive a deduction for any such capital gain.</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Stock Awards. </w:t>
      </w:r>
      <w:r>
        <w:rPr>
          <w:rFonts w:ascii="Arial" w:cs="Arial" w:eastAsia="Arial" w:hAnsi="Arial"/>
          <w:sz w:val="16"/>
          <w:szCs w:val="16"/>
          <w:color w:val="auto"/>
        </w:rPr>
        <w:t>Grantees of unvested stock awards generally do not recognize income at the time of the grant. When the award vests or is paid, grantees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recognize ordinary income in an amount equal to the fair market value of the stock or units at such time, and the Company will receive a corresponding deduction. Dividends (if any) paid with respect to unvested stock awards generally will be taxable as ordinary income to the participant at the time the dividends are received. Grantees of vested stock awards generally are required to recognize ordinary income at the time of grant in an amount equal to the excess of the fair market value of the shares on the date the shares are granted over the purchase price (if any) paid for the shares.</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Company Deduction and Section 162(m). </w:t>
      </w:r>
      <w:r>
        <w:rPr>
          <w:rFonts w:ascii="Arial" w:cs="Arial" w:eastAsia="Arial" w:hAnsi="Arial"/>
          <w:sz w:val="18"/>
          <w:szCs w:val="18"/>
          <w:color w:val="auto"/>
        </w:rPr>
        <w:t>In all the foregoing cases, the Company will be generally entitled to a deduction at the same time and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amount as the participant recognizes ordinary income,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subject to certain limitations. Among these limitations is Section 162(m) of the Code. Certain performance-based compensation is not subject to the</w:t>
      </w:r>
    </w:p>
    <w:p>
      <w:pPr>
        <w:spacing w:after="0" w:line="38"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Section 162(m) limitation on deductibility. Stock options and stock awards can qualify for this performance-based exception if they meet the requirements set forth in Section 162(m) and the Treasury Regulations promulgated thereunder. The 2002 Plan has been drafted to allow, but not require, compliance with those performance-based criteria for stock options, but not for stock awards.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benefits that will be awarded or paid under the 2002 Plan are not currently determinable. Awards granted under the 2002 Plan are within the discretion of the Compensation Committee, and the Compensation Committee has not determined future awards or who might receive them.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Plan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with respect to options and other awards granted under the 2002 Plan during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Number of</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1"/>
              </w:rPr>
              <w:t>Shares</w:t>
            </w: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Covered by</w:t>
            </w:r>
          </w:p>
        </w:tc>
      </w:tr>
      <w:tr>
        <w:trPr>
          <w:trHeight w:val="161"/>
        </w:trPr>
        <w:tc>
          <w:tcPr>
            <w:tcW w:w="10480" w:type="dxa"/>
            <w:vAlign w:val="bottom"/>
            <w:gridSpan w:val="3"/>
          </w:tcPr>
          <w:p>
            <w:pPr>
              <w:spacing w:after="0"/>
              <w:rPr>
                <w:sz w:val="20"/>
                <w:szCs w:val="20"/>
                <w:color w:val="auto"/>
              </w:rPr>
            </w:pPr>
            <w:r>
              <w:rPr>
                <w:rFonts w:ascii="Arial" w:cs="Arial" w:eastAsia="Arial" w:hAnsi="Arial"/>
                <w:sz w:val="14"/>
                <w:szCs w:val="14"/>
                <w:b w:val="1"/>
                <w:bCs w:val="1"/>
                <w:color w:val="auto"/>
              </w:rPr>
              <w:t>Name and Position</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Awards</w:t>
            </w:r>
          </w:p>
        </w:tc>
      </w:tr>
      <w:tr>
        <w:trPr>
          <w:trHeight w:val="210"/>
        </w:trPr>
        <w:tc>
          <w:tcPr>
            <w:tcW w:w="20" w:type="dxa"/>
            <w:vAlign w:val="bottom"/>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Marc D. Schorr</w:t>
            </w:r>
          </w:p>
        </w:tc>
        <w:tc>
          <w:tcPr>
            <w:tcW w:w="93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940" w:type="dxa"/>
            <w:vAlign w:val="bottom"/>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Kim Sinatra</w:t>
            </w:r>
          </w:p>
        </w:tc>
        <w:tc>
          <w:tcPr>
            <w:tcW w:w="940" w:type="dxa"/>
            <w:vAlign w:val="bottom"/>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executive officers as a group</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tcPr>
          <w:p>
            <w:pPr>
              <w:spacing w:after="0"/>
              <w:rPr>
                <w:sz w:val="20"/>
                <w:szCs w:val="20"/>
                <w:color w:val="auto"/>
              </w:rPr>
            </w:pPr>
            <w:r>
              <w:rPr>
                <w:rFonts w:ascii="Arial" w:cs="Arial" w:eastAsia="Arial" w:hAnsi="Arial"/>
                <w:sz w:val="18"/>
                <w:szCs w:val="18"/>
                <w:color w:val="auto"/>
              </w:rPr>
              <w:t>All non-employee directors as a group</w:t>
            </w:r>
          </w:p>
        </w:tc>
        <w:tc>
          <w:tcPr>
            <w:tcW w:w="940" w:type="dxa"/>
            <w:vAlign w:val="bottom"/>
          </w:tcPr>
          <w:p>
            <w:pPr>
              <w:jc w:val="right"/>
              <w:spacing w:after="0"/>
              <w:rPr>
                <w:sz w:val="20"/>
                <w:szCs w:val="20"/>
                <w:color w:val="auto"/>
              </w:rPr>
            </w:pPr>
            <w:r>
              <w:rPr>
                <w:rFonts w:ascii="Arial" w:cs="Arial" w:eastAsia="Arial" w:hAnsi="Arial"/>
                <w:sz w:val="18"/>
                <w:szCs w:val="18"/>
                <w:color w:val="auto"/>
              </w:rPr>
              <w:t>70,000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employees as a group (excluding executive officers)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1,022,500</w:t>
            </w:r>
          </w:p>
        </w:tc>
        <w:tc>
          <w:tcPr>
            <w:tcW w:w="20" w:type="dxa"/>
            <w:vAlign w:val="bottom"/>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Recommendation</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This proposal will be approved if the number of votes cast “For” the proposal by the stockholders entitled to vote exceeds the number of votes cast “Against” the proposal.</w:t>
      </w:r>
    </w:p>
    <w:p>
      <w:pPr>
        <w:spacing w:after="0" w:line="126" w:lineRule="exact"/>
        <w:rPr>
          <w:sz w:val="20"/>
          <w:szCs w:val="20"/>
          <w:color w:val="auto"/>
        </w:rPr>
      </w:pPr>
    </w:p>
    <w:p>
      <w:pPr>
        <w:ind w:right="380" w:firstLine="456"/>
        <w:spacing w:after="0" w:line="275" w:lineRule="auto"/>
        <w:rPr>
          <w:sz w:val="20"/>
          <w:szCs w:val="20"/>
          <w:color w:val="auto"/>
        </w:rPr>
      </w:pPr>
      <w:r>
        <w:rPr>
          <w:rFonts w:ascii="Arial" w:cs="Arial" w:eastAsia="Arial" w:hAnsi="Arial"/>
          <w:sz w:val="18"/>
          <w:szCs w:val="18"/>
          <w:b w:val="1"/>
          <w:bCs w:val="1"/>
          <w:color w:val="auto"/>
        </w:rPr>
        <w:t>OUR BOARD OF DIRECTORS UNANIMOUSLY RECOMMENDS THAT YOU VOTE FOR THE AMENDMENTS TO THE 2002 STOCK INCENTIVE PLAN.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PUBLIC ACCOUNTANTS</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Audit Committee of the Board of Directors has selected Ernst &amp; Young LLP, a registered public accounting firm, as our independent public accountants to examine and report to our stockholders on the consolidated financial statements of our Company and its subsidiaries for the year 2010. Representatives of Ernst &amp; Young LLP will be present at the Annual Meeting and will be given an opportunity to make a statement. They also will be available to respond to appropriate questions.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a matter of good corporate governance, the Audit Committee has determined to submit its selection of Ernst &amp; Young LLP as the Company’s independent public accountants, although this is not required under Nevada law or under the Company’s Articles or By-Laws. If the stockholders do not ratify the selection of Ernst &amp; Young LLP as the Company’s independent auditors for 2010, the Audit Committee will evaluate what would be in the best interests of the Company and its stockholders and consider whether to select new independent auditors for the current year or whether to wait until the completion of the audit for the current year before changing independent auditors. Even if the stockholders ratify the selection of Ernst &amp; Young LLP, the Audit Committee, in its discretion, may direct the appointment of a different independent public accounting firm at any time during the year if the Audit Committee determines that such a change would be in the best interests of the Company and its stockholders.</w:t>
      </w:r>
    </w:p>
    <w:p>
      <w:pPr>
        <w:spacing w:after="0" w:line="118"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following table shows the fees paid or accrued by the Company for audit and other services provided by Ernst &amp; Young LLP, the Company’s independent auditor during each of the fiscal years ended December 31, 2009 and December 31, 2008:</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Category</w:t>
            </w:r>
          </w:p>
        </w:tc>
        <w:tc>
          <w:tcPr>
            <w:tcW w:w="3460" w:type="dxa"/>
            <w:vAlign w:val="bottom"/>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Aggregate Fees</w:t>
            </w: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gridSpan w:val="3"/>
            <w:vMerge w:val="continue"/>
          </w:tcPr>
          <w:p>
            <w:pPr>
              <w:spacing w:after="0"/>
              <w:rPr>
                <w:sz w:val="12"/>
                <w:szCs w:val="12"/>
                <w:color w:val="auto"/>
              </w:rPr>
            </w:pPr>
          </w:p>
        </w:tc>
        <w:tc>
          <w:tcPr>
            <w:tcW w:w="3460" w:type="dxa"/>
            <w:vAlign w:val="bottom"/>
          </w:tcPr>
          <w:p>
            <w:pPr>
              <w:spacing w:after="0"/>
              <w:rPr>
                <w:sz w:val="12"/>
                <w:szCs w:val="12"/>
                <w:color w:val="auto"/>
              </w:rPr>
            </w:pPr>
          </w:p>
        </w:tc>
        <w:tc>
          <w:tcPr>
            <w:tcW w:w="940" w:type="dxa"/>
            <w:vAlign w:val="bottom"/>
          </w:tcPr>
          <w:p>
            <w:pPr>
              <w:jc w:val="right"/>
              <w:ind w:right="266"/>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256"/>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1,966,022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1,442,067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20,203</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10,170</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460" w:type="dxa"/>
            <w:vAlign w:val="bottom"/>
          </w:tcPr>
          <w:p>
            <w:pPr>
              <w:spacing w:after="0"/>
              <w:rPr>
                <w:sz w:val="19"/>
                <w:szCs w:val="19"/>
                <w:color w:val="auto"/>
              </w:rPr>
            </w:pPr>
          </w:p>
        </w:tc>
        <w:tc>
          <w:tcPr>
            <w:tcW w:w="940" w:type="dxa"/>
            <w:vAlign w:val="bottom"/>
          </w:tcPr>
          <w:p>
            <w:pPr>
              <w:jc w:val="right"/>
              <w:ind w:right="6"/>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“Audit fees” includes the aggregate fees billed for professional services rendered for the reviews of our consolidated financial statements for the quarterly periods ended March 31, June 30, and September 30, for the audit of our consolidated financial statements and the consolidated financial statements of certain of our subsidiaries for the years ended December 31, 2009 and 2008, and the audit of our internal controls over financial reporting as of December 31, 2009 and 2008. “Audit fees” also includes amounts billed for services provided in connection with securities offerings during 2009 and 2008 and the initial public offering on the Stock Exchange of Hong Kong Limited of shares of our subsidiary Wynn Macau Limited. “Audit related fees” is the aggregate fees billed for audits of the Company’s defined contribution employee benefit plan. “Tax fees” for 2009 and 2008 includes fees for tax preparation and compliance, international tax research, planning for the Company’s foreign subsidiaries, domestic tax planning and other research.</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of our independent auditor’s fees were pre-approved by the Audit Committee in 2009. The Audit Committee pre-approves services either by:</w:t>
      </w:r>
    </w:p>
    <w:p>
      <w:pPr>
        <w:spacing w:after="0" w:line="38" w:lineRule="exact"/>
        <w:rPr>
          <w:sz w:val="20"/>
          <w:szCs w:val="20"/>
          <w:color w:val="auto"/>
        </w:rPr>
      </w:pPr>
    </w:p>
    <w:p>
      <w:pPr>
        <w:ind w:right="520" w:firstLine="8"/>
        <w:spacing w:after="0" w:line="261"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approving a request from management describing a specific project at a specific fee or rate, or (2) by pre-approving certain types of services that would comprise the fees within each of the above categories at usual and customary rates.</w:t>
      </w:r>
    </w:p>
    <w:p>
      <w:pPr>
        <w:spacing w:after="0" w:line="13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This proposal will be approved if the number of votes cast in favor of the proposal by stockholders entitled to vote exceeds the number of votes cast in opposition to the proposal.</w:t>
      </w:r>
    </w:p>
    <w:p>
      <w:pPr>
        <w:spacing w:after="0" w:line="126"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OUR BOARD OF DIRECTORS UNANIMOUSLY RECOMMENDS THAT YOU VOTE FOR THE RATIFICATION OF THE APPOINTMENT OF ERNST &amp; YOUNG LLP AS THE COMPANY’S INDEPENDENT PUBLIC ACCOUNTANTS FOR THE YEAR 2010.</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Board of Directors is not aware of any other matters to be presented at the Annual Meeting. If any other matters should properly come before the Annual Meeting, the persons named in the proxy will vote the executed proxies on such matters as they determine appropriate in their discretion.</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role is to oversee the accounting and financial reporting processes of the Company and the audits of the Company’s financial statements. The Company’s management is responsible for the preparation, presentation and integrity of our financial statements, and for maintaining appropriate accounting and financial reporting principles and policies, and internal controls and procedures that are reasonably designed to assure compliance with accounting standards and applicable laws and regulations. The independent auditors are responsible for auditing our financial statements and expressing an opinion as to their conformity with generally accepted accounting principles in the United States of America and for auditing and providing an attestation report on the effectiveness of our internal control over financial reporting.</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We have reviewed and discussed with management the Company’s audited financial statements for the year ended December 31, 2009. We have discussed with the independent auditors the matters required to be discussed by Statement on Auditing Standards No. 61,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as amended and adopted by the Public Company Accounting Oversight Board (“PCAOB”). We have received the written disclosures and the letter from the independent auditors required by applicable requirements of the PCAOB regarding the independent auditor’s communications with the audit committee concerning independence and have discussed with the independent auditors their firm’s independence. Based on the review and discussion referred to above, we recommended to the Board of Directors that the audited financial statements referred to above be included in the Company’s Annual Report on Form 10-K for the year ended December 31, 2009 for filing with the SEC.</w:t>
      </w:r>
    </w:p>
    <w:p>
      <w:pPr>
        <w:spacing w:after="0" w:line="11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Alvin V. Shoemaker, Chairman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Russell Goldsmith</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John A. Moran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 Boone Wayson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Allan Zeman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7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The following table sets forth the executive officers and certain key management personnel of the Company and certain of its subsidiaries as of March 1,</w:t>
      </w:r>
    </w:p>
    <w:p>
      <w:pPr>
        <w:spacing w:after="0" w:line="38"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2010. Executive officers are appointed by the Board of Directors and serve at the discretion of the Board of Directors, subject to applicable employment agreements.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3980" w:type="dxa"/>
            <w:vAlign w:val="bottom"/>
          </w:tcPr>
          <w:p>
            <w:pPr>
              <w:spacing w:after="0"/>
              <w:rPr>
                <w:sz w:val="14"/>
                <w:szCs w:val="14"/>
                <w:color w:val="auto"/>
              </w:rPr>
            </w:pPr>
          </w:p>
        </w:tc>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Chairman of the Board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8200" w:type="dxa"/>
            <w:vAlign w:val="bottom"/>
            <w:gridSpan w:val="3"/>
          </w:tcPr>
          <w:p>
            <w:pPr>
              <w:ind w:left="220"/>
              <w:spacing w:after="0"/>
              <w:rPr>
                <w:sz w:val="20"/>
                <w:szCs w:val="20"/>
                <w:color w:val="auto"/>
              </w:rPr>
            </w:pPr>
            <w:r>
              <w:rPr>
                <w:rFonts w:ascii="Arial" w:cs="Arial" w:eastAsia="Arial" w:hAnsi="Arial"/>
                <w:sz w:val="18"/>
                <w:szCs w:val="18"/>
                <w:color w:val="auto"/>
              </w:rPr>
              <w:t>President, Wynn International Marketing, Ltd.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260" w:type="dxa"/>
            <w:vAlign w:val="bottom"/>
          </w:tcPr>
          <w:p>
            <w:pPr>
              <w:jc w:val="right"/>
              <w:spacing w:after="0"/>
              <w:rPr>
                <w:sz w:val="20"/>
                <w:szCs w:val="20"/>
                <w:color w:val="auto"/>
              </w:rPr>
            </w:pPr>
            <w:r>
              <w:rPr>
                <w:rFonts w:ascii="Arial" w:cs="Arial" w:eastAsia="Arial" w:hAnsi="Arial"/>
                <w:sz w:val="18"/>
                <w:szCs w:val="18"/>
                <w:color w:val="auto"/>
              </w:rPr>
              <w:t>58</w:t>
            </w:r>
          </w:p>
        </w:tc>
        <w:tc>
          <w:tcPr>
            <w:tcW w:w="820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President-Chief Administrative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 Maddox</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Chief Financial Officer and Treasurer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Kim Sinatra</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c>
          <w:tcPr>
            <w:tcW w:w="8200" w:type="dxa"/>
            <w:vAlign w:val="bottom"/>
            <w:gridSpan w:val="3"/>
          </w:tcPr>
          <w:p>
            <w:pPr>
              <w:ind w:left="220"/>
              <w:spacing w:after="0"/>
              <w:rPr>
                <w:sz w:val="20"/>
                <w:szCs w:val="20"/>
                <w:color w:val="auto"/>
              </w:rPr>
            </w:pPr>
            <w:r>
              <w:rPr>
                <w:rFonts w:ascii="Arial" w:cs="Arial" w:eastAsia="Arial" w:hAnsi="Arial"/>
                <w:sz w:val="18"/>
                <w:szCs w:val="18"/>
                <w:color w:val="auto"/>
              </w:rPr>
              <w:t>General Counsel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 M. Coughlan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President, Wynn Macau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Andrew Pascal</w:t>
            </w:r>
          </w:p>
        </w:tc>
        <w:tc>
          <w:tcPr>
            <w:tcW w:w="260" w:type="dxa"/>
            <w:vAlign w:val="bottom"/>
          </w:tcPr>
          <w:p>
            <w:pPr>
              <w:jc w:val="right"/>
              <w:spacing w:after="0"/>
              <w:rPr>
                <w:sz w:val="20"/>
                <w:szCs w:val="20"/>
                <w:color w:val="auto"/>
              </w:rPr>
            </w:pPr>
            <w:r>
              <w:rPr>
                <w:rFonts w:ascii="Arial" w:cs="Arial" w:eastAsia="Arial" w:hAnsi="Arial"/>
                <w:sz w:val="18"/>
                <w:szCs w:val="18"/>
                <w:color w:val="auto"/>
              </w:rPr>
              <w:t>44</w:t>
            </w:r>
          </w:p>
        </w:tc>
        <w:tc>
          <w:tcPr>
            <w:tcW w:w="8200" w:type="dxa"/>
            <w:vAlign w:val="bottom"/>
            <w:gridSpan w:val="3"/>
          </w:tcPr>
          <w:p>
            <w:pPr>
              <w:ind w:left="220"/>
              <w:spacing w:after="0"/>
              <w:rPr>
                <w:sz w:val="20"/>
                <w:szCs w:val="20"/>
                <w:color w:val="auto"/>
              </w:rPr>
            </w:pPr>
            <w:r>
              <w:rPr>
                <w:rFonts w:ascii="Arial" w:cs="Arial" w:eastAsia="Arial" w:hAnsi="Arial"/>
                <w:sz w:val="18"/>
                <w:szCs w:val="18"/>
                <w:color w:val="auto"/>
              </w:rPr>
              <w:t>President, Wynn Las Vegas, LLC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Peterson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Senior Vice President and Chief Financial Officer, Wynn Las Vegas, LLC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40" w:type="dxa"/>
            <w:vAlign w:val="bottom"/>
            <w:gridSpan w:val="2"/>
          </w:tcPr>
          <w:p>
            <w:pPr>
              <w:spacing w:after="0"/>
              <w:rPr>
                <w:sz w:val="20"/>
                <w:szCs w:val="20"/>
                <w:color w:val="auto"/>
              </w:rPr>
            </w:pPr>
            <w:r>
              <w:rPr>
                <w:rFonts w:ascii="Arial" w:cs="Arial" w:eastAsia="Arial" w:hAnsi="Arial"/>
                <w:sz w:val="18"/>
                <w:szCs w:val="18"/>
                <w:color w:val="auto"/>
              </w:rPr>
              <w:t>Robert Gansmo</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8200" w:type="dxa"/>
            <w:vAlign w:val="bottom"/>
            <w:gridSpan w:val="3"/>
          </w:tcPr>
          <w:p>
            <w:pPr>
              <w:ind w:left="220"/>
              <w:spacing w:after="0"/>
              <w:rPr>
                <w:sz w:val="20"/>
                <w:szCs w:val="20"/>
                <w:color w:val="auto"/>
              </w:rPr>
            </w:pPr>
            <w:r>
              <w:rPr>
                <w:rFonts w:ascii="Arial" w:cs="Arial" w:eastAsia="Arial" w:hAnsi="Arial"/>
                <w:sz w:val="18"/>
                <w:szCs w:val="18"/>
                <w:color w:val="auto"/>
              </w:rPr>
              <w:t>Vice President and Chief Financial Officer, Wynn Resorts (Macau), S.A.</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Set forth below is certain information regarding the non-director executive officers and certain key management personnel of the Company.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Management</w:t>
      </w:r>
    </w:p>
    <w:p>
      <w:pPr>
        <w:spacing w:after="0" w:line="90" w:lineRule="exact"/>
        <w:rPr>
          <w:sz w:val="20"/>
          <w:szCs w:val="20"/>
          <w:color w:val="auto"/>
        </w:rPr>
      </w:pPr>
    </w:p>
    <w:p>
      <w:pPr>
        <w:ind w:right="280" w:firstLine="456"/>
        <w:spacing w:after="0" w:line="262" w:lineRule="auto"/>
        <w:rPr>
          <w:sz w:val="20"/>
          <w:szCs w:val="20"/>
          <w:color w:val="auto"/>
        </w:rPr>
      </w:pPr>
      <w:r>
        <w:rPr>
          <w:rFonts w:ascii="Arial" w:cs="Arial" w:eastAsia="Arial" w:hAnsi="Arial"/>
          <w:sz w:val="18"/>
          <w:szCs w:val="18"/>
          <w:b w:val="1"/>
          <w:bCs w:val="1"/>
          <w:color w:val="auto"/>
        </w:rPr>
        <w:t xml:space="preserve">Marc D. Schorr. </w:t>
      </w:r>
      <w:r>
        <w:rPr>
          <w:rFonts w:ascii="Arial" w:cs="Arial" w:eastAsia="Arial" w:hAnsi="Arial"/>
          <w:sz w:val="18"/>
          <w:szCs w:val="18"/>
          <w:color w:val="auto"/>
        </w:rPr>
        <w:t>Mr. Schorr serves as Chief Operating Officer of the Company, a position he has held since June 2002. Mr. Schorr also serves as a</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the Board of Directors of Wynn Macau, Limited, a majority owned subsidiary of the Company, and as an officer of several of the Company’s other subsidiaries.</w:t>
      </w:r>
    </w:p>
    <w:p>
      <w:pPr>
        <w:spacing w:after="0" w:line="132"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8"/>
          <w:szCs w:val="18"/>
          <w:b w:val="1"/>
          <w:bCs w:val="1"/>
          <w:color w:val="auto"/>
        </w:rPr>
        <w:t xml:space="preserve">John Strzemp. </w:t>
      </w:r>
      <w:r>
        <w:rPr>
          <w:rFonts w:ascii="Arial" w:cs="Arial" w:eastAsia="Arial" w:hAnsi="Arial"/>
          <w:sz w:val="18"/>
          <w:szCs w:val="18"/>
          <w:color w:val="auto"/>
        </w:rPr>
        <w:t>Mr. Strzemp serves as Executive Vice President and Chief Administrative Officer of the Company. Prior to his promotion in March 2008,</w:t>
      </w:r>
      <w:r>
        <w:rPr>
          <w:rFonts w:ascii="Arial" w:cs="Arial" w:eastAsia="Arial" w:hAnsi="Arial"/>
          <w:sz w:val="18"/>
          <w:szCs w:val="18"/>
          <w:b w:val="1"/>
          <w:bCs w:val="1"/>
          <w:color w:val="auto"/>
        </w:rPr>
        <w:t xml:space="preserve"> </w:t>
      </w:r>
      <w:r>
        <w:rPr>
          <w:rFonts w:ascii="Arial" w:cs="Arial" w:eastAsia="Arial" w:hAnsi="Arial"/>
          <w:sz w:val="18"/>
          <w:szCs w:val="18"/>
          <w:color w:val="auto"/>
        </w:rPr>
        <w:t>Mr. Strzemp served as Executive Vice President and Chief Financial Officer of the Company, positions he had held since September 2002. Mr. Strzemp served as the Company’s Treasurer from March 2003 to March 2006.</w:t>
      </w:r>
    </w:p>
    <w:p>
      <w:pPr>
        <w:spacing w:after="0" w:line="132"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 xml:space="preserve">Matt Maddox. </w:t>
      </w:r>
      <w:r>
        <w:rPr>
          <w:rFonts w:ascii="Arial" w:cs="Arial" w:eastAsia="Arial" w:hAnsi="Arial"/>
          <w:sz w:val="16"/>
          <w:szCs w:val="16"/>
          <w:color w:val="auto"/>
        </w:rPr>
        <w:t>Mr. Maddox serves as the Company’s Chief Financial Officer and Treasurer. Prior to his promotion in March 2008, Mr. Maddox served</w:t>
      </w:r>
      <w:r>
        <w:rPr>
          <w:rFonts w:ascii="Arial" w:cs="Arial" w:eastAsia="Arial" w:hAnsi="Arial"/>
          <w:sz w:val="16"/>
          <w:szCs w:val="16"/>
          <w:b w:val="1"/>
          <w:bCs w:val="1"/>
          <w:color w:val="auto"/>
        </w:rPr>
        <w:t xml:space="preserve"> </w:t>
      </w:r>
      <w:r>
        <w:rPr>
          <w:rFonts w:ascii="Arial" w:cs="Arial" w:eastAsia="Arial" w:hAnsi="Arial"/>
          <w:sz w:val="16"/>
          <w:szCs w:val="16"/>
          <w:color w:val="auto"/>
        </w:rPr>
        <w:t>as the Company’s Senior Vice President of Business Development and Treasurer, positions he held since January 2007 and May 2006, respectively. From June 2005 to December 31, 2006, Mr. Maddox served as the Senior Vice President of Business Development for Wynn Las Vegas, LLC, a wholly owned subsidiary of the Company. From March 2003 to June 2005, Mr. Maddox was the Chief Financial Officer of Wynn Resorts (Macau), S.A., a wholly owned indirect subsidiary of the Company. From May 2002 through March 2003, Mr. Maddox was the Company’s Treasurer and Vice President—Investor Relations.</w:t>
      </w:r>
    </w:p>
    <w:p>
      <w:pPr>
        <w:spacing w:after="0" w:line="108" w:lineRule="exact"/>
        <w:rPr>
          <w:sz w:val="20"/>
          <w:szCs w:val="20"/>
          <w:color w:val="auto"/>
        </w:rPr>
      </w:pPr>
    </w:p>
    <w:p>
      <w:pPr>
        <w:ind w:right="100" w:firstLine="456"/>
        <w:spacing w:after="0" w:line="262" w:lineRule="auto"/>
        <w:rPr>
          <w:sz w:val="20"/>
          <w:szCs w:val="20"/>
          <w:color w:val="auto"/>
        </w:rPr>
      </w:pPr>
      <w:r>
        <w:rPr>
          <w:rFonts w:ascii="Arial" w:cs="Arial" w:eastAsia="Arial" w:hAnsi="Arial"/>
          <w:sz w:val="18"/>
          <w:szCs w:val="18"/>
          <w:b w:val="1"/>
          <w:bCs w:val="1"/>
          <w:color w:val="auto"/>
        </w:rPr>
        <w:t xml:space="preserve">Kim Sinatra. </w:t>
      </w:r>
      <w:r>
        <w:rPr>
          <w:rFonts w:ascii="Arial" w:cs="Arial" w:eastAsia="Arial" w:hAnsi="Arial"/>
          <w:sz w:val="18"/>
          <w:szCs w:val="18"/>
          <w:color w:val="auto"/>
        </w:rPr>
        <w:t>Ms. Sinatra is General Counsel and Secretary of the Company, a position she has held since March 2006. Ms. Sinatra is also the Senior</w:t>
      </w:r>
      <w:r>
        <w:rPr>
          <w:rFonts w:ascii="Arial" w:cs="Arial" w:eastAsia="Arial" w:hAnsi="Arial"/>
          <w:sz w:val="18"/>
          <w:szCs w:val="18"/>
          <w:b w:val="1"/>
          <w:bCs w:val="1"/>
          <w:color w:val="auto"/>
        </w:rPr>
        <w:t xml:space="preserve"> </w:t>
      </w:r>
      <w:r>
        <w:rPr>
          <w:rFonts w:ascii="Arial" w:cs="Arial" w:eastAsia="Arial" w:hAnsi="Arial"/>
          <w:sz w:val="18"/>
          <w:szCs w:val="18"/>
          <w:color w:val="auto"/>
        </w:rPr>
        <w:t>Vice President and General Counsel of Worldwide Wynn, LLC, a wholly owned subsidiary of the Company, a position she has held since January 2004. She also serves as an officer of several of the Company’s subsidiaries.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Ian Michael Coughlan. </w:t>
      </w:r>
      <w:r>
        <w:rPr>
          <w:rFonts w:ascii="Arial" w:cs="Arial" w:eastAsia="Arial" w:hAnsi="Arial"/>
          <w:sz w:val="18"/>
          <w:szCs w:val="18"/>
          <w:color w:val="auto"/>
        </w:rPr>
        <w:t>Mr. Coughlan is an Executive Director of Wynn Macau, Limited, a majority owned subsidiary of the Company, and serves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Wynn Resorts (Macau) S.A., a wholly owned indirect subsidiary of the Company, a position he has held since July 2007. Prior to becoming President of Wynn Macau, Mr. Coughlan was Director of Hotel Operations—Worldwide for Wynn Resorts, Limited. Mr. Coughlan has over 30 years of hospitality experience with leading hotels across Asia, Europe and the United States. Before joining Wynn Resorts, Limited, he spent 10 years with The Peninsula Group, including posts as General Manager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of The Peninsula Hong Kong from September 2004 to January 2007, and General Manager of The Peninsula Bangkok from September 1999 to August 2004.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Coughlan has a Diploma from Shannon College of Hotel Management, Ireland.</w:t>
      </w:r>
    </w:p>
    <w:p>
      <w:pPr>
        <w:spacing w:after="0" w:line="159"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color w:val="auto"/>
        </w:rPr>
        <w:t xml:space="preserve">Andrew Pascal. </w:t>
      </w:r>
      <w:r>
        <w:rPr>
          <w:rFonts w:ascii="Arial" w:cs="Arial" w:eastAsia="Arial" w:hAnsi="Arial"/>
          <w:sz w:val="18"/>
          <w:szCs w:val="18"/>
          <w:color w:val="auto"/>
        </w:rPr>
        <w:t>Mr. Pascal is the President of Wynn Las Vegas, LLC, a wholly owned subsidiary of the Company which owns and operates Wynn Las</w:t>
      </w:r>
      <w:r>
        <w:rPr>
          <w:rFonts w:ascii="Arial" w:cs="Arial" w:eastAsia="Arial" w:hAnsi="Arial"/>
          <w:sz w:val="18"/>
          <w:szCs w:val="18"/>
          <w:b w:val="1"/>
          <w:bCs w:val="1"/>
          <w:color w:val="auto"/>
        </w:rPr>
        <w:t xml:space="preserve"> </w:t>
      </w:r>
      <w:r>
        <w:rPr>
          <w:rFonts w:ascii="Arial" w:cs="Arial" w:eastAsia="Arial" w:hAnsi="Arial"/>
          <w:sz w:val="18"/>
          <w:szCs w:val="18"/>
          <w:color w:val="auto"/>
        </w:rPr>
        <w:t>Vegas and Encore at Wynn Las Vegas, a position he has held since October 2005. From July 2005 through October 2005, Mr. Pascal was the Executive Vice President and Chief Operating Officer of Wynn Las Vegas, LLC. Mr. Pascal served as the Senior Vice President—Product Marketing and Development for the Company from August 2003 to July 2005. From March 2001 to September 2003, Mr. Pascal was Chief Executive Officer of WagerWorks, Inc. a developer and supplier of remote gaming applications.</w:t>
      </w:r>
    </w:p>
    <w:p>
      <w:pPr>
        <w:spacing w:after="0" w:line="13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Scott Peterson. </w:t>
      </w:r>
      <w:r>
        <w:rPr>
          <w:rFonts w:ascii="Arial" w:cs="Arial" w:eastAsia="Arial" w:hAnsi="Arial"/>
          <w:sz w:val="18"/>
          <w:szCs w:val="18"/>
          <w:color w:val="auto"/>
        </w:rPr>
        <w:t>Mr. Peterson is the Senior Vice President and Chief Financial Officer of Wynn Las Vegas, LLC, a wholly owned subsidiary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 position he has held since April 2009. From June 2005 to April 2009, Mr. Peterson was the Vice President and Chief Financial Officer for Wynn Resorts (Macau), S.A. a wholly owned indirect subsidiary of the Company. From September 2002 to June 2005, Mr. Peterson was the Vice President—Finance of Wynn Las Vegas, LLC. From April 2001 to September 2002, Mr. Peterson was Assistant Vice President—Finance of Wynn Resorts Holdings, LLC., a wholly owned subsidiary of the Company.</w:t>
      </w:r>
    </w:p>
    <w:p>
      <w:pPr>
        <w:spacing w:after="0" w:line="139" w:lineRule="exact"/>
        <w:rPr>
          <w:sz w:val="20"/>
          <w:szCs w:val="20"/>
          <w:color w:val="auto"/>
        </w:rPr>
      </w:pPr>
    </w:p>
    <w:p>
      <w:pPr>
        <w:jc w:val="both"/>
        <w:ind w:right="140" w:firstLine="456"/>
        <w:spacing w:after="0" w:line="310" w:lineRule="auto"/>
        <w:rPr>
          <w:sz w:val="20"/>
          <w:szCs w:val="20"/>
          <w:color w:val="auto"/>
        </w:rPr>
      </w:pPr>
      <w:r>
        <w:rPr>
          <w:rFonts w:ascii="Arial" w:cs="Arial" w:eastAsia="Arial" w:hAnsi="Arial"/>
          <w:sz w:val="16"/>
          <w:szCs w:val="16"/>
          <w:b w:val="1"/>
          <w:bCs w:val="1"/>
          <w:color w:val="auto"/>
        </w:rPr>
        <w:t xml:space="preserve">Robert Gansmo. </w:t>
      </w:r>
      <w:r>
        <w:rPr>
          <w:rFonts w:ascii="Arial" w:cs="Arial" w:eastAsia="Arial" w:hAnsi="Arial"/>
          <w:sz w:val="16"/>
          <w:szCs w:val="16"/>
          <w:color w:val="auto"/>
        </w:rPr>
        <w:t>Mr. Gansmo is the Vice President and Chief Financial Officer of Wynn Resorts (Macau), S.A., a wholly owned indirect subsidiary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 position he has held since April 2009. Prior to taking this position, from January 2007 to April 2009, Mr. Gansmo was the Director—Finance of Wynn Resorts (Macau), S.A. From November 2002 to January 2007, Mr. Gansmo was the Director of Financial Reporting for the Company.</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table sets forth, as of March 1, 2010, (unless otherwise indicated), certain information regarding the shares of the Company’s common stock beneficially owned by: (i) each director and nominee for director; (ii) each stockholder who is known by the Company to beneficially own in excess of 5% of the outstanding shares of the Company’s common stock based on information reported on Form 13D or 13G filed with the SEC; (iii) each of the executive officers named in the Summary Compensation Table; and (iv) all executive officers, directors and director nominees as a group. There were 123,296,373 shares outstanding as of March 1, 2010.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61"/>
        </w:trPr>
        <w:tc>
          <w:tcPr>
            <w:tcW w:w="8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Owner(2)</w:t>
            </w:r>
          </w:p>
        </w:tc>
        <w:tc>
          <w:tcPr>
            <w:tcW w:w="420" w:type="dxa"/>
            <w:vAlign w:val="bottom"/>
          </w:tcPr>
          <w:p>
            <w:pPr>
              <w:spacing w:after="0"/>
              <w:rPr>
                <w:sz w:val="14"/>
                <w:szCs w:val="14"/>
                <w:color w:val="auto"/>
              </w:rPr>
            </w:pPr>
          </w:p>
        </w:tc>
        <w:tc>
          <w:tcPr>
            <w:tcW w:w="21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Of Shares(1)</w:t>
            </w:r>
          </w:p>
        </w:tc>
        <w:tc>
          <w:tcPr>
            <w:tcW w:w="0" w:type="dxa"/>
            <w:vAlign w:val="bottom"/>
          </w:tcPr>
          <w:p>
            <w:pPr>
              <w:spacing w:after="0"/>
              <w:rPr>
                <w:sz w:val="1"/>
                <w:szCs w:val="1"/>
                <w:color w:val="auto"/>
              </w:rPr>
            </w:pPr>
          </w:p>
        </w:tc>
      </w:tr>
      <w:tr>
        <w:trPr>
          <w:trHeight w:val="142"/>
        </w:trPr>
        <w:tc>
          <w:tcPr>
            <w:tcW w:w="890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Number</w:t>
            </w:r>
          </w:p>
        </w:tc>
        <w:tc>
          <w:tcPr>
            <w:tcW w:w="4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Stephen A. Wynn(3)</w:t>
            </w:r>
          </w:p>
        </w:tc>
        <w:tc>
          <w:tcPr>
            <w:tcW w:w="6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11,076,708</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Elaine P. Wynn(3)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11,076,709</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Okada/Aruze USA, Inc.(3)(4)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24,549,222</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745 Grier Drive</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Las Vegas, NV 89119</w:t>
            </w: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Waddell &amp; Reed Financial, Inc.(5)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17,647,556</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6300 Lamar Avenue</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Overland Park, KS 66202</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8,902,269</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1585 Broadway</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New York, NY 10036</w:t>
            </w: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Marsico Capital Management, LLC(7)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6,227,417</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1200 17</w:t>
            </w:r>
            <w:r>
              <w:rPr>
                <w:rFonts w:ascii="Arial" w:cs="Arial" w:eastAsia="Arial" w:hAnsi="Arial"/>
                <w:sz w:val="11"/>
                <w:szCs w:val="11"/>
                <w:color w:val="auto"/>
              </w:rPr>
              <w:t>th</w:t>
            </w:r>
            <w:r>
              <w:rPr>
                <w:rFonts w:ascii="Arial" w:cs="Arial" w:eastAsia="Arial" w:hAnsi="Arial"/>
                <w:sz w:val="18"/>
                <w:szCs w:val="18"/>
                <w:color w:val="auto"/>
              </w:rPr>
              <w:t xml:space="preserve"> Street, Suite 1600</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gridSpan w:val="2"/>
          </w:tcPr>
          <w:p>
            <w:pPr>
              <w:ind w:left="200"/>
              <w:spacing w:after="0"/>
              <w:rPr>
                <w:sz w:val="20"/>
                <w:szCs w:val="20"/>
                <w:color w:val="auto"/>
              </w:rPr>
            </w:pPr>
            <w:r>
              <w:rPr>
                <w:rFonts w:ascii="Arial" w:cs="Arial" w:eastAsia="Arial" w:hAnsi="Arial"/>
                <w:sz w:val="18"/>
                <w:szCs w:val="18"/>
                <w:color w:val="auto"/>
              </w:rPr>
              <w:t>Denver, Colorado 80202</w:t>
            </w: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Chen(8)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341,667</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Russell Goldsmith(9)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32,000</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R. Irani(10)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Robert J. Miller(11)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Moran(11)(12)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Alvin V. Shoemaker(11)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47,500</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Wayson(11)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87,500</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Allan Zeman(11)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 Maddox(13)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163,333</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Marc D. Schorr(14)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315,800</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Strzemp(15)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255,500</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Kim Sinatra (16)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Director Nominees, and Executive Officers as a Group (15 persons)(17)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48,278,439</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90" w:lineRule="exact"/>
        <w:rPr>
          <w:sz w:val="20"/>
          <w:szCs w:val="20"/>
          <w:color w:val="auto"/>
        </w:rPr>
      </w:pPr>
    </w:p>
    <w:p>
      <w:pPr>
        <w:ind w:left="460" w:right="120" w:hanging="452"/>
        <w:spacing w:after="0" w:line="252"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table is based upon information supplied by officers, directors, nominees for director, principal stockholders and the Company’s transfer agent, and contained in Schedules 13D and 13G filed with the SEC. Unless otherwise indicated in the footnotes to this table and subject to community property laws, where applicable, the Company believes each of the stockholders named in this table has sole voting and investment power with respect to the shares indicated as beneficially owned. Executives and directors have voting power over shares of Restricted Stock, but cannot transfer such shares unless and until they vest.</w:t>
      </w:r>
    </w:p>
    <w:p>
      <w:pPr>
        <w:ind w:left="460" w:right="40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named parties in this table is: c/o Wynn Resorts, Limited, 3131 Las Vegas Boulevard South, Las Vegas, Nevada 89109.</w:t>
      </w:r>
    </w:p>
    <w:p>
      <w:pPr>
        <w:ind w:left="460" w:right="640" w:hanging="452"/>
        <w:spacing w:after="0" w:line="323"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Does not include shares that may be deemed to be beneficially owned by virtue of the Amended and Restated Stockholders Agreement, dated as of January 6, 2010 (the “Stockholders Agreement”), by and among Mr. Wynn, Elaine P. Wynn and Aruze USA, Inc.</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hanging="452"/>
        <w:spacing w:after="0" w:line="252"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Aruze USA, Inc. is a wholly owned subsidiary of Universal Entertainment Corporation of which Mr. Kazuo Okada owns a controlling interest and is the Chairman. The subject securities were acquired and are owned by Aruze USA, Inc. but Universal and Mr. Okada may also be considered beneficial owners of the shares because Aruze USA, Universal and Mr. Okada may be deemed to have shared voting and dispositive power over the shares. The information provided is based upon a Schedule 13D/A filed on January 6, 2010.</w:t>
      </w:r>
    </w:p>
    <w:p>
      <w:pPr>
        <w:spacing w:after="0" w:line="1" w:lineRule="exact"/>
        <w:rPr>
          <w:rFonts w:ascii="Arial" w:cs="Arial" w:eastAsia="Arial" w:hAnsi="Arial"/>
          <w:sz w:val="18"/>
          <w:szCs w:val="18"/>
          <w:color w:val="auto"/>
        </w:rPr>
      </w:pPr>
    </w:p>
    <w:p>
      <w:pPr>
        <w:ind w:left="460" w:right="20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Waddell &amp; Reed Financial Inc. (“Waddell”) has beneficial ownership of these shares as of December 31, 2009. The information provided is based upon a Schedule 13G/A dated February 12, 2010, filed by Waddell.</w:t>
      </w:r>
    </w:p>
    <w:p>
      <w:pPr>
        <w:ind w:left="460" w:right="6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Reflects, as of December 31, 2009, the securities beneficially owned by certain operating units (collectively, the “MS Reporting Units”) of Morgan Stanley and its subsidiaries and affiliates (collectively, “MS”) and does not reflect securities, if any, beneficially owned by any operating units of MS whose ownership of securities is disaggregated from that of the MS Reporting Units. Morgan Stanley has sole dispositive power over these shares and sole voting power over 8,736,508 shares. The information provided is based upon a Schedule 13G/A, dated February 12, 2010, filed by Morgan Stanley.</w:t>
      </w:r>
    </w:p>
    <w:p>
      <w:pPr>
        <w:spacing w:after="0" w:line="2"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Marsico Capital Management LLC (“Marsico”) has beneficial ownership of these shares as of December 31, 2009. Marsico has sole dispositive power over these shares and sole voting power over 5,584,510 shares. The information provided is based upon a Schedule 13G/A, dated February 12, 2010, filed by Marsico.</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 100,000 shares of restricted stock granted pursuant to the Company’s 2002 Stock Plan and subject to a Restricted Stock Agreement which provides such grant will vest on July 31, 2012; (ii) 100,000 shares of restricted stock granted pursuant to the Company’s 2002 Stock Plan and subject to a Restricted Stock Agreement which provides such grant will vest on December 5, 2016; (iii) 66,667 shares subject to an immediately exercisable option to purchase Wynn Resorts common stock granted pursuant to Wynn Resorts’ 2002 Stock Incentive Plan; and (iv) 26,250 shares owned by Linda Chen, as trustee.</w:t>
      </w:r>
    </w:p>
    <w:p>
      <w:pPr>
        <w:spacing w:after="0" w:line="2" w:lineRule="exact"/>
        <w:rPr>
          <w:rFonts w:ascii="Arial" w:cs="Arial" w:eastAsia="Arial" w:hAnsi="Arial"/>
          <w:sz w:val="18"/>
          <w:szCs w:val="18"/>
          <w:color w:val="auto"/>
        </w:rPr>
      </w:pPr>
    </w:p>
    <w:p>
      <w:pPr>
        <w:ind w:left="460" w:right="40" w:hanging="452"/>
        <w:spacing w:after="0" w:line="300"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Includes: (i) 10,000 shares subject to an immediately exercisable option to purchase Wynn Resorts’ common stock granted pursuant to Wynn Resorts’ 2002 Stock Incentive Plan; (ii) 2,500 unvested shares of restricted stock of the Company’s common stock granted pursuant to the Company’s 2002 Stock Plan; and (iii) 3,800 shares owned by family members through trusts and companies for which Mr. Goldsmith disclaims beneficial ownership of 2,300 shares.</w:t>
      </w:r>
    </w:p>
    <w:p>
      <w:pPr>
        <w:spacing w:after="0" w:line="1" w:lineRule="exact"/>
        <w:rPr>
          <w:rFonts w:ascii="Arial" w:cs="Arial" w:eastAsia="Arial" w:hAnsi="Arial"/>
          <w:sz w:val="15"/>
          <w:szCs w:val="15"/>
          <w:color w:val="auto"/>
        </w:rPr>
      </w:pPr>
    </w:p>
    <w:p>
      <w:pPr>
        <w:ind w:left="460" w:right="2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 10,000 shares subject to an immediately exercisable option to purchase Wynn Resorts’ common stock granted pursuant to Wynn Resorts’ 2002 Stock Incentive Plan; and (ii) 5,000 unvested shares of restricted stock of the Company’s common stock granted pursuant to the Company’s 2002 Stock Plan.</w:t>
      </w:r>
    </w:p>
    <w:p>
      <w:pPr>
        <w:spacing w:after="0" w:line="1"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 30,000 shares subject to immediately exercisable options to purchase Wynn Resorts’ common stock granted pursuant to Wynn Resorts’ 2002 Stock Incentive Plan; and (ii) 7,500 unvested shares of restricted stock of the Company’s common stock granted pursuant to the Company’s 2002 Stock Plan.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150,000 shares of the Company’s common stock held by John A. Moran, as Trustee.</w:t>
      </w:r>
    </w:p>
    <w:p>
      <w:pPr>
        <w:spacing w:after="0" w:line="9" w:lineRule="exact"/>
        <w:rPr>
          <w:rFonts w:ascii="Arial" w:cs="Arial" w:eastAsia="Arial" w:hAnsi="Arial"/>
          <w:sz w:val="18"/>
          <w:szCs w:val="18"/>
          <w:color w:val="auto"/>
        </w:rPr>
      </w:pPr>
    </w:p>
    <w:p>
      <w:pPr>
        <w:ind w:left="460" w:right="24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(i) 83,333 shares subject to immediately exercisable options to purchase Wynn Resorts Common Stock pursuant to Wynn Resorts’ 2002 Stock Incentive Plan; (ii) 50,000 shares of restricted stock granted pursuant to the Company’s 2002 Stock Purchase Plan and subject to a Restricted Stock Agreement which provides such grant will vest on December 5, 2016; and (iii) 10,000 shares of restricted stock granted pursuant to the Company’s 2002 Stock Purchase Plan and subject to a Restricted Stock Agreement which provides such grant will vest on May 7, 2012.</w:t>
      </w:r>
    </w:p>
    <w:p>
      <w:pPr>
        <w:spacing w:after="0" w:line="2"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 250,000 shares of restricted stock granted pursuant to the Company’s 2002 Stock Plan and subject to a Restricted Stock Agreement which provides such grant will vest on December 5, 2016; and (ii) 50,000 shares subject to an immediately exercisable option to purchase Wynn Resorts’ common stock granted pursuant to Wynn Resorts 2002 Stock Incentive Plan.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(i) 500 shares of the Company’s common stock held by Mr. Strzemp’s mother, for which Mr. Strzemp disclaims beneficial ownership; and</w:t>
      </w:r>
    </w:p>
    <w:p>
      <w:pPr>
        <w:spacing w:after="0" w:line="32" w:lineRule="exact"/>
        <w:rPr>
          <w:rFonts w:ascii="Arial" w:cs="Arial" w:eastAsia="Arial" w:hAnsi="Arial"/>
          <w:sz w:val="16"/>
          <w:szCs w:val="16"/>
          <w:color w:val="auto"/>
        </w:rPr>
      </w:pPr>
    </w:p>
    <w:p>
      <w:pPr>
        <w:ind w:left="460" w:right="220"/>
        <w:spacing w:after="0" w:line="250" w:lineRule="auto"/>
        <w:rPr>
          <w:rFonts w:ascii="Arial" w:cs="Arial" w:eastAsia="Arial" w:hAnsi="Arial"/>
          <w:sz w:val="16"/>
          <w:szCs w:val="16"/>
          <w:color w:val="auto"/>
        </w:rPr>
      </w:pPr>
      <w:r>
        <w:rPr>
          <w:rFonts w:ascii="Arial" w:cs="Arial" w:eastAsia="Arial" w:hAnsi="Arial"/>
          <w:sz w:val="18"/>
          <w:szCs w:val="18"/>
          <w:color w:val="auto"/>
        </w:rPr>
        <w:t>(ii) 60,000 shares subject to immediately exercisable options to purchase Wynn Resorts Common Stock pursuant to Wynn Resorts’ 2002 Stock Incentive Plan.</w:t>
      </w:r>
    </w:p>
    <w:p>
      <w:pPr>
        <w:jc w:val="both"/>
        <w:ind w:left="460" w:right="4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(i) 25,000 shares of restricted stock granted pursuant to the Company’s 2002 Stock Plan and subject to a Restricted Stock Agreement which provides such grant will vest on December 5, 2016; and (ii) 25,000 shares of restricted stock granted pursuant to the Company’s 2002 Stock Plan and subject to a Restricted Stock Agreement which provides such grant will vest on July 31, 2011.</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430,000 shares subject to immediately exercisable stock options.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FURTHER INFORMATION CONCERNING THE BOARD OF DIRECTORS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GOVERNANCE</w:t>
      </w:r>
    </w:p>
    <w:p>
      <w:pPr>
        <w:spacing w:after="0" w:line="16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Board of Directors has adopted Corporate Governance Guidelines that provide a framework for the governance of the Company. The Nominating and Corporate Governance Committee reviews the Guidelines annually and recommends changes as appropriate to the Board of Directors for approval. The Board of Directors has also adopted written charters for its three standing committees (Audit, Compensation, and Nominating and Corporate Governance), as well as a Code of Business Conduct and Ethics applicable to all directors, officers and employees and a Code of Ethics for the Chief Executive Officer, President and Senior Financial Officers. The Corporate Governance Guidelines, committee charters and codes of ethics are available under the heading “Corporate Governance” on the Company Information page of the Company’s website at </w:t>
      </w:r>
      <w:r>
        <w:rPr>
          <w:rFonts w:ascii="Arial" w:cs="Arial" w:eastAsia="Arial" w:hAnsi="Arial"/>
          <w:sz w:val="16"/>
          <w:szCs w:val="16"/>
          <w:i w:val="1"/>
          <w:iCs w:val="1"/>
          <w:color w:val="auto"/>
        </w:rPr>
        <w:t>http://www.wynnresorts.com.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Seven of the eleven members of the Company’s Board of Directors are independent under the listing standards of The NASDAQ Stock Market LLC (“NASDAQ”). In addition, the Company’s Corporate Governance Guidelines require all independent directors to meet additional, heightened independence criteria that apply to audit committee members under the NASDAQ listing standards.</w:t>
      </w:r>
    </w:p>
    <w:p>
      <w:pPr>
        <w:spacing w:after="0" w:line="14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Board of Directors has determined that the following directors are independent under the NASDAQ listing standards and that they also meet the additional, heightened independence criteria applicable to audit committee members under the NASDAQ listing standards: Messrs. Goldsmith, Irani, Miller, Moran, Shoemaker, Wayson and Zeman. Based upon information requested from each director concerning his or her background, employment and affiliations, the Board of Directors has affirmatively determined that none of the independent directors has a material relationship with the Company. In assessing independence, the Board of Directors considered all relevant facts and circumstances, including any direct or indirect relationship between the Company and the director or his or her immediate family member. None of the independent directors has any economic relationship with the Company other than receipt of his director’s compensation. Additionally, all related party transactions are considered under the Company’s related party policy (described in additional detail below). None of the independent directors is engaged in any related party transaction with the Company. Mr. Wynn, Mr. Okada, Elaine P. Wynn and Ms. Chen have been determined not to be independent.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Board of Directors met seven times during 2009. During 2009, none of the members of the Board of Directors attended fewer than 75% of the total number of meetings of the Board of Directors and meetings of the committees on which they served, except for Mr. Okada and Elaine P. Wynn. Both Mr. Okada and Elaine P. Wynn missed telephonic meetings that were called upon relatively short notice. In addition, the independent directors met in executive session, without management present, at each regular meeting of the Board of Directors. Robert Miller acts as the Presiding Director and communicates necessary matters from the executive sessions to management.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Board of Directors currently has three standing committees: the Audit Committee, the Compensation Committee, and the Nominating and Corporate Governance Committee. Each of these committees consists entirely of directors whom the Board of Directors has determined to be independent under the NASDAQ listing standards for audit committee members. The current membership and functions of each of the Board of Directors’ committees are listed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40" w:type="dxa"/>
            <w:vAlign w:val="bottom"/>
            <w:gridSpan w:val="3"/>
          </w:tcPr>
          <w:p>
            <w:pPr>
              <w:ind w:left="1980"/>
              <w:spacing w:after="0"/>
              <w:rPr>
                <w:sz w:val="20"/>
                <w:szCs w:val="20"/>
                <w:color w:val="auto"/>
              </w:rPr>
            </w:pPr>
            <w:r>
              <w:rPr>
                <w:rFonts w:ascii="Arial" w:cs="Arial" w:eastAsia="Arial" w:hAnsi="Arial"/>
                <w:sz w:val="14"/>
                <w:szCs w:val="14"/>
                <w:b w:val="1"/>
                <w:bCs w:val="1"/>
                <w:color w:val="auto"/>
                <w:w w:val="87"/>
              </w:rPr>
              <w:t>Nominating and Corporate</w:t>
            </w:r>
          </w:p>
        </w:tc>
      </w:tr>
      <w:tr>
        <w:trPr>
          <w:trHeight w:val="161"/>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Director</w:t>
            </w:r>
          </w:p>
        </w:tc>
        <w:tc>
          <w:tcPr>
            <w:tcW w:w="1640" w:type="dxa"/>
            <w:vAlign w:val="bottom"/>
            <w:gridSpan w:val="2"/>
          </w:tcPr>
          <w:p>
            <w:pPr>
              <w:spacing w:after="0"/>
              <w:rPr>
                <w:sz w:val="20"/>
                <w:szCs w:val="20"/>
                <w:color w:val="auto"/>
              </w:rPr>
            </w:pPr>
            <w:r>
              <w:rPr>
                <w:rFonts w:ascii="Arial" w:cs="Arial" w:eastAsia="Arial" w:hAnsi="Arial"/>
                <w:sz w:val="14"/>
                <w:szCs w:val="14"/>
                <w:b w:val="1"/>
                <w:bCs w:val="1"/>
                <w:color w:val="auto"/>
              </w:rPr>
              <w:t>Audit</w:t>
            </w:r>
          </w:p>
        </w:tc>
        <w:tc>
          <w:tcPr>
            <w:tcW w:w="2100" w:type="dxa"/>
            <w:vAlign w:val="bottom"/>
            <w:gridSpan w:val="2"/>
          </w:tcPr>
          <w:p>
            <w:pPr>
              <w:ind w:left="1240"/>
              <w:spacing w:after="0"/>
              <w:rPr>
                <w:sz w:val="20"/>
                <w:szCs w:val="20"/>
                <w:color w:val="auto"/>
              </w:rPr>
            </w:pPr>
            <w:r>
              <w:rPr>
                <w:rFonts w:ascii="Arial" w:cs="Arial" w:eastAsia="Arial" w:hAnsi="Arial"/>
                <w:sz w:val="14"/>
                <w:szCs w:val="14"/>
                <w:b w:val="1"/>
                <w:bCs w:val="1"/>
                <w:color w:val="auto"/>
                <w:w w:val="86"/>
              </w:rPr>
              <w:t>Compensation</w:t>
            </w:r>
          </w:p>
        </w:tc>
        <w:tc>
          <w:tcPr>
            <w:tcW w:w="3540" w:type="dxa"/>
            <w:vAlign w:val="bottom"/>
            <w:gridSpan w:val="3"/>
          </w:tcPr>
          <w:p>
            <w:pPr>
              <w:ind w:left="1980"/>
              <w:spacing w:after="0"/>
              <w:rPr>
                <w:sz w:val="20"/>
                <w:szCs w:val="20"/>
                <w:color w:val="auto"/>
              </w:rPr>
            </w:pPr>
            <w:r>
              <w:rPr>
                <w:rFonts w:ascii="Arial" w:cs="Arial" w:eastAsia="Arial" w:hAnsi="Arial"/>
                <w:sz w:val="14"/>
                <w:szCs w:val="14"/>
                <w:b w:val="1"/>
                <w:bCs w:val="1"/>
                <w:color w:val="auto"/>
                <w:w w:val="97"/>
              </w:rPr>
              <w:t>Governance Committee</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1"/>
              </w:rPr>
              <w:t>Russell</w:t>
            </w:r>
          </w:p>
        </w:tc>
        <w:tc>
          <w:tcPr>
            <w:tcW w:w="2700" w:type="dxa"/>
            <w:vAlign w:val="bottom"/>
          </w:tcPr>
          <w:p>
            <w:pPr>
              <w:ind w:left="60"/>
              <w:spacing w:after="0" w:line="201" w:lineRule="exact"/>
              <w:rPr>
                <w:sz w:val="20"/>
                <w:szCs w:val="20"/>
                <w:color w:val="auto"/>
              </w:rPr>
            </w:pPr>
            <w:r>
              <w:rPr>
                <w:rFonts w:ascii="Arial" w:cs="Arial" w:eastAsia="Arial" w:hAnsi="Arial"/>
                <w:sz w:val="18"/>
                <w:szCs w:val="18"/>
                <w:color w:val="auto"/>
              </w:rPr>
              <w:t>Goldsmith</w:t>
            </w:r>
          </w:p>
        </w:tc>
        <w:tc>
          <w:tcPr>
            <w:tcW w:w="3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X</w:t>
            </w:r>
          </w:p>
        </w:tc>
        <w:tc>
          <w:tcPr>
            <w:tcW w:w="1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X</w:t>
            </w:r>
          </w:p>
        </w:tc>
        <w:tc>
          <w:tcPr>
            <w:tcW w:w="198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100" w:type="dxa"/>
            <w:vAlign w:val="bottom"/>
            <w:gridSpan w:val="2"/>
          </w:tcPr>
          <w:p>
            <w:pPr>
              <w:ind w:left="1240"/>
              <w:spacing w:after="0"/>
              <w:rPr>
                <w:sz w:val="20"/>
                <w:szCs w:val="20"/>
                <w:color w:val="auto"/>
              </w:rPr>
            </w:pPr>
            <w:r>
              <w:rPr>
                <w:rFonts w:ascii="Arial" w:cs="Arial" w:eastAsia="Arial" w:hAnsi="Arial"/>
                <w:sz w:val="18"/>
                <w:szCs w:val="18"/>
                <w:color w:val="auto"/>
              </w:rPr>
              <w:t>X</w:t>
            </w:r>
          </w:p>
        </w:tc>
        <w:tc>
          <w:tcPr>
            <w:tcW w:w="3540" w:type="dxa"/>
            <w:vAlign w:val="bottom"/>
            <w:gridSpan w:val="3"/>
          </w:tcPr>
          <w:p>
            <w:pPr>
              <w:ind w:left="1980"/>
              <w:spacing w:after="0"/>
              <w:rPr>
                <w:sz w:val="20"/>
                <w:szCs w:val="20"/>
                <w:color w:val="auto"/>
              </w:rPr>
            </w:pPr>
            <w:r>
              <w:rPr>
                <w:rFonts w:ascii="Arial" w:cs="Arial" w:eastAsia="Arial" w:hAnsi="Arial"/>
                <w:sz w:val="18"/>
                <w:szCs w:val="18"/>
                <w:color w:val="auto"/>
              </w:rPr>
              <w:t>X</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540" w:type="dxa"/>
            <w:vAlign w:val="bottom"/>
            <w:gridSpan w:val="3"/>
          </w:tcPr>
          <w:p>
            <w:pPr>
              <w:ind w:left="1980"/>
              <w:spacing w:after="0"/>
              <w:rPr>
                <w:sz w:val="20"/>
                <w:szCs w:val="20"/>
                <w:color w:val="auto"/>
              </w:rPr>
            </w:pPr>
            <w:r>
              <w:rPr>
                <w:rFonts w:ascii="Arial" w:cs="Arial" w:eastAsia="Arial" w:hAnsi="Arial"/>
                <w:sz w:val="18"/>
                <w:szCs w:val="18"/>
                <w:color w:val="auto"/>
              </w:rPr>
              <w:t>Chair</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1640" w:type="dxa"/>
            <w:vAlign w:val="bottom"/>
            <w:gridSpan w:val="2"/>
          </w:tcPr>
          <w:p>
            <w:pPr>
              <w:spacing w:after="0"/>
              <w:rPr>
                <w:sz w:val="20"/>
                <w:szCs w:val="20"/>
                <w:color w:val="auto"/>
              </w:rPr>
            </w:pPr>
            <w:r>
              <w:rPr>
                <w:rFonts w:ascii="Arial" w:cs="Arial" w:eastAsia="Arial" w:hAnsi="Arial"/>
                <w:sz w:val="18"/>
                <w:szCs w:val="18"/>
                <w:color w:val="auto"/>
              </w:rPr>
              <w:t>X</w:t>
            </w:r>
          </w:p>
        </w:tc>
        <w:tc>
          <w:tcPr>
            <w:tcW w:w="2100" w:type="dxa"/>
            <w:vAlign w:val="bottom"/>
            <w:gridSpan w:val="2"/>
          </w:tcPr>
          <w:p>
            <w:pPr>
              <w:ind w:left="1240"/>
              <w:spacing w:after="0"/>
              <w:rPr>
                <w:sz w:val="20"/>
                <w:szCs w:val="20"/>
                <w:color w:val="auto"/>
              </w:rPr>
            </w:pPr>
            <w:r>
              <w:rPr>
                <w:rFonts w:ascii="Arial" w:cs="Arial" w:eastAsia="Arial" w:hAnsi="Arial"/>
                <w:sz w:val="18"/>
                <w:szCs w:val="18"/>
                <w:color w:val="auto"/>
              </w:rPr>
              <w:t>Chair</w:t>
            </w:r>
          </w:p>
        </w:tc>
        <w:tc>
          <w:tcPr>
            <w:tcW w:w="1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1640" w:type="dxa"/>
            <w:vAlign w:val="bottom"/>
            <w:gridSpan w:val="2"/>
          </w:tcPr>
          <w:p>
            <w:pPr>
              <w:spacing w:after="0"/>
              <w:rPr>
                <w:sz w:val="20"/>
                <w:szCs w:val="20"/>
                <w:color w:val="auto"/>
              </w:rPr>
            </w:pPr>
            <w:r>
              <w:rPr>
                <w:rFonts w:ascii="Arial" w:cs="Arial" w:eastAsia="Arial" w:hAnsi="Arial"/>
                <w:sz w:val="18"/>
                <w:szCs w:val="18"/>
                <w:color w:val="auto"/>
              </w:rPr>
              <w:t>Chair</w:t>
            </w:r>
          </w:p>
        </w:tc>
        <w:tc>
          <w:tcPr>
            <w:tcW w:w="2100" w:type="dxa"/>
            <w:vAlign w:val="bottom"/>
            <w:gridSpan w:val="2"/>
          </w:tcPr>
          <w:p>
            <w:pPr>
              <w:ind w:left="1240"/>
              <w:spacing w:after="0"/>
              <w:rPr>
                <w:sz w:val="20"/>
                <w:szCs w:val="20"/>
                <w:color w:val="auto"/>
              </w:rPr>
            </w:pPr>
            <w:r>
              <w:rPr>
                <w:rFonts w:ascii="Arial" w:cs="Arial" w:eastAsia="Arial" w:hAnsi="Arial"/>
                <w:sz w:val="18"/>
                <w:szCs w:val="18"/>
                <w:color w:val="auto"/>
              </w:rPr>
              <w:t>X</w:t>
            </w:r>
          </w:p>
        </w:tc>
        <w:tc>
          <w:tcPr>
            <w:tcW w:w="1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D. Boone Wayson</w:t>
            </w:r>
          </w:p>
        </w:tc>
        <w:tc>
          <w:tcPr>
            <w:tcW w:w="1640" w:type="dxa"/>
            <w:vAlign w:val="bottom"/>
            <w:gridSpan w:val="2"/>
          </w:tcPr>
          <w:p>
            <w:pPr>
              <w:spacing w:after="0"/>
              <w:rPr>
                <w:sz w:val="20"/>
                <w:szCs w:val="20"/>
                <w:color w:val="auto"/>
              </w:rPr>
            </w:pPr>
            <w:r>
              <w:rPr>
                <w:rFonts w:ascii="Arial" w:cs="Arial" w:eastAsia="Arial" w:hAnsi="Arial"/>
                <w:sz w:val="18"/>
                <w:szCs w:val="18"/>
                <w:color w:val="auto"/>
              </w:rPr>
              <w:t>X</w:t>
            </w:r>
          </w:p>
        </w:tc>
        <w:tc>
          <w:tcPr>
            <w:tcW w:w="2100" w:type="dxa"/>
            <w:vAlign w:val="bottom"/>
            <w:gridSpan w:val="2"/>
          </w:tcPr>
          <w:p>
            <w:pPr>
              <w:ind w:left="1240"/>
              <w:spacing w:after="0"/>
              <w:rPr>
                <w:sz w:val="20"/>
                <w:szCs w:val="20"/>
                <w:color w:val="auto"/>
              </w:rPr>
            </w:pPr>
            <w:r>
              <w:rPr>
                <w:rFonts w:ascii="Arial" w:cs="Arial" w:eastAsia="Arial" w:hAnsi="Arial"/>
                <w:sz w:val="18"/>
                <w:szCs w:val="18"/>
                <w:color w:val="auto"/>
              </w:rPr>
              <w:t>X</w:t>
            </w:r>
          </w:p>
        </w:tc>
        <w:tc>
          <w:tcPr>
            <w:tcW w:w="3540" w:type="dxa"/>
            <w:vAlign w:val="bottom"/>
            <w:gridSpan w:val="3"/>
          </w:tcPr>
          <w:p>
            <w:pPr>
              <w:ind w:left="1980"/>
              <w:spacing w:after="0"/>
              <w:rPr>
                <w:sz w:val="20"/>
                <w:szCs w:val="20"/>
                <w:color w:val="auto"/>
              </w:rPr>
            </w:pPr>
            <w:r>
              <w:rPr>
                <w:rFonts w:ascii="Arial" w:cs="Arial" w:eastAsia="Arial" w:hAnsi="Arial"/>
                <w:sz w:val="18"/>
                <w:szCs w:val="18"/>
                <w:color w:val="auto"/>
              </w:rPr>
              <w:t>X</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1640" w:type="dxa"/>
            <w:vAlign w:val="bottom"/>
            <w:gridSpan w:val="2"/>
          </w:tcPr>
          <w:p>
            <w:pPr>
              <w:spacing w:after="0"/>
              <w:rPr>
                <w:sz w:val="20"/>
                <w:szCs w:val="20"/>
                <w:color w:val="auto"/>
              </w:rPr>
            </w:pPr>
            <w:r>
              <w:rPr>
                <w:rFonts w:ascii="Arial" w:cs="Arial" w:eastAsia="Arial" w:hAnsi="Arial"/>
                <w:sz w:val="18"/>
                <w:szCs w:val="18"/>
                <w:color w:val="auto"/>
              </w:rPr>
              <w:t>X</w:t>
            </w:r>
          </w:p>
        </w:tc>
        <w:tc>
          <w:tcPr>
            <w:tcW w:w="1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540" w:type="dxa"/>
            <w:vAlign w:val="bottom"/>
            <w:gridSpan w:val="3"/>
          </w:tcPr>
          <w:p>
            <w:pPr>
              <w:ind w:left="1980"/>
              <w:spacing w:after="0"/>
              <w:rPr>
                <w:sz w:val="20"/>
                <w:szCs w:val="20"/>
                <w:color w:val="auto"/>
              </w:rPr>
            </w:pPr>
            <w:r>
              <w:rPr>
                <w:rFonts w:ascii="Arial" w:cs="Arial" w:eastAsia="Arial" w:hAnsi="Arial"/>
                <w:sz w:val="18"/>
                <w:szCs w:val="18"/>
                <w:color w:val="auto"/>
              </w:rPr>
              <w:t>X</w:t>
            </w: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Number of meetings during 2009</w:t>
            </w:r>
          </w:p>
        </w:tc>
        <w:tc>
          <w:tcPr>
            <w:tcW w:w="1640" w:type="dxa"/>
            <w:vAlign w:val="bottom"/>
            <w:gridSpan w:val="2"/>
          </w:tcPr>
          <w:p>
            <w:pPr>
              <w:spacing w:after="0"/>
              <w:rPr>
                <w:sz w:val="20"/>
                <w:szCs w:val="20"/>
                <w:color w:val="auto"/>
              </w:rPr>
            </w:pPr>
            <w:r>
              <w:rPr>
                <w:rFonts w:ascii="Arial" w:cs="Arial" w:eastAsia="Arial" w:hAnsi="Arial"/>
                <w:sz w:val="18"/>
                <w:szCs w:val="18"/>
                <w:color w:val="auto"/>
              </w:rPr>
              <w:t>Nine</w:t>
            </w:r>
          </w:p>
        </w:tc>
        <w:tc>
          <w:tcPr>
            <w:tcW w:w="2100" w:type="dxa"/>
            <w:vAlign w:val="bottom"/>
            <w:gridSpan w:val="2"/>
          </w:tcPr>
          <w:p>
            <w:pPr>
              <w:ind w:left="1240"/>
              <w:spacing w:after="0"/>
              <w:rPr>
                <w:sz w:val="20"/>
                <w:szCs w:val="20"/>
                <w:color w:val="auto"/>
              </w:rPr>
            </w:pPr>
            <w:r>
              <w:rPr>
                <w:rFonts w:ascii="Arial" w:cs="Arial" w:eastAsia="Arial" w:hAnsi="Arial"/>
                <w:sz w:val="18"/>
                <w:szCs w:val="18"/>
                <w:color w:val="auto"/>
              </w:rPr>
              <w:t>Six</w:t>
            </w:r>
          </w:p>
        </w:tc>
        <w:tc>
          <w:tcPr>
            <w:tcW w:w="3540" w:type="dxa"/>
            <w:vAlign w:val="bottom"/>
            <w:gridSpan w:val="3"/>
          </w:tcPr>
          <w:p>
            <w:pPr>
              <w:ind w:left="1980"/>
              <w:spacing w:after="0"/>
              <w:rPr>
                <w:sz w:val="20"/>
                <w:szCs w:val="20"/>
                <w:color w:val="auto"/>
              </w:rPr>
            </w:pPr>
            <w:r>
              <w:rPr>
                <w:rFonts w:ascii="Arial" w:cs="Arial" w:eastAsia="Arial" w:hAnsi="Arial"/>
                <w:sz w:val="18"/>
                <w:szCs w:val="18"/>
                <w:color w:val="auto"/>
              </w:rPr>
              <w:t>Four</w:t>
            </w:r>
          </w:p>
        </w:tc>
      </w:tr>
    </w:tbl>
    <w:p>
      <w:pPr>
        <w:spacing w:after="0" w:line="156"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In addition, Mr. Miller serves as Chairman of the Company’s Gaming Compliance Committee. The Gaming Compliance Committee is a committee comprised of Mr. Miller, Mr. Schorr and Mr. Strzemp, and its purpose is to assist the Company in maintaining the highest level of regulatory compliance. In addition, Mr. Miller serves as the Company’s Compliance Director.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Board of Directors, after review of each individual’s employment experience and other relevant factors, has determined that Messrs. Shoemaker, Goldsmith, Moran, Wayson and Zeman are qualified as audit committee financial experts within the meaning of SEC regulations.</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At each of its regular meetings, the Audit Committee meets with the Company’s independent auditors, internal audit staff, management and legal counsel to discuss accounting principles, financial and accounting controls, the scope of the annual audit, internal controls, regulatory compliance and other matters. In addition to responsibilities discussed elsewhere in this proxy statement, the functions of the Audit Committee also include the following:</w:t>
      </w:r>
    </w:p>
    <w:p>
      <w:pPr>
        <w:spacing w:after="0" w:line="2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appointing, approving the compensation of, and oversight of the independent auditors;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discussing with the independent auditors and management the Company’s earnings releases and quarterly and annual reports as filed with the SEC;</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the scope and results of the Company’s internal auditing procedures and practices;</w:t>
      </w:r>
    </w:p>
    <w:p>
      <w:pPr>
        <w:spacing w:after="0" w:line="90"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the Company’s compliance program with respect to legal and regulatory compliance, and the Company’s policies and procedures for monitoring compliance; and</w:t>
      </w:r>
    </w:p>
    <w:p>
      <w:pPr>
        <w:spacing w:after="0" w:line="5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meeting periodically with management to review the Company’s major risk exposure and the steps management has taken to monitor and control such exposures.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independent auditors have complete access to the Audit Committee without management present to discuss the results of their audits and their opinions on the adequacy of internal controls, quality of financial reporting and other accounting and auditing matters.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Compensation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Committee’s responsibilities in setting compensation of the Company’s executives and directors include:</w:t>
      </w:r>
    </w:p>
    <w:p>
      <w:pPr>
        <w:spacing w:after="0" w:line="9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the goals and objectives of the Company’s executive compensation plans;</w:t>
      </w:r>
    </w:p>
    <w:p>
      <w:pPr>
        <w:spacing w:after="0" w:line="90" w:lineRule="exact"/>
        <w:rPr>
          <w:rFonts w:ascii="Arial" w:cs="Arial" w:eastAsia="Arial" w:hAnsi="Arial"/>
          <w:sz w:val="18"/>
          <w:szCs w:val="18"/>
          <w:color w:val="auto"/>
        </w:rPr>
      </w:pPr>
    </w:p>
    <w:p>
      <w:pPr>
        <w:ind w:left="900" w:right="88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the Company’s executive compensation plans in light of the Company’s goals and objectives with respect to such plans and, as appropriate, recommending that the Board adopt new plans or amend the existing plans;</w:t>
      </w:r>
    </w:p>
    <w:p>
      <w:pPr>
        <w:spacing w:after="0" w:line="50" w:lineRule="exact"/>
        <w:rPr>
          <w:rFonts w:ascii="Arial" w:cs="Arial" w:eastAsia="Arial" w:hAnsi="Arial"/>
          <w:sz w:val="18"/>
          <w:szCs w:val="18"/>
          <w:color w:val="auto"/>
        </w:rPr>
      </w:pPr>
    </w:p>
    <w:p>
      <w:pPr>
        <w:jc w:val="both"/>
        <w:ind w:left="900" w:right="18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annually evaluating the performance of the Chief Executive Officer of the Company, overseeing the evaluation of performance of the other officers of the Company and its operating subsidiaries, and setting compensation for the Chief Executive Officer, other named executive officers, and other members of our most senior management;</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approving equity awards and supervising administrative functions pursuant to the Company’s equity plans;</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approving any employment agreement or any severance or termination agreement, between the Company (or any of its subsidiaries) and any officer, as well as any other employment agreement between the Company and any individual in which annual base salary exceeds $500,000, regardless of position involved; and</w:t>
      </w:r>
    </w:p>
    <w:p>
      <w:pPr>
        <w:spacing w:after="0" w:line="59"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recommending to the full Board the type and amount of compensation for Board and Committee service by non-management members of the Board.</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2009, the Compensation Committee engaged Towers Perrin, an independent compensation consultant, to advise it with respect to compensation for its senior management and to evaluate benefit levels. Towers Perrin did not provide services to the Company other than with respect to advice and recommendations on executive compensation.</w:t>
      </w:r>
    </w:p>
    <w:p>
      <w:pPr>
        <w:spacing w:after="0" w:line="14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In early 2010, the Committee completed a review of the Company’s compensation policies and practices and determined, under the guidelines recently issued by the SEC, that such policies and practices are not reasonably likely to have a material adverse effect on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Nominating and Corporate Governance Committee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functions of the Nominating and Corporate Governance Committee include the following:</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identifying and recommending to the Board of Directors individuals qualified to serve as directors of the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procedures for evaluating the suitability of potential director nominees proposed by management or the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recommending to the Board of Directors members to serve on committees of the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composition of the Board of Directors;</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 set of corporate governance principles applicable to the Company and overseeing corporate governance matters generally;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the evaluation of the Board of Directors.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Nominating Process</w:t>
      </w:r>
      <w:r>
        <w:rPr>
          <w:rFonts w:ascii="Arial" w:cs="Arial" w:eastAsia="Arial" w:hAnsi="Arial"/>
          <w:sz w:val="18"/>
          <w:szCs w:val="18"/>
          <w:color w:val="auto"/>
        </w:rPr>
        <w:t>. The Nominating and Corporate Governance Committee will consider director candidates recommended by stockholders.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considering candidates submitted by stockholders, the Nominating and Corporate Governance Committee will take into consideration the needs of the Board of Directors and the qualifications of the candidate. To have a candidate considered by the Nominating and Corporate Governance Committee, a stockholder must submit the recommendation in writing and must include the following information:</w:t>
      </w:r>
    </w:p>
    <w:p>
      <w:pPr>
        <w:spacing w:after="0" w:line="62" w:lineRule="exact"/>
        <w:rPr>
          <w:sz w:val="20"/>
          <w:szCs w:val="20"/>
          <w:color w:val="auto"/>
        </w:rPr>
      </w:pPr>
    </w:p>
    <w:p>
      <w:pPr>
        <w:ind w:left="9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name of the stockholder and evidence of the person’s ownership of Company stock, including the number of shares owned and the length of time of ownership; and</w:t>
      </w:r>
    </w:p>
    <w:p>
      <w:pPr>
        <w:spacing w:after="0" w:line="50" w:lineRule="exact"/>
        <w:rPr>
          <w:rFonts w:ascii="Arial" w:cs="Arial" w:eastAsia="Arial" w:hAnsi="Arial"/>
          <w:sz w:val="18"/>
          <w:szCs w:val="18"/>
          <w:color w:val="auto"/>
        </w:rPr>
      </w:pPr>
    </w:p>
    <w:p>
      <w:pPr>
        <w:ind w:left="900" w:right="2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name of the candidate, the candidate’s resume or a listing of his or her qualifications to be a director of the Company, and the person’s consent to be named as a director if selected by the Nominating and Corporate Governance Committee and nominated by the Board of Directors.</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stockholder recommendation and information described above must be sent to the Corporate Secretary at 3131 Las Vegas Boulevard South, Las Vegas, Nevada 89109 and must be received by the Corporate Secretary not less than 120 days prior to the anniversary date of the Company’s most recent Annual Meeting of Stockholders.</w:t>
      </w:r>
    </w:p>
    <w:p>
      <w:pPr>
        <w:spacing w:after="0" w:line="14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Nominating and Corporate Governance Committee seeks to have the Board of Directors represent a diversity of backgrounds and experience and assesses potential nominees in light of the Board’s current size and composition. The Nominating and Corporate Governance Committee believes that the minimum qualifications for serving as a director of the Company are that a nominee demonstrate, by significant accomplishment in his or her field, an ability to make a meaningful contribution to the Board of Directors’ oversight of the business and affairs of the Company and have a reputation for honest and ethical conduct in both his or her professional and personal activities. In addition, the Nominating and Corporate Governance Committee examines a candidate’s other commitments, potential conflicts of interest and independence from management and the Company.</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Nominating and Corporate Governance Committee implements its policy with regards to considering diversity by annually reviewing with the Board the Board’s composition as a whole and recommending, if necessary, measures to be taken so that the Board reflects the appropriate balance of knowledge, depth and diversity of experience, and skills and expertise required for the Board as a whole. The Committee assesses the effectiveness of this policy by periodically reviewing the Board membership criteria with the Board. This assessment enables the Board to update the skills and experience it seeks in the Board as a whole, and in individual directors, as the Company’s needs evolve and change over time.</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Nominating and Corporate Governance Committee identifies potential nominees by asking current directors and executive officers to notify the Committee if they become aware of persons meeting the criteria described above who might be available to serve on the Board of Directors. As described above, the Committee will also consider candidates recommended by stockholders.</w:t>
      </w:r>
    </w:p>
    <w:p>
      <w:pPr>
        <w:spacing w:after="0" w:line="14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If the Nominating and Corporate Governance Committee determines to pursue consideration of a person who has been identified as a potential candidate, the Committee may take any or all of the following steps: collect and review publicly available information regarding the person, contact the person and request information from the candidate, conduct one or more interviews with the candidate, and contact one or more references provided by the candidate or other persons that may have greater first-hand knowledge of the candidate’s accomplishments. The Committee’s evaluation process takes into account the person’s accomplishments and qualifications, including in comparison to any other candidates that the Committee might be considering, and does not vary based on whether or not a candidate is recommended by a stockholder.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Mr. Wynn, the Company’s founder, serves as the Chairman and Chief Executive Officer of the Company. The Board of Directors has determined that the combination of these roles held singularly by Mr. Wynn is in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best interest of all stockholders. The Board believes that the issue of whether to combine or separate the offices of Chairman of the Board and Chief Executive Officer is part of the succession planning process and that it is in the best interests of the Company for the Board to make a determination whether to combine or separate the roles based upon the circumstances. The Board has given careful consideration to separating the roles of Chairman and Chief Executive Officer and has determined that the Company and its stockholders are best served by the current structure. Mr. Wynn’s combined role promotes unified leadership and direction for the Board and executive management and allows for a single, clear focus for the Company’s operational and strategic efforts.</w:t>
      </w:r>
    </w:p>
    <w:p>
      <w:pPr>
        <w:spacing w:after="0" w:line="11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combined role of Mr. Wynn as both Chairman and Chief Executive Officer is balanced by the Company’s governance structure, policies and controls. Seven of the eleven members of our Board of Directors satisfy the most stringent requirements of independence promulgated by the NASDAQ for audit committee members, and the Audit, Compensation, and Nominating and Corporate Governance Committees are composed entirely of independent members of the Board. This structure encourages independent and effective oversight of the Company’s operations and prudent management of risk. In addition, the Company is subject to stringent regulatory requirements and oversight, combining these internal controls with third party monitoring of the Company’s operations.</w:t>
      </w:r>
    </w:p>
    <w:p>
      <w:pPr>
        <w:spacing w:after="0" w:line="10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independent members of the Company’s Board of Directors meet separately in executive session at each regular meeting of the Board and also meet separately in executive session with each of the Company’s auditors, Vice President of Internal Audit, Chief Financial Officer and General Counsel. The independent members of the Board have designated a presiding director for such sessions who is responsible for communicating to the Chief Executive Officer and senior management all concerns that arise during executive session. Governor Miller currently serves as the presiding director.</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all Committee agendas and all agendas for meetings of the Board of Directors are provided in advance to all independent members of the Board. The members are encouraged to review the proposed agenda items and to add additional items of concern or interest. Members of the Board of Directors also have unimpeded access to Company management,</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Mr. Wynn’s compensation is established and reviewed by the entirely independent Compensation Committee of the Board. During 2009, the Committee engaged the services of an independent third party compensation consultant in its evaluation of the level of compensation and benefits of employment provided to Mr. Wynn.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Board of Directors has an active role in overseeing and monitoring the Company’s areas of risk. While the full Board has overall responsibility for risk oversight, the Board has assigned certain areas of risk primarily to designated Committees, which report back to the full Board. The Board regularly reviews information regarding the Company’s risks relating to political, regulatory, construction, operations, succession planning, catastrophic events and general financial conditions. The Audit Committee is primarily responsible for the oversight of credit, related party, construction and general financial risks. The Compliance Committee primarily oversees risks relating to regulatory, security and political compliance. As discussed above, the Compensation Committee is primarily responsible for monitoring risks relating to the Company’s compensation policies and practices to determine whether they create risks that may have a material adverse effect on the Company.</w:t>
      </w:r>
    </w:p>
    <w:p>
      <w:pPr>
        <w:spacing w:after="0" w:line="118"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Board, in consultation with management and the Company’s outside auditors, has identified specific areas of risk including: regulatory compliance, legislative and political conditions, capital availability, liquidity and general financial conditions, gaming credit extension and collection, construction, catastrophic events and succession planning. The Board (as a whole and through Committees) and management have agreed upon a rubric and processes for management to identify, manage and mitigate these risks.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Throughout the year, the Board and the relevant Committees receive reports from management that include information regarding major risks and exposures facing the Company and the steps management has taken to monitor and control such risks and exposures. In addition, throughout the year, the Board and the relevant Committees dedicate a portion of their meetings to review and discuss specific risk topics in greater detail.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Communications with Directors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 xml:space="preserve">The Board of Directors has established a process to receive communications from stockholders. This process is described under “Corporate Governance” on the Company Information page of the Company’s website at </w:t>
      </w:r>
      <w:r>
        <w:rPr>
          <w:rFonts w:ascii="Arial" w:cs="Arial" w:eastAsia="Arial" w:hAnsi="Arial"/>
          <w:sz w:val="18"/>
          <w:szCs w:val="18"/>
          <w:i w:val="1"/>
          <w:iCs w:val="1"/>
          <w:color w:val="auto"/>
        </w:rPr>
        <w:t>http://www.wynnresorts.com.</w:t>
      </w:r>
      <w:r>
        <w:rPr>
          <w:rFonts w:ascii="Arial" w:cs="Arial" w:eastAsia="Arial" w:hAnsi="Arial"/>
          <w:sz w:val="18"/>
          <w:szCs w:val="18"/>
          <w:color w:val="auto"/>
        </w:rPr>
        <w:t xml:space="preserve"> Stockholders may contact any member of the Board of Directors, any committee of the Board of Directors, or one or more members of the Board of Directors by mail. Correspondence should be addressed to the appropriate individual by either name or title. All such correspondence should be sent “c/o Corporate Secretary” at 3131 Las Vegas Boulevard South, Las Vegas, Nevada 89109.</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All communications received as set forth in the preceding paragraph will be opened by the office of our General Counsel for the purpose of assessing the nature of the communications. With the exception of advertising, promotions of a product or service, and patently offensive material, communications will be forwarded promptly to the addressee. In the case of communications addressed to more than one director, the General Counsel’s office will make sufficient copies of the contents to send to each addressee.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Meetings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It is Company policy that each of our directors is invited and encouraged to attend the Annual Meeting. All of our directors, except for Mr. Okada, attended the 2009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members of the Compensation Committee are appointed by the Board of Directors each year. The members of the Compensation Committee serving in 2009, Messrs. Irani, Moran, Shoemaker and Wayson, were appointed on May 5, 2009. Mr. Goldsmith was appointed by the Board of Directors to serve on the Compensation Committee on July 31, 2009. No member of the Compensation Committee is, or was formerly, one of our officers or employees. No interlocking relationship exists between the Board of Directors or Compensation Committee and the board of directors or compensation committee of any other company, nor has any interlocking relationship existed in the past.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CODES OF ETHICS</w:t>
      </w:r>
    </w:p>
    <w:p>
      <w:pPr>
        <w:spacing w:after="0" w:line="17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As part of the Company’s commitment to integrity, the Board of Directors has adopted a Code of Business Conduct and Ethics applicable to all directors, officers and employees of the Company and its subsidiaries. This Code is periodically reviewed by the Board of Directors and was last updated on March 6, 2009.</w:t>
      </w:r>
    </w:p>
    <w:p>
      <w:pPr>
        <w:spacing w:after="0" w:line="6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In addition, the Company’s Chief Executive Officer, Chief Financial Officer and Treasurer, Chief Accounting Officer, Vice President of Accounting and Director of Financial Reporting, and individuals in equivalent positions at the Company’s subsidiaries, must comply with an additional Code of Ethics for the Chief Executive Officer, President and Senior Financial Officers. In the event we determine to amend or waive certain provisions of this code of ethics, we will disclose such amendments or waivers on our website at </w:t>
      </w:r>
      <w:r>
        <w:rPr>
          <w:rFonts w:ascii="Arial" w:cs="Arial" w:eastAsia="Arial" w:hAnsi="Arial"/>
          <w:sz w:val="18"/>
          <w:szCs w:val="18"/>
          <w:i w:val="1"/>
          <w:iCs w:val="1"/>
          <w:color w:val="auto"/>
        </w:rPr>
        <w:t>http://www.wynnresorts.com</w:t>
      </w:r>
      <w:r>
        <w:rPr>
          <w:rFonts w:ascii="Arial" w:cs="Arial" w:eastAsia="Arial" w:hAnsi="Arial"/>
          <w:sz w:val="18"/>
          <w:szCs w:val="18"/>
          <w:color w:val="auto"/>
        </w:rPr>
        <w:t xml:space="preserve"> under the heading “Corporate Governance” or as otherwise required by the NASDAQ listing standards.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AND EXECUTIVE OFFICER COMPENSATION AND OTHER MATTERS</w:t>
      </w:r>
    </w:p>
    <w:p>
      <w:pPr>
        <w:spacing w:after="0" w:line="17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2009.</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DIRECTOR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5"/>
              </w:rPr>
              <w:t>Fees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Earned 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Option</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Paid in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Awards</w:t>
            </w:r>
          </w:p>
        </w:tc>
        <w:tc>
          <w:tcPr>
            <w:tcW w:w="320" w:type="dxa"/>
            <w:vAlign w:val="bottom"/>
          </w:tcPr>
          <w:p>
            <w:pPr>
              <w:spacing w:after="0"/>
              <w:rPr>
                <w:sz w:val="12"/>
                <w:szCs w:val="12"/>
                <w:color w:val="auto"/>
              </w:rPr>
            </w:pPr>
          </w:p>
        </w:tc>
        <w:tc>
          <w:tcPr>
            <w:tcW w:w="12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1"/>
              </w:rPr>
              <w:t>Cash</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206"/>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74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60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26"/>
              <w:spacing w:after="0"/>
              <w:rPr>
                <w:sz w:val="20"/>
                <w:szCs w:val="20"/>
                <w:color w:val="auto"/>
              </w:rPr>
            </w:pPr>
            <w:r>
              <w:rPr>
                <w:rFonts w:ascii="Arial" w:cs="Arial" w:eastAsia="Arial" w:hAnsi="Arial"/>
                <w:sz w:val="14"/>
                <w:szCs w:val="14"/>
                <w:b w:val="1"/>
                <w:bCs w:val="1"/>
                <w:color w:val="auto"/>
              </w:rPr>
              <w:t>(1)(3)</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ind w:left="220"/>
              <w:spacing w:after="0"/>
              <w:rPr>
                <w:sz w:val="20"/>
                <w:szCs w:val="20"/>
                <w:color w:val="auto"/>
              </w:rPr>
            </w:pPr>
            <w:r>
              <w:rPr>
                <w:rFonts w:ascii="Arial" w:cs="Arial" w:eastAsia="Arial" w:hAnsi="Arial"/>
                <w:sz w:val="14"/>
                <w:szCs w:val="14"/>
                <w:b w:val="1"/>
                <w:bCs w:val="1"/>
                <w:color w:val="auto"/>
              </w:rPr>
              <w:t>(4)</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96"/>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Russell Goldsmith</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105,500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Dr. Ray R. Irani</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111,000</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w w:val="87"/>
              </w:rPr>
              <w:t>$ 266,500</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377,500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169,000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129,000</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w w:val="87"/>
              </w:rPr>
              <w:t>$ 266,500</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395,500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24,078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126,500</w:t>
            </w:r>
          </w:p>
        </w:tc>
        <w:tc>
          <w:tcPr>
            <w:tcW w:w="880" w:type="dxa"/>
            <w:vAlign w:val="bottom"/>
            <w:gridSpan w:val="3"/>
          </w:tcPr>
          <w:p>
            <w:pPr>
              <w:ind w:left="160"/>
              <w:spacing w:after="0"/>
              <w:rPr>
                <w:sz w:val="20"/>
                <w:szCs w:val="20"/>
                <w:color w:val="auto"/>
              </w:rPr>
            </w:pPr>
            <w:r>
              <w:rPr>
                <w:rFonts w:ascii="Arial" w:cs="Arial" w:eastAsia="Arial" w:hAnsi="Arial"/>
                <w:sz w:val="18"/>
                <w:szCs w:val="18"/>
                <w:color w:val="auto"/>
                <w:w w:val="87"/>
              </w:rPr>
              <w:t>$ 266,500</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393,000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136,500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Elaine Wynn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67,500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 Zeman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114,000</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7"/>
              </w:rPr>
              <w:t>$ 266,500</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84"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amounts set forth in this column reflects the aggregate grant date fair value of stock option awards granted to each non-employee director in 2009, computed in accordance with accounting standards for stock -based compensation. See our Annual Report on Form 10-K for the year ended December 31, 2009, Note 14 to our Consolidated Financial Statements for assumptions used in computing fair value.</w:t>
      </w:r>
    </w:p>
    <w:p>
      <w:pPr>
        <w:spacing w:after="0" w:line="1" w:lineRule="exact"/>
        <w:rPr>
          <w:rFonts w:ascii="Arial" w:cs="Arial" w:eastAsia="Arial" w:hAnsi="Arial"/>
          <w:sz w:val="16"/>
          <w:szCs w:val="16"/>
          <w:color w:val="auto"/>
        </w:rPr>
      </w:pPr>
    </w:p>
    <w:p>
      <w:pPr>
        <w:ind w:left="460" w:right="840" w:hanging="452"/>
        <w:spacing w:after="0" w:line="281"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Mr. Miller, as a member of the Board of Directors, receives a $50,000 annual retainer for his service as the Chairman of the Company’s Gaming Compliance Committee and a $20,000 annual retainer for his service as the Company’s Compliance Director.</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aggregate number of outstanding awards for each director at December 31, 2009 is as follows:</w:t>
      </w:r>
    </w:p>
    <w:p>
      <w:pPr>
        <w:spacing w:after="0" w:line="9" w:lineRule="exact"/>
        <w:rPr>
          <w:rFonts w:ascii="Arial" w:cs="Arial" w:eastAsia="Arial" w:hAnsi="Arial"/>
          <w:sz w:val="18"/>
          <w:szCs w:val="18"/>
          <w:color w:val="auto"/>
        </w:rPr>
      </w:pPr>
    </w:p>
    <w:p>
      <w:pPr>
        <w:ind w:left="900" w:right="180" w:hanging="446"/>
        <w:spacing w:after="0" w:line="250"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for each director other than Mr. Goldsmith and Dr. Irani, restricted stock awards on 7,500 shares, for Dr. Irani restricted stock awards on 5,000 shares, and for Mr. Goldsmith a restricted stock award on 2,500 shares. The restricted stock awards vest upon the fifth anniversary of the grant date unless the director leaves the Board of Directors prior to vesting, in which case the grant vests pro rata, 20% per year, based upon the number of years served since the grant;</w:t>
      </w:r>
    </w:p>
    <w:p>
      <w:pPr>
        <w:spacing w:after="0" w:line="1" w:lineRule="exact"/>
        <w:rPr>
          <w:rFonts w:ascii="Arial" w:cs="Arial" w:eastAsia="Arial" w:hAnsi="Arial"/>
          <w:sz w:val="18"/>
          <w:szCs w:val="18"/>
          <w:color w:val="auto"/>
        </w:rPr>
      </w:pPr>
    </w:p>
    <w:p>
      <w:pPr>
        <w:ind w:left="900" w:right="80" w:hanging="446"/>
        <w:spacing w:after="0" w:line="250"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for each director other than Mr. Goldsmith and Dr. Irani, stock option awards on 30,000 shares, and for Mr. Goldsmith and Dr. Irani stock options on 10,000 shares. The stock option awards are fully vested; and,</w:t>
      </w:r>
    </w:p>
    <w:p>
      <w:pPr>
        <w:ind w:left="900" w:right="880" w:hanging="446"/>
        <w:spacing w:after="0" w:line="250"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for each director stock options awards on 10,000 shares which were granted on May 6, 2009 and which vest 10% on each of the first four anniversaries of the grant date and the remaining 60% on May 6, 2014.</w:t>
      </w:r>
    </w:p>
    <w:p>
      <w:pPr>
        <w:spacing w:after="0" w:line="1" w:lineRule="exact"/>
        <w:rPr>
          <w:sz w:val="20"/>
          <w:szCs w:val="20"/>
          <w:color w:val="auto"/>
        </w:rPr>
      </w:pPr>
    </w:p>
    <w:p>
      <w:pPr>
        <w:ind w:left="460" w:right="520"/>
        <w:spacing w:after="0" w:line="250" w:lineRule="auto"/>
        <w:rPr>
          <w:sz w:val="20"/>
          <w:szCs w:val="20"/>
          <w:color w:val="auto"/>
        </w:rPr>
      </w:pPr>
      <w:r>
        <w:rPr>
          <w:rFonts w:ascii="Arial" w:cs="Arial" w:eastAsia="Arial" w:hAnsi="Arial"/>
          <w:sz w:val="18"/>
          <w:szCs w:val="18"/>
          <w:color w:val="auto"/>
        </w:rPr>
        <w:t>Mr. Okada and Elaine P. Wynn, who each are greater than five percent beneficial owners of the Company’s common stock, have not previously been granted equity awards for their service as directors.</w:t>
      </w:r>
    </w:p>
    <w:p>
      <w:pPr>
        <w:spacing w:after="0" w:line="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following amounts are included in “All Other Compensation”: Mr. Okada—merchandise discounts of $24,078.</w:t>
      </w:r>
    </w:p>
    <w:p>
      <w:pPr>
        <w:spacing w:after="0" w:line="16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Directors who are not employees of the Company currently receive a monthly fee of $5,000 for services as a director. Directors who serve on the Compensation Committee or the Nominating/Governance Committee receive an additional monthly fee of $1,000 per committee ($2,000 for committee chairmen). Directors who serve on the Audit Committee receive an additional monthly fee of $1,250 ($2,500 for the Chairman). Each non-employee director also receives a $1,500 meeting fee for each board or committee meeting he or she attends. Directors are also awarded annual equity participation in the form of stock options or restricted stock determined annually at the May meeting of the Board of Directors, which for 2009 consisted of a grant of 10,000 stock options. All directors are provided complementary room, food and beverage privileges at our properties in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connection with their attendance at board or committee meetings or other Company events and are reimbursed for any other out of pocket expenses related to attendance at meetings. The Company does not provide non-equity incentive plan awards or deferred compensation or retirement plans for non-employee directors.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Philosophy</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Compensation Committee has the responsibility for setting and implementing compensation for the executive officers named in the Summary Compensation Table below (the “named executive officers”). The Committee strives to provide total compensation that allows it to attract and retain superior management talent. Our executive compensation program is designed to reward the achievement of specific annual, long term and strategic goals, with the ultimate objective of creating stockholder value. Our Company’s goals include the development and operation of the premier casino resort in each jurisdiction in which we operate, and the development and expansion of the “Wynn” brand while delivering successful operating and financial performance. The Committee regularly evaluates the Company’s compensation arrangements to assess whether they are appropriately structured to enable the Company to attract and retain superior employees in key positions while rewarding achievement of financial, property development, and operating performance. To achieve these objectives, the Company’s compensation includes both cash and equity based incentives.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Executive Officers in Setting Compensation</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Committee sets all elements of compensation for the Chief Executive Officer and Chief Operating Officer based upon consideration of their respective contributions to the development and operating performance of the Company. Annually, the Committee reviews compensation data of those with whom we compete for talent. The Committee considers the recommendations of the Chief Executive Officer and Chief Operating Officer in establishing compensation for all other named executive officers. The Chief Executive Officer and Chief Operating Officer perform annual reviews of all of our senior management and make recommendations to the Committee. The Committee reserves the discretion to modify recommendations and makes the final decisions regarding compensation for all of our most senior management.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Executive Compensation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making compensation decisions for the named executive officers, the Compensation Committee compares each element of compensation and total compensation against compensation levels of executives in comparable positions at a peer group of companies. Additionally, the Committee considers current and long term goals for each executive and for the Company to align rewards with performance. The Committee believes that its peer companies are those companies with which the Company competes for talent and stockholder investment. While cash bonuses are considered annually, reviews of base salary and equity incentives are conducted only on a periodic basis or in response to delivery of identified value creation for Company stockholders. When considering adjustments in base salary, or awards of cash bonuses or equity incentives, the Committee reviews both total compensation of peer companies and contribution to the Company. Peer companies include gaming companies, as well as brand driven, entertainment and growth companies. In addition to peer company review, the Compensation Committee evaluates relative internal pay levels, relative levels of responsibility and correlates overall compensation levels to reward the drivers of financial and brand performance.</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discussed further below, base salaries for some of the named executive officers were adjusted in 2009 to reflect expanded responsibilities, discretionary cash bonuses were paid to reward extraordinary, measurable performance, and equity awards were granted to certain of the named executive officers in recognition of expanded responsibilities and the Committee’s assessment of the level of past equity grants and desire to retain senior management.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96"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The Company’s total direct compensation for named executive officers generally includes (a) base salary, (b) discretionary bonuses, (c) annual cash incentive compensation, and (d) long term equity incentives. However, the Company has not granted equity awards to Mr. Wynn, at his election. The Compensation Committee reviews total compensation annually, along with value created from past incentives, to assess whether the Company’s compensation program achieves its objectives of attracting and retaining superior management while rewarding achievement of specific property and financial performance goals. Our policy for allocating among base salary, cash bonus awards, and long term compensation does not include a specific formula or weighting, but is designed to offer what the Compensation Committee views as adequate base compensation to attract and retain personnel while providing incentives to retain superior management talent and maximize long term value for our Company and our stockholders.</w:t>
      </w:r>
    </w:p>
    <w:p>
      <w:pPr>
        <w:spacing w:after="0" w:line="118"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When considering total compensation, the Committee uses the peer group described above as an indication of market levels of compensation, but not to target a specific relative pay level, and adjusts compensation levels to reflect the gaming industry’s exhaustive regulatory requirements and other demands.</w:t>
      </w:r>
    </w:p>
    <w:p>
      <w:pPr>
        <w:spacing w:after="0" w:line="6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Committee retains the discretion to adjust actual bonus amounts paid based on other factors, including corporate, property level and individual performance, as well as general macroeconomic conditions. The Committee exercised this discretion with respect to payments made for the 2009 performance year.</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Base Salaries are established by employment contracts and reviewed and adjusted periodically if necessary due to competitive reasons 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reflect changes in responsibility or other extraordinary circumstances. To fulfill the Company’s goal of attracting and retaining high-quality and experienced executives, the Company has paid base salary levels for its named executive officers that may exceed the peer group mean. Companies in the gaming business typically have total compensation packages that may be higher than their non-gaming counterparts due to certain regulatory and other extraordinary demands. The Company’s rapid expansion in the last five years has required that named executive officers provide extraordinary levels of financial, development, opening and operating expertise. These efforts have resulted in industry-leading product and impressive financial performance, including returns to stockholders exceeding the industry averages. In 2009, Mr. Maddox received a salary increase in consideration of his assuming additional responsibility in connection with the public offering of the shares of Wynn Macau Limited and navigating the extremely challenging global macroeconomic conditions and related difficulties in the financial market. Additionally, Mr. Wynn, Mr. Schorr, and Ms. Sinatra continue with 15% reductions in base salary reflecting conditions imposed on other employees at Wynn Las Vegas.</w:t>
      </w:r>
    </w:p>
    <w:p>
      <w:pPr>
        <w:spacing w:after="0" w:line="12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i w:val="1"/>
          <w:iCs w:val="1"/>
          <w:color w:val="auto"/>
        </w:rPr>
        <w:t xml:space="preserve">Annual Incentives. </w:t>
      </w:r>
      <w:r>
        <w:rPr>
          <w:rFonts w:ascii="Arial" w:cs="Arial" w:eastAsia="Arial" w:hAnsi="Arial"/>
          <w:sz w:val="16"/>
          <w:szCs w:val="16"/>
          <w:color w:val="auto"/>
        </w:rPr>
        <w:t>Discretionary bonuses were awarded to named executive officers and certain other Company management for 2009 outside the Wynn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Resorts, Limited Annual Performance-Based Incentive Plan for Executive Officers (the “Incentive Plan”) since the Committee determined not to establish performance targets under the Plan in light of the adverse economic conditions faced by operations. However, consistent with its historical practice under the Incentive Plan, the Compensation Committee evaluated the Company’s financial and operating performance. Although operations did a superior job considering conditions beyond their control, operating income was significantly below historical levels in 2009. Value was created at the Wynn Resorts level by financial transactions led by the named executive officers. The discretionary bonuses to named executive officers in 2009 were paid in recognition of the financial success of the initial public offering of Wynn Macau, Limited shares and success in adjusting the Company’s financial structure to resist the extremely difficult macroeconomic and credit market conditions of 2008 and 2009. These bonuses were awarded at the same level as in 2008, which were significantly below prior year bonuses under the Incentive Plan, except for Mr. Maddox and Ms. Sinatra in light of their significant individual efforts in timely and successfully managing the initial public offering of Wynn Macau.</w:t>
      </w:r>
    </w:p>
    <w:p>
      <w:pPr>
        <w:spacing w:after="0" w:line="12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of the Company’s named executive officers is eligible to participate in the Incentive Plan. Typically, within 90 days after the commencement of that year, the Compensation Committee identifies the executive officers who will participate in the Incentive Plan for that year and establishes the performance criteria for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Incentive Plan, as well as the maximum percentage of base salary that can be paid to each participant. As provided under the Incentive Plan, named executive officer participants (other than Mr. Wynn) have a maximum annual incentive under the Plan of 200% of Base Salary, and Mr. Wynn’s maximum annual incentive is 250% of his Base Salary. In light of the adverse economic conditions in 2009, the Compensation Committee did not establish targets or award annual incentives under the Incentive Plan in 2009.</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Long Term Incentives </w:t>
      </w:r>
      <w:r>
        <w:rPr>
          <w:rFonts w:ascii="Arial" w:cs="Arial" w:eastAsia="Arial" w:hAnsi="Arial"/>
          <w:sz w:val="16"/>
          <w:szCs w:val="16"/>
          <w:color w:val="auto"/>
        </w:rPr>
        <w:t>The Compensation Committee has not provided annual equity grants to executives but instead uses grants under the 2002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to attract qualified individuals to work for the Company, and makes periodic grants to existing officers to retain superior officers and to reward extraordinary performance, as determined in the Compensation Committee’s judgment. The number of options or shares of restricted stock to be granted to each executive officer is based on the individual executive’s job accomplishments, tenure and future potential as well as the Compensation Committee’s assessment of competitive compensation levels. In awarding long term equity incentive compensation, the Committee considers current and historical levels awarded by industry peers. Grants to named executive officers are typically made periodically with long term vesting dates. The underlying philosophy is to retain senior management for the long term, building a talent base for the Company’s future growth and achievement of desired goals. In 2009, the Committee elected to award significant retention grants to its most senior officers. These grants were made in stock options as the Committee concluded that many executives in peer companies had profited from grants of restricted stock when shareholders had experienced losses in value and stock options only have value to the extent that the price of the Company’s common stock increases following the grant date. The awards were determined in consideration of relative seniority, past awards and value created and long term comparative value and contribution.</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Mr. Wynn, the founder, Chairman and Chief Executive Officer of the Company who owns a large percentage of the Company’s outstanding stock, does not participate in the Company’s equity incentive plans at his election. This differs from the chief executive officer compensation at most of the companies included in the peer group.</w:t>
      </w:r>
    </w:p>
    <w:p>
      <w:pPr>
        <w:spacing w:after="0" w:line="140"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During 2009, the Compensation Committee made the following awards: 300,000 stock options to Mr. Maddox; 500,000 stock options to Mr. Schorr; 300,000 stock options to Ms. Chen; and 250,000 stock options to Ms. Sinatra. All of the grants awarded in 2009 will vest 10% on each anniversary of the grant date until fully vested. In addition, unless the executive is party to an employment agreement with the Company and the Company terminates the executive without cause, such awards will vest pro-rata on a monthly basis to the termination date. These long term incentive grants were made after thorough analysis of the Company’s overhang of equity grants, peer group compensation with the goal of retaining and rewarding the Company’s most senior and valuable management. As the Company competes for talent with the peer group, the Committee endeavors to exceed the mean long term compensation on a comparative basis.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Internal Revenue Code Section 162(m) prevents publicly traded companies from receiving a tax deduction on certain compensation paid to the chief executive officer and three other highest-paid executive officers (other than the chief financial officer) in excess of $1,000,000 in any taxable year. The Company’s policy with respect to qualifying compensation paid to its executive officers for tax deductibility purposes is that executive compensation plans will generally be designed and implemented to maximize tax deductibility. However, the Compensation Committee may elect to provide non-deductible compensation when it determines that to be advisable to achieve its compensation objectives of attracting or retaining key executives, or where achieving maximum tax deductibility would be considered disadvantageous to the best interests of the Company. In light of the Compensation Committee’s determination not to operate under the Incentive Plan, most of the covered executives 2009 taxable compensation will not be deductible in excess of $1,000,000. However, stock options granted in 2009 are designed to qualify for deductibility under 162(m) if and when exercised.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 Company typically enters into employment agreements with its executives to advance its objectives of providing for a long-term relationship with talented and experienced executives. The terms and conditions of these agreements are described in the chart following the 2009 Summary Compensation table.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employment agreements for the named executive officers provided for a minimum base salary and discretionary bonus opportunity and provide that if the executive’s employment terminates for death, disability, good reason or without cause, (including after a change in control) the executive will receive a multiple (ranging from one to, in the case of Mr. Wynn, three times) of the sum of the executive’s salary and imputed bonus that would be payable during the remaining term of the contract, but not less than one year, except that Mr. Wynn’s payment is limited to 4 years salary and bonus in certain circumstances. The employment agreements and the terms of equity awards also provide that vesting of some or all of an executive’s equity awards will accelerate upon such event. If termination occurs after a change in control, the Company also provides for a tax gross-up. The Compensation Committee has determined that these arrangements are appropriate compensation to its senior management and are necessary to retain talent at a closely controlled public company that has more limited operations and a shorter operating history than many of its peers. Additional information regarding payments under these provisions is provided under the heading “Potential Payments Made Upon Termination or a Change of Control.”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base salary, annual incentive compensation and long term equity incentives, the Company also provides certain of its named executive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officers with a number of executive benefits. The primary executive benefits include certain health insurance coverage, life insurance premiums, discounts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complementary privileges with respect to the Company’s properties which are described in the footnotes to the “2009 Summary Compensation Table.” In 2009,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executives also received matching contributions under the Company’s 401(k) program until March 16, 2009, when the Company suspended 401(k) matches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employees, including the named executive officers. In addition, Messrs. Wynn and Schorr have access to the Company’s aircraft pursuant to time sharing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agreements described in “Certain Relationships and Related Transactions—Aircraft Arrangements.” For security purposes, the Board of Directors requires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Wynn to travel on Company aircraft for both personal and business travel, and the Company provides a car and driver (and security when necessary) for 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personal use. Consistent with competitive practice in Macau, Ms. Chen receives a car and driver, certain housing and living expenses and assistance with tax</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preparation.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Compensation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Mr. Wynn is employed by the Company pursuant to an employment agreement dated October 4, 2002, amended August 6, 2004, February 1, 2007 and September 15, 2008, which has a term expiring in 2020. Mr. Wynn, a holder of approximately 8.95% of our common stock, has not received any equity awards as part of his compensation as Chief Executive Officer of the Company. Mr. Wynn currently receives a base salary of $2,762,500 per year, and participates in the Incentive Plan. Mr. Wynn is provided with Company paid life insurance and disability policies, as well as participation in the Company’s 401(k) plan. He also receives certain executive benefits described above.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have reviewed and discussed the Compensation Discussion and Analysis required by Item 402(a) of Regulation S-K with the Company’s management. Based on such review and discussion, we have recommended to the Board of Directors that the Compensation Discussion and Analysis be included in this proxy statement and incorporated by reference into the Company’s Annual Report on Form 10-K for the year ended December 31, 2009.</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Committee</w:t>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John A. Moran, Chairman</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Russell Goldsmith</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Dr. Ray R. Irani</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Alvin V. Shoemaker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D. Boone Wayson</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SUMMARY COMPENSATION TABLE</w:t>
      </w:r>
    </w:p>
    <w:p>
      <w:pPr>
        <w:spacing w:after="0" w:line="17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table below summarizes the total compensation awarded to, earned by or paid to each of the named executive officers for the fiscal years ended December 31, 2009, 2008 and 2007.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Non-Equity</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83"/>
              </w:rPr>
              <w:t>Stock</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0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All 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Salary</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Bonus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72"/>
              <w:spacing w:after="0" w:line="135"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6"/>
              </w:rPr>
              <w:t>Awards</w:t>
            </w:r>
          </w:p>
        </w:tc>
        <w:tc>
          <w:tcPr>
            <w:tcW w:w="80" w:type="dxa"/>
            <w:vAlign w:val="bottom"/>
          </w:tcPr>
          <w:p>
            <w:pPr>
              <w:spacing w:after="0"/>
              <w:rPr>
                <w:sz w:val="11"/>
                <w:szCs w:val="11"/>
                <w:color w:val="auto"/>
              </w:rPr>
            </w:pPr>
          </w:p>
        </w:tc>
        <w:tc>
          <w:tcPr>
            <w:tcW w:w="10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100" w:type="dxa"/>
            <w:vAlign w:val="bottom"/>
          </w:tcPr>
          <w:p>
            <w:pPr>
              <w:spacing w:after="0"/>
              <w:rPr>
                <w:sz w:val="11"/>
                <w:szCs w:val="11"/>
                <w:color w:val="auto"/>
              </w:rPr>
            </w:pPr>
          </w:p>
        </w:tc>
        <w:tc>
          <w:tcPr>
            <w:tcW w:w="9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6"/>
              </w:rPr>
              <w:t>Compensation</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300"/>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72"/>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52"/>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Stephen A. Wynn</w:t>
            </w:r>
          </w:p>
        </w:tc>
        <w:tc>
          <w:tcPr>
            <w:tcW w:w="3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2,953,125</w:t>
            </w:r>
          </w:p>
        </w:tc>
        <w:tc>
          <w:tcPr>
            <w:tcW w:w="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3"/>
              </w:rPr>
              <w:t>4,062,500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1,370,206</w:t>
            </w:r>
          </w:p>
        </w:tc>
        <w:tc>
          <w:tcPr>
            <w:tcW w:w="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8,385,831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Chairman and Chief Executive Officer</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2008</w:t>
            </w:r>
          </w:p>
        </w:tc>
        <w:tc>
          <w:tcPr>
            <w:tcW w:w="2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3,250,000</w:t>
            </w:r>
          </w:p>
        </w:tc>
        <w:tc>
          <w:tcPr>
            <w:tcW w:w="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4,062,500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1,141,588</w:t>
            </w:r>
          </w:p>
        </w:tc>
        <w:tc>
          <w:tcPr>
            <w:tcW w:w="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8,454,088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2007</w:t>
            </w:r>
          </w:p>
        </w:tc>
        <w:tc>
          <w:tcPr>
            <w:tcW w:w="2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3,173,077</w:t>
            </w:r>
          </w:p>
        </w:tc>
        <w:tc>
          <w:tcPr>
            <w:tcW w:w="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7,500,000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573,428</w:t>
            </w:r>
          </w:p>
        </w:tc>
        <w:tc>
          <w:tcPr>
            <w:tcW w:w="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11,246,505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220" w:type="dxa"/>
            <w:vAlign w:val="bottom"/>
            <w:gridSpan w:val="3"/>
          </w:tcPr>
          <w:p>
            <w:pPr>
              <w:spacing w:after="0"/>
              <w:rPr>
                <w:sz w:val="20"/>
                <w:szCs w:val="20"/>
                <w:color w:val="auto"/>
              </w:rPr>
            </w:pPr>
            <w:r>
              <w:rPr>
                <w:rFonts w:ascii="Arial" w:cs="Arial" w:eastAsia="Arial" w:hAnsi="Arial"/>
                <w:sz w:val="14"/>
                <w:szCs w:val="14"/>
                <w:color w:val="auto"/>
              </w:rPr>
              <w:t>Matt Maddox</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779,988</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80"/>
              <w:spacing w:after="0"/>
              <w:rPr>
                <w:sz w:val="20"/>
                <w:szCs w:val="20"/>
                <w:color w:val="auto"/>
              </w:rPr>
            </w:pPr>
            <w:r>
              <w:rPr>
                <w:rFonts w:ascii="Arial" w:cs="Arial" w:eastAsia="Arial" w:hAnsi="Arial"/>
                <w:sz w:val="14"/>
                <w:szCs w:val="14"/>
                <w:color w:val="auto"/>
                <w:w w:val="93"/>
              </w:rPr>
              <w:t>5,650,000</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8,348,244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248,067</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w w:val="94"/>
              </w:rPr>
              <w:t>15,026,299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gridSpan w:val="2"/>
          </w:tcPr>
          <w:p>
            <w:pPr>
              <w:ind w:left="200"/>
              <w:spacing w:after="0"/>
              <w:rPr>
                <w:sz w:val="20"/>
                <w:szCs w:val="20"/>
                <w:color w:val="auto"/>
              </w:rPr>
            </w:pPr>
            <w:r>
              <w:rPr>
                <w:rFonts w:ascii="Arial" w:cs="Arial" w:eastAsia="Arial" w:hAnsi="Arial"/>
                <w:sz w:val="14"/>
                <w:szCs w:val="14"/>
                <w:color w:val="auto"/>
              </w:rPr>
              <w:t>Chief Financial Officer and Treasurer</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2008</w:t>
            </w: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593,590</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5,397,500</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11,010,020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650,000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13,786</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w w:val="94"/>
              </w:rPr>
              <w:t>17,664,896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Marc D. Schorr</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2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1,817,308</w:t>
            </w:r>
          </w:p>
        </w:tc>
        <w:tc>
          <w:tcPr>
            <w:tcW w:w="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3"/>
              </w:rPr>
              <w:t>2,000,000</w:t>
            </w:r>
          </w:p>
        </w:tc>
        <w:tc>
          <w:tcPr>
            <w:tcW w:w="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13,913,740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1,153,817</w:t>
            </w:r>
          </w:p>
        </w:tc>
        <w:tc>
          <w:tcPr>
            <w:tcW w:w="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18,884,865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Operating Officer</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2008</w:t>
            </w:r>
          </w:p>
        </w:tc>
        <w:tc>
          <w:tcPr>
            <w:tcW w:w="2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1,947,115</w:t>
            </w:r>
          </w:p>
        </w:tc>
        <w:tc>
          <w:tcPr>
            <w:tcW w:w="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21,830,000</w:t>
            </w: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2,000,000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301,943</w:t>
            </w:r>
          </w:p>
        </w:tc>
        <w:tc>
          <w:tcPr>
            <w:tcW w:w="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26,079,058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2007</w:t>
            </w:r>
          </w:p>
        </w:tc>
        <w:tc>
          <w:tcPr>
            <w:tcW w:w="2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1,750,000</w:t>
            </w:r>
          </w:p>
        </w:tc>
        <w:tc>
          <w:tcPr>
            <w:tcW w:w="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3,500,000</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646,033</w:t>
            </w:r>
          </w:p>
        </w:tc>
        <w:tc>
          <w:tcPr>
            <w:tcW w:w="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5,896,033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4220" w:type="dxa"/>
            <w:vAlign w:val="bottom"/>
            <w:gridSpan w:val="3"/>
          </w:tcPr>
          <w:p>
            <w:pPr>
              <w:spacing w:after="0"/>
              <w:rPr>
                <w:sz w:val="20"/>
                <w:szCs w:val="20"/>
                <w:color w:val="auto"/>
              </w:rPr>
            </w:pPr>
            <w:r>
              <w:rPr>
                <w:rFonts w:ascii="Arial" w:cs="Arial" w:eastAsia="Arial" w:hAnsi="Arial"/>
                <w:sz w:val="14"/>
                <w:szCs w:val="14"/>
                <w:color w:val="auto"/>
              </w:rPr>
              <w:t>Linda Chen</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951,701</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80"/>
              <w:spacing w:after="0"/>
              <w:rPr>
                <w:sz w:val="20"/>
                <w:szCs w:val="20"/>
                <w:color w:val="auto"/>
              </w:rPr>
            </w:pPr>
            <w:r>
              <w:rPr>
                <w:rFonts w:ascii="Arial" w:cs="Arial" w:eastAsia="Arial" w:hAnsi="Arial"/>
                <w:sz w:val="14"/>
                <w:szCs w:val="14"/>
                <w:color w:val="auto"/>
                <w:w w:val="93"/>
              </w:rPr>
              <w:t>1,000,000</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8,348,244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858,565</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w w:val="94"/>
              </w:rPr>
              <w:t>11,158,510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President of Wynn International</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2008</w:t>
            </w:r>
          </w:p>
        </w:tc>
        <w:tc>
          <w:tcPr>
            <w:tcW w:w="2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1,000,000</w:t>
            </w: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10,795,000</w:t>
            </w:r>
          </w:p>
        </w:tc>
        <w:tc>
          <w:tcPr>
            <w:tcW w:w="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11,010,020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1,000,000</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63,539</w:t>
            </w:r>
          </w:p>
        </w:tc>
        <w:tc>
          <w:tcPr>
            <w:tcW w:w="2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4"/>
              </w:rPr>
              <w:t>23,868,559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00" w:type="dxa"/>
            <w:vAlign w:val="bottom"/>
            <w:gridSpan w:val="2"/>
          </w:tcPr>
          <w:p>
            <w:pPr>
              <w:ind w:left="200"/>
              <w:spacing w:after="0"/>
              <w:rPr>
                <w:sz w:val="20"/>
                <w:szCs w:val="20"/>
                <w:color w:val="auto"/>
              </w:rPr>
            </w:pPr>
            <w:r>
              <w:rPr>
                <w:rFonts w:ascii="Arial" w:cs="Arial" w:eastAsia="Arial" w:hAnsi="Arial"/>
                <w:sz w:val="14"/>
                <w:szCs w:val="14"/>
                <w:color w:val="auto"/>
              </w:rPr>
              <w:t>Marketing</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2007</w:t>
            </w: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1,000,000</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2,000,000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651,079</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3,651,079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312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Kim Sinatra</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2009</w:t>
            </w:r>
          </w:p>
        </w:tc>
        <w:tc>
          <w:tcPr>
            <w:tcW w:w="2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535,582</w:t>
            </w:r>
          </w:p>
        </w:tc>
        <w:tc>
          <w:tcPr>
            <w:tcW w:w="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3"/>
              </w:rPr>
              <w:t>2,750,000</w:t>
            </w:r>
          </w:p>
        </w:tc>
        <w:tc>
          <w:tcPr>
            <w:tcW w:w="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6,956,870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207,801</w:t>
            </w:r>
          </w:p>
        </w:tc>
        <w:tc>
          <w:tcPr>
            <w:tcW w:w="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10,450,253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General Counsel and Secretary</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83"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amounts set forth in these columns reflect the aggregate grant date fair value of equity awards granted in each respective year, computed in accordance with accounting standards for stock based compensation. See our Annual Report on Form 10-K for the year ended December 31, 2009, Note 14 to our Consolidated Financial Statements for assumptions used in computing fair value. The 2009 grants will vest 10% per year beginning on the first anniversary of the grant until fully vested in May 2019. The 2008 grants will fully vest in December 2016.</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amounts for 2009 are included in “All Other Compensation” for Mr. Wynn:</w:t>
      </w:r>
    </w:p>
    <w:p>
      <w:pPr>
        <w:spacing w:after="0" w:line="9" w:lineRule="exact"/>
        <w:rPr>
          <w:rFonts w:ascii="Arial" w:cs="Arial" w:eastAsia="Arial" w:hAnsi="Arial"/>
          <w:sz w:val="18"/>
          <w:szCs w:val="18"/>
          <w:color w:val="auto"/>
        </w:rPr>
      </w:pPr>
    </w:p>
    <w:p>
      <w:pPr>
        <w:ind w:left="900" w:right="120" w:hanging="446"/>
        <w:spacing w:after="0" w:line="250"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personal use of company aircraft of $1,198,056 ( Mr. Wynn receives no tax-gross ups relating to the value of aircraft usage that is imputed to him as compensation.);</w:t>
      </w:r>
    </w:p>
    <w:p>
      <w:pPr>
        <w:ind w:left="900" w:hanging="446"/>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executive life insurance premiums of $29,718;</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compensation pursuant to the Wynn Resorts, Limited Executive Medical Plan of $60,036;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allocated compensation and benefits for personal use of a driver whom we employ for Mr. Wynn of $12,806;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merchandise discounts of $62,240;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401k employer matching contributions of $7,350.</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2009 are included in “All Other Compensation” for Mr. Maddox:</w:t>
      </w:r>
    </w:p>
    <w:p>
      <w:pPr>
        <w:spacing w:after="0" w:line="15"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for executive life insurance premiums, merchandise discounts and 401k employer matching contributions of $8,067; and</w:t>
      </w:r>
    </w:p>
    <w:p>
      <w:pPr>
        <w:spacing w:after="0" w:line="9" w:lineRule="exact"/>
        <w:rPr>
          <w:rFonts w:ascii="Arial" w:cs="Arial" w:eastAsia="Arial" w:hAnsi="Arial"/>
          <w:sz w:val="18"/>
          <w:szCs w:val="18"/>
          <w:color w:val="auto"/>
        </w:rPr>
      </w:pPr>
    </w:p>
    <w:p>
      <w:pPr>
        <w:ind w:left="900" w:right="120" w:hanging="446"/>
        <w:spacing w:after="0" w:line="255"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$240,000 of accrued cash distributions related to unvested restricted stock. Dividends that are accrued on unvested restricted stock are reported as compensation because the value of dividends was not previously reflected in the accounting expense for these wards when they were granted, as the Company did not regularly pay dividends at that time.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2009 are included in “All Other Compensation” for Mr. Schorr:</w:t>
      </w:r>
    </w:p>
    <w:p>
      <w:pPr>
        <w:spacing w:after="0" w:line="15" w:lineRule="exact"/>
        <w:rPr>
          <w:sz w:val="20"/>
          <w:szCs w:val="20"/>
          <w:color w:val="auto"/>
        </w:rPr>
      </w:pPr>
    </w:p>
    <w:p>
      <w:pPr>
        <w:ind w:left="900" w:right="160" w:hanging="446"/>
        <w:spacing w:after="0" w:line="250"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personal use of Company aircraft of $103,421 ( Mr. Schorr receives no tax-gross ups relating to the value of aircraft usage that is imputed to him as compensation.);</w:t>
      </w: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executive life insurance premiums of $13,365;</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401k employer matching contributions of $7,350;</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merchandise discounts of $29,681;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00" w:hanging="446"/>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$1,000,000 of accrued cash distributions related to unvested restricted stock. Dividends that are accrued on unvested restricted stock are reported as compensation because the value of dividends was not previously reflected in the accounting expense for these wards when they were granted, as the Company did not regularly pay dividends at that time.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2009 are included in “All Other Compensation” for Ms. Chen:</w:t>
      </w:r>
    </w:p>
    <w:p>
      <w:pPr>
        <w:spacing w:after="0" w:line="15"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$50,195 attributable to housing and other living expenses in Macau;</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for executive life insurance and other premiums and 401k employer matching contributions of $8,370; and</w:t>
      </w:r>
    </w:p>
    <w:p>
      <w:pPr>
        <w:spacing w:after="0" w:line="9"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$800,000 of accrued cash distributions related to unvested restricted stock. Dividends that are accrued on unvested restricted stock are reported as compensation because the value of dividends was not previously reflected in the accounting expense for these wards when they were granted, as the Company did not regularly pay dividends at that time.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amounts for 2009 are included in “All Other Compensation” for Ms. Sinatra:</w:t>
      </w:r>
    </w:p>
    <w:p>
      <w:pPr>
        <w:spacing w:after="0" w:line="15"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for executive life insurance and other premiums and 401k employer matching contributions of $7,801; and</w:t>
      </w:r>
    </w:p>
    <w:p>
      <w:pPr>
        <w:spacing w:after="0" w:line="9"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$200,000 of accrued cash distributions related to unvested restricted stock. Dividends that are accrued on unvested restricted stock are reported as compensation because the value of dividends was not previously reflected in the accounting expense for these wards when they were granted, as the Company did not regularly pay dividends at that time.</w:t>
      </w:r>
    </w:p>
    <w:p>
      <w:pPr>
        <w:spacing w:after="0" w:line="144"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For amounts shown as personal use of Wynn Resorts’ aircraft, incremental aircraft expenses were calculated by dividing the 2009 total direct (variable) flight expenses (consisting primarily of fuel, maintenance and landing fees) by the total hours the aircraft was operated during the year. The executives’ hourly usage was multiplied by this annual hourly rate. Any reimbursement received from the executive was applied against this amount.</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Amounts shown as cash distributions accrued on unvested restricted stock are reported in the year such amounts accrue instead of the year paid, based on an SEC staff interpretation. These amounts are paid only if and when the restricted stock vests.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In 2009, each of the named executive officers received base salary in accordance with the terms of his or her employment agreement, as approved by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Key terms of the current agreements as amended are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Contract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60" w:type="dxa"/>
            <w:vAlign w:val="bottom"/>
            <w:gridSpan w:val="2"/>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672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Expiration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Wynn</w:t>
            </w:r>
          </w:p>
        </w:tc>
        <w:tc>
          <w:tcPr>
            <w:tcW w:w="67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10/24/20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Mr. Maddox</w:t>
            </w:r>
          </w:p>
        </w:tc>
        <w:tc>
          <w:tcPr>
            <w:tcW w:w="7720" w:type="dxa"/>
            <w:vAlign w:val="bottom"/>
            <w:gridSpan w:val="3"/>
          </w:tcPr>
          <w:p>
            <w:pPr>
              <w:jc w:val="right"/>
              <w:ind w:right="220"/>
              <w:spacing w:after="0"/>
              <w:rPr>
                <w:sz w:val="20"/>
                <w:szCs w:val="20"/>
                <w:color w:val="auto"/>
              </w:rPr>
            </w:pPr>
            <w:r>
              <w:rPr>
                <w:rFonts w:ascii="Arial" w:cs="Arial" w:eastAsia="Arial" w:hAnsi="Arial"/>
                <w:sz w:val="18"/>
                <w:szCs w:val="18"/>
                <w:color w:val="auto"/>
              </w:rPr>
              <w:t>11/30/13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Mr. Schorr</w:t>
            </w:r>
          </w:p>
        </w:tc>
        <w:tc>
          <w:tcPr>
            <w:tcW w:w="7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10/31/12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Ms. Chen</w:t>
            </w:r>
          </w:p>
        </w:tc>
        <w:tc>
          <w:tcPr>
            <w:tcW w:w="7720" w:type="dxa"/>
            <w:vAlign w:val="bottom"/>
            <w:gridSpan w:val="3"/>
          </w:tcPr>
          <w:p>
            <w:pPr>
              <w:jc w:val="right"/>
              <w:ind w:right="220"/>
              <w:spacing w:after="0"/>
              <w:rPr>
                <w:sz w:val="20"/>
                <w:szCs w:val="20"/>
                <w:color w:val="auto"/>
              </w:rPr>
            </w:pPr>
            <w:r>
              <w:rPr>
                <w:rFonts w:ascii="Arial" w:cs="Arial" w:eastAsia="Arial" w:hAnsi="Arial"/>
                <w:sz w:val="18"/>
                <w:szCs w:val="18"/>
                <w:color w:val="auto"/>
              </w:rPr>
              <w:t>8/1/11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Ms. Sinatra</w:t>
            </w:r>
          </w:p>
        </w:tc>
        <w:tc>
          <w:tcPr>
            <w:tcW w:w="7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5/5/14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Each of the employment agreements provide that the executive will participate in company profit sharing and retirement plans, disability or life insurance plans, medical and/or hospitalization plans and vacation and expense reimbursement programs. In addition, the agreements provide for severance payments and benefits upon certain terminations of employment, including termination following a change-in-control, as discussed in the section below entitled “Potential Payments upon Termination or Change-In-Control.”</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00"/>
          </w:cols>
          <w:pgMar w:left="24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GRANTS OF PLAN-BASED AWARDS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All 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or base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securities</w:t>
            </w:r>
          </w:p>
        </w:tc>
        <w:tc>
          <w:tcPr>
            <w:tcW w:w="16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price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stock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options</w:t>
            </w:r>
          </w:p>
        </w:tc>
        <w:tc>
          <w:tcPr>
            <w:tcW w:w="160" w:type="dxa"/>
            <w:vAlign w:val="bottom"/>
          </w:tcPr>
          <w:p>
            <w:pPr>
              <w:spacing w:after="0"/>
              <w:rPr>
                <w:sz w:val="12"/>
                <w:szCs w:val="12"/>
                <w:color w:val="auto"/>
              </w:rPr>
            </w:pPr>
          </w:p>
        </w:tc>
        <w:tc>
          <w:tcPr>
            <w:tcW w:w="7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0" w:type="dxa"/>
            <w:vAlign w:val="bottom"/>
          </w:tcPr>
          <w:p>
            <w:pPr>
              <w:spacing w:after="0"/>
              <w:rPr>
                <w:sz w:val="1"/>
                <w:szCs w:val="1"/>
                <w:color w:val="auto"/>
              </w:rPr>
            </w:pPr>
          </w:p>
        </w:tc>
      </w:tr>
      <w:tr>
        <w:trPr>
          <w:trHeight w:val="161"/>
        </w:trPr>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Grant Date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($/sh)</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22"/>
              <w:spacing w:after="0"/>
              <w:rPr>
                <w:sz w:val="20"/>
                <w:szCs w:val="20"/>
                <w:color w:val="auto"/>
              </w:rPr>
            </w:pPr>
            <w:r>
              <w:rPr>
                <w:rFonts w:ascii="Arial" w:cs="Arial" w:eastAsia="Arial" w:hAnsi="Arial"/>
                <w:sz w:val="14"/>
                <w:szCs w:val="14"/>
                <w:b w:val="1"/>
                <w:bCs w:val="1"/>
                <w:color w:val="auto"/>
                <w:w w:val="96"/>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47.12</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8,348,244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47.12</w:t>
            </w:r>
          </w:p>
        </w:tc>
        <w:tc>
          <w:tcPr>
            <w:tcW w:w="18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8,348,244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5/6/2009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of the option awards will vest 10% per year beginning on the first anniversary of the grant until fully vested in May 2019. Each of the awards has a term of ten years from the grant date.</w:t>
      </w:r>
    </w:p>
    <w:p>
      <w:pPr>
        <w:ind w:left="460" w:hanging="452"/>
        <w:spacing w:after="0"/>
        <w:tabs>
          <w:tab w:leader="none" w:pos="46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amounts are calculated based on the aggregate grant date fair value computed in accordance with accounting standards for stock based compensation.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OUTSTANDING EQUITY AWARDS AT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Option Awards</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Number of</w:t>
            </w:r>
          </w:p>
        </w:tc>
        <w:tc>
          <w:tcPr>
            <w:tcW w:w="120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Number of</w:t>
            </w: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Market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Securities</w:t>
            </w: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Securities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Shares 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Option</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Units of 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w:t>
            </w: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Exercise</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Option</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That Have not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80" w:type="dxa"/>
            <w:vAlign w:val="bottom"/>
            <w:gridSpan w:val="2"/>
          </w:tcPr>
          <w:p>
            <w:pPr>
              <w:jc w:val="center"/>
              <w:ind w:left="136"/>
              <w:spacing w:after="0" w:line="149" w:lineRule="exact"/>
              <w:rPr>
                <w:sz w:val="20"/>
                <w:szCs w:val="20"/>
                <w:color w:val="auto"/>
              </w:rPr>
            </w:pPr>
            <w:r>
              <w:rPr>
                <w:rFonts w:ascii="Arial" w:cs="Arial" w:eastAsia="Arial" w:hAnsi="Arial"/>
                <w:sz w:val="14"/>
                <w:szCs w:val="14"/>
                <w:b w:val="1"/>
                <w:bCs w:val="1"/>
                <w:color w:val="auto"/>
                <w:w w:val="81"/>
              </w:rPr>
              <w:t>(#)</w:t>
            </w:r>
          </w:p>
        </w:tc>
        <w:tc>
          <w:tcPr>
            <w:tcW w:w="2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Price</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Vested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Exercisable</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Unexercisable</w:t>
            </w:r>
          </w:p>
        </w:tc>
        <w:tc>
          <w:tcPr>
            <w:tcW w:w="100" w:type="dxa"/>
            <w:vAlign w:val="bottom"/>
          </w:tcPr>
          <w:p>
            <w:pPr>
              <w:spacing w:after="0"/>
              <w:rPr>
                <w:sz w:val="14"/>
                <w:szCs w:val="14"/>
                <w:color w:val="auto"/>
              </w:rPr>
            </w:pPr>
          </w:p>
        </w:tc>
        <w:tc>
          <w:tcPr>
            <w:tcW w:w="600" w:type="dxa"/>
            <w:vAlign w:val="bottom"/>
          </w:tcPr>
          <w:p>
            <w:pPr>
              <w:jc w:val="center"/>
              <w:ind w:right="17"/>
              <w:spacing w:after="0"/>
              <w:rPr>
                <w:sz w:val="20"/>
                <w:szCs w:val="20"/>
                <w:color w:val="auto"/>
              </w:rPr>
            </w:pPr>
            <w:r>
              <w:rPr>
                <w:rFonts w:ascii="Arial" w:cs="Arial" w:eastAsia="Arial" w:hAnsi="Arial"/>
                <w:sz w:val="14"/>
                <w:szCs w:val="14"/>
                <w:b w:val="1"/>
                <w:bCs w:val="1"/>
                <w:color w:val="auto"/>
                <w:w w:val="81"/>
              </w:rPr>
              <w:t>($)</w:t>
            </w:r>
          </w:p>
        </w:tc>
        <w:tc>
          <w:tcPr>
            <w:tcW w:w="2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Matt Maddox(1)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8"/>
                <w:szCs w:val="18"/>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59.44</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11/02/14</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3,493,800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33,333</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16,667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51.08</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11/07/15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980" w:type="dxa"/>
            <w:vAlign w:val="bottom"/>
          </w:tcPr>
          <w:p>
            <w:pPr>
              <w:jc w:val="right"/>
              <w:spacing w:after="0"/>
              <w:rPr>
                <w:sz w:val="20"/>
                <w:szCs w:val="20"/>
                <w:color w:val="auto"/>
              </w:rPr>
            </w:pPr>
            <w:r>
              <w:rPr>
                <w:rFonts w:ascii="Arial" w:cs="Arial" w:eastAsia="Arial" w:hAnsi="Arial"/>
                <w:sz w:val="18"/>
                <w:szCs w:val="18"/>
                <w:color w:val="auto"/>
              </w:rPr>
              <w:t>175,000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107.95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05/06/18</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980" w:type="dxa"/>
            <w:vAlign w:val="bottom"/>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47.12</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05/06/19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03/25/13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05/06/19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Linda Chen(3)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66,667</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33,333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56.67</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08/01/15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11,646,000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980" w:type="dxa"/>
            <w:vAlign w:val="bottom"/>
          </w:tcPr>
          <w:p>
            <w:pPr>
              <w:jc w:val="right"/>
              <w:spacing w:after="0"/>
              <w:rPr>
                <w:sz w:val="20"/>
                <w:szCs w:val="20"/>
                <w:color w:val="auto"/>
              </w:rPr>
            </w:pPr>
            <w:r>
              <w:rPr>
                <w:rFonts w:ascii="Arial" w:cs="Arial" w:eastAsia="Arial" w:hAnsi="Arial"/>
                <w:sz w:val="18"/>
                <w:szCs w:val="18"/>
                <w:color w:val="auto"/>
              </w:rPr>
              <w:t>175,000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107.95</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05/06/18</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980" w:type="dxa"/>
            <w:vAlign w:val="bottom"/>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47.12</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05/06/19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Sinatra(4)</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107.95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05/06/18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47.12</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05/06/19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Maddox’s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16,667 stock options will vest on November 7, 2010;</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30,000 stock options will vest on May 6, 2010 and each anniversary thereafter until the 300,000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10,000 shares of restricted stock will vest on May 7, 2012 and 50,000 shares of restricted stock will vest on December 5,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Schorr’s unvested awards will vest as follows: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250,000 shares of restricted stock will vest on December 5, 2016;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50,000 stock options will vest on May 6, 2010 and each anniversary thereafter until the 500,000 stock options are fully vested.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Ms. Chen’s unvested awards will vest as follows: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33,333 stock options vest on August 1, 2010;</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175,000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30,000 stock options will vest on May 6, 2010 and each anniversary thereafter until the 300,000 stock options are fully vested;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100,000 shares of restricted stock will vest on July 31, 2012 and 100,000 shares of restricted stock will vest on December 5,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Ms. Sinatra’s unvested awards will vest as follows: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75,000 stock options will vest on December 5, 2016;</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25,000 stock options will vest on May 6, 2010 and each anniversary thereafter until the 250,000 stock options are fully vested;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25,000 shares of restricted stock will vest on December 5, 2016;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25,000 shares of restricted stock will vest on July 31,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in this column are based upon the closing price of the Company’s stock at year-end which was $58.23 per share.</w:t>
      </w:r>
    </w:p>
    <w:p>
      <w:pPr>
        <w:spacing w:after="0" w:line="16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All vesting is conditioned upon such named executive officer being an employee of the Company on the vesting date, except as discussed below under “Potential Payments Upon Termination or Change in Control.”</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2009 OPTION EXERCISES AND STOCK VESTED</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2620" w:type="dxa"/>
            <w:vAlign w:val="bottom"/>
            <w:gridSpan w:val="4"/>
          </w:tcPr>
          <w:p>
            <w:pPr>
              <w:ind w:left="620"/>
              <w:spacing w:after="0"/>
              <w:rPr>
                <w:sz w:val="20"/>
                <w:szCs w:val="20"/>
                <w:color w:val="auto"/>
              </w:rPr>
            </w:pPr>
            <w:r>
              <w:rPr>
                <w:rFonts w:ascii="Arial" w:cs="Arial" w:eastAsia="Arial" w:hAnsi="Arial"/>
                <w:sz w:val="14"/>
                <w:szCs w:val="14"/>
                <w:b w:val="1"/>
                <w:bCs w:val="1"/>
                <w:color w:val="auto"/>
              </w:rPr>
              <w:t>Option Awards</w:t>
            </w:r>
          </w:p>
        </w:tc>
        <w:tc>
          <w:tcPr>
            <w:tcW w:w="2140" w:type="dxa"/>
            <w:vAlign w:val="bottom"/>
            <w:gridSpan w:val="4"/>
          </w:tcPr>
          <w:p>
            <w:pPr>
              <w:ind w:left="6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26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1"/>
              </w:rPr>
              <w:t>Number of</w:t>
            </w:r>
          </w:p>
        </w:tc>
        <w:tc>
          <w:tcPr>
            <w:tcW w:w="84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1"/>
              </w:rPr>
              <w:t>Number of</w:t>
            </w:r>
          </w:p>
        </w:tc>
        <w:tc>
          <w:tcPr>
            <w:tcW w:w="8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Shares</w:t>
            </w: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Value</w:t>
            </w: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Shares</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Realized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Exercise</w:t>
            </w: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Exercise</w:t>
            </w: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Vesting</w:t>
            </w: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Vesting</w:t>
            </w:r>
          </w:p>
        </w:tc>
        <w:tc>
          <w:tcPr>
            <w:tcW w:w="0" w:type="dxa"/>
            <w:vAlign w:val="bottom"/>
          </w:tcPr>
          <w:p>
            <w:pPr>
              <w:spacing w:after="0"/>
              <w:rPr>
                <w:sz w:val="1"/>
                <w:szCs w:val="1"/>
                <w:color w:val="auto"/>
              </w:rPr>
            </w:pPr>
          </w:p>
        </w:tc>
      </w:tr>
      <w:tr>
        <w:trPr>
          <w:trHeight w:val="161"/>
        </w:trPr>
        <w:tc>
          <w:tcPr>
            <w:tcW w:w="5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76"/>
              </w:rPr>
              <w:t>$</w:t>
            </w:r>
          </w:p>
        </w:tc>
        <w:tc>
          <w:tcPr>
            <w:tcW w:w="5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860" w:type="dxa"/>
            <w:vAlign w:val="bottom"/>
          </w:tcPr>
          <w:p>
            <w:pPr>
              <w:jc w:val="right"/>
              <w:ind w:right="321"/>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3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12,500</w:t>
            </w:r>
          </w:p>
        </w:tc>
        <w:tc>
          <w:tcPr>
            <w:tcW w:w="840" w:type="dxa"/>
            <w:vAlign w:val="bottom"/>
          </w:tcPr>
          <w:p>
            <w:pPr>
              <w:jc w:val="center"/>
              <w:spacing w:after="0"/>
              <w:rPr>
                <w:sz w:val="20"/>
                <w:szCs w:val="20"/>
                <w:color w:val="auto"/>
              </w:rPr>
            </w:pPr>
            <w:r>
              <w:rPr>
                <w:rFonts w:ascii="Arial" w:cs="Arial" w:eastAsia="Arial" w:hAnsi="Arial"/>
                <w:sz w:val="18"/>
                <w:szCs w:val="18"/>
                <w:color w:val="auto"/>
                <w:w w:val="96"/>
              </w:rPr>
              <w:t>$  658,313</w:t>
            </w:r>
          </w:p>
        </w:tc>
        <w:tc>
          <w:tcPr>
            <w:tcW w:w="52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860" w:type="dxa"/>
            <w:vAlign w:val="bottom"/>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13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$ 1,544,750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Linda Chen</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136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N/A</w:t>
            </w:r>
          </w:p>
        </w:tc>
        <w:tc>
          <w:tcPr>
            <w:tcW w:w="860" w:type="dxa"/>
            <w:vAlign w:val="bottom"/>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Sinatra</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35,000</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$ 1,034,250</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8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amounts reported in the table above are based on the closing price of the Company’s common stock on the date the stock award vested or the stock options were exercised. Upon vesting of the stock awards, the executive also was paid an amount equal to the dividends that had accrued on the shares prior to their vesting.</w:t>
      </w:r>
    </w:p>
    <w:p>
      <w:pPr>
        <w:spacing w:after="0" w:line="296" w:lineRule="exact"/>
        <w:rPr>
          <w:sz w:val="20"/>
          <w:szCs w:val="20"/>
          <w:color w:val="auto"/>
        </w:rPr>
      </w:pPr>
    </w:p>
    <w:p>
      <w:pPr>
        <w:ind w:right="2500" w:firstLine="2593"/>
        <w:spacing w:after="0" w:line="394" w:lineRule="auto"/>
        <w:rPr>
          <w:sz w:val="20"/>
          <w:szCs w:val="20"/>
          <w:color w:val="auto"/>
        </w:rPr>
      </w:pPr>
      <w:r>
        <w:rPr>
          <w:rFonts w:ascii="Arial" w:cs="Arial" w:eastAsia="Arial" w:hAnsi="Arial"/>
          <w:sz w:val="18"/>
          <w:szCs w:val="18"/>
          <w:b w:val="1"/>
          <w:bCs w:val="1"/>
          <w:color w:val="auto"/>
        </w:rPr>
        <w:t>POTENTIAL PAYMENTS UPON TERMINATION OR CHANGE-IN-CONTROL Payments Made Upon Termination Due to Death, Complete Disability or License Revocation</w:t>
      </w:r>
    </w:p>
    <w:p>
      <w:pPr>
        <w:spacing w:after="0" w:line="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Company’s employment agreements with its named executive officers provide that such agreements terminate automatically upon death or complete disability of the employee, as well as upon failure of the employee to obtain or maintain required gaming licenses. Upon such termination, the employee is entitled to a lump sum payment of accrued and unpaid base salary and accrued and unpaid vacation through the termination 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Without Cause at Employer’s Election During the Term</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Company’s employment agreements with its named executive officers provide that such agreements are terminable by the Company without cause upon notice to the employee, so long as a “separation payment” is paid as provided for in such contracts. Cause is defined as (i) willful destruction of property of the Company or an affiliate having a material value to the Company or such affiliate; (ii) fraud, embezzlement, theft, or comparable</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dishonest activity; (iii) conviction of or entering a plea of guilty or nolo contendere to any crime constituting a felony or any misdemeanor involving fraud, dishonesty or moral turpitude; (iv) breach, neglect, refusal, or failure to materially discharge duties (other than due to physical or mental illness) commensurate with title and function, or failure to comply with the lawful directions of the Company, that is not cured within 15 days after written notice thereof; (v) willful and knowing material misrepresentation to the Company’s or an affiliate’s board of directors; (vi) willful violation of a material policy of the Company or an affiliate, which does or could result in material harm to the Company or to the Company’s reputation; or (vii) material violation of a statutory or common law duty of loyalty or fiduciary duty to the Company or an affiliate.</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“separation payment” consists of a multiple (ranging from one to, in the case of Mr. Wynn, three times) of the sum of (a) base salary through the end of the term of the agreement, but not less than 12 months (and in Mr. Wynn’s case, not more than 4 years); (b) bonus for all bonus periods based upon last bonus paid pursuant to the employment agreement through the end of the term (and in Mr. Wynn’s case, this is limited to a maximum of 4 years); and (c) a tax gross up in certain circumstances. In addition, the employee is entitled to health benefits coverage under the same plan or arrangement as the employee was covered immediately prior to termination. Health benefits are to be provided until the earlier of the remainder of the original term, or until the employee is covered by a plan of another employer. In addition, some of the stock option agreements and restricted stock agreements held by the named executive officers provide that unvested options and shares will vest upon termination without cause.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 by Employee after Change in Control for Good Reason</w:t>
      </w:r>
    </w:p>
    <w:p>
      <w:pPr>
        <w:spacing w:after="0" w:line="96"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The Company’s employment agreements with its named executive officers provide that such agreements are terminable by the employee for good reason after a change in control. A change in control is defined as (a) any person or group (other than Mr. Wynn and his affiliates) becomes the beneficial owner of more than 50% of the Company’s outstanding securities; or (b) the existing directors of the Company (including those elected in the normal course and not including those elected as a result of an actual or threatened election contest) cease to constitute a majority of the Board of Directors of the Company. Good reason is defined as: (i) reduction of employee’s base salary; (ii) discontinuation of employer’s bonus plan without immediately replacing such bonus plan with a plan that is the substantial economic equivalent of such bonus plan, or amends such bonus plan so as to materially reduce employee’s potential bonus at any given level of economic performance of employer or its successor entity; (iii) material reduction in the aggregate benefits and perquisites to employee; (iv) 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 Upon termination by the employee pursuant to this provision, the employee is entitled to the same amounts described under “Payments Made Upon Termination Without Cause at Employer’s Election During the Term” above. In addition, if an executive’s termination is deemed to occur in connection with a change in control under the Tax Code, certain executives are entitled to a tax gross up on the excise tax if the executive’s benefits trigger an excise tax. Pursuant to the terms of the applicable stock option agreements and restricted stock grant agreements, some or all of the unvested options and restricted stock held by the named executive officers would immediately vest upon termination by the Company without cause or upon termination by the employee for good reason after a change in control.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Termination</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tables below reflect the amount of compensation that would become payable to each of the named executive officers under existing agreements and arrangements if the named executive’s employment had terminated on December 31, 2009 given the named executive’s compensation as of such date and, if applicable, based on the Company’s closing stock price on that date. These benefits are in addition to benefits available prior to the occurrence of any termination of employment, including under then-exercisable stock options, and benefits generally available to all salaried employees, such as distributions under the company’s 401(k) plan. In addition,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 connection with any actual termination of employment, the Compensation Committee may determine to enter into an agreement or to establish an arrangement providing additional benefits or amounts, or altering the terms of benefits described below, as the Committee determines appropriate.</w:t>
      </w:r>
    </w:p>
    <w:p>
      <w:pPr>
        <w:spacing w:after="0" w:line="8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actual amounts that would be paid upon a named executive officer’s termination of employment can only be determined at the time of such executive’s separation from the Company. Due to the number of factors that affect the nature and amount of any benefits provided upon the events discussed below, any actual amounts paid or distributed may be higher or lower than reported below. Factors that could affect these amounts include the timing during the year of any such event and the Company’s stock price.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Stephen A. Wynn</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case of Mr. Wynn, the payments to be made upon “Termination Without Cause at Employer’s Election During the Term” and “Termination by Employee for Good Reason After Change in Control for Good Reason” is three times the salary that would be payable during the remaining term of the contract with a limit of 4 years.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 by</w:t>
            </w:r>
          </w:p>
        </w:tc>
      </w:tr>
      <w:tr>
        <w:trPr>
          <w:trHeight w:val="149"/>
        </w:trPr>
        <w:tc>
          <w:tcPr>
            <w:tcW w:w="43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 Upon</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w w:val="85"/>
              </w:rPr>
              <w:t>without Cause at</w:t>
            </w: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Employee for Good</w:t>
            </w:r>
          </w:p>
        </w:tc>
      </w:tr>
      <w:tr>
        <w:trPr>
          <w:trHeight w:val="149"/>
        </w:trPr>
        <w:tc>
          <w:tcPr>
            <w:tcW w:w="43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Death or Complete</w:t>
            </w:r>
          </w:p>
        </w:tc>
        <w:tc>
          <w:tcPr>
            <w:tcW w:w="420" w:type="dxa"/>
            <w:vAlign w:val="bottom"/>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Employer’s Election</w:t>
            </w:r>
          </w:p>
        </w:tc>
        <w:tc>
          <w:tcPr>
            <w:tcW w:w="12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61"/>
        </w:trPr>
        <w:tc>
          <w:tcPr>
            <w:tcW w:w="4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Disability(2)</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During the Term(2)</w:t>
            </w:r>
          </w:p>
        </w:tc>
        <w:tc>
          <w:tcPr>
            <w:tcW w:w="840" w:type="dxa"/>
            <w:vAlign w:val="bottom"/>
          </w:tcPr>
          <w:p>
            <w:pPr>
              <w:spacing w:after="0"/>
              <w:rPr>
                <w:sz w:val="14"/>
                <w:szCs w:val="14"/>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Change in Control(2)</w:t>
            </w:r>
          </w:p>
        </w:tc>
        <w:tc>
          <w:tcPr>
            <w:tcW w:w="20" w:type="dxa"/>
            <w:vAlign w:val="bottom"/>
          </w:tcPr>
          <w:p>
            <w:pPr>
              <w:spacing w:after="0"/>
              <w:rPr>
                <w:sz w:val="14"/>
                <w:szCs w:val="14"/>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Base Salary</w:t>
            </w:r>
          </w:p>
        </w:tc>
        <w:tc>
          <w:tcPr>
            <w:tcW w:w="210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11,050,000</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33,150,000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33,150,000</w:t>
            </w: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210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20,312,500</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840"/>
              <w:spacing w:after="0"/>
              <w:rPr>
                <w:sz w:val="20"/>
                <w:szCs w:val="20"/>
                <w:color w:val="auto"/>
              </w:rPr>
            </w:pPr>
            <w:r>
              <w:rPr>
                <w:rFonts w:ascii="Arial" w:cs="Arial" w:eastAsia="Arial" w:hAnsi="Arial"/>
                <w:sz w:val="18"/>
                <w:szCs w:val="18"/>
                <w:color w:val="auto"/>
              </w:rPr>
              <w:t>52,812,500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52,812,500</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N/A</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210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2,000,000</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84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210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33,912,649</w:t>
            </w:r>
          </w:p>
        </w:tc>
        <w:tc>
          <w:tcPr>
            <w:tcW w:w="20" w:type="dxa"/>
            <w:vAlign w:val="bottom"/>
          </w:tcPr>
          <w:p>
            <w:pPr>
              <w:spacing w:after="0"/>
              <w:rPr>
                <w:sz w:val="18"/>
                <w:szCs w:val="18"/>
                <w:color w:val="auto"/>
              </w:rPr>
            </w:pPr>
          </w:p>
        </w:tc>
      </w:tr>
      <w:tr>
        <w:trPr>
          <w:trHeight w:val="228"/>
        </w:trPr>
        <w:tc>
          <w:tcPr>
            <w:tcW w:w="4320" w:type="dxa"/>
            <w:vAlign w:val="bottom"/>
          </w:tcPr>
          <w:p>
            <w:pPr>
              <w:spacing w:after="0"/>
              <w:rPr>
                <w:sz w:val="20"/>
                <w:szCs w:val="20"/>
                <w:color w:val="auto"/>
              </w:rPr>
            </w:pPr>
            <w:r>
              <w:rPr>
                <w:rFonts w:ascii="Arial" w:cs="Arial" w:eastAsia="Arial" w:hAnsi="Arial"/>
                <w:sz w:val="18"/>
                <w:szCs w:val="18"/>
                <w:b w:val="1"/>
                <w:bCs w:val="1"/>
                <w:color w:val="auto"/>
              </w:rPr>
              <w:t>Benefits(1)</w:t>
            </w:r>
          </w:p>
        </w:tc>
        <w:tc>
          <w:tcPr>
            <w:tcW w:w="2100" w:type="dxa"/>
            <w:vAlign w:val="bottom"/>
            <w:gridSpan w:val="2"/>
          </w:tcPr>
          <w:p>
            <w:pPr>
              <w:ind w:left="19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377,655</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840"/>
              <w:spacing w:after="0"/>
              <w:rPr>
                <w:sz w:val="20"/>
                <w:szCs w:val="20"/>
                <w:color w:val="auto"/>
              </w:rPr>
            </w:pPr>
            <w:r>
              <w:rPr>
                <w:rFonts w:ascii="Arial" w:cs="Arial" w:eastAsia="Arial" w:hAnsi="Arial"/>
                <w:sz w:val="18"/>
                <w:szCs w:val="18"/>
                <w:color w:val="auto"/>
              </w:rPr>
              <w:t>377,655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551,091</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00" w:hanging="452"/>
        <w:spacing w:after="0" w:line="25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Continued health benefits for remainder of the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Matt Maddox</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137"/>
              <w:spacing w:after="0"/>
              <w:rPr>
                <w:sz w:val="20"/>
                <w:szCs w:val="20"/>
                <w:color w:val="auto"/>
              </w:rPr>
            </w:pPr>
            <w:r>
              <w:rPr>
                <w:rFonts w:ascii="Arial" w:cs="Arial" w:eastAsia="Arial" w:hAnsi="Arial"/>
                <w:sz w:val="14"/>
                <w:szCs w:val="14"/>
                <w:b w:val="1"/>
                <w:bCs w:val="1"/>
                <w:color w:val="auto"/>
              </w:rPr>
              <w:t>Termination</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 by</w:t>
            </w:r>
          </w:p>
        </w:tc>
      </w:tr>
      <w:tr>
        <w:trPr>
          <w:trHeight w:val="149"/>
        </w:trPr>
        <w:tc>
          <w:tcPr>
            <w:tcW w:w="4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85"/>
              </w:rPr>
              <w:t>without Cause at</w:t>
            </w:r>
          </w:p>
        </w:tc>
        <w:tc>
          <w:tcPr>
            <w:tcW w:w="88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Employee for Good</w:t>
            </w:r>
          </w:p>
        </w:tc>
      </w:tr>
      <w:tr>
        <w:trPr>
          <w:trHeight w:val="149"/>
        </w:trPr>
        <w:tc>
          <w:tcPr>
            <w:tcW w:w="4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86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Employer’s Election</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61"/>
        </w:trPr>
        <w:tc>
          <w:tcPr>
            <w:tcW w:w="4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Disability</w:t>
            </w:r>
          </w:p>
        </w:tc>
        <w:tc>
          <w:tcPr>
            <w:tcW w:w="860" w:type="dxa"/>
            <w:vAlign w:val="bottom"/>
          </w:tcPr>
          <w:p>
            <w:pPr>
              <w:spacing w:after="0"/>
              <w:rPr>
                <w:sz w:val="14"/>
                <w:szCs w:val="14"/>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During the Term(6)</w:t>
            </w:r>
          </w:p>
        </w:tc>
        <w:tc>
          <w:tcPr>
            <w:tcW w:w="880" w:type="dxa"/>
            <w:vAlign w:val="bottom"/>
          </w:tcPr>
          <w:p>
            <w:pPr>
              <w:spacing w:after="0"/>
              <w:rPr>
                <w:sz w:val="14"/>
                <w:szCs w:val="14"/>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Change in Control(6)</w:t>
            </w:r>
          </w:p>
        </w:tc>
        <w:tc>
          <w:tcPr>
            <w:tcW w:w="20" w:type="dxa"/>
            <w:vAlign w:val="bottom"/>
          </w:tcPr>
          <w:p>
            <w:pPr>
              <w:spacing w:after="0"/>
              <w:rPr>
                <w:sz w:val="14"/>
                <w:szCs w:val="14"/>
                <w:color w:val="auto"/>
              </w:rPr>
            </w:pPr>
          </w:p>
        </w:tc>
      </w:tr>
      <w:tr>
        <w:trPr>
          <w:trHeight w:val="201"/>
        </w:trPr>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2760" w:type="dxa"/>
            <w:vAlign w:val="bottom"/>
            <w:gridSpan w:val="3"/>
            <w:shd w:val="clear" w:color="auto" w:fill="CCEEFF"/>
          </w:tcPr>
          <w:p>
            <w:pPr>
              <w:jc w:val="center"/>
              <w:ind w:left="1272"/>
              <w:spacing w:after="0" w:line="201" w:lineRule="exact"/>
              <w:rPr>
                <w:sz w:val="20"/>
                <w:szCs w:val="20"/>
                <w:color w:val="auto"/>
              </w:rPr>
            </w:pPr>
            <w:r>
              <w:rPr>
                <w:rFonts w:ascii="Arial" w:cs="Arial" w:eastAsia="Arial" w:hAnsi="Arial"/>
                <w:sz w:val="18"/>
                <w:szCs w:val="18"/>
                <w:color w:val="auto"/>
                <w:w w:val="88"/>
              </w:rPr>
              <w:t>Amount earned and</w:t>
            </w:r>
          </w:p>
        </w:tc>
        <w:tc>
          <w:tcPr>
            <w:tcW w:w="940" w:type="dxa"/>
            <w:vAlign w:val="bottom"/>
            <w:gridSpan w:val="2"/>
            <w:shd w:val="clear" w:color="auto" w:fill="CCEEFF"/>
          </w:tcPr>
          <w:p>
            <w:pPr>
              <w:ind w:left="86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3,916,667</w:t>
            </w:r>
          </w:p>
        </w:tc>
        <w:tc>
          <w:tcPr>
            <w:tcW w:w="1000" w:type="dxa"/>
            <w:vAlign w:val="bottom"/>
            <w:gridSpan w:val="2"/>
            <w:shd w:val="clear" w:color="auto" w:fill="CCEEFF"/>
          </w:tcPr>
          <w:p>
            <w:pPr>
              <w:ind w:left="880"/>
              <w:spacing w:after="0" w:line="201"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3,916,667</w:t>
            </w:r>
          </w:p>
        </w:tc>
        <w:tc>
          <w:tcPr>
            <w:tcW w:w="20" w:type="dxa"/>
            <w:vAlign w:val="bottom"/>
          </w:tcPr>
          <w:p>
            <w:pPr>
              <w:spacing w:after="0"/>
              <w:rPr>
                <w:sz w:val="17"/>
                <w:szCs w:val="17"/>
                <w:color w:val="auto"/>
              </w:rPr>
            </w:pPr>
          </w:p>
        </w:tc>
      </w:tr>
      <w:tr>
        <w:trPr>
          <w:trHeight w:val="216"/>
        </w:trPr>
        <w:tc>
          <w:tcPr>
            <w:tcW w:w="4540" w:type="dxa"/>
            <w:vAlign w:val="bottom"/>
            <w:shd w:val="clear" w:color="auto" w:fill="CCEEFF"/>
          </w:tcPr>
          <w:p>
            <w:pPr>
              <w:spacing w:after="0"/>
              <w:rPr>
                <w:sz w:val="18"/>
                <w:szCs w:val="18"/>
                <w:color w:val="auto"/>
              </w:rPr>
            </w:pPr>
          </w:p>
        </w:tc>
        <w:tc>
          <w:tcPr>
            <w:tcW w:w="2760" w:type="dxa"/>
            <w:vAlign w:val="bottom"/>
            <w:gridSpan w:val="3"/>
            <w:shd w:val="clear" w:color="auto" w:fill="CCEEFF"/>
          </w:tcPr>
          <w:p>
            <w:pPr>
              <w:jc w:val="center"/>
              <w:ind w:left="1212"/>
              <w:spacing w:after="0"/>
              <w:rPr>
                <w:sz w:val="20"/>
                <w:szCs w:val="20"/>
                <w:color w:val="auto"/>
              </w:rPr>
            </w:pPr>
            <w:r>
              <w:rPr>
                <w:rFonts w:ascii="Arial" w:cs="Arial" w:eastAsia="Arial" w:hAnsi="Arial"/>
                <w:sz w:val="18"/>
                <w:szCs w:val="18"/>
                <w:color w:val="auto"/>
                <w:w w:val="89"/>
              </w:rPr>
              <w:t>unpaid through the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4540" w:type="dxa"/>
            <w:vAlign w:val="bottom"/>
            <w:shd w:val="clear" w:color="auto" w:fill="CCEEFF"/>
          </w:tcPr>
          <w:p>
            <w:pPr>
              <w:spacing w:after="0"/>
              <w:rPr>
                <w:sz w:val="19"/>
                <w:szCs w:val="19"/>
                <w:color w:val="auto"/>
              </w:rPr>
            </w:pPr>
          </w:p>
        </w:tc>
        <w:tc>
          <w:tcPr>
            <w:tcW w:w="2760" w:type="dxa"/>
            <w:vAlign w:val="bottom"/>
            <w:gridSpan w:val="3"/>
            <w:shd w:val="clear" w:color="auto" w:fill="CCEEFF"/>
          </w:tcPr>
          <w:p>
            <w:pPr>
              <w:jc w:val="center"/>
              <w:ind w:left="1252"/>
              <w:spacing w:after="0"/>
              <w:rPr>
                <w:sz w:val="20"/>
                <w:szCs w:val="20"/>
                <w:color w:val="auto"/>
              </w:rPr>
            </w:pPr>
            <w:r>
              <w:rPr>
                <w:rFonts w:ascii="Arial" w:cs="Arial" w:eastAsia="Arial" w:hAnsi="Arial"/>
                <w:sz w:val="18"/>
                <w:szCs w:val="18"/>
                <w:color w:val="auto"/>
                <w:w w:val="89"/>
              </w:rPr>
              <w:t>date of termination.</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2060" w:type="dxa"/>
            <w:vAlign w:val="bottom"/>
            <w:gridSpan w:val="2"/>
          </w:tcPr>
          <w:p>
            <w:pPr>
              <w:jc w:val="center"/>
              <w:ind w:left="189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650,000</w:t>
            </w:r>
          </w:p>
        </w:tc>
        <w:tc>
          <w:tcPr>
            <w:tcW w:w="940" w:type="dxa"/>
            <w:vAlign w:val="bottom"/>
            <w:gridSpan w:val="2"/>
          </w:tcPr>
          <w:p>
            <w:pPr>
              <w:ind w:left="86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3,195,833</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3,195,833</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2060" w:type="dxa"/>
            <w:vAlign w:val="bottom"/>
            <w:gridSpan w:val="2"/>
            <w:shd w:val="clear" w:color="auto" w:fill="CCEEFF"/>
          </w:tcPr>
          <w:p>
            <w:pPr>
              <w:jc w:val="center"/>
              <w:ind w:left="189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6,563,669</w:t>
            </w:r>
          </w:p>
        </w:tc>
        <w:tc>
          <w:tcPr>
            <w:tcW w:w="940" w:type="dxa"/>
            <w:vAlign w:val="bottom"/>
            <w:gridSpan w:val="2"/>
            <w:shd w:val="clear" w:color="auto" w:fill="CCEEFF"/>
          </w:tcPr>
          <w:p>
            <w:pPr>
              <w:ind w:left="86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932,186</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3,111,500</w:t>
            </w:r>
          </w:p>
        </w:tc>
        <w:tc>
          <w:tcPr>
            <w:tcW w:w="2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2060" w:type="dxa"/>
            <w:vAlign w:val="bottom"/>
            <w:gridSpan w:val="2"/>
          </w:tcPr>
          <w:p>
            <w:pPr>
              <w:jc w:val="center"/>
              <w:ind w:left="189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940" w:type="dxa"/>
            <w:vAlign w:val="bottom"/>
            <w:gridSpan w:val="2"/>
          </w:tcPr>
          <w:p>
            <w:pPr>
              <w:ind w:left="86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2060" w:type="dxa"/>
            <w:vAlign w:val="bottom"/>
            <w:gridSpan w:val="2"/>
            <w:shd w:val="clear" w:color="auto" w:fill="CCEEFF"/>
          </w:tcPr>
          <w:p>
            <w:pPr>
              <w:jc w:val="center"/>
              <w:ind w:left="189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ind w:left="86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3,116,652</w:t>
            </w:r>
          </w:p>
        </w:tc>
        <w:tc>
          <w:tcPr>
            <w:tcW w:w="20" w:type="dxa"/>
            <w:vAlign w:val="bottom"/>
          </w:tcPr>
          <w:p>
            <w:pPr>
              <w:spacing w:after="0"/>
              <w:rPr>
                <w:sz w:val="18"/>
                <w:szCs w:val="18"/>
                <w:color w:val="auto"/>
              </w:rPr>
            </w:pPr>
          </w:p>
        </w:tc>
      </w:tr>
      <w:tr>
        <w:trPr>
          <w:trHeight w:val="228"/>
        </w:trPr>
        <w:tc>
          <w:tcPr>
            <w:tcW w:w="454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2060" w:type="dxa"/>
            <w:vAlign w:val="bottom"/>
            <w:gridSpan w:val="2"/>
          </w:tcPr>
          <w:p>
            <w:pPr>
              <w:jc w:val="center"/>
              <w:ind w:left="189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940" w:type="dxa"/>
            <w:vAlign w:val="bottom"/>
            <w:gridSpan w:val="2"/>
          </w:tcPr>
          <w:p>
            <w:pPr>
              <w:ind w:left="86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367,788</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539,610</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00" w:hanging="452"/>
        <w:spacing w:after="0" w:line="252"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175,000 would vest in full immediately. Upon termination without cause, 175,000 stock options would vest on a pro-rated basis based on the number of months since the grant date, so long as the employee’s employment agreement with the company has not terminated or expired. Using the closing price on December 31, 2009, the value of such stock options upon exercise would have been $0.</w:t>
      </w:r>
    </w:p>
    <w:p>
      <w:pPr>
        <w:spacing w:after="0" w:line="1" w:lineRule="exact"/>
        <w:rPr>
          <w:rFonts w:ascii="Arial" w:cs="Arial" w:eastAsia="Arial" w:hAnsi="Arial"/>
          <w:sz w:val="18"/>
          <w:szCs w:val="18"/>
          <w:color w:val="auto"/>
        </w:rPr>
      </w:pPr>
    </w:p>
    <w:p>
      <w:pPr>
        <w:ind w:left="460" w:right="260" w:hanging="452"/>
        <w:spacing w:after="0" w:line="261"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316,667 would vest in full immediately. Using the closing price on December 31, 2009, the value of such stock options upon exercise would have been $3,452,169.</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hanging="452"/>
        <w:spacing w:after="0" w:line="253"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50,000 shares of restricted stock would vest in full immediately so long as the employee’s employment agreement with the Company has not terminated or expired. Using the closing price on December 31, 2009, the value of such 50,000 shares would have been $2,911,500 plus accrued dividends of $200,000.</w:t>
      </w:r>
    </w:p>
    <w:p>
      <w:pPr>
        <w:ind w:left="460" w:right="20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Upon termination without cause 50,000 shares of restricted stock would vest on a pro-rated basis based on the number of months since the grant date so long as the employee’s employment agreement with the Company has not terminated or expired, and another 10,000 shares of restricted stock would vest pro-rated based on the number of months since the grant date regardless of the status of the employee’s employment contract. Using the closing price on December 31, 2009, the value of such 14,482 shares would have been $843,253, plus accrued dividends of $88,933.</w:t>
      </w:r>
    </w:p>
    <w:p>
      <w:pPr>
        <w:spacing w:after="0" w:line="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 D. Schorr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 by</w:t>
            </w:r>
          </w:p>
        </w:tc>
      </w:tr>
      <w:tr>
        <w:trPr>
          <w:trHeight w:val="149"/>
        </w:trPr>
        <w:tc>
          <w:tcPr>
            <w:tcW w:w="5980" w:type="dxa"/>
            <w:vAlign w:val="bottom"/>
          </w:tcPr>
          <w:p>
            <w:pPr>
              <w:spacing w:after="0"/>
              <w:rPr>
                <w:sz w:val="12"/>
                <w:szCs w:val="12"/>
                <w:color w:val="auto"/>
              </w:rPr>
            </w:pPr>
          </w:p>
        </w:tc>
        <w:tc>
          <w:tcPr>
            <w:tcW w:w="18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w w:val="85"/>
              </w:rPr>
              <w:t>without Cause at</w:t>
            </w: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Employee for Good</w:t>
            </w:r>
          </w:p>
        </w:tc>
      </w:tr>
      <w:tr>
        <w:trPr>
          <w:trHeight w:val="149"/>
        </w:trPr>
        <w:tc>
          <w:tcPr>
            <w:tcW w:w="5980" w:type="dxa"/>
            <w:vAlign w:val="bottom"/>
          </w:tcPr>
          <w:p>
            <w:pPr>
              <w:spacing w:after="0"/>
              <w:rPr>
                <w:sz w:val="12"/>
                <w:szCs w:val="12"/>
                <w:color w:val="auto"/>
              </w:rPr>
            </w:pPr>
          </w:p>
        </w:tc>
        <w:tc>
          <w:tcPr>
            <w:tcW w:w="18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420" w:type="dxa"/>
            <w:vAlign w:val="bottom"/>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Employer’s Election</w:t>
            </w:r>
          </w:p>
        </w:tc>
        <w:tc>
          <w:tcPr>
            <w:tcW w:w="12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61"/>
        </w:trPr>
        <w:tc>
          <w:tcPr>
            <w:tcW w:w="5980" w:type="dxa"/>
            <w:vAlign w:val="bottom"/>
          </w:tcPr>
          <w:p>
            <w:pPr>
              <w:spacing w:after="0"/>
              <w:rPr>
                <w:sz w:val="14"/>
                <w:szCs w:val="1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Disability</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During the Term(5)</w:t>
            </w:r>
          </w:p>
        </w:tc>
        <w:tc>
          <w:tcPr>
            <w:tcW w:w="840" w:type="dxa"/>
            <w:vAlign w:val="bottom"/>
          </w:tcPr>
          <w:p>
            <w:pPr>
              <w:spacing w:after="0"/>
              <w:rPr>
                <w:sz w:val="14"/>
                <w:szCs w:val="14"/>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Change in Control(5)</w:t>
            </w:r>
          </w:p>
        </w:tc>
        <w:tc>
          <w:tcPr>
            <w:tcW w:w="20" w:type="dxa"/>
            <w:vAlign w:val="bottom"/>
          </w:tcPr>
          <w:p>
            <w:pPr>
              <w:spacing w:after="0"/>
              <w:rPr>
                <w:sz w:val="14"/>
                <w:szCs w:val="14"/>
                <w:color w:val="auto"/>
              </w:rPr>
            </w:pPr>
          </w:p>
        </w:tc>
      </w:tr>
      <w:tr>
        <w:trPr>
          <w:trHeight w:val="201"/>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800" w:type="dxa"/>
            <w:vAlign w:val="bottom"/>
            <w:gridSpan w:val="3"/>
            <w:shd w:val="clear" w:color="auto" w:fill="CCEEFF"/>
          </w:tcPr>
          <w:p>
            <w:pPr>
              <w:jc w:val="center"/>
              <w:ind w:right="420"/>
              <w:spacing w:after="0" w:line="201" w:lineRule="exact"/>
              <w:rPr>
                <w:sz w:val="20"/>
                <w:szCs w:val="20"/>
                <w:color w:val="auto"/>
              </w:rPr>
            </w:pPr>
            <w:r>
              <w:rPr>
                <w:rFonts w:ascii="Arial" w:cs="Arial" w:eastAsia="Arial" w:hAnsi="Arial"/>
                <w:sz w:val="18"/>
                <w:szCs w:val="18"/>
                <w:color w:val="auto"/>
                <w:w w:val="87"/>
              </w:rPr>
              <w:t>Amount earned and</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840"/>
              <w:spacing w:after="0" w:line="201" w:lineRule="exact"/>
              <w:rPr>
                <w:sz w:val="20"/>
                <w:szCs w:val="20"/>
                <w:color w:val="auto"/>
              </w:rPr>
            </w:pPr>
            <w:r>
              <w:rPr>
                <w:rFonts w:ascii="Arial" w:cs="Arial" w:eastAsia="Arial" w:hAnsi="Arial"/>
                <w:sz w:val="18"/>
                <w:szCs w:val="18"/>
                <w:color w:val="auto"/>
              </w:rPr>
              <w:t>4,816,667</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4,816,667</w:t>
            </w:r>
          </w:p>
        </w:tc>
        <w:tc>
          <w:tcPr>
            <w:tcW w:w="2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6"/>
              </w:rPr>
              <w:t>unpaid through the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598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89"/>
              </w:rPr>
              <w:t>date of termination.</w:t>
            </w: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2,000,000</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840"/>
              <w:spacing w:after="0"/>
              <w:rPr>
                <w:sz w:val="20"/>
                <w:szCs w:val="20"/>
                <w:color w:val="auto"/>
              </w:rPr>
            </w:pPr>
            <w:r>
              <w:rPr>
                <w:rFonts w:ascii="Arial" w:cs="Arial" w:eastAsia="Arial" w:hAnsi="Arial"/>
                <w:sz w:val="18"/>
                <w:szCs w:val="18"/>
                <w:color w:val="auto"/>
              </w:rPr>
              <w:t>7,666,667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7,666,667</w:t>
            </w:r>
          </w:p>
        </w:tc>
        <w:tc>
          <w:tcPr>
            <w:tcW w:w="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21,112,500</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2,381,249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15,557,500</w:t>
            </w:r>
          </w:p>
        </w:tc>
        <w:tc>
          <w:tcPr>
            <w:tcW w:w="20" w:type="dxa"/>
            <w:vAlign w:val="bottom"/>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1,700,000</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84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5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w w:val="71"/>
              </w:rPr>
              <w:t>$</w:t>
            </w:r>
          </w:p>
        </w:tc>
        <w:tc>
          <w:tcPr>
            <w:tcW w:w="19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8"/>
        </w:trPr>
        <w:tc>
          <w:tcPr>
            <w:tcW w:w="5980" w:type="dxa"/>
            <w:vAlign w:val="bottom"/>
          </w:tcPr>
          <w:p>
            <w:pPr>
              <w:spacing w:after="0"/>
              <w:rPr>
                <w:sz w:val="20"/>
                <w:szCs w:val="20"/>
                <w:color w:val="auto"/>
              </w:rPr>
            </w:pPr>
            <w:r>
              <w:rPr>
                <w:rFonts w:ascii="Arial" w:cs="Arial" w:eastAsia="Arial" w:hAnsi="Arial"/>
                <w:sz w:val="18"/>
                <w:szCs w:val="18"/>
                <w:b w:val="1"/>
                <w:bCs w:val="1"/>
                <w:color w:val="auto"/>
              </w:rPr>
              <w:t>Benefits(4)</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1920" w:type="dxa"/>
            <w:vAlign w:val="bottom"/>
            <w:gridSpan w:val="2"/>
          </w:tcPr>
          <w:p>
            <w:pPr>
              <w:jc w:val="right"/>
              <w:ind w:right="840"/>
              <w:spacing w:after="0"/>
              <w:rPr>
                <w:sz w:val="20"/>
                <w:szCs w:val="20"/>
                <w:color w:val="auto"/>
              </w:rPr>
            </w:pPr>
            <w:r>
              <w:rPr>
                <w:rFonts w:ascii="Arial" w:cs="Arial" w:eastAsia="Arial" w:hAnsi="Arial"/>
                <w:sz w:val="18"/>
                <w:szCs w:val="18"/>
                <w:color w:val="auto"/>
              </w:rPr>
              <w:t>267,506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267,506</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60" w:hanging="452"/>
        <w:spacing w:after="0" w:line="25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500,000 would vest in full immediately. Using the closing price on December 31, 2009, the value of such stock options upon exercise would have been $5,555,000.</w:t>
      </w:r>
    </w:p>
    <w:p>
      <w:pPr>
        <w:ind w:left="460" w:right="22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250,000 shares of restricted stock would vest in full, so long as the employee’s employment agreement with the company has not terminated or expired. Using the closing price on December 31, 2009, the value of such restricted stock grants upon vesting would have been $14,557,500, plus accrued dividends of $1,000,000.</w:t>
      </w:r>
    </w:p>
    <w:p>
      <w:pPr>
        <w:spacing w:after="0" w:line="1" w:lineRule="exact"/>
        <w:rPr>
          <w:rFonts w:ascii="Arial" w:cs="Arial" w:eastAsia="Arial" w:hAnsi="Arial"/>
          <w:sz w:val="18"/>
          <w:szCs w:val="18"/>
          <w:color w:val="auto"/>
        </w:rPr>
      </w:pPr>
    </w:p>
    <w:p>
      <w:pPr>
        <w:jc w:val="both"/>
        <w:ind w:left="460" w:right="180" w:hanging="452"/>
        <w:spacing w:after="0" w:line="281"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Upon termination without cause 250,000 shares of restricted stock would vest on a pro-rated basis based on the number of months since the grant date, so long as the employee’s employment agreement with the company has not terminated or expired. Using the closing price on December 31, 2009, the value of such 38,265 shares would have been $2,228,189 plus accrued dividends of $153,060.</w:t>
      </w:r>
    </w:p>
    <w:p>
      <w:pPr>
        <w:spacing w:after="0" w:line="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Linda Chen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 by</w:t>
            </w:r>
          </w:p>
        </w:tc>
      </w:tr>
      <w:tr>
        <w:trPr>
          <w:trHeight w:val="149"/>
        </w:trPr>
        <w:tc>
          <w:tcPr>
            <w:tcW w:w="582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2"/>
          </w:tcPr>
          <w:p>
            <w:pPr>
              <w:jc w:val="right"/>
              <w:ind w:right="1020"/>
              <w:spacing w:after="0" w:line="149" w:lineRule="exact"/>
              <w:rPr>
                <w:sz w:val="20"/>
                <w:szCs w:val="20"/>
                <w:color w:val="auto"/>
              </w:rPr>
            </w:pPr>
            <w:r>
              <w:rPr>
                <w:rFonts w:ascii="Arial" w:cs="Arial" w:eastAsia="Arial" w:hAnsi="Arial"/>
                <w:sz w:val="14"/>
                <w:szCs w:val="14"/>
                <w:b w:val="1"/>
                <w:bCs w:val="1"/>
                <w:color w:val="auto"/>
                <w:w w:val="85"/>
              </w:rPr>
              <w:t>without Cause at</w:t>
            </w: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Employee for Good</w:t>
            </w:r>
          </w:p>
        </w:tc>
      </w:tr>
      <w:tr>
        <w:trPr>
          <w:trHeight w:val="149"/>
        </w:trPr>
        <w:tc>
          <w:tcPr>
            <w:tcW w:w="582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900" w:type="dxa"/>
            <w:vAlign w:val="bottom"/>
          </w:tcPr>
          <w:p>
            <w:pPr>
              <w:spacing w:after="0"/>
              <w:rPr>
                <w:sz w:val="12"/>
                <w:szCs w:val="12"/>
                <w:color w:val="auto"/>
              </w:rPr>
            </w:pPr>
          </w:p>
        </w:tc>
        <w:tc>
          <w:tcPr>
            <w:tcW w:w="2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Employer’s Election</w:t>
            </w:r>
          </w:p>
        </w:tc>
        <w:tc>
          <w:tcPr>
            <w:tcW w:w="12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61"/>
        </w:trPr>
        <w:tc>
          <w:tcPr>
            <w:tcW w:w="5820" w:type="dxa"/>
            <w:vAlign w:val="bottom"/>
          </w:tcPr>
          <w:p>
            <w:pPr>
              <w:spacing w:after="0"/>
              <w:rPr>
                <w:sz w:val="14"/>
                <w:szCs w:val="14"/>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Disability</w:t>
            </w:r>
          </w:p>
        </w:tc>
        <w:tc>
          <w:tcPr>
            <w:tcW w:w="900" w:type="dxa"/>
            <w:vAlign w:val="bottom"/>
          </w:tcPr>
          <w:p>
            <w:pPr>
              <w:spacing w:after="0"/>
              <w:rPr>
                <w:sz w:val="14"/>
                <w:szCs w:val="14"/>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During the Term(6)</w:t>
            </w:r>
          </w:p>
        </w:tc>
        <w:tc>
          <w:tcPr>
            <w:tcW w:w="920" w:type="dxa"/>
            <w:vAlign w:val="bottom"/>
          </w:tcPr>
          <w:p>
            <w:pPr>
              <w:spacing w:after="0"/>
              <w:rPr>
                <w:sz w:val="14"/>
                <w:szCs w:val="14"/>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Change in Control(6)</w:t>
            </w:r>
          </w:p>
        </w:tc>
        <w:tc>
          <w:tcPr>
            <w:tcW w:w="20" w:type="dxa"/>
            <w:vAlign w:val="bottom"/>
          </w:tcPr>
          <w:p>
            <w:pPr>
              <w:spacing w:after="0"/>
              <w:rPr>
                <w:sz w:val="14"/>
                <w:szCs w:val="14"/>
                <w:color w:val="auto"/>
              </w:rPr>
            </w:pPr>
          </w:p>
        </w:tc>
      </w:tr>
      <w:tr>
        <w:trPr>
          <w:trHeight w:val="201"/>
        </w:trPr>
        <w:tc>
          <w:tcPr>
            <w:tcW w:w="58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40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Amount earned and</w:t>
            </w:r>
          </w:p>
        </w:tc>
        <w:tc>
          <w:tcPr>
            <w:tcW w:w="98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w w:val="71"/>
              </w:rPr>
              <w:t>$</w:t>
            </w:r>
          </w:p>
        </w:tc>
        <w:tc>
          <w:tcPr>
            <w:tcW w:w="2000" w:type="dxa"/>
            <w:vAlign w:val="bottom"/>
            <w:gridSpan w:val="2"/>
            <w:shd w:val="clear" w:color="auto" w:fill="CCEEFF"/>
          </w:tcPr>
          <w:p>
            <w:pPr>
              <w:jc w:val="right"/>
              <w:ind w:right="920"/>
              <w:spacing w:after="0" w:line="201" w:lineRule="exact"/>
              <w:rPr>
                <w:sz w:val="20"/>
                <w:szCs w:val="20"/>
                <w:color w:val="auto"/>
              </w:rPr>
            </w:pPr>
            <w:r>
              <w:rPr>
                <w:rFonts w:ascii="Arial" w:cs="Arial" w:eastAsia="Arial" w:hAnsi="Arial"/>
                <w:sz w:val="18"/>
                <w:szCs w:val="18"/>
                <w:color w:val="auto"/>
              </w:rPr>
              <w:t>1,583,333</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1,583,333</w:t>
            </w:r>
          </w:p>
        </w:tc>
        <w:tc>
          <w:tcPr>
            <w:tcW w:w="20" w:type="dxa"/>
            <w:vAlign w:val="bottom"/>
          </w:tcPr>
          <w:p>
            <w:pPr>
              <w:spacing w:after="0"/>
              <w:rPr>
                <w:sz w:val="17"/>
                <w:szCs w:val="17"/>
                <w:color w:val="auto"/>
              </w:rPr>
            </w:pPr>
          </w:p>
        </w:tc>
      </w:tr>
      <w:tr>
        <w:trPr>
          <w:trHeight w:val="216"/>
        </w:trPr>
        <w:tc>
          <w:tcPr>
            <w:tcW w:w="58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unpaid through the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58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date of termination.</w:t>
            </w: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700" w:type="dxa"/>
            <w:vAlign w:val="bottom"/>
          </w:tcPr>
          <w:p>
            <w:pPr>
              <w:jc w:val="center"/>
              <w:ind w:left="518"/>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980" w:type="dxa"/>
            <w:vAlign w:val="bottom"/>
            <w:gridSpan w:val="2"/>
          </w:tcPr>
          <w:p>
            <w:pPr>
              <w:ind w:left="900"/>
              <w:spacing w:after="0"/>
              <w:rPr>
                <w:sz w:val="20"/>
                <w:szCs w:val="20"/>
                <w:color w:val="auto"/>
              </w:rPr>
            </w:pPr>
            <w:r>
              <w:rPr>
                <w:rFonts w:ascii="Arial" w:cs="Arial" w:eastAsia="Arial" w:hAnsi="Arial"/>
                <w:sz w:val="15"/>
                <w:szCs w:val="15"/>
                <w:color w:val="auto"/>
                <w:w w:val="71"/>
              </w:rPr>
              <w:t>$</w:t>
            </w:r>
          </w:p>
        </w:tc>
        <w:tc>
          <w:tcPr>
            <w:tcW w:w="2000" w:type="dxa"/>
            <w:vAlign w:val="bottom"/>
            <w:gridSpan w:val="2"/>
          </w:tcPr>
          <w:p>
            <w:pPr>
              <w:jc w:val="right"/>
              <w:ind w:right="920"/>
              <w:spacing w:after="0"/>
              <w:rPr>
                <w:sz w:val="20"/>
                <w:szCs w:val="20"/>
                <w:color w:val="auto"/>
              </w:rPr>
            </w:pPr>
            <w:r>
              <w:rPr>
                <w:rFonts w:ascii="Arial" w:cs="Arial" w:eastAsia="Arial" w:hAnsi="Arial"/>
                <w:sz w:val="18"/>
                <w:szCs w:val="18"/>
                <w:color w:val="auto"/>
              </w:rPr>
              <w:t>2,583,000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2,583,333</w:t>
            </w:r>
          </w:p>
        </w:tc>
        <w:tc>
          <w:tcPr>
            <w:tcW w:w="2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700" w:type="dxa"/>
            <w:vAlign w:val="bottom"/>
            <w:shd w:val="clear" w:color="auto" w:fill="CCEEFF"/>
          </w:tcPr>
          <w:p>
            <w:pPr>
              <w:jc w:val="center"/>
              <w:ind w:left="518"/>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9,607,999</w:t>
            </w:r>
          </w:p>
        </w:tc>
        <w:tc>
          <w:tcPr>
            <w:tcW w:w="98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w w:val="71"/>
              </w:rPr>
              <w:t>$</w:t>
            </w:r>
          </w:p>
        </w:tc>
        <w:tc>
          <w:tcPr>
            <w:tcW w:w="20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5,386,510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6,223,000</w:t>
            </w:r>
          </w:p>
        </w:tc>
        <w:tc>
          <w:tcPr>
            <w:tcW w:w="20" w:type="dxa"/>
            <w:vAlign w:val="bottom"/>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700" w:type="dxa"/>
            <w:vAlign w:val="bottom"/>
          </w:tcPr>
          <w:p>
            <w:pPr>
              <w:jc w:val="center"/>
              <w:ind w:left="518"/>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980" w:type="dxa"/>
            <w:vAlign w:val="bottom"/>
            <w:gridSpan w:val="2"/>
          </w:tcPr>
          <w:p>
            <w:pPr>
              <w:ind w:left="900"/>
              <w:spacing w:after="0"/>
              <w:rPr>
                <w:sz w:val="20"/>
                <w:szCs w:val="20"/>
                <w:color w:val="auto"/>
              </w:rPr>
            </w:pPr>
            <w:r>
              <w:rPr>
                <w:rFonts w:ascii="Arial" w:cs="Arial" w:eastAsia="Arial" w:hAnsi="Arial"/>
                <w:sz w:val="15"/>
                <w:szCs w:val="15"/>
                <w:color w:val="auto"/>
                <w:w w:val="71"/>
              </w:rPr>
              <w:t>$</w:t>
            </w:r>
          </w:p>
        </w:tc>
        <w:tc>
          <w:tcPr>
            <w:tcW w:w="2000" w:type="dxa"/>
            <w:vAlign w:val="bottom"/>
            <w:gridSpan w:val="2"/>
          </w:tcPr>
          <w:p>
            <w:pPr>
              <w:jc w:val="right"/>
              <w:ind w:right="9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700" w:type="dxa"/>
            <w:vAlign w:val="bottom"/>
            <w:shd w:val="clear" w:color="auto" w:fill="CCEEFF"/>
          </w:tcPr>
          <w:p>
            <w:pPr>
              <w:jc w:val="center"/>
              <w:ind w:left="518"/>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w w:val="71"/>
              </w:rPr>
              <w:t>$</w:t>
            </w:r>
          </w:p>
        </w:tc>
        <w:tc>
          <w:tcPr>
            <w:tcW w:w="20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8"/>
        </w:trPr>
        <w:tc>
          <w:tcPr>
            <w:tcW w:w="582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700" w:type="dxa"/>
            <w:vAlign w:val="bottom"/>
          </w:tcPr>
          <w:p>
            <w:pPr>
              <w:jc w:val="center"/>
              <w:ind w:left="518"/>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tcPr>
          <w:p>
            <w:pPr>
              <w:ind w:left="900"/>
              <w:spacing w:after="0"/>
              <w:rPr>
                <w:sz w:val="20"/>
                <w:szCs w:val="20"/>
                <w:color w:val="auto"/>
              </w:rPr>
            </w:pPr>
            <w:r>
              <w:rPr>
                <w:rFonts w:ascii="Arial" w:cs="Arial" w:eastAsia="Arial" w:hAnsi="Arial"/>
                <w:sz w:val="15"/>
                <w:szCs w:val="15"/>
                <w:color w:val="auto"/>
                <w:w w:val="71"/>
              </w:rPr>
              <w:t>$</w:t>
            </w:r>
          </w:p>
        </w:tc>
        <w:tc>
          <w:tcPr>
            <w:tcW w:w="2000" w:type="dxa"/>
            <w:vAlign w:val="bottom"/>
            <w:gridSpan w:val="2"/>
          </w:tcPr>
          <w:p>
            <w:pPr>
              <w:jc w:val="right"/>
              <w:ind w:right="920"/>
              <w:spacing w:after="0"/>
              <w:rPr>
                <w:sz w:val="20"/>
                <w:szCs w:val="20"/>
                <w:color w:val="auto"/>
              </w:rPr>
            </w:pPr>
            <w:r>
              <w:rPr>
                <w:rFonts w:ascii="Arial" w:cs="Arial" w:eastAsia="Arial" w:hAnsi="Arial"/>
                <w:sz w:val="18"/>
                <w:szCs w:val="18"/>
                <w:color w:val="auto"/>
              </w:rPr>
              <w:t>149,489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149,489</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160" w:hanging="452"/>
        <w:spacing w:after="0" w:line="252"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175,000 would vest in full immediately. Upon termination without cause, 175,000 stock options would vest on a pro-rated basis based on the number of months since the grant date, so long as the employee’s employment agreement with the Company has not terminated or expired. Using the closing price on December 31, 2009, the value of such stock options upon exercise would have been $0.</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333,333 would vest in full immediately. Using the closing price on December 31, 2009, the value of such stock options upon exercise would have been $3,384,999.</w:t>
      </w:r>
    </w:p>
    <w:p>
      <w:pPr>
        <w:ind w:left="460" w:right="700" w:hanging="452"/>
        <w:spacing w:after="0" w:line="28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Upon death, complete disability or change of control, 100,000 shares of restricted stock would vest in full immediately. Using the closing price on December 31, 2009, the value of such 100,000 shares would have been $5,823,000, plus accrued dividends of $400,000.</w:t>
      </w:r>
    </w:p>
    <w:p>
      <w:pPr>
        <w:spacing w:after="0" w:line="1" w:lineRule="exact"/>
        <w:rPr>
          <w:rFonts w:ascii="Arial" w:cs="Arial" w:eastAsia="Arial" w:hAnsi="Arial"/>
          <w:sz w:val="16"/>
          <w:szCs w:val="16"/>
          <w:color w:val="auto"/>
        </w:rPr>
      </w:pPr>
    </w:p>
    <w:p>
      <w:pPr>
        <w:ind w:left="460" w:right="380" w:hanging="452"/>
        <w:spacing w:after="0" w:line="300" w:lineRule="auto"/>
        <w:tabs>
          <w:tab w:leader="none" w:pos="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Upon termination without cause 200,000 shares of restricted stock would vest on a pro-rated basis based on the number of months since the grant date. Using the closing price on December 31, 2009, the value of such 75,576 shares would have been $4,400,816, plus accrued dividends of $985,694.</w:t>
      </w:r>
    </w:p>
    <w:p>
      <w:pPr>
        <w:ind w:left="460" w:right="22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Kim Sinatra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Termination</w:t>
            </w:r>
          </w:p>
        </w:tc>
        <w:tc>
          <w:tcPr>
            <w:tcW w:w="12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 by</w:t>
            </w:r>
          </w:p>
        </w:tc>
      </w:tr>
      <w:tr>
        <w:trPr>
          <w:trHeight w:val="149"/>
        </w:trPr>
        <w:tc>
          <w:tcPr>
            <w:tcW w:w="582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Termination Upon</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2"/>
          </w:tcPr>
          <w:p>
            <w:pPr>
              <w:jc w:val="right"/>
              <w:ind w:right="1020"/>
              <w:spacing w:after="0" w:line="149" w:lineRule="exact"/>
              <w:rPr>
                <w:sz w:val="20"/>
                <w:szCs w:val="20"/>
                <w:color w:val="auto"/>
              </w:rPr>
            </w:pPr>
            <w:r>
              <w:rPr>
                <w:rFonts w:ascii="Arial" w:cs="Arial" w:eastAsia="Arial" w:hAnsi="Arial"/>
                <w:sz w:val="14"/>
                <w:szCs w:val="14"/>
                <w:b w:val="1"/>
                <w:bCs w:val="1"/>
                <w:color w:val="auto"/>
                <w:w w:val="85"/>
              </w:rPr>
              <w:t>without Cause at</w:t>
            </w:r>
          </w:p>
        </w:tc>
        <w:tc>
          <w:tcPr>
            <w:tcW w:w="12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Employee for Good</w:t>
            </w:r>
          </w:p>
        </w:tc>
      </w:tr>
      <w:tr>
        <w:trPr>
          <w:trHeight w:val="149"/>
        </w:trPr>
        <w:tc>
          <w:tcPr>
            <w:tcW w:w="5820" w:type="dxa"/>
            <w:vAlign w:val="bottom"/>
          </w:tcPr>
          <w:p>
            <w:pPr>
              <w:spacing w:after="0"/>
              <w:rPr>
                <w:sz w:val="12"/>
                <w:szCs w:val="12"/>
                <w:color w:val="auto"/>
              </w:rPr>
            </w:pP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Death or Complete</w:t>
            </w:r>
          </w:p>
        </w:tc>
        <w:tc>
          <w:tcPr>
            <w:tcW w:w="900" w:type="dxa"/>
            <w:vAlign w:val="bottom"/>
          </w:tcPr>
          <w:p>
            <w:pPr>
              <w:spacing w:after="0"/>
              <w:rPr>
                <w:sz w:val="12"/>
                <w:szCs w:val="12"/>
                <w:color w:val="auto"/>
              </w:rPr>
            </w:pPr>
          </w:p>
        </w:tc>
        <w:tc>
          <w:tcPr>
            <w:tcW w:w="2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Employer’s Election</w:t>
            </w:r>
          </w:p>
        </w:tc>
        <w:tc>
          <w:tcPr>
            <w:tcW w:w="12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Reason After</w:t>
            </w:r>
          </w:p>
        </w:tc>
      </w:tr>
      <w:tr>
        <w:trPr>
          <w:trHeight w:val="161"/>
        </w:trPr>
        <w:tc>
          <w:tcPr>
            <w:tcW w:w="5820" w:type="dxa"/>
            <w:vAlign w:val="bottom"/>
          </w:tcPr>
          <w:p>
            <w:pPr>
              <w:spacing w:after="0"/>
              <w:rPr>
                <w:sz w:val="14"/>
                <w:szCs w:val="14"/>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Disability</w:t>
            </w:r>
          </w:p>
        </w:tc>
        <w:tc>
          <w:tcPr>
            <w:tcW w:w="900" w:type="dxa"/>
            <w:vAlign w:val="bottom"/>
          </w:tcPr>
          <w:p>
            <w:pPr>
              <w:spacing w:after="0"/>
              <w:rPr>
                <w:sz w:val="14"/>
                <w:szCs w:val="14"/>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During the Term(6)</w:t>
            </w:r>
          </w:p>
        </w:tc>
        <w:tc>
          <w:tcPr>
            <w:tcW w:w="920" w:type="dxa"/>
            <w:vAlign w:val="bottom"/>
          </w:tcPr>
          <w:p>
            <w:pPr>
              <w:spacing w:after="0"/>
              <w:rPr>
                <w:sz w:val="14"/>
                <w:szCs w:val="14"/>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Change in Control(6)</w:t>
            </w:r>
          </w:p>
        </w:tc>
        <w:tc>
          <w:tcPr>
            <w:tcW w:w="20" w:type="dxa"/>
            <w:vAlign w:val="bottom"/>
          </w:tcPr>
          <w:p>
            <w:pPr>
              <w:spacing w:after="0"/>
              <w:rPr>
                <w:sz w:val="14"/>
                <w:szCs w:val="14"/>
                <w:color w:val="auto"/>
              </w:rPr>
            </w:pPr>
          </w:p>
        </w:tc>
      </w:tr>
      <w:tr>
        <w:trPr>
          <w:trHeight w:val="201"/>
        </w:trPr>
        <w:tc>
          <w:tcPr>
            <w:tcW w:w="58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Base Salary</w:t>
            </w:r>
          </w:p>
        </w:tc>
        <w:tc>
          <w:tcPr>
            <w:tcW w:w="140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Amount earned and</w:t>
            </w:r>
          </w:p>
        </w:tc>
        <w:tc>
          <w:tcPr>
            <w:tcW w:w="98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w w:val="71"/>
              </w:rPr>
              <w:t>$</w:t>
            </w:r>
          </w:p>
        </w:tc>
        <w:tc>
          <w:tcPr>
            <w:tcW w:w="2000" w:type="dxa"/>
            <w:vAlign w:val="bottom"/>
            <w:gridSpan w:val="2"/>
            <w:shd w:val="clear" w:color="auto" w:fill="CCEEFF"/>
          </w:tcPr>
          <w:p>
            <w:pPr>
              <w:jc w:val="right"/>
              <w:ind w:right="920"/>
              <w:spacing w:after="0" w:line="201" w:lineRule="exact"/>
              <w:rPr>
                <w:sz w:val="20"/>
                <w:szCs w:val="20"/>
                <w:color w:val="auto"/>
              </w:rPr>
            </w:pPr>
            <w:r>
              <w:rPr>
                <w:rFonts w:ascii="Arial" w:cs="Arial" w:eastAsia="Arial" w:hAnsi="Arial"/>
                <w:sz w:val="18"/>
                <w:szCs w:val="18"/>
                <w:color w:val="auto"/>
              </w:rPr>
              <w:t>2,394,167</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2,394,167</w:t>
            </w:r>
          </w:p>
        </w:tc>
        <w:tc>
          <w:tcPr>
            <w:tcW w:w="20" w:type="dxa"/>
            <w:vAlign w:val="bottom"/>
          </w:tcPr>
          <w:p>
            <w:pPr>
              <w:spacing w:after="0"/>
              <w:rPr>
                <w:sz w:val="17"/>
                <w:szCs w:val="17"/>
                <w:color w:val="auto"/>
              </w:rPr>
            </w:pPr>
          </w:p>
        </w:tc>
      </w:tr>
      <w:tr>
        <w:trPr>
          <w:trHeight w:val="216"/>
        </w:trPr>
        <w:tc>
          <w:tcPr>
            <w:tcW w:w="58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unpaid through the</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58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date of termination.</w:t>
            </w: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color w:val="auto"/>
              </w:rPr>
              <w:t>Bonus</w:t>
            </w:r>
          </w:p>
        </w:tc>
        <w:tc>
          <w:tcPr>
            <w:tcW w:w="700" w:type="dxa"/>
            <w:vAlign w:val="bottom"/>
          </w:tcPr>
          <w:p>
            <w:pPr>
              <w:jc w:val="center"/>
              <w:ind w:left="518"/>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250,000</w:t>
            </w:r>
          </w:p>
        </w:tc>
        <w:tc>
          <w:tcPr>
            <w:tcW w:w="980" w:type="dxa"/>
            <w:vAlign w:val="bottom"/>
            <w:gridSpan w:val="2"/>
          </w:tcPr>
          <w:p>
            <w:pPr>
              <w:ind w:left="900"/>
              <w:spacing w:after="0"/>
              <w:rPr>
                <w:sz w:val="20"/>
                <w:szCs w:val="20"/>
                <w:color w:val="auto"/>
              </w:rPr>
            </w:pPr>
            <w:r>
              <w:rPr>
                <w:rFonts w:ascii="Arial" w:cs="Arial" w:eastAsia="Arial" w:hAnsi="Arial"/>
                <w:sz w:val="15"/>
                <w:szCs w:val="15"/>
                <w:color w:val="auto"/>
                <w:w w:val="71"/>
              </w:rPr>
              <w:t>$</w:t>
            </w:r>
          </w:p>
        </w:tc>
        <w:tc>
          <w:tcPr>
            <w:tcW w:w="2000" w:type="dxa"/>
            <w:vAlign w:val="bottom"/>
            <w:gridSpan w:val="2"/>
          </w:tcPr>
          <w:p>
            <w:pPr>
              <w:jc w:val="right"/>
              <w:ind w:right="920"/>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 Options/Restricted Stock(1)(2)(3)(4)</w:t>
            </w:r>
          </w:p>
        </w:tc>
        <w:tc>
          <w:tcPr>
            <w:tcW w:w="700" w:type="dxa"/>
            <w:vAlign w:val="bottom"/>
            <w:shd w:val="clear" w:color="auto" w:fill="CCEEFF"/>
          </w:tcPr>
          <w:p>
            <w:pPr>
              <w:jc w:val="center"/>
              <w:ind w:left="518"/>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4,333,250</w:t>
            </w:r>
          </w:p>
        </w:tc>
        <w:tc>
          <w:tcPr>
            <w:tcW w:w="98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w w:val="71"/>
              </w:rPr>
              <w:t>$</w:t>
            </w:r>
          </w:p>
        </w:tc>
        <w:tc>
          <w:tcPr>
            <w:tcW w:w="20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1,403,254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1,555,750</w:t>
            </w:r>
          </w:p>
        </w:tc>
        <w:tc>
          <w:tcPr>
            <w:tcW w:w="20" w:type="dxa"/>
            <w:vAlign w:val="bottom"/>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color w:val="auto"/>
              </w:rPr>
              <w:t>Company Paid Life Insurance</w:t>
            </w:r>
          </w:p>
        </w:tc>
        <w:tc>
          <w:tcPr>
            <w:tcW w:w="700" w:type="dxa"/>
            <w:vAlign w:val="bottom"/>
          </w:tcPr>
          <w:p>
            <w:pPr>
              <w:jc w:val="center"/>
              <w:ind w:left="518"/>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552,500</w:t>
            </w:r>
          </w:p>
        </w:tc>
        <w:tc>
          <w:tcPr>
            <w:tcW w:w="980" w:type="dxa"/>
            <w:vAlign w:val="bottom"/>
            <w:gridSpan w:val="2"/>
          </w:tcPr>
          <w:p>
            <w:pPr>
              <w:ind w:left="900"/>
              <w:spacing w:after="0"/>
              <w:rPr>
                <w:sz w:val="20"/>
                <w:szCs w:val="20"/>
                <w:color w:val="auto"/>
              </w:rPr>
            </w:pPr>
            <w:r>
              <w:rPr>
                <w:rFonts w:ascii="Arial" w:cs="Arial" w:eastAsia="Arial" w:hAnsi="Arial"/>
                <w:sz w:val="15"/>
                <w:szCs w:val="15"/>
                <w:color w:val="auto"/>
                <w:w w:val="71"/>
              </w:rPr>
              <w:t>$</w:t>
            </w:r>
          </w:p>
        </w:tc>
        <w:tc>
          <w:tcPr>
            <w:tcW w:w="2000" w:type="dxa"/>
            <w:vAlign w:val="bottom"/>
            <w:gridSpan w:val="2"/>
          </w:tcPr>
          <w:p>
            <w:pPr>
              <w:jc w:val="right"/>
              <w:ind w:right="92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Gross Up</w:t>
            </w:r>
          </w:p>
        </w:tc>
        <w:tc>
          <w:tcPr>
            <w:tcW w:w="700" w:type="dxa"/>
            <w:vAlign w:val="bottom"/>
            <w:shd w:val="clear" w:color="auto" w:fill="CCEEFF"/>
          </w:tcPr>
          <w:p>
            <w:pPr>
              <w:jc w:val="center"/>
              <w:ind w:left="518"/>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w w:val="71"/>
              </w:rPr>
              <w:t>$</w:t>
            </w:r>
          </w:p>
        </w:tc>
        <w:tc>
          <w:tcPr>
            <w:tcW w:w="20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28"/>
        </w:trPr>
        <w:tc>
          <w:tcPr>
            <w:tcW w:w="5820" w:type="dxa"/>
            <w:vAlign w:val="bottom"/>
          </w:tcPr>
          <w:p>
            <w:pPr>
              <w:spacing w:after="0"/>
              <w:rPr>
                <w:sz w:val="20"/>
                <w:szCs w:val="20"/>
                <w:color w:val="auto"/>
              </w:rPr>
            </w:pPr>
            <w:r>
              <w:rPr>
                <w:rFonts w:ascii="Arial" w:cs="Arial" w:eastAsia="Arial" w:hAnsi="Arial"/>
                <w:sz w:val="18"/>
                <w:szCs w:val="18"/>
                <w:b w:val="1"/>
                <w:bCs w:val="1"/>
                <w:color w:val="auto"/>
              </w:rPr>
              <w:t>Benefits(5)</w:t>
            </w:r>
          </w:p>
        </w:tc>
        <w:tc>
          <w:tcPr>
            <w:tcW w:w="700" w:type="dxa"/>
            <w:vAlign w:val="bottom"/>
          </w:tcPr>
          <w:p>
            <w:pPr>
              <w:jc w:val="center"/>
              <w:ind w:left="518"/>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tcPr>
          <w:p>
            <w:pPr>
              <w:ind w:left="900"/>
              <w:spacing w:after="0"/>
              <w:rPr>
                <w:sz w:val="20"/>
                <w:szCs w:val="20"/>
                <w:color w:val="auto"/>
              </w:rPr>
            </w:pPr>
            <w:r>
              <w:rPr>
                <w:rFonts w:ascii="Arial" w:cs="Arial" w:eastAsia="Arial" w:hAnsi="Arial"/>
                <w:sz w:val="15"/>
                <w:szCs w:val="15"/>
                <w:color w:val="auto"/>
                <w:w w:val="71"/>
              </w:rPr>
              <w:t>$</w:t>
            </w:r>
          </w:p>
        </w:tc>
        <w:tc>
          <w:tcPr>
            <w:tcW w:w="2000" w:type="dxa"/>
            <w:vAlign w:val="bottom"/>
            <w:gridSpan w:val="2"/>
          </w:tcPr>
          <w:p>
            <w:pPr>
              <w:jc w:val="right"/>
              <w:ind w:right="920"/>
              <w:spacing w:after="0"/>
              <w:rPr>
                <w:sz w:val="20"/>
                <w:szCs w:val="20"/>
                <w:color w:val="auto"/>
              </w:rPr>
            </w:pPr>
            <w:r>
              <w:rPr>
                <w:rFonts w:ascii="Arial" w:cs="Arial" w:eastAsia="Arial" w:hAnsi="Arial"/>
                <w:sz w:val="18"/>
                <w:szCs w:val="18"/>
                <w:color w:val="auto"/>
              </w:rPr>
              <w:t>409,127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409,127</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right="20" w:hanging="452"/>
        <w:spacing w:after="0" w:line="252"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unvested stock options of 75,000 would vest in full immediately. Upon termination without cause, 75,000 stock options would vest on a pro-rated basis based on the number of months since the grant date, so long as the employee’s employment agreement with the Company has not terminated or expired. Using the closing price on December 31, 2009, the value of such stock options upon exercise would have been $0.</w:t>
      </w:r>
    </w:p>
    <w:p>
      <w:pPr>
        <w:spacing w:after="0" w:line="1" w:lineRule="exact"/>
        <w:rPr>
          <w:rFonts w:ascii="Arial" w:cs="Arial" w:eastAsia="Arial" w:hAnsi="Arial"/>
          <w:sz w:val="18"/>
          <w:szCs w:val="18"/>
          <w:color w:val="auto"/>
        </w:rPr>
      </w:pPr>
    </w:p>
    <w:p>
      <w:pPr>
        <w:ind w:left="460" w:right="260" w:hanging="452"/>
        <w:spacing w:after="0" w:line="261"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death or complete disability, unvested stock options of 250,000 would vest in full immediately. Using the closing price on December 31, 2009, the value of such stock options upon exercise would have been $2,777,500.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hanging="452"/>
        <w:spacing w:after="0" w:line="253"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death, complete disability or change of control, 25,000 shares of restricted stock would vest in full, so long as the employee’s employment agreement with the company has not terminated or expired. Using the closing price on December 31, 2009, the value of such restricted stock grants upon vesting would have been $1,455,750, plus accrued dividends of $100,000.</w:t>
      </w:r>
    </w:p>
    <w:p>
      <w:pPr>
        <w:ind w:left="460" w:right="180" w:hanging="452"/>
        <w:spacing w:after="0" w:line="281"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Upon termination without cause 25,000 shares of restricted stock would vest on a pro-rated basis based on the number of months since the grant date, so long as the employee’s employment agreement with the company has not terminated or expired and another 25,000 shares of restricted stock would vest 20% for each full year from the date of grant to the effective date of termination. Using the closing price on December 31, 2009, the value of such 19,657 shares would have been $1,144,627 plus accrued dividends of $258,627.</w:t>
      </w:r>
    </w:p>
    <w:p>
      <w:pPr>
        <w:spacing w:after="0" w:line="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Continued health benefits for remainder of term or until covered by another plan. Amounts shown reflect an estimated cost including tax equalization for providing such benefits through the remainder of the term.</w:t>
      </w: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Bonus amount includes annual bonus for the 2009 bonus period, paid in 2010.</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summarizes, as of December 31, 2009, compensation plans under which our equity securities are authorized for issuance, aggregated as to: (i) all compensation plans previously approved by stockholders; and (ii) all compensation plans not previously approved by stockholders.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06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Issued Upon Exercise of</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060" w:type="dxa"/>
            <w:vAlign w:val="bottom"/>
          </w:tcPr>
          <w:p>
            <w:pPr>
              <w:spacing w:after="0"/>
              <w:rPr>
                <w:sz w:val="12"/>
                <w:szCs w:val="12"/>
                <w:color w:val="auto"/>
              </w:rPr>
            </w:pP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04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06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 and Rights(1)</w:t>
            </w:r>
          </w:p>
        </w:tc>
        <w:tc>
          <w:tcPr>
            <w:tcW w:w="104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060" w:type="dxa"/>
            <w:vAlign w:val="bottom"/>
          </w:tcPr>
          <w:p>
            <w:pPr>
              <w:spacing w:after="0"/>
              <w:rPr>
                <w:sz w:val="12"/>
                <w:szCs w:val="12"/>
                <w:color w:val="auto"/>
              </w:rPr>
            </w:pP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reflected in column(a))</w:t>
            </w:r>
          </w:p>
        </w:tc>
        <w:tc>
          <w:tcPr>
            <w:tcW w:w="0" w:type="dxa"/>
            <w:vAlign w:val="bottom"/>
          </w:tcPr>
          <w:p>
            <w:pPr>
              <w:spacing w:after="0"/>
              <w:rPr>
                <w:sz w:val="1"/>
                <w:szCs w:val="1"/>
                <w:color w:val="auto"/>
              </w:rPr>
            </w:pPr>
          </w:p>
        </w:tc>
      </w:tr>
      <w:tr>
        <w:trPr>
          <w:trHeight w:val="161"/>
        </w:trPr>
        <w:tc>
          <w:tcPr>
            <w:tcW w:w="520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(b)</w:t>
            </w:r>
          </w:p>
        </w:tc>
        <w:tc>
          <w:tcPr>
            <w:tcW w:w="1060" w:type="dxa"/>
            <w:vAlign w:val="bottom"/>
          </w:tcPr>
          <w:p>
            <w:pPr>
              <w:spacing w:after="0"/>
              <w:rPr>
                <w:sz w:val="14"/>
                <w:szCs w:val="14"/>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5,246,593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419,545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180" w:type="dxa"/>
            <w:vAlign w:val="bottom"/>
            <w:gridSpan w:val="3"/>
          </w:tcPr>
          <w:p>
            <w:pPr>
              <w:ind w:left="200"/>
              <w:spacing w:after="0"/>
              <w:rPr>
                <w:sz w:val="20"/>
                <w:szCs w:val="20"/>
                <w:color w:val="auto"/>
              </w:rPr>
            </w:pPr>
            <w:r>
              <w:rPr>
                <w:rFonts w:ascii="Arial" w:cs="Arial" w:eastAsia="Arial" w:hAnsi="Arial"/>
                <w:sz w:val="18"/>
                <w:szCs w:val="18"/>
                <w:color w:val="auto"/>
              </w:rPr>
              <w:t>holders</w:t>
            </w:r>
          </w:p>
        </w:tc>
        <w:tc>
          <w:tcPr>
            <w:tcW w:w="154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5,246,593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6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amount excludes restricted stock awards issued. In addition to the above, there are 889,000 shares of unvested restricted stock awards outstanding under a stockholder-approved plan.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Historically, the Audit Committee of the Board of Directors has reviewed for approval or ratification all transactions between the Company and any related person, regardless of amount. In February, 2007, the Audit Committee adopted a written policy codifying its prior practice. The policy applies to transactions with any related person, which SEC rules define to include directors, director nominees, executive officers, beneficial owners of in excess of 5% of the outstanding shares of the Company’s common stock, and their respective immediate family members. The policy classifies as pre-approved (a) employment of executive officers and director compensation if the compensation is required to be reported under Item 402 of the SEC’s compensation disclosure requirements;</w:t>
      </w:r>
    </w:p>
    <w:p>
      <w:pPr>
        <w:spacing w:after="0" w:line="2" w:lineRule="exact"/>
        <w:rPr>
          <w:sz w:val="20"/>
          <w:szCs w:val="20"/>
          <w:color w:val="auto"/>
        </w:rPr>
      </w:pPr>
    </w:p>
    <w:p>
      <w:pPr>
        <w:ind w:right="20" w:firstLine="8"/>
        <w:spacing w:after="0" w:line="290" w:lineRule="auto"/>
        <w:tabs>
          <w:tab w:leader="none" w:pos="2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$100,000 or 2% of that company’s or donee’s total annual revenues; (c) transactions where the related person’s interest arises solely from the ownership of the Company’s stock and all stockholders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Committee receives notice of the occurrence of all pre-approved transactions. All other transactions with related persons are subject to approval or ratification by the Committee. In determining whether to approve or ratify a transaction, the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are the material transactions or agreements between the Company and related persons. The Audit Committee has approved or ratified all of these transactions that occurred after the date of the adoption of the policy.</w:t>
      </w:r>
    </w:p>
    <w:p>
      <w:pPr>
        <w:spacing w:after="0" w:line="126" w:lineRule="exact"/>
        <w:rPr>
          <w:sz w:val="20"/>
          <w:szCs w:val="20"/>
          <w:color w:val="auto"/>
        </w:rPr>
      </w:pPr>
    </w:p>
    <w:p>
      <w:pPr>
        <w:ind w:right="20" w:firstLine="456"/>
        <w:spacing w:after="0" w:line="307" w:lineRule="auto"/>
        <w:rPr>
          <w:sz w:val="20"/>
          <w:szCs w:val="20"/>
          <w:color w:val="auto"/>
        </w:rPr>
      </w:pPr>
      <w:r>
        <w:rPr>
          <w:rFonts w:ascii="Arial" w:cs="Arial" w:eastAsia="Arial" w:hAnsi="Arial"/>
          <w:sz w:val="15"/>
          <w:szCs w:val="15"/>
          <w:b w:val="1"/>
          <w:bCs w:val="1"/>
          <w:color w:val="auto"/>
        </w:rPr>
        <w:t xml:space="preserve">Stockholders Agreement. </w:t>
      </w:r>
      <w:r>
        <w:rPr>
          <w:rFonts w:ascii="Arial" w:cs="Arial" w:eastAsia="Arial" w:hAnsi="Arial"/>
          <w:sz w:val="15"/>
          <w:szCs w:val="15"/>
          <w:color w:val="auto"/>
        </w:rPr>
        <w:t>On January 6, 2010, Mr. Wynn, the Chairman of the Board and Chief Executive Officer of the Company, Elaine P. Wynn, a</w:t>
      </w:r>
      <w:r>
        <w:rPr>
          <w:rFonts w:ascii="Arial" w:cs="Arial" w:eastAsia="Arial" w:hAnsi="Arial"/>
          <w:sz w:val="15"/>
          <w:szCs w:val="15"/>
          <w:b w:val="1"/>
          <w:bCs w:val="1"/>
          <w:color w:val="auto"/>
        </w:rPr>
        <w:t xml:space="preserve"> </w:t>
      </w:r>
      <w:r>
        <w:rPr>
          <w:rFonts w:ascii="Arial" w:cs="Arial" w:eastAsia="Arial" w:hAnsi="Arial"/>
          <w:sz w:val="15"/>
          <w:szCs w:val="15"/>
          <w:color w:val="auto"/>
        </w:rPr>
        <w:t>director of the Company, and Aruze USA, a greater than 5% stockholder of the Company, entered into an Amended and Restated Stockholders Agreement (the “Amended and Restated Stockholders Agreement”) whereby that certain Stockholders Agreement, entered into as of April 11, 2002, between Mr. Wynn and Aruze, as amended by that certain Amendment to Stockholders Agreement, entered into as of November 8, 2006, between Mr. Wynn and Aruze, the Waiver and Consent, dated July 31, 2009, and the Waiver and Consent, dated August 13, 2009, was amended and restated in its entirety. Pursuant to the Amended and Restated Stockholders Agreement, Elaine P. Wynn (a) became a party to the Amended and Restated Stockholders Agreement in connection with her ownership of 11,076,709 shares of the Company’s common stock that were transferred to Elaine P. Wynn by Mr. Wynn and (b) became subject to the covenants and provisions thereof, including with respect to voting agreements, preemptive rights, rights of first refusal, tag-along rights and certain other restrictions on transfer of such shares subject to release of $10 million of such shares on January 6, 2010 and on each of the following nine anniversaries thereof. In addition, the Amended and Restated Stockholders Agreement amended the voting agreement provision to provide that each of Mr. Wynn, Elaine P. Wynn and Aruze agree to vote all shares of the Company held by them and subject to the terms of the Amended and Restated Stockholders Agreement in a manner so as to elect to the Company’s Board of Directors each of the nominees contained on each and every slate of directors endorsed by Mr. Wynn, which slate will include, subject to certain conditions, Elaine P. Wynn and, so long as such slate results in a majority of directors at all times being candidates endorsed by Mr. Wynn, nominees approved by Aruze.</w:t>
      </w:r>
    </w:p>
    <w:p>
      <w:pPr>
        <w:spacing w:after="0" w:line="103"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b w:val="1"/>
          <w:bCs w:val="1"/>
          <w:color w:val="auto"/>
        </w:rPr>
        <w:t xml:space="preserve">Art Gallery. </w:t>
      </w:r>
      <w:r>
        <w:rPr>
          <w:rFonts w:ascii="Arial" w:cs="Arial" w:eastAsia="Arial" w:hAnsi="Arial"/>
          <w:sz w:val="18"/>
          <w:szCs w:val="18"/>
          <w:color w:val="auto"/>
        </w:rPr>
        <w:t>Since June 2006, the Company has leased a portion of The Wynn Collection from Mr. Wynn and Elaine P. Wynn for an annual fee of one</w:t>
      </w:r>
      <w:r>
        <w:rPr>
          <w:rFonts w:ascii="Arial" w:cs="Arial" w:eastAsia="Arial" w:hAnsi="Arial"/>
          <w:sz w:val="18"/>
          <w:szCs w:val="18"/>
          <w:b w:val="1"/>
          <w:bCs w:val="1"/>
          <w:color w:val="auto"/>
        </w:rPr>
        <w:t xml:space="preserve"> </w:t>
      </w:r>
      <w:r>
        <w:rPr>
          <w:rFonts w:ascii="Arial" w:cs="Arial" w:eastAsia="Arial" w:hAnsi="Arial"/>
          <w:sz w:val="18"/>
          <w:szCs w:val="18"/>
          <w:color w:val="auto"/>
        </w:rPr>
        <w:t>dollar ($1). The Company is responsible for all expenses incurred in exhibiting and safeguarding those works from The Wynn Collection that it exhibits in its properties, including the cost of insurance (including terrorism insurance) and taxes.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 xml:space="preserve">Surname and Rights of Publicity Agreements. </w:t>
      </w:r>
      <w:r>
        <w:rPr>
          <w:rFonts w:ascii="Arial" w:cs="Arial" w:eastAsia="Arial" w:hAnsi="Arial"/>
          <w:sz w:val="16"/>
          <w:szCs w:val="16"/>
          <w:color w:val="auto"/>
        </w:rPr>
        <w:t>On August 6, 2004, Wynn Resorts Holdings, LLC entered into agreements with Mr. Wynn that confirm</w:t>
      </w:r>
      <w:r>
        <w:rPr>
          <w:rFonts w:ascii="Arial" w:cs="Arial" w:eastAsia="Arial" w:hAnsi="Arial"/>
          <w:sz w:val="16"/>
          <w:szCs w:val="16"/>
          <w:b w:val="1"/>
          <w:bCs w:val="1"/>
          <w:color w:val="auto"/>
        </w:rPr>
        <w:t xml:space="preserve"> </w:t>
      </w:r>
      <w:r>
        <w:rPr>
          <w:rFonts w:ascii="Arial" w:cs="Arial" w:eastAsia="Arial" w:hAnsi="Arial"/>
          <w:sz w:val="16"/>
          <w:szCs w:val="16"/>
          <w:color w:val="auto"/>
        </w:rPr>
        <w:t>and clarify Wynn Resorts Holdings’ rights to use the “Wynn” name and Mr. Wynn’s persona in connection with its casino resorts. Under the parties’ Surname Rights Agreement, Mr. Wynn granted Wynn Resorts Holdings an exclusive, royalty-free, fully paid,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Wynn Resorts Holdings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13"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Villa Lease. </w:t>
      </w:r>
      <w:r>
        <w:rPr>
          <w:rFonts w:ascii="Arial" w:cs="Arial" w:eastAsia="Arial" w:hAnsi="Arial"/>
          <w:sz w:val="18"/>
          <w:szCs w:val="18"/>
          <w:color w:val="auto"/>
        </w:rPr>
        <w:t>Mr. Wynn and Elaine P. Wynn each lease from year to year a villa suite in the Wynn Las Vegas resort. Pursuant to a lease agreement that was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commencing July 1, 2008, the rent was $520,000 per year for a villa suite. In March 2009, the lease was amended to add an additional unit with no change in rent due to the significant deterioration in the rental market in Las Vegas.</w:t>
      </w:r>
    </w:p>
    <w:p>
      <w:pPr>
        <w:spacing w:after="0" w:line="13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March 17, 2010, Elaine P. Wynn and Wynn Las Vegas entered into an Agreement of Lease (the “New EW Lease”) for the lease of a villa suite as Elaine P. Wynn’s personal residence. The New EW Lease was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approved by the Audit Committee of the Board of Directors of the Company. The term of the lease commenced as of March 1, 2010 and terminates December 31, 2010. Pursuant to the terms of the New EW Lease, Elaine P. Wynn will pay annual rent equal to $350,000, which amount was determined based on a third-party appraisal. Certain services for, and maintenance of, the villa suite are included in the rental. The New EW Lease superceded the terms of the prior agreement.</w:t>
      </w:r>
    </w:p>
    <w:p>
      <w:pPr>
        <w:spacing w:after="0" w:line="8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“New SW Lease”) for two fairway villas to serve as Mr. Wynn’s personal residence. The New SW Lease amends and restates the prior lease. The New SW Lease was approved by the Audit Committee of the Board of Directors of the Company. The term of the lease commenced as of March 1, 2010 and runs concurrent with Mr. Wynn’s employment agreement with the Company; provided that either party may terminate on 90 days notice. Pursuant to the New SW Lease, the rental value of the fairway villas will be treated as imputed income to Mr. Wynn, and will be equal to the fair market value of the accommodations provided. Effective March 1, 2010, and for the first two years of the term of the New SW Lease, the rental value will be $503,831 per year, which amount was determined based on a third-party appraisal. The rental value for the fairway villas will be re-determined every two years during the term of the lease based upon an independent third-party appraisal. Certain services for, and maintenance of, the fairway villas are included in the rental.</w:t>
      </w:r>
    </w:p>
    <w:p>
      <w:pPr>
        <w:spacing w:after="0" w:line="11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Aircraft Arrangements. </w:t>
      </w:r>
      <w:r>
        <w:rPr>
          <w:rFonts w:ascii="Arial" w:cs="Arial" w:eastAsia="Arial" w:hAnsi="Arial"/>
          <w:sz w:val="16"/>
          <w:szCs w:val="16"/>
          <w:color w:val="auto"/>
        </w:rPr>
        <w:t>Messrs. Wynn and Schorr, the Company’s Chief Operating Officer, have time-sharing agreements with Las Vegas Jet, LLC, a</w:t>
      </w:r>
      <w:r>
        <w:rPr>
          <w:rFonts w:ascii="Arial" w:cs="Arial" w:eastAsia="Arial" w:hAnsi="Arial"/>
          <w:sz w:val="16"/>
          <w:szCs w:val="16"/>
          <w:b w:val="1"/>
          <w:bCs w:val="1"/>
          <w:color w:val="auto"/>
        </w:rPr>
        <w:t xml:space="preserve"> </w:t>
      </w:r>
      <w:r>
        <w:rPr>
          <w:rFonts w:ascii="Arial" w:cs="Arial" w:eastAsia="Arial" w:hAnsi="Arial"/>
          <w:sz w:val="16"/>
          <w:szCs w:val="16"/>
          <w:color w:val="auto"/>
        </w:rPr>
        <w:t>wholly owned indirect subsidiary of the Company, covering their personal use of Company-owned aircraft. These time-share agreements require the Company to include as taxable compensation of such executive, his and his family’s share of the direct costs that the Company incurs in operating the aircraft, up to an amount determined by using the Internal Revenue Service Standard Industry Fare Level (SIFL) tables. During 2009, the following amounts were included in the executives’ taxable compensation pursuant to these timesharing arrangements: Mr. Wynn $461,730 and Mr. Schorr $103,748. In the event that direct costs in operating the aircraft exceed the amounts determined by using the SIFL method, such additional costs are paid for by the Company.</w:t>
      </w:r>
    </w:p>
    <w:p>
      <w:pPr>
        <w:spacing w:after="0" w:line="111" w:lineRule="exact"/>
        <w:rPr>
          <w:sz w:val="20"/>
          <w:szCs w:val="20"/>
          <w:color w:val="auto"/>
        </w:rPr>
      </w:pPr>
    </w:p>
    <w:p>
      <w:pPr>
        <w:ind w:right="80" w:firstLine="456"/>
        <w:spacing w:after="0" w:line="301" w:lineRule="auto"/>
        <w:rPr>
          <w:sz w:val="20"/>
          <w:szCs w:val="20"/>
          <w:color w:val="auto"/>
        </w:rPr>
      </w:pPr>
      <w:r>
        <w:rPr>
          <w:rFonts w:ascii="Arial" w:cs="Arial" w:eastAsia="Arial" w:hAnsi="Arial"/>
          <w:sz w:val="16"/>
          <w:szCs w:val="16"/>
          <w:b w:val="1"/>
          <w:bCs w:val="1"/>
          <w:color w:val="auto"/>
        </w:rPr>
        <w:t xml:space="preserve">Reimbursable Costs. </w:t>
      </w:r>
      <w:r>
        <w:rPr>
          <w:rFonts w:ascii="Arial" w:cs="Arial" w:eastAsia="Arial" w:hAnsi="Arial"/>
          <w:sz w:val="16"/>
          <w:szCs w:val="16"/>
          <w:color w:val="auto"/>
        </w:rPr>
        <w:t>The Company periodically incurs costs on Mr. Wynn’s, Elaine P. Wynn’s and Mr. Schorr’s behalf, including costs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use of the corporate aircraft, household employees, construction work and other personal purchases and services. Mr. Wynn and other officers have deposits with the Company to prepay any such items. These deposits are replenished on an ongoing basis as needed. At December 31, 2009, Mr. Wynn, Elaine P. Wynn and Mr. Schorr had credit balances with the Company of $478,401, $162,449 and $26,531 respectively.</w:t>
      </w:r>
    </w:p>
    <w:p>
      <w:pPr>
        <w:spacing w:after="0" w:line="103"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b w:val="1"/>
          <w:bCs w:val="1"/>
          <w:color w:val="auto"/>
        </w:rPr>
        <w:t xml:space="preserve">Aruze Slot Purchase. </w:t>
      </w:r>
      <w:r>
        <w:rPr>
          <w:rFonts w:ascii="Arial" w:cs="Arial" w:eastAsia="Arial" w:hAnsi="Arial"/>
          <w:sz w:val="16"/>
          <w:szCs w:val="16"/>
          <w:color w:val="auto"/>
        </w:rPr>
        <w:t>In 2009, Wynn Macau, an affiliate of the Company, purchased 10 slot machines, along with related parts and services, from Aruze</w:t>
      </w:r>
      <w:r>
        <w:rPr>
          <w:rFonts w:ascii="Arial" w:cs="Arial" w:eastAsia="Arial" w:hAnsi="Arial"/>
          <w:sz w:val="16"/>
          <w:szCs w:val="16"/>
          <w:b w:val="1"/>
          <w:bCs w:val="1"/>
          <w:color w:val="auto"/>
        </w:rPr>
        <w:t xml:space="preserve"> </w:t>
      </w:r>
      <w:r>
        <w:rPr>
          <w:rFonts w:ascii="Arial" w:cs="Arial" w:eastAsia="Arial" w:hAnsi="Arial"/>
          <w:sz w:val="16"/>
          <w:szCs w:val="16"/>
          <w:color w:val="auto"/>
        </w:rPr>
        <w:t>USA, a corporation for which one of our directors, Mr. Okada, currently serves as Chairman and Treasurer, for use at Wynn Macau. The Aruze machines were purchased in an arm’s length transaction at market prices for a total purchase price of approximately $165,000.</w:t>
      </w:r>
    </w:p>
    <w:p>
      <w:pPr>
        <w:spacing w:after="0" w:line="97"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b w:val="1"/>
          <w:bCs w:val="1"/>
          <w:color w:val="auto"/>
        </w:rPr>
        <w:t xml:space="preserve">TransOrbit. </w:t>
      </w:r>
      <w:r>
        <w:rPr>
          <w:rFonts w:ascii="Arial" w:cs="Arial" w:eastAsia="Arial" w:hAnsi="Arial"/>
          <w:sz w:val="16"/>
          <w:szCs w:val="16"/>
          <w:color w:val="auto"/>
        </w:rPr>
        <w:t>Each of Wynn Las Vegas and Wynn Macau has entered into agreements with TransOrbit, a travel agency affiliated with Universal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sale of rooms in their hotel. Wynn Las Vegas and Wynn Macau provide a certain number of hotel rooms to TransOrbit at a wholesale net rate in which TransOrbit can sell the rooms to tour operators and travel agents as part of a travel package. The agreement with TransOrbit is at arms length and similar to other agreements with tour operators. One of Wynn Resorts’ directors, Mr. Okada, currently serves as Chairman of Universal.</w:t>
      </w:r>
    </w:p>
    <w:p>
      <w:pPr>
        <w:spacing w:after="0" w:line="103"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Tax Indemnification Agreement. </w:t>
      </w:r>
      <w:r>
        <w:rPr>
          <w:rFonts w:ascii="Arial" w:cs="Arial" w:eastAsia="Arial" w:hAnsi="Arial"/>
          <w:sz w:val="18"/>
          <w:szCs w:val="18"/>
          <w:color w:val="auto"/>
        </w:rPr>
        <w:t>In 2002, Stephen A. Wynn, Aruze USA, Baron Asset Fund, and the Kenneth R. Wynn Family Trust (referred to</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as the “Valvino members”), Valvino and the Company entered into a tax indemnification agreement relating to their respective income tax liabilities from the contribution of their Valvino membership interests to the Company. The tax indemnification agreement generally provides that the Valvino members will be indemnified by the Company and its subsidiaries for additional tax</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costs (including interest and penalties) caused by reallocations of income or deductions that increase the taxable income or decrease the tax loss of the Valvino members for the period prior to the contribution of the Valvino membership interests. Any payment made pursuant to the agreement by the Company or any of its subsidiaries to the Valvino members may be non-deductible for income tax purposes.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above, the Company (or its subsidiaries) employs (a) Andrew Pascal, the nephew of Elaine P. Wynn, as President of Wynn Las Vegas;</w:t>
      </w:r>
    </w:p>
    <w:p>
      <w:pPr>
        <w:spacing w:after="0" w:line="38" w:lineRule="exact"/>
        <w:rPr>
          <w:sz w:val="20"/>
          <w:szCs w:val="20"/>
          <w:color w:val="auto"/>
        </w:rPr>
      </w:pPr>
    </w:p>
    <w:p>
      <w:pPr>
        <w:ind w:firstLine="8"/>
        <w:spacing w:after="0" w:line="287" w:lineRule="auto"/>
        <w:tabs>
          <w:tab w:leader="none" w:pos="2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Eddie Tseng, the spouse of Ms. Chen, President of Wynn International Marketing and a director of the Company, as Senior Vice President of Customer Development of Worldwide Wynn, LLC; (c) Michael Pascal, the father of Andrew Pascal, President of Wynn Las Vegas, LLC., and brother of Elaine P. Wynn, as a Senior Executive Host of Wynn Las Vegas, and (d) Mr. Michael Pascal’s wife, Mary Ann Pascal, as a Host at Wynn Las Vegas. The Audit Committee of the Company approved each such employment arrangement in advance and determined that compensation was at (or below) levels paid to non-family members. 2009 total compensation paid to the above named individuals included the following amounts calculated in the same manner as the Summary Compensation Table values presented for named executive officers: (a) to Andrew Pascal, base salary and bonus of $908,654, grant-date fair value of equity based compensation of $8,348,244, and other compensation of $4,547, (b) to Eddie Tseng, base salary and bonus of $548,722, and other compensation of $7,678, (c) to Michael Pascal, base salary and bonus of $126,130, and other compensation of $2,486, and (d) to Mary Ann Pascal, base salary and bonus of $181,731, and other compensation of $342. The Company anticipates that these individuals will continue to serve in their respective positions during 2010.</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Section 16(a) of the Securities Exchange Act of 1934, as amended (the “Exchange Act”), requires the Company’s executive officers and directors and persons who own more than 10% of the Company’s common stock to file reports of ownership on Forms 3, 4 and 5 with the SEC. Executive officers, directors and 10% stockholders are also required to furnish the Company with copies of all Forms 3, 4 and 5 they file. Based solely on the Company’s review of the copies of such forms it has received, the Company believes that all its executive officers, directors and greater than 10% beneficial owners complied with all the filing requirements applicable to them with respect to transactions during 2009.</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For any proposal to be considered for inclusion in our proxy statement and form of proxy for submission to the stockholders at our 2011 Annual Meeting, it must be submitted in writing and comply with the requirements of Rule 14a-8 of the Securities Exchange Act of 1934. Such proposals must be received by the Company at its offices at 3131 Las Vegas Boulevard South, Las Vegas, Nevada 89109 no later than December 2, 2010.</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addition, our Bylaws provide notice procedures for stockholders to nominate a person as a director and to propose business to be considered by stockholders at a meeting. Notice of a nomination or proposal must be delivered to us not less than 60 days and not more than 90 days prior to the date of the meeting, or not more than 10 days from the public announcement of the meeting if the meeting is first publicly announced less than 70 days prior to the date of the meeting. Accordingly, for our 2011 Annual Meeting, notice of a nomination or proposal must be delivered to us no later than March 13, 2011 and no earlier than February 11, 2011. Nominations and proposals also must satisfy other requirements set forth in the Bylaws. If a stockholder fails to comply with the forgoing notice provision or with certain additional procedural requirements under SEC rules, the Company will have authority to vote shares under proxies we solicit when and if the nomination or proposal is raised at the Annual Meeting and, to the extent permitted by law, on any other business that may properly come before the Annual Meeting and any adjournments. The Chairman of the Board may refuse to acknowledge the introduction of any stockholder proposal not made in compliance with the foregoing procedures.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177" w:lineRule="exact"/>
        <w:rPr>
          <w:sz w:val="20"/>
          <w:szCs w:val="20"/>
          <w:color w:val="auto"/>
        </w:rPr>
      </w:pPr>
    </w:p>
    <w:p>
      <w:pPr>
        <w:ind w:right="120" w:firstLine="456"/>
        <w:spacing w:after="0" w:line="303" w:lineRule="auto"/>
        <w:rPr>
          <w:sz w:val="20"/>
          <w:szCs w:val="20"/>
          <w:color w:val="auto"/>
        </w:rPr>
      </w:pPr>
      <w:r>
        <w:rPr>
          <w:rFonts w:ascii="Arial" w:cs="Arial" w:eastAsia="Arial" w:hAnsi="Arial"/>
          <w:sz w:val="15"/>
          <w:szCs w:val="15"/>
          <w:color w:val="auto"/>
        </w:rPr>
        <w:t xml:space="preserve">Our financial statements for the year ended December 31, 2009, are included in our 2009 Annual Report to Stockholders, which we are providing to our stockholders at the same time as this proxy statement. Our annual report and this proxy statement are also posted on the Internet at </w:t>
      </w:r>
      <w:r>
        <w:rPr>
          <w:rFonts w:ascii="Arial" w:cs="Arial" w:eastAsia="Arial" w:hAnsi="Arial"/>
          <w:sz w:val="15"/>
          <w:szCs w:val="15"/>
          <w:b w:val="1"/>
          <w:bCs w:val="1"/>
          <w:i w:val="1"/>
          <w:iCs w:val="1"/>
          <w:color w:val="auto"/>
        </w:rPr>
        <w:t>http://www.wynnresorts.com</w:t>
      </w:r>
      <w:r>
        <w:rPr>
          <w:rFonts w:ascii="Arial" w:cs="Arial" w:eastAsia="Arial" w:hAnsi="Arial"/>
          <w:sz w:val="15"/>
          <w:szCs w:val="15"/>
          <w:i w:val="1"/>
          <w:iCs w:val="1"/>
          <w:color w:val="auto"/>
        </w:rPr>
        <w:t>.</w:t>
      </w:r>
      <w:r>
        <w:rPr>
          <w:rFonts w:ascii="Arial" w:cs="Arial" w:eastAsia="Arial" w:hAnsi="Arial"/>
          <w:sz w:val="15"/>
          <w:szCs w:val="15"/>
          <w:color w:val="auto"/>
        </w:rPr>
        <w:t xml:space="preserve"> If you would like to receive a printed copy of these materials, please call our Investor Relations department at (702)770/7555 or send a </w:t>
      </w:r>
      <w:r>
        <w:rPr>
          <w:rFonts w:ascii="Arial" w:cs="Arial" w:eastAsia="Arial" w:hAnsi="Arial"/>
          <w:sz w:val="15"/>
          <w:szCs w:val="15"/>
          <w:b w:val="1"/>
          <w:bCs w:val="1"/>
          <w:color w:val="auto"/>
        </w:rPr>
        <w:t>written request to the</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Company at Wynn Resorts, Limited, 3131 Las Vegas Boulevard South, Las Vegas, Nevada 89109, Attn: Investor Relations, and we will send a copy to you.</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broker, bank or other nominee for any stockholder who is a beneficial owner, but not the record holder, of the Company’s shares may deliver only one copy of the Company’s Notice of Internet Availability and, as applicable, any additional proxy materials that are delivered, to multiple stockholders who share the same address, unless that broker, bank or other nominee has received contrary instructions from one or more of the stockholders. The Company will deliver promptly, upon written or oral request, a separate copy of the Notice of Internet Availability or proxy statement and annual report to a stockholder at a shared address to which a single copy of the document was delivered. A stockholder who wishes to receive a separate copy of the Notice of Internet Availability or proxy statement and annual report, now or in the future, should submit their request to the Company by telephone at (702) 770-7555 or by submitting a written request to Investor Relations, Wynn Resorts, Limited, 3131 Las Vegas Boulevard South, Las Vegas, Nevada 89109. Beneficial owners sharing an address who are receiving multiple copies of the Notice of Internet Availability or proxy statement and annual report and wish to receive a single copy of such materials in the future will need to contact their broker, bank or other nominee to request that only a single copy be mailed to all stockholders at the shared address in the future. However, please note that if you wish to receive a paper proxy card or voting instruction form or other proxy materials for purposes of this year’s annual meeting, you should follow the instructions included in the Notice of Internet Availability that was sent to you.</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EXHIBIT A</w:t>
      </w:r>
    </w:p>
    <w:p>
      <w:pPr>
        <w:spacing w:after="0" w:line="177" w:lineRule="exact"/>
        <w:rPr>
          <w:sz w:val="20"/>
          <w:szCs w:val="20"/>
          <w:color w:val="auto"/>
        </w:rPr>
      </w:pPr>
    </w:p>
    <w:p>
      <w:pPr>
        <w:ind w:left="4840"/>
        <w:spacing w:after="0"/>
        <w:rPr>
          <w:sz w:val="20"/>
          <w:szCs w:val="20"/>
          <w:color w:val="auto"/>
        </w:rPr>
      </w:pPr>
      <w:r>
        <w:rPr>
          <w:rFonts w:ascii="Arial" w:cs="Arial" w:eastAsia="Arial" w:hAnsi="Arial"/>
          <w:sz w:val="18"/>
          <w:szCs w:val="18"/>
          <w:b w:val="1"/>
          <w:bCs w:val="1"/>
          <w:i w:val="1"/>
          <w:iCs w:val="1"/>
          <w:color w:val="auto"/>
        </w:rPr>
        <w:t>WYNN Resorts, Limited</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2002 STOCK INCENTIVE PLAN</w:t>
      </w:r>
    </w:p>
    <w:p>
      <w:pPr>
        <w:spacing w:after="0" w:line="84"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Purposes of the Plan.   </w:t>
      </w:r>
      <w:r>
        <w:rPr>
          <w:rFonts w:ascii="Arial" w:cs="Arial" w:eastAsia="Arial" w:hAnsi="Arial"/>
          <w:sz w:val="18"/>
          <w:szCs w:val="18"/>
          <w:color w:val="auto"/>
        </w:rPr>
        <w:t>The purposes of this Plan are:</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provide additional incentive to selected key Employees, Consultants and Directors, and</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171" w:lineRule="exact"/>
        <w:rPr>
          <w:rFonts w:ascii="Arial" w:cs="Arial" w:eastAsia="Arial" w:hAnsi="Arial"/>
          <w:sz w:val="18"/>
          <w:szCs w:val="18"/>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Definitions.   </w:t>
      </w:r>
      <w:r>
        <w:rPr>
          <w:rFonts w:ascii="Arial" w:cs="Arial" w:eastAsia="Arial" w:hAnsi="Arial"/>
          <w:sz w:val="18"/>
          <w:szCs w:val="18"/>
          <w:color w:val="auto"/>
        </w:rPr>
        <w:t>For the purposes of this Plan, the following terms will have the following meanings:</w:t>
      </w:r>
    </w:p>
    <w:p>
      <w:pPr>
        <w:spacing w:after="0" w:line="84" w:lineRule="exact"/>
        <w:rPr>
          <w:rFonts w:ascii="Arial" w:cs="Arial" w:eastAsia="Arial" w:hAnsi="Arial"/>
          <w:sz w:val="18"/>
          <w:szCs w:val="18"/>
          <w:color w:val="auto"/>
        </w:rPr>
      </w:pPr>
    </w:p>
    <w:p>
      <w:pPr>
        <w:ind w:left="700" w:hanging="236"/>
        <w:spacing w:after="0"/>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 means the Board or any of its Committees that administer the Plan, in accordance with Section 4.</w:t>
      </w:r>
    </w:p>
    <w:p>
      <w:pPr>
        <w:spacing w:after="0" w:line="171" w:lineRule="exact"/>
        <w:rPr>
          <w:rFonts w:ascii="Arial" w:cs="Arial" w:eastAsia="Arial" w:hAnsi="Arial"/>
          <w:sz w:val="18"/>
          <w:szCs w:val="18"/>
          <w:color w:val="auto"/>
        </w:rPr>
      </w:pPr>
    </w:p>
    <w:p>
      <w:pPr>
        <w:ind w:right="280" w:firstLine="464"/>
        <w:spacing w:after="0" w:line="301" w:lineRule="auto"/>
        <w:tabs>
          <w:tab w:leader="none" w:pos="705" w:val="left"/>
        </w:tabs>
        <w:numPr>
          <w:ilvl w:val="1"/>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Laws</w:t>
      </w:r>
      <w:r>
        <w:rPr>
          <w:rFonts w:ascii="Arial" w:cs="Arial" w:eastAsia="Arial" w:hAnsi="Arial"/>
          <w:sz w:val="16"/>
          <w:szCs w:val="16"/>
          <w:color w:val="auto"/>
        </w:rPr>
        <w:t>” means the legal requirements relating to the administration of and issuance of securities under stock incentive plans, including, without limitation, the requirements of state corporations law, federal and state securities law, federal and state tax law, and the requirements of any stock exchange or quotation system upon which the Shares may then be listed or quoted. For all purposes of this Plan, references to statutes and regulations shall be deemed to include any successor statutes and regulations, to the extent reasonably appropriate as determined by the Administrator.</w:t>
      </w:r>
    </w:p>
    <w:p>
      <w:pPr>
        <w:spacing w:after="0" w:line="103" w:lineRule="exact"/>
        <w:rPr>
          <w:rFonts w:ascii="Arial" w:cs="Arial" w:eastAsia="Arial" w:hAnsi="Arial"/>
          <w:sz w:val="16"/>
          <w:szCs w:val="16"/>
          <w:color w:val="auto"/>
        </w:rPr>
      </w:pPr>
    </w:p>
    <w:p>
      <w:pPr>
        <w:ind w:left="700" w:hanging="236"/>
        <w:spacing w:after="0"/>
        <w:tabs>
          <w:tab w:leader="none" w:pos="7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firstLine="464"/>
        <w:spacing w:after="0" w:line="293" w:lineRule="auto"/>
        <w:tabs>
          <w:tab w:leader="none" w:pos="705" w:val="left"/>
        </w:tabs>
        <w:numPr>
          <w:ilvl w:val="1"/>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shall have the meaning set forth in a Grantee’s employment or consulting agreement with the Company (if any), or if not defined therein, shall mean (i) acts or omissions by the Grantee which constitute intentional material misconduct or a knowing violation of a material policy of the Company or any of its subsidiaries, (ii) the Grantee personally receiving a benefit in money, property or services from the Company or any of its subsidiaries or from another person dealing with the Company or any of its subsidiaries, in material violation of applicable law or Company policy, (iii) an act of fraud, conversion, misappropriation, or embezzlement by the Grantee or his conviction of, or entering a guilty plea or plea of no contest with respect to, a felony, or the equivalent thereof (other than DUI), or (iv) any material misuse or improper disclosure of confidential or proprietary information of the Company.</w:t>
      </w:r>
    </w:p>
    <w:p>
      <w:pPr>
        <w:spacing w:after="0" w:line="110" w:lineRule="exact"/>
        <w:rPr>
          <w:rFonts w:ascii="Arial" w:cs="Arial" w:eastAsia="Arial" w:hAnsi="Arial"/>
          <w:sz w:val="16"/>
          <w:szCs w:val="16"/>
          <w:color w:val="auto"/>
        </w:rPr>
      </w:pPr>
    </w:p>
    <w:p>
      <w:pPr>
        <w:ind w:right="220" w:firstLine="464"/>
        <w:spacing w:after="0" w:line="275" w:lineRule="auto"/>
        <w:tabs>
          <w:tab w:leader="none" w:pos="695"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For all purposes of this Plan, references to Code sections shall be deemed to include any successor Code sections, to the extent reasonably appropriate as determined by the Administrator.</w:t>
      </w:r>
    </w:p>
    <w:p>
      <w:pPr>
        <w:spacing w:after="0" w:line="119" w:lineRule="exact"/>
        <w:rPr>
          <w:rFonts w:ascii="Arial" w:cs="Arial" w:eastAsia="Arial" w:hAnsi="Arial"/>
          <w:sz w:val="18"/>
          <w:szCs w:val="18"/>
          <w:color w:val="auto"/>
        </w:rPr>
      </w:pPr>
    </w:p>
    <w:p>
      <w:pPr>
        <w:ind w:left="680" w:hanging="216"/>
        <w:spacing w:after="0"/>
        <w:tabs>
          <w:tab w:leader="none" w:pos="6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a Committee appointed by the Board in accordance with Section 4.</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$0.01 par value per share, of the Company.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Wynn Resorts, Limited, a Nevada corporation.</w:t>
      </w:r>
    </w:p>
    <w:p>
      <w:pPr>
        <w:spacing w:after="0" w:line="171" w:lineRule="exact"/>
        <w:rPr>
          <w:rFonts w:ascii="Arial" w:cs="Arial" w:eastAsia="Arial" w:hAnsi="Arial"/>
          <w:sz w:val="18"/>
          <w:szCs w:val="18"/>
          <w:color w:val="auto"/>
        </w:rPr>
      </w:pPr>
    </w:p>
    <w:p>
      <w:pPr>
        <w:ind w:right="80" w:firstLine="464"/>
        <w:spacing w:after="0" w:line="301" w:lineRule="auto"/>
        <w:tabs>
          <w:tab w:leader="none" w:pos="666" w:val="left"/>
        </w:tabs>
        <w:numPr>
          <w:ilvl w:val="1"/>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Consultant</w:t>
      </w:r>
      <w:r>
        <w:rPr>
          <w:rFonts w:ascii="Arial" w:cs="Arial" w:eastAsia="Arial" w:hAnsi="Arial"/>
          <w:sz w:val="16"/>
          <w:szCs w:val="16"/>
          <w:color w:val="auto"/>
        </w:rPr>
        <w:t>” means any natural person, including an advisor, engaged by the Company or a Parent or Subsidiary to render bona fide services and who is compensated for such services, provided that the term “Consultant” does not include (i) Employees, (ii) Directors who are paid only a director’s fee by the Company or who are not compensated by the Company for their services as Directors or (iii) any person who provides services in connection with the offer or sale of securities in a capital-raising transaction, or who directly or indirectly promotes or maintains a market for the securities of the Company.</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64"/>
        <w:spacing w:after="0" w:line="258" w:lineRule="auto"/>
        <w:tabs>
          <w:tab w:leader="none" w:pos="666"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Continuous Status as an Employee, Director or Consultant</w:t>
      </w:r>
      <w:r>
        <w:rPr>
          <w:rFonts w:ascii="Arial" w:cs="Arial" w:eastAsia="Arial" w:hAnsi="Arial"/>
          <w:sz w:val="18"/>
          <w:szCs w:val="18"/>
          <w:color w:val="auto"/>
        </w:rPr>
        <w:t>” means that the employment, director or consulting relationship is not interrupted or terminated by the Company, any Parent or Subsidiary, or by the Employee, Director or Consultant. Continuous Status as an Employee, Director or Consultant will not be considered interrupted in the case of: (i) any leave of absence approved by the Board or required by Applicable Law, including sick leave, military leave, or any other personal leave,</w:t>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for purposes of Incentive Stock Options, any such leave may not exceed 90 days, unless reemployment upon the expiration of such leave is</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guaranteed by contract (including certain Company policies) or statute; (ii) transfers between locations of the Company or between the Company, its Parent, its Subsidiaries or its successor, or (iii) in the case of a Nonqualified Stock Option or Stock Award, the ceasing of a person to be an Employee while such person remains a Director or Consultant, the ceasing of a person to be a Director while such person remains an Employee or Consultant, or the ceasing of a person to be a Consultant while such person remains an Employee or Director.</w:t>
      </w:r>
    </w:p>
    <w:p>
      <w:pPr>
        <w:spacing w:after="0" w:line="137" w:lineRule="exact"/>
        <w:rPr>
          <w:sz w:val="20"/>
          <w:szCs w:val="20"/>
          <w:color w:val="auto"/>
        </w:rPr>
      </w:pPr>
    </w:p>
    <w:p>
      <w:pPr>
        <w:ind w:left="720" w:hanging="256"/>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total and permanent disability as defined in Section 22(e)(3) of the Code.</w:t>
      </w:r>
    </w:p>
    <w:p>
      <w:pPr>
        <w:spacing w:after="0" w:line="171" w:lineRule="exact"/>
        <w:rPr>
          <w:rFonts w:ascii="Arial" w:cs="Arial" w:eastAsia="Arial" w:hAnsi="Arial"/>
          <w:sz w:val="18"/>
          <w:szCs w:val="18"/>
          <w:color w:val="auto"/>
        </w:rPr>
      </w:pPr>
    </w:p>
    <w:p>
      <w:pPr>
        <w:ind w:firstLine="464"/>
        <w:spacing w:after="0" w:line="262" w:lineRule="auto"/>
        <w:tabs>
          <w:tab w:leader="none" w:pos="754"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any person, including Officers and Directors employed as a common law employee by the Company or any Parent or Subsidiary of the Company. Neither service as a Director nor payment of a director’s fee by the Company will be sufficient, in and of itself, to constitute “employment” by the Company.</w:t>
      </w:r>
    </w:p>
    <w:p>
      <w:pPr>
        <w:spacing w:after="0" w:line="132" w:lineRule="exact"/>
        <w:rPr>
          <w:rFonts w:ascii="Arial" w:cs="Arial" w:eastAsia="Arial" w:hAnsi="Arial"/>
          <w:sz w:val="18"/>
          <w:szCs w:val="18"/>
          <w:color w:val="auto"/>
        </w:rPr>
      </w:pPr>
    </w:p>
    <w:p>
      <w:pPr>
        <w:ind w:left="720" w:hanging="256"/>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as of any date, the value of Common Stock determined as follows:</w:t>
      </w:r>
    </w:p>
    <w:p>
      <w:pPr>
        <w:spacing w:after="0" w:line="96" w:lineRule="exact"/>
        <w:rPr>
          <w:rFonts w:ascii="Arial" w:cs="Arial" w:eastAsia="Arial" w:hAnsi="Arial"/>
          <w:sz w:val="18"/>
          <w:szCs w:val="18"/>
          <w:color w:val="auto"/>
        </w:rPr>
      </w:pPr>
    </w:p>
    <w:p>
      <w:pPr>
        <w:ind w:left="920" w:right="20" w:firstLine="421"/>
        <w:spacing w:after="0" w:line="291" w:lineRule="auto"/>
        <w:tabs>
          <w:tab w:leader="none" w:pos="1549"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If the Common Stock is listed on any established stock exchange or a national market system, including without limitation, the National Market System of NASDAQ, the Fair Market Value of a Share of Common Stock will be (A) the closing sales price for such stock (or the closing bid, if no sales are reported) as quoted on that system or exchange (or the system or exchange with the greatest volume of trading in Common Stock) on the last market trading day prior to the day of determination, or (B) any sales price for such stock (or the closing bid, if no sales are reported) as quoted on that system or exchange (or the system or exchange with the greatest volume of trading in Common Stock) on the day of determination, as the Administrator may select, as reported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or any other source the Administrator considers reliable.</w:t>
      </w:r>
    </w:p>
    <w:p>
      <w:pPr>
        <w:spacing w:after="0" w:line="39" w:lineRule="exact"/>
        <w:rPr>
          <w:rFonts w:ascii="Arial" w:cs="Arial" w:eastAsia="Arial" w:hAnsi="Arial"/>
          <w:sz w:val="16"/>
          <w:szCs w:val="16"/>
          <w:color w:val="auto"/>
        </w:rPr>
      </w:pPr>
    </w:p>
    <w:p>
      <w:pPr>
        <w:ind w:left="920" w:right="280" w:firstLine="421"/>
        <w:spacing w:after="0" w:line="298" w:lineRule="auto"/>
        <w:tabs>
          <w:tab w:leader="none" w:pos="1598"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If the Common Stock is quoted on the NASDAQ System (but not on the NASDAQ National Market System) or is regularly quoted by recognized securities dealers but selling prices are not reported, the Fair Market Value of a Share of Common Stock will be the mean between the high bid and low asked prices for the Common Stock on (A) the last market trading day prior to the day of determination, or (B) the day of determination, as the Administrator may select, as reported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or any other source the Administrator considers reliable.</w:t>
      </w:r>
    </w:p>
    <w:p>
      <w:pPr>
        <w:spacing w:after="0" w:line="31" w:lineRule="exact"/>
        <w:rPr>
          <w:rFonts w:ascii="Arial" w:cs="Arial" w:eastAsia="Arial" w:hAnsi="Arial"/>
          <w:sz w:val="16"/>
          <w:szCs w:val="16"/>
          <w:color w:val="auto"/>
        </w:rPr>
      </w:pPr>
    </w:p>
    <w:p>
      <w:pPr>
        <w:ind w:left="920" w:right="280" w:firstLine="421"/>
        <w:spacing w:after="0" w:line="306" w:lineRule="auto"/>
        <w:tabs>
          <w:tab w:leader="none" w:pos="1647" w:val="left"/>
        </w:tabs>
        <w:numPr>
          <w:ilvl w:val="1"/>
          <w:numId w:val="38"/>
        </w:numPr>
        <w:rPr>
          <w:rFonts w:ascii="Arial" w:cs="Arial" w:eastAsia="Arial" w:hAnsi="Arial"/>
          <w:sz w:val="16"/>
          <w:szCs w:val="16"/>
          <w:color w:val="auto"/>
        </w:rPr>
      </w:pPr>
      <w:r>
        <w:rPr>
          <w:rFonts w:ascii="Arial" w:cs="Arial" w:eastAsia="Arial" w:hAnsi="Arial"/>
          <w:sz w:val="16"/>
          <w:szCs w:val="16"/>
          <w:color w:val="auto"/>
        </w:rPr>
        <w:t>If the Common Stock is not traded as set forth above, the Fair Market Value will be determined in good faith by the Administrator with reference to the earnings history, book value and prospects of the Company in light of market conditions generally, and any other factors the Administrator considers appropriate, such determination by the Administrator to be final, conclusive and binding.</w:t>
      </w:r>
    </w:p>
    <w:p>
      <w:pPr>
        <w:spacing w:after="0" w:line="100" w:lineRule="exact"/>
        <w:rPr>
          <w:rFonts w:ascii="Arial" w:cs="Arial" w:eastAsia="Arial" w:hAnsi="Arial"/>
          <w:sz w:val="16"/>
          <w:szCs w:val="16"/>
          <w:color w:val="auto"/>
        </w:rPr>
      </w:pPr>
    </w:p>
    <w:p>
      <w:pPr>
        <w:ind w:right="200" w:firstLine="464"/>
        <w:spacing w:after="0" w:line="258" w:lineRule="auto"/>
        <w:tabs>
          <w:tab w:leader="none" w:pos="7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Family Member</w:t>
      </w:r>
      <w:r>
        <w:rPr>
          <w:rFonts w:ascii="Arial" w:cs="Arial" w:eastAsia="Arial" w:hAnsi="Arial"/>
          <w:sz w:val="18"/>
          <w:szCs w:val="18"/>
          <w:color w:val="auto"/>
        </w:rPr>
        <w:t>” means any child, stepchild, grandchild, parent, stepparent, grandparent, spouse, former spouse, sibling, niece, nephew, mother-in-law, father-in-law, son-in-law, daughter-in-law, brother-in-law, or sister-in-law, including adoptive relationships, any person sharing the Grantee’s household (other than a tenant or employee), a trust in which these persons (or the Grantee) control the management of assets, and any other entity in which these persons (or the Grantee) own more than fifty percent of the voting interests.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64"/>
        <w:spacing w:after="0" w:line="275" w:lineRule="auto"/>
        <w:tabs>
          <w:tab w:leader="none" w:pos="7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 Notice</w:t>
      </w:r>
      <w:r>
        <w:rPr>
          <w:rFonts w:ascii="Arial" w:cs="Arial" w:eastAsia="Arial" w:hAnsi="Arial"/>
          <w:sz w:val="18"/>
          <w:szCs w:val="18"/>
          <w:color w:val="auto"/>
        </w:rPr>
        <w:t>” shall mean a written notice evidencing certain terms and conditions of an individual Option grant. The Grant Notice is part of the Option Agreement.</w:t>
      </w:r>
    </w:p>
    <w:p>
      <w:pPr>
        <w:spacing w:after="0" w:line="119" w:lineRule="exact"/>
        <w:rPr>
          <w:rFonts w:ascii="Arial" w:cs="Arial" w:eastAsia="Arial" w:hAnsi="Arial"/>
          <w:sz w:val="18"/>
          <w:szCs w:val="18"/>
          <w:color w:val="auto"/>
        </w:rPr>
      </w:pPr>
    </w:p>
    <w:p>
      <w:pPr>
        <w:ind w:left="680" w:hanging="216"/>
        <w:spacing w:after="0"/>
        <w:tabs>
          <w:tab w:leader="none" w:pos="6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Grantee</w:t>
      </w:r>
      <w:r>
        <w:rPr>
          <w:rFonts w:ascii="Arial" w:cs="Arial" w:eastAsia="Arial" w:hAnsi="Arial"/>
          <w:sz w:val="16"/>
          <w:szCs w:val="16"/>
          <w:color w:val="auto"/>
        </w:rPr>
        <w:t>” shall mean (i) any Optionee or (ii) any Employee, Consultant or Director to whom a Stock Award has been granted pursuant to this Plan.</w:t>
      </w:r>
    </w:p>
    <w:p>
      <w:pPr>
        <w:spacing w:after="0" w:line="194" w:lineRule="exact"/>
        <w:rPr>
          <w:rFonts w:ascii="Arial" w:cs="Arial" w:eastAsia="Arial" w:hAnsi="Arial"/>
          <w:sz w:val="16"/>
          <w:szCs w:val="16"/>
          <w:color w:val="auto"/>
        </w:rPr>
      </w:pPr>
    </w:p>
    <w:p>
      <w:pPr>
        <w:ind w:right="340" w:firstLine="464"/>
        <w:spacing w:after="0" w:line="275" w:lineRule="auto"/>
        <w:tabs>
          <w:tab w:leader="none" w:pos="686"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an Option intended to qualify as an incentive stock option within the meaning of Section 422 of the Code and the regulations promulgated thereunder.</w:t>
      </w:r>
    </w:p>
    <w:p>
      <w:pPr>
        <w:spacing w:after="0" w:line="119" w:lineRule="exact"/>
        <w:rPr>
          <w:rFonts w:ascii="Arial" w:cs="Arial" w:eastAsia="Arial" w:hAnsi="Arial"/>
          <w:sz w:val="18"/>
          <w:szCs w:val="18"/>
          <w:color w:val="auto"/>
        </w:rPr>
      </w:pPr>
    </w:p>
    <w:p>
      <w:pPr>
        <w:ind w:left="680" w:hanging="216"/>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National Association of Securities Dealers, Ltd. Automated Quotation System.</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means an Option not intended to qualify as an Incentive Stock Option.</w:t>
      </w:r>
    </w:p>
    <w:p>
      <w:pPr>
        <w:spacing w:after="0" w:line="171" w:lineRule="exact"/>
        <w:rPr>
          <w:rFonts w:ascii="Arial" w:cs="Arial" w:eastAsia="Arial" w:hAnsi="Arial"/>
          <w:sz w:val="18"/>
          <w:szCs w:val="18"/>
          <w:color w:val="auto"/>
        </w:rPr>
      </w:pPr>
    </w:p>
    <w:p>
      <w:pPr>
        <w:ind w:right="540" w:firstLine="464"/>
        <w:spacing w:after="0" w:line="275" w:lineRule="auto"/>
        <w:tabs>
          <w:tab w:leader="none" w:pos="7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19" w:lineRule="exact"/>
        <w:rPr>
          <w:rFonts w:ascii="Arial" w:cs="Arial" w:eastAsia="Arial" w:hAnsi="Arial"/>
          <w:sz w:val="18"/>
          <w:szCs w:val="18"/>
          <w:color w:val="auto"/>
        </w:rPr>
      </w:pPr>
    </w:p>
    <w:p>
      <w:pPr>
        <w:ind w:left="760" w:hanging="296"/>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 stock option granted under this Plan.</w:t>
      </w:r>
    </w:p>
    <w:p>
      <w:pPr>
        <w:spacing w:after="0" w:line="171" w:lineRule="exact"/>
        <w:rPr>
          <w:rFonts w:ascii="Arial" w:cs="Arial" w:eastAsia="Arial" w:hAnsi="Arial"/>
          <w:sz w:val="18"/>
          <w:szCs w:val="18"/>
          <w:color w:val="auto"/>
        </w:rPr>
      </w:pPr>
    </w:p>
    <w:p>
      <w:pPr>
        <w:ind w:right="120" w:firstLine="464"/>
        <w:spacing w:after="0" w:line="275" w:lineRule="auto"/>
        <w:tabs>
          <w:tab w:leader="none" w:pos="7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Agreement</w:t>
      </w:r>
      <w:r>
        <w:rPr>
          <w:rFonts w:ascii="Arial" w:cs="Arial" w:eastAsia="Arial" w:hAnsi="Arial"/>
          <w:sz w:val="18"/>
          <w:szCs w:val="18"/>
          <w:color w:val="auto"/>
        </w:rPr>
        <w:t>” means a written agreement between the Company and an Optionee evidencing the terms and conditions of an individual Option grant. Each Option Agreement is subject to the terms and conditions of this Plan.</w:t>
      </w:r>
    </w:p>
    <w:p>
      <w:pPr>
        <w:spacing w:after="0" w:line="119" w:lineRule="exact"/>
        <w:rPr>
          <w:rFonts w:ascii="Arial" w:cs="Arial" w:eastAsia="Arial" w:hAnsi="Arial"/>
          <w:sz w:val="18"/>
          <w:szCs w:val="18"/>
          <w:color w:val="auto"/>
        </w:rPr>
      </w:pPr>
    </w:p>
    <w:p>
      <w:pPr>
        <w:ind w:firstLine="464"/>
        <w:spacing w:after="0" w:line="262" w:lineRule="auto"/>
        <w:tabs>
          <w:tab w:leader="none" w:pos="7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Exchange Program</w:t>
      </w:r>
      <w:r>
        <w:rPr>
          <w:rFonts w:ascii="Arial" w:cs="Arial" w:eastAsia="Arial" w:hAnsi="Arial"/>
          <w:sz w:val="18"/>
          <w:szCs w:val="18"/>
          <w:color w:val="auto"/>
        </w:rPr>
        <w:t>” means a program in which outstanding Options with an exercise price above the then Fair Market Value of a Share are surrendered in exchange for Options with a lower exercise price, other equity awards or cash, provided that an adjustment pursuant to Section 15 of this Plan shall not be deemed an Option Exchange Program.</w:t>
      </w:r>
    </w:p>
    <w:p>
      <w:pPr>
        <w:spacing w:after="0" w:line="132" w:lineRule="exact"/>
        <w:rPr>
          <w:rFonts w:ascii="Arial" w:cs="Arial" w:eastAsia="Arial" w:hAnsi="Arial"/>
          <w:sz w:val="18"/>
          <w:szCs w:val="18"/>
          <w:color w:val="auto"/>
        </w:rPr>
      </w:pPr>
    </w:p>
    <w:p>
      <w:pPr>
        <w:ind w:left="700" w:hanging="23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Optioned Stock</w:t>
      </w:r>
      <w:r>
        <w:rPr>
          <w:rFonts w:ascii="Arial" w:cs="Arial" w:eastAsia="Arial" w:hAnsi="Arial"/>
          <w:sz w:val="18"/>
          <w:szCs w:val="18"/>
          <w:color w:val="auto"/>
        </w:rPr>
        <w:t>” means the Common Stock subject to an Option.</w:t>
      </w:r>
    </w:p>
    <w:p>
      <w:pPr>
        <w:spacing w:after="0" w:line="171" w:lineRule="exact"/>
        <w:rPr>
          <w:sz w:val="20"/>
          <w:szCs w:val="20"/>
          <w:color w:val="auto"/>
        </w:rPr>
      </w:pPr>
    </w:p>
    <w:p>
      <w:pPr>
        <w:ind w:left="780" w:hanging="316"/>
        <w:spacing w:after="0"/>
        <w:tabs>
          <w:tab w:leader="none" w:pos="7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Optionee</w:t>
      </w:r>
      <w:r>
        <w:rPr>
          <w:rFonts w:ascii="Arial" w:cs="Arial" w:eastAsia="Arial" w:hAnsi="Arial"/>
          <w:sz w:val="16"/>
          <w:szCs w:val="16"/>
          <w:color w:val="auto"/>
        </w:rPr>
        <w:t>” means an Employee, Consultant or Director who holds an outstanding Option.</w:t>
      </w:r>
    </w:p>
    <w:p>
      <w:pPr>
        <w:spacing w:after="0" w:line="194" w:lineRule="exact"/>
        <w:rPr>
          <w:rFonts w:ascii="Arial" w:cs="Arial" w:eastAsia="Arial" w:hAnsi="Arial"/>
          <w:sz w:val="16"/>
          <w:szCs w:val="16"/>
          <w:color w:val="auto"/>
        </w:rPr>
      </w:pPr>
    </w:p>
    <w:p>
      <w:pPr>
        <w:ind w:left="800" w:hanging="336"/>
        <w:spacing w:after="0"/>
        <w:tabs>
          <w:tab w:leader="none" w:pos="8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w:t>
      </w:r>
      <w:r>
        <w:rPr>
          <w:rFonts w:ascii="Arial" w:cs="Arial" w:eastAsia="Arial" w:hAnsi="Arial"/>
          <w:sz w:val="16"/>
          <w:szCs w:val="16"/>
          <w:color w:val="auto"/>
        </w:rPr>
        <w:t>” means a “parent corporation” with respect to the Company, whether now or later existing, as defined in Section 424(e) of the Code.</w:t>
      </w:r>
    </w:p>
    <w:p>
      <w:pPr>
        <w:spacing w:after="0" w:line="194" w:lineRule="exact"/>
        <w:rPr>
          <w:rFonts w:ascii="Arial" w:cs="Arial" w:eastAsia="Arial" w:hAnsi="Arial"/>
          <w:sz w:val="16"/>
          <w:szCs w:val="16"/>
          <w:color w:val="auto"/>
        </w:rPr>
      </w:pPr>
    </w:p>
    <w:p>
      <w:pPr>
        <w:ind w:left="780" w:hanging="31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this 2002 Stock Incentive Plan.</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w:t>
      </w:r>
      <w:r>
        <w:rPr>
          <w:rFonts w:ascii="Arial" w:cs="Arial" w:eastAsia="Arial" w:hAnsi="Arial"/>
          <w:sz w:val="18"/>
          <w:szCs w:val="18"/>
          <w:color w:val="auto"/>
        </w:rPr>
        <w:t>” means, except as otherwise specified, a section of this Plan.</w:t>
      </w:r>
    </w:p>
    <w:p>
      <w:pPr>
        <w:spacing w:after="0" w:line="171" w:lineRule="exact"/>
        <w:rPr>
          <w:rFonts w:ascii="Arial" w:cs="Arial" w:eastAsia="Arial" w:hAnsi="Arial"/>
          <w:sz w:val="18"/>
          <w:szCs w:val="18"/>
          <w:color w:val="auto"/>
        </w:rPr>
      </w:pPr>
    </w:p>
    <w:p>
      <w:pPr>
        <w:ind w:left="780" w:hanging="316"/>
        <w:spacing w:after="0"/>
        <w:tabs>
          <w:tab w:leader="none" w:pos="7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w:t>
      </w:r>
      <w:r>
        <w:rPr>
          <w:rFonts w:ascii="Arial" w:cs="Arial" w:eastAsia="Arial" w:hAnsi="Arial"/>
          <w:sz w:val="16"/>
          <w:szCs w:val="16"/>
          <w:color w:val="auto"/>
        </w:rPr>
        <w:t>” means a share of the Common Stock, as adjusted in accordance with Section 15.</w:t>
      </w:r>
    </w:p>
    <w:p>
      <w:pPr>
        <w:spacing w:after="0" w:line="194" w:lineRule="exact"/>
        <w:rPr>
          <w:rFonts w:ascii="Arial" w:cs="Arial" w:eastAsia="Arial" w:hAnsi="Arial"/>
          <w:sz w:val="16"/>
          <w:szCs w:val="16"/>
          <w:color w:val="auto"/>
        </w:rPr>
      </w:pPr>
    </w:p>
    <w:p>
      <w:pPr>
        <w:ind w:right="1020" w:firstLine="464"/>
        <w:spacing w:after="0" w:line="275" w:lineRule="auto"/>
        <w:tabs>
          <w:tab w:leader="none" w:pos="731"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Award</w:t>
      </w:r>
      <w:r>
        <w:rPr>
          <w:rFonts w:ascii="Arial" w:cs="Arial" w:eastAsia="Arial" w:hAnsi="Arial"/>
          <w:sz w:val="18"/>
          <w:szCs w:val="18"/>
          <w:color w:val="auto"/>
        </w:rPr>
        <w:t>” shall mean a grant or sale by the Company of a specified number of Shares upon terms and conditions determined by the Administrator.</w:t>
      </w:r>
    </w:p>
    <w:p>
      <w:pPr>
        <w:spacing w:after="0" w:line="119" w:lineRule="exact"/>
        <w:rPr>
          <w:rFonts w:ascii="Arial" w:cs="Arial" w:eastAsia="Arial" w:hAnsi="Arial"/>
          <w:sz w:val="18"/>
          <w:szCs w:val="18"/>
          <w:color w:val="auto"/>
        </w:rPr>
      </w:pPr>
    </w:p>
    <w:p>
      <w:pPr>
        <w:ind w:right="360" w:firstLine="464"/>
        <w:spacing w:after="0" w:line="262" w:lineRule="auto"/>
        <w:tabs>
          <w:tab w:leader="none" w:pos="793"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(i) a “subsidiary corporation” with respect to the Company, whether now or later existing, as defined in Section 424(f) of the Code, or (ii) a limited liability company, whether now or later existing, which would be a “subsidiary corporation” with respect to the Company under Section 424(f) of the Code if it were a corporation.</w:t>
      </w:r>
    </w:p>
    <w:p>
      <w:pPr>
        <w:spacing w:after="0" w:line="138" w:lineRule="exact"/>
        <w:rPr>
          <w:sz w:val="20"/>
          <w:szCs w:val="20"/>
          <w:color w:val="auto"/>
        </w:rPr>
      </w:pPr>
    </w:p>
    <w:p>
      <w:pPr>
        <w:ind w:right="40" w:firstLine="8"/>
        <w:spacing w:after="0" w:line="332" w:lineRule="auto"/>
        <w:tabs>
          <w:tab w:leader="none" w:pos="176"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Stock Subject to the Plan. </w:t>
      </w:r>
      <w:r>
        <w:rPr>
          <w:rFonts w:ascii="Arial" w:cs="Arial" w:eastAsia="Arial" w:hAnsi="Arial"/>
          <w:sz w:val="16"/>
          <w:szCs w:val="16"/>
          <w:color w:val="auto"/>
        </w:rPr>
        <w:t>Subject to the provisions of Section 15 of the Plan, the maximum aggregate number of Shares which may be issued under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12,750,000 Shares of Common Stock. The Shares may be authorized, but unissued, or reacquired Common Stock.</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If an Option expires or becomes unexercisable without having been exercised in full, or is surrendered pursuant to an Option Exchange Program, or if a Stock Award shall be cancelled or surrendered or expire for any reason without having been received in full, the Shares that were not purchased or received or that were cancelled will become available for future grant or sale under the Plan (unless the Plan has terminated). If the Company repurchases Shares which were issued pursuant to the exercise of an Option or grant of a Stock Award, however, those repurchased Shares will not be available for future grant under the Plan.</w:t>
      </w:r>
    </w:p>
    <w:p>
      <w:pPr>
        <w:spacing w:after="0" w:line="98"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Administration of the Plan.</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Procedure.</w:t>
      </w:r>
    </w:p>
    <w:p>
      <w:pPr>
        <w:spacing w:after="0" w:line="90" w:lineRule="exact"/>
        <w:rPr>
          <w:rFonts w:ascii="Arial" w:cs="Arial" w:eastAsia="Arial" w:hAnsi="Arial"/>
          <w:sz w:val="18"/>
          <w:szCs w:val="18"/>
          <w:color w:val="auto"/>
        </w:rPr>
      </w:pPr>
    </w:p>
    <w:p>
      <w:pPr>
        <w:ind w:left="920" w:right="120" w:firstLine="421"/>
        <w:spacing w:after="0" w:line="294" w:lineRule="auto"/>
        <w:tabs>
          <w:tab w:leader="none" w:pos="1549" w:val="left"/>
        </w:tabs>
        <w:numPr>
          <w:ilvl w:val="2"/>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Composition of the Administrator. </w:t>
      </w:r>
      <w:r>
        <w:rPr>
          <w:rFonts w:ascii="Arial" w:cs="Arial" w:eastAsia="Arial" w:hAnsi="Arial"/>
          <w:sz w:val="16"/>
          <w:szCs w:val="16"/>
          <w:color w:val="auto"/>
        </w:rPr>
        <w:t>Unless the Board expressly resolves to the contrary, the Plan will be administered only by a</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which will then consist solely of persons appointed by the Board, each of whom are both “non-employee directors” within the meaning of Rule 16b-3 promulgated under the Exchange Act and “outside directors” within the meaning of Section 162(m) of the Code; provided, however, the failure of the Committee to be composed solely of individuals who are both “non-employee directors” and “outside directors” shall not render ineffective or void any awards or grants made by, or other actions taken by, such Committee.</w:t>
      </w:r>
    </w:p>
    <w:p>
      <w:pPr>
        <w:spacing w:after="0" w:line="34" w:lineRule="exact"/>
        <w:rPr>
          <w:rFonts w:ascii="Arial" w:cs="Arial" w:eastAsia="Arial" w:hAnsi="Arial"/>
          <w:sz w:val="16"/>
          <w:szCs w:val="16"/>
          <w:color w:val="auto"/>
        </w:rPr>
      </w:pPr>
    </w:p>
    <w:p>
      <w:pPr>
        <w:ind w:left="920" w:right="560" w:firstLine="421"/>
        <w:spacing w:after="0" w:line="268" w:lineRule="auto"/>
        <w:tabs>
          <w:tab w:leader="none" w:pos="1598" w:val="left"/>
        </w:tabs>
        <w:numPr>
          <w:ilvl w:val="2"/>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Multiple Administrative Bodies. </w:t>
      </w:r>
      <w:r>
        <w:rPr>
          <w:rFonts w:ascii="Arial" w:cs="Arial" w:eastAsia="Arial" w:hAnsi="Arial"/>
          <w:sz w:val="18"/>
          <w:szCs w:val="18"/>
          <w:color w:val="auto"/>
        </w:rPr>
        <w:t>The Plan may be administered by different bodies with respect to Directors, Officers who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Employees and Consultants who are neither Directors nor Officers.</w:t>
      </w:r>
    </w:p>
    <w:p>
      <w:pPr>
        <w:spacing w:after="0" w:line="131" w:lineRule="exact"/>
        <w:rPr>
          <w:rFonts w:ascii="Arial" w:cs="Arial" w:eastAsia="Arial" w:hAnsi="Arial"/>
          <w:sz w:val="18"/>
          <w:szCs w:val="18"/>
          <w:color w:val="auto"/>
        </w:rPr>
      </w:pPr>
    </w:p>
    <w:p>
      <w:pPr>
        <w:ind w:right="380" w:firstLine="464"/>
        <w:spacing w:after="0" w:line="268" w:lineRule="auto"/>
        <w:tabs>
          <w:tab w:leader="none" w:pos="705"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Powers of the Administrator. </w:t>
      </w:r>
      <w:r>
        <w:rPr>
          <w:rFonts w:ascii="Arial" w:cs="Arial" w:eastAsia="Arial" w:hAnsi="Arial"/>
          <w:sz w:val="18"/>
          <w:szCs w:val="18"/>
          <w:color w:val="auto"/>
        </w:rPr>
        <w:t>Subject to the provisions of the Plan, and in the case of a Committee, subject to the specific duties delegated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to that Committee, the Administrator will have the authority, in its discretion:</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 in accordance with Section 2(o);</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to select the Consultants, Employees or Directors to whom Options or Stock Awards may be granted;</w:t>
      </w:r>
    </w:p>
    <w:p>
      <w:pPr>
        <w:spacing w:after="0" w:line="90" w:lineRule="exact"/>
        <w:rPr>
          <w:rFonts w:ascii="Arial" w:cs="Arial" w:eastAsia="Arial" w:hAnsi="Arial"/>
          <w:sz w:val="18"/>
          <w:szCs w:val="18"/>
          <w:color w:val="auto"/>
        </w:rPr>
      </w:pPr>
    </w:p>
    <w:p>
      <w:pPr>
        <w:ind w:left="920" w:right="520" w:firstLine="421"/>
        <w:spacing w:after="0" w:line="268" w:lineRule="auto"/>
        <w:tabs>
          <w:tab w:leader="none" w:pos="1647" w:val="left"/>
        </w:tabs>
        <w:numPr>
          <w:ilvl w:val="2"/>
          <w:numId w:val="42"/>
        </w:numPr>
        <w:rPr>
          <w:rFonts w:ascii="Arial" w:cs="Arial" w:eastAsia="Arial" w:hAnsi="Arial"/>
          <w:sz w:val="18"/>
          <w:szCs w:val="18"/>
          <w:color w:val="auto"/>
        </w:rPr>
      </w:pPr>
      <w:r>
        <w:rPr>
          <w:rFonts w:ascii="Arial" w:cs="Arial" w:eastAsia="Arial" w:hAnsi="Arial"/>
          <w:sz w:val="18"/>
          <w:szCs w:val="18"/>
          <w:color w:val="auto"/>
        </w:rPr>
        <w:t>to determine whether and to what extent Options or Stock Awards are granted, and whether Options are intended as Incentive Stock Options or Nonqualified Stock Options;</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Option or Stock Award granted;</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to approve forms of Grant Notices, Option Agreements and agreements governing Stock Awards;</w:t>
      </w:r>
    </w:p>
    <w:p>
      <w:pPr>
        <w:spacing w:after="0" w:line="90" w:lineRule="exact"/>
        <w:rPr>
          <w:rFonts w:ascii="Arial" w:cs="Arial" w:eastAsia="Arial" w:hAnsi="Arial"/>
          <w:sz w:val="18"/>
          <w:szCs w:val="18"/>
          <w:color w:val="auto"/>
        </w:rPr>
      </w:pPr>
    </w:p>
    <w:p>
      <w:pPr>
        <w:ind w:left="920" w:firstLine="421"/>
        <w:spacing w:after="0" w:line="289" w:lineRule="auto"/>
        <w:tabs>
          <w:tab w:leader="none" w:pos="1637" w:val="left"/>
        </w:tabs>
        <w:numPr>
          <w:ilvl w:val="2"/>
          <w:numId w:val="42"/>
        </w:numPr>
        <w:rPr>
          <w:rFonts w:ascii="Arial" w:cs="Arial" w:eastAsia="Arial" w:hAnsi="Arial"/>
          <w:sz w:val="16"/>
          <w:szCs w:val="16"/>
          <w:color w:val="auto"/>
        </w:rPr>
      </w:pPr>
      <w:r>
        <w:rPr>
          <w:rFonts w:ascii="Arial" w:cs="Arial" w:eastAsia="Arial" w:hAnsi="Arial"/>
          <w:sz w:val="16"/>
          <w:szCs w:val="16"/>
          <w:color w:val="auto"/>
        </w:rPr>
        <w:t xml:space="preserve">to determine the terms and conditions, not inconsistent with the terms of this Plan, of any grant of Options or Stock Awards, including, but not limited to, (A) the Options’ exercise price, (B) the time or times when Options may be exercised or Stock Awards will be vested, which may be based on performance criteria or other reasonable conditions such as Continuous Status as an Employee, Director or Consultant, (C) any vesting acceleration or waiver of forfeiture restrictions, and any restriction or limitation regarding any Option, Optioned Stock or Stock Award, based in each case on factors that the Administrator determines in its sole discretion, including but not limited to a requirement subjecting the Optioned Stock or Shares to </w:t>
      </w:r>
      <w:r>
        <w:rPr>
          <w:rFonts w:ascii="Arial" w:cs="Arial" w:eastAsia="Arial" w:hAnsi="Arial"/>
          <w:sz w:val="16"/>
          <w:szCs w:val="16"/>
          <w:i w:val="1"/>
          <w:iCs w:val="1"/>
          <w:color w:val="auto"/>
        </w:rPr>
        <w:t>(1)</w:t>
      </w:r>
      <w:r>
        <w:rPr>
          <w:rFonts w:ascii="Arial" w:cs="Arial" w:eastAsia="Arial" w:hAnsi="Arial"/>
          <w:sz w:val="16"/>
          <w:szCs w:val="16"/>
          <w:color w:val="auto"/>
        </w:rPr>
        <w:t xml:space="preserve"> certain restrictions on transfer (including without limitation a prohibition on transfer for a specified period of time and/or a right of first refusal in favor of the Company), and </w:t>
      </w:r>
      <w:r>
        <w:rPr>
          <w:rFonts w:ascii="Arial" w:cs="Arial" w:eastAsia="Arial" w:hAnsi="Arial"/>
          <w:sz w:val="16"/>
          <w:szCs w:val="16"/>
          <w:i w:val="1"/>
          <w:iCs w:val="1"/>
          <w:color w:val="auto"/>
        </w:rPr>
        <w:t>(2)</w:t>
      </w:r>
      <w:r>
        <w:rPr>
          <w:rFonts w:ascii="Arial" w:cs="Arial" w:eastAsia="Arial" w:hAnsi="Arial"/>
          <w:sz w:val="16"/>
          <w:szCs w:val="16"/>
          <w:color w:val="auto"/>
        </w:rPr>
        <w:t xml:space="preserve"> a right of repurchase in favor of the Company upon termination of the Grantee’s Continuous Status as an Employee, Director or Consultant;</w:t>
      </w:r>
    </w:p>
    <w:p>
      <w:pPr>
        <w:spacing w:after="0" w:line="37" w:lineRule="exact"/>
        <w:rPr>
          <w:rFonts w:ascii="Arial" w:cs="Arial" w:eastAsia="Arial" w:hAnsi="Arial"/>
          <w:sz w:val="16"/>
          <w:szCs w:val="16"/>
          <w:color w:val="auto"/>
        </w:rPr>
      </w:pPr>
    </w:p>
    <w:p>
      <w:pPr>
        <w:ind w:left="1680" w:hanging="339"/>
        <w:spacing w:after="0"/>
        <w:tabs>
          <w:tab w:leader="none" w:pos="168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to accelerate the vesting or exercisability of an Option or Stock Award;</w:t>
      </w:r>
    </w:p>
    <w:p>
      <w:pPr>
        <w:spacing w:after="0" w:line="90" w:lineRule="exact"/>
        <w:rPr>
          <w:rFonts w:ascii="Arial" w:cs="Arial" w:eastAsia="Arial" w:hAnsi="Arial"/>
          <w:sz w:val="18"/>
          <w:szCs w:val="18"/>
          <w:color w:val="auto"/>
        </w:rPr>
      </w:pPr>
    </w:p>
    <w:p>
      <w:pPr>
        <w:ind w:left="1740" w:hanging="399"/>
        <w:spacing w:after="0"/>
        <w:tabs>
          <w:tab w:leader="none" w:pos="174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to determine the terms and restrictions applicable to Options or Stock Awards;</w:t>
      </w:r>
    </w:p>
    <w:p>
      <w:pPr>
        <w:spacing w:after="0" w:line="90" w:lineRule="exact"/>
        <w:rPr>
          <w:rFonts w:ascii="Arial" w:cs="Arial" w:eastAsia="Arial" w:hAnsi="Arial"/>
          <w:sz w:val="18"/>
          <w:szCs w:val="18"/>
          <w:color w:val="auto"/>
        </w:rPr>
      </w:pPr>
    </w:p>
    <w:p>
      <w:pPr>
        <w:ind w:left="1640" w:hanging="299"/>
        <w:spacing w:after="0"/>
        <w:tabs>
          <w:tab w:leader="none" w:pos="164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to modify or amend each Option or Stock Award, subject to Section 17(c);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40" w:firstLine="421"/>
        <w:spacing w:after="0" w:line="268" w:lineRule="auto"/>
        <w:tabs>
          <w:tab w:leader="none" w:pos="1588" w:val="left"/>
        </w:tabs>
        <w:numPr>
          <w:ilvl w:val="2"/>
          <w:numId w:val="43"/>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Option previously granted by the Administrator;</w:t>
      </w:r>
    </w:p>
    <w:p>
      <w:pPr>
        <w:spacing w:after="0" w:line="50" w:lineRule="exact"/>
        <w:rPr>
          <w:rFonts w:ascii="Arial" w:cs="Arial" w:eastAsia="Arial" w:hAnsi="Arial"/>
          <w:sz w:val="18"/>
          <w:szCs w:val="18"/>
          <w:color w:val="auto"/>
        </w:rPr>
      </w:pPr>
    </w:p>
    <w:p>
      <w:pPr>
        <w:ind w:left="920" w:right="860" w:firstLine="421"/>
        <w:spacing w:after="0" w:line="268" w:lineRule="auto"/>
        <w:tabs>
          <w:tab w:leader="none" w:pos="1637" w:val="left"/>
        </w:tabs>
        <w:numPr>
          <w:ilvl w:val="2"/>
          <w:numId w:val="43"/>
        </w:numPr>
        <w:rPr>
          <w:rFonts w:ascii="Arial" w:cs="Arial" w:eastAsia="Arial" w:hAnsi="Arial"/>
          <w:sz w:val="18"/>
          <w:szCs w:val="18"/>
          <w:color w:val="auto"/>
        </w:rPr>
      </w:pPr>
      <w:r>
        <w:rPr>
          <w:rFonts w:ascii="Arial" w:cs="Arial" w:eastAsia="Arial" w:hAnsi="Arial"/>
          <w:sz w:val="18"/>
          <w:szCs w:val="18"/>
          <w:color w:val="auto"/>
        </w:rPr>
        <w:t>to institute an Option Exchange Program, but only if such Option Exchange Program has been pre-approved by the Company’s stockholders;</w:t>
      </w:r>
    </w:p>
    <w:p>
      <w:pPr>
        <w:spacing w:after="0" w:line="50" w:lineRule="exact"/>
        <w:rPr>
          <w:rFonts w:ascii="Arial" w:cs="Arial" w:eastAsia="Arial" w:hAnsi="Arial"/>
          <w:sz w:val="18"/>
          <w:szCs w:val="18"/>
          <w:color w:val="auto"/>
        </w:rPr>
      </w:pPr>
    </w:p>
    <w:p>
      <w:pPr>
        <w:ind w:left="1680" w:hanging="339"/>
        <w:spacing w:after="0"/>
        <w:tabs>
          <w:tab w:leader="none" w:pos="1680" w:val="left"/>
        </w:tabs>
        <w:numPr>
          <w:ilvl w:val="2"/>
          <w:numId w:val="43"/>
        </w:numPr>
        <w:rPr>
          <w:rFonts w:ascii="Arial" w:cs="Arial" w:eastAsia="Arial" w:hAnsi="Arial"/>
          <w:sz w:val="18"/>
          <w:szCs w:val="18"/>
          <w:color w:val="auto"/>
        </w:rPr>
      </w:pPr>
      <w:r>
        <w:rPr>
          <w:rFonts w:ascii="Arial" w:cs="Arial" w:eastAsia="Arial" w:hAnsi="Arial"/>
          <w:sz w:val="18"/>
          <w:szCs w:val="18"/>
          <w:color w:val="auto"/>
        </w:rPr>
        <w:t>to construe and interpret the terms of this Plan;</w:t>
      </w:r>
    </w:p>
    <w:p>
      <w:pPr>
        <w:spacing w:after="0" w:line="90" w:lineRule="exact"/>
        <w:rPr>
          <w:rFonts w:ascii="Arial" w:cs="Arial" w:eastAsia="Arial" w:hAnsi="Arial"/>
          <w:sz w:val="18"/>
          <w:szCs w:val="18"/>
          <w:color w:val="auto"/>
        </w:rPr>
      </w:pPr>
    </w:p>
    <w:p>
      <w:pPr>
        <w:ind w:left="1740" w:hanging="399"/>
        <w:spacing w:after="0"/>
        <w:tabs>
          <w:tab w:leader="none" w:pos="1740" w:val="left"/>
        </w:tabs>
        <w:numPr>
          <w:ilvl w:val="2"/>
          <w:numId w:val="43"/>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administration of this Plan; and</w:t>
      </w:r>
    </w:p>
    <w:p>
      <w:pPr>
        <w:spacing w:after="0" w:line="90" w:lineRule="exact"/>
        <w:rPr>
          <w:rFonts w:ascii="Arial" w:cs="Arial" w:eastAsia="Arial" w:hAnsi="Arial"/>
          <w:sz w:val="18"/>
          <w:szCs w:val="18"/>
          <w:color w:val="auto"/>
        </w:rPr>
      </w:pPr>
    </w:p>
    <w:p>
      <w:pPr>
        <w:ind w:left="1720" w:hanging="379"/>
        <w:spacing w:after="0"/>
        <w:tabs>
          <w:tab w:leader="none" w:pos="17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to make all other determinations it considers necessary or advisable for administering this Plan.</w:t>
      </w:r>
    </w:p>
    <w:p>
      <w:pPr>
        <w:spacing w:after="0" w:line="171" w:lineRule="exact"/>
        <w:rPr>
          <w:rFonts w:ascii="Arial" w:cs="Arial" w:eastAsia="Arial" w:hAnsi="Arial"/>
          <w:sz w:val="18"/>
          <w:szCs w:val="18"/>
          <w:color w:val="auto"/>
        </w:rPr>
      </w:pPr>
    </w:p>
    <w:p>
      <w:pPr>
        <w:ind w:right="480" w:firstLine="464"/>
        <w:spacing w:after="0" w:line="332" w:lineRule="auto"/>
        <w:tabs>
          <w:tab w:leader="none" w:pos="695" w:val="left"/>
        </w:tabs>
        <w:numPr>
          <w:ilvl w:val="1"/>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Effect of Administrator’s Decision. </w:t>
      </w:r>
      <w:r>
        <w:rPr>
          <w:rFonts w:ascii="Arial" w:cs="Arial" w:eastAsia="Arial" w:hAnsi="Arial"/>
          <w:sz w:val="16"/>
          <w:szCs w:val="16"/>
          <w:color w:val="auto"/>
        </w:rPr>
        <w:t>The Administrator’s decisions, determinations and interpretations will be final and binding on all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or Stock Awards. The Administrator shall not be required to exercise its authority or discretion on a uniform or nondiscriminatory basis.</w:t>
      </w:r>
    </w:p>
    <w:p>
      <w:pPr>
        <w:spacing w:after="0" w:line="85" w:lineRule="exact"/>
        <w:rPr>
          <w:rFonts w:ascii="Arial" w:cs="Arial" w:eastAsia="Arial" w:hAnsi="Arial"/>
          <w:sz w:val="16"/>
          <w:szCs w:val="16"/>
          <w:color w:val="auto"/>
        </w:rPr>
      </w:pPr>
    </w:p>
    <w:p>
      <w:pPr>
        <w:ind w:firstLine="8"/>
        <w:spacing w:after="0" w:line="294" w:lineRule="auto"/>
        <w:tabs>
          <w:tab w:leader="none" w:pos="176"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Options granted under this Plan may be Incentive Stock Options or Nonqualified Stock Options, as determined by the Administrator at the time of</w:t>
      </w:r>
      <w:r>
        <w:rPr>
          <w:rFonts w:ascii="Arial" w:cs="Arial" w:eastAsia="Arial" w:hAnsi="Arial"/>
          <w:sz w:val="16"/>
          <w:szCs w:val="16"/>
          <w:i w:val="1"/>
          <w:iCs w:val="1"/>
          <w:color w:val="auto"/>
        </w:rPr>
        <w:t xml:space="preserve"> </w:t>
      </w:r>
      <w:r>
        <w:rPr>
          <w:rFonts w:ascii="Arial" w:cs="Arial" w:eastAsia="Arial" w:hAnsi="Arial"/>
          <w:sz w:val="16"/>
          <w:szCs w:val="16"/>
          <w:color w:val="auto"/>
        </w:rPr>
        <w:t>grant. Nonqualified Stock Options and Stock Awards may be granted to Employees, Consultants and Directors. Incentive Stock Options may be granted only to Employees; provided, however, that Incentive Stock Options shall not be granted to Employees of a Subsidiary that is a limited liability company unless such limited liability company is wholly-owned by the Company or by a Subsidiary that is a corporation. If otherwise eligible, an Employee, Consultant or Director who has been granted an Option or a Stock Award may be granted additional Options or Stock Awards.</w:t>
      </w:r>
    </w:p>
    <w:p>
      <w:pPr>
        <w:spacing w:after="0" w:line="115" w:lineRule="exact"/>
        <w:rPr>
          <w:rFonts w:ascii="Arial" w:cs="Arial" w:eastAsia="Arial" w:hAnsi="Arial"/>
          <w:sz w:val="16"/>
          <w:szCs w:val="16"/>
          <w:color w:val="auto"/>
        </w:rPr>
      </w:pPr>
    </w:p>
    <w:p>
      <w:pPr>
        <w:ind w:right="60" w:firstLine="8"/>
        <w:spacing w:after="0" w:line="294" w:lineRule="auto"/>
        <w:tabs>
          <w:tab w:leader="none" w:pos="176"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Limitations on Grants of Incentive Stock Options. </w:t>
      </w:r>
      <w:r>
        <w:rPr>
          <w:rFonts w:ascii="Arial" w:cs="Arial" w:eastAsia="Arial" w:hAnsi="Arial"/>
          <w:sz w:val="16"/>
          <w:szCs w:val="16"/>
          <w:color w:val="auto"/>
        </w:rPr>
        <w:t>Each Option will be designated in the Grant Notice as either an Incentive Stock Option or a Nonqualified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 However, notwithstanding such designations, if the Shares subject to an Optionee’s Incentive Stock Options (granted under all plans of the Company or any Parent or Subsidiary), which become exercisable for the first time during any calendar year, have a Fair Market Value in excess of $100,000, the Options accounting for this excess will be treated as Nonqualified Stock Options. For purposes of this Section 6, Incentive Stock Options will be taken into account in the order in which they were granted, and the Fair Market Value of the Shares will be determined as of the time of grant.</w:t>
      </w:r>
    </w:p>
    <w:p>
      <w:pPr>
        <w:spacing w:after="0" w:line="115" w:lineRule="exact"/>
        <w:rPr>
          <w:rFonts w:ascii="Arial" w:cs="Arial" w:eastAsia="Arial" w:hAnsi="Arial"/>
          <w:sz w:val="16"/>
          <w:szCs w:val="16"/>
          <w:color w:val="auto"/>
        </w:rPr>
      </w:pPr>
    </w:p>
    <w:p>
      <w:pPr>
        <w:ind w:right="60" w:firstLine="8"/>
        <w:spacing w:after="0" w:line="255" w:lineRule="auto"/>
        <w:tabs>
          <w:tab w:leader="none" w:pos="176"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Limit on Annual Grants to Individuals. </w:t>
      </w:r>
      <w:r>
        <w:rPr>
          <w:rFonts w:ascii="Arial" w:cs="Arial" w:eastAsia="Arial" w:hAnsi="Arial"/>
          <w:sz w:val="18"/>
          <w:szCs w:val="18"/>
          <w:color w:val="auto"/>
        </w:rPr>
        <w:t>From and after such time as the Company is required to be registered pursuant to Section 12 of the Exchange Act, no</w:t>
      </w:r>
      <w:r>
        <w:rPr>
          <w:rFonts w:ascii="Arial" w:cs="Arial" w:eastAsia="Arial" w:hAnsi="Arial"/>
          <w:sz w:val="18"/>
          <w:szCs w:val="18"/>
          <w:i w:val="1"/>
          <w:iCs w:val="1"/>
          <w:color w:val="auto"/>
        </w:rPr>
        <w:t xml:space="preserve"> </w:t>
      </w:r>
      <w:r>
        <w:rPr>
          <w:rFonts w:ascii="Arial" w:cs="Arial" w:eastAsia="Arial" w:hAnsi="Arial"/>
          <w:sz w:val="18"/>
          <w:szCs w:val="18"/>
          <w:color w:val="auto"/>
        </w:rPr>
        <w:t>Optionee may receive grants, during any fiscal year of the Company or portion thereof, of Options which, in the aggregate, cover more than 1,500,000 Shares, subject to adjustment as provided in Section 15. If an Option expires or terminates for any reason without having been exercised in full, the unpurchased shares subject to that expired or terminated Option will continue to count against the maximum numbers of shares for which Options may be granted to an Optionee during any fiscal year of the Company or portion thereof.</w:t>
      </w:r>
    </w:p>
    <w:p>
      <w:pPr>
        <w:spacing w:after="0" w:line="142" w:lineRule="exact"/>
        <w:rPr>
          <w:rFonts w:ascii="Arial" w:cs="Arial" w:eastAsia="Arial" w:hAnsi="Arial"/>
          <w:sz w:val="18"/>
          <w:szCs w:val="18"/>
          <w:color w:val="auto"/>
        </w:rPr>
      </w:pPr>
    </w:p>
    <w:p>
      <w:pPr>
        <w:ind w:right="260" w:firstLine="8"/>
        <w:spacing w:after="0" w:line="256" w:lineRule="auto"/>
        <w:tabs>
          <w:tab w:leader="none" w:pos="176"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Term of the Plan. </w:t>
      </w:r>
      <w:r>
        <w:rPr>
          <w:rFonts w:ascii="Arial" w:cs="Arial" w:eastAsia="Arial" w:hAnsi="Arial"/>
          <w:sz w:val="18"/>
          <w:szCs w:val="18"/>
          <w:color w:val="auto"/>
        </w:rPr>
        <w:t>Subject to Section 21, this Plan will become effective upon the earlier to occur of its adoption by the Board or its approval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of the Company as described in Section 21. It will continue in effect for a term of twenty years unless terminated earlier under Section 17. Unless otherwise provided in this Plan, its termination will not affect the validity of any Option or Stock Award outstanding at the date of termination, which shall continue to be governed by the terms of this Plan as though it remained in effect.</w:t>
      </w:r>
    </w:p>
    <w:p>
      <w:pPr>
        <w:spacing w:after="0" w:line="143" w:lineRule="exact"/>
        <w:rPr>
          <w:rFonts w:ascii="Arial" w:cs="Arial" w:eastAsia="Arial" w:hAnsi="Arial"/>
          <w:sz w:val="18"/>
          <w:szCs w:val="18"/>
          <w:color w:val="auto"/>
        </w:rPr>
      </w:pPr>
    </w:p>
    <w:p>
      <w:pPr>
        <w:jc w:val="both"/>
        <w:ind w:right="140" w:firstLine="8"/>
        <w:spacing w:after="0" w:line="298" w:lineRule="auto"/>
        <w:tabs>
          <w:tab w:leader="none" w:pos="176"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Term of Option. </w:t>
      </w:r>
      <w:r>
        <w:rPr>
          <w:rFonts w:ascii="Arial" w:cs="Arial" w:eastAsia="Arial" w:hAnsi="Arial"/>
          <w:sz w:val="16"/>
          <w:szCs w:val="16"/>
          <w:color w:val="auto"/>
        </w:rPr>
        <w:t>The term of each Option will be stated in the Option Agreement;</w:t>
      </w:r>
      <w:r>
        <w:rPr>
          <w:rFonts w:ascii="Arial" w:cs="Arial" w:eastAsia="Arial" w:hAnsi="Arial"/>
          <w:sz w:val="16"/>
          <w:szCs w:val="16"/>
          <w:i w:val="1"/>
          <w:iCs w:val="1"/>
          <w:color w:val="auto"/>
        </w:rPr>
        <w:t xml:space="preserve"> provided, however </w:t>
      </w:r>
      <w:r>
        <w:rPr>
          <w:rFonts w:ascii="Arial" w:cs="Arial" w:eastAsia="Arial" w:hAnsi="Arial"/>
          <w:sz w:val="16"/>
          <w:szCs w:val="16"/>
          <w:color w:val="auto"/>
        </w:rPr>
        <w:t>, that in no event may the term be more than ten years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date of grant. In addition, in the case of an Incentive Stock Option granted to an Optionee who, at the time the Incentive Stock Option is granted, owns stock representing more than ten percent of the voting power of all classes of capital stock of the Company or any Parent or Subsidiary, the term of the Incentive Stock Option will be five years from the date of grant or any shorter term specified in the Option Agreement.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80" w:hanging="272"/>
        <w:spacing w:after="0"/>
        <w:tabs>
          <w:tab w:leader="none" w:pos="28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Option Exercise Price and Consideration.</w:t>
      </w:r>
    </w:p>
    <w:p>
      <w:pPr>
        <w:spacing w:after="0" w:line="90" w:lineRule="exact"/>
        <w:rPr>
          <w:rFonts w:ascii="Arial" w:cs="Arial" w:eastAsia="Arial" w:hAnsi="Arial"/>
          <w:sz w:val="18"/>
          <w:szCs w:val="18"/>
          <w:color w:val="auto"/>
        </w:rPr>
      </w:pPr>
    </w:p>
    <w:p>
      <w:pPr>
        <w:ind w:firstLine="464"/>
        <w:spacing w:after="0" w:line="294" w:lineRule="auto"/>
        <w:tabs>
          <w:tab w:leader="none" w:pos="695" w:val="left"/>
        </w:tabs>
        <w:numPr>
          <w:ilvl w:val="1"/>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Exercise Price of Incentive Stock Options. </w:t>
      </w:r>
      <w:r>
        <w:rPr>
          <w:rFonts w:ascii="Arial" w:cs="Arial" w:eastAsia="Arial" w:hAnsi="Arial"/>
          <w:sz w:val="16"/>
          <w:szCs w:val="16"/>
          <w:color w:val="auto"/>
        </w:rPr>
        <w:t>The exercise price for Shares to be issued pursuant to exercise of an Incentive Stock Option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by the Administrator provided that the per Share exercise price will be no less than 100% of the Fair Market Value per Share on the date of grant; provided, further that in the case of an Incentive Stock Option granted to an Employee who, at the time the Incentive Stock Option is granted, owns stock representing more than ten percent of the voting power of all classes of capital stock of the Company or any Parent or Subsidiary, the per Share exercise price will be no less than 110% of the Fair Market Value per Share on the date of grant.</w:t>
      </w:r>
    </w:p>
    <w:p>
      <w:pPr>
        <w:spacing w:after="0" w:line="115" w:lineRule="exact"/>
        <w:rPr>
          <w:rFonts w:ascii="Arial" w:cs="Arial" w:eastAsia="Arial" w:hAnsi="Arial"/>
          <w:sz w:val="16"/>
          <w:szCs w:val="16"/>
          <w:color w:val="auto"/>
        </w:rPr>
      </w:pPr>
    </w:p>
    <w:p>
      <w:pPr>
        <w:ind w:right="200" w:firstLine="464"/>
        <w:spacing w:after="0" w:line="268" w:lineRule="auto"/>
        <w:tabs>
          <w:tab w:leader="none" w:pos="705"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of Nonqualified Stock Options. </w:t>
      </w:r>
      <w:r>
        <w:rPr>
          <w:rFonts w:ascii="Arial" w:cs="Arial" w:eastAsia="Arial" w:hAnsi="Arial"/>
          <w:sz w:val="18"/>
          <w:szCs w:val="18"/>
          <w:color w:val="auto"/>
        </w:rPr>
        <w:t>In the case of a Nonqualified Stock Option, the exercise price for Shares to be issued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any such Option will be determined by the Administrator.</w:t>
      </w:r>
    </w:p>
    <w:p>
      <w:pPr>
        <w:spacing w:after="0" w:line="131" w:lineRule="exact"/>
        <w:rPr>
          <w:rFonts w:ascii="Arial" w:cs="Arial" w:eastAsia="Arial" w:hAnsi="Arial"/>
          <w:sz w:val="18"/>
          <w:szCs w:val="18"/>
          <w:color w:val="auto"/>
        </w:rPr>
      </w:pPr>
    </w:p>
    <w:p>
      <w:pPr>
        <w:ind w:right="60" w:firstLine="464"/>
        <w:spacing w:after="0" w:line="259" w:lineRule="auto"/>
        <w:tabs>
          <w:tab w:leader="none" w:pos="695"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Waiting Period and Exercise Dates. </w:t>
      </w:r>
      <w:r>
        <w:rPr>
          <w:rFonts w:ascii="Arial" w:cs="Arial" w:eastAsia="Arial" w:hAnsi="Arial"/>
          <w:sz w:val="18"/>
          <w:szCs w:val="18"/>
          <w:color w:val="auto"/>
        </w:rPr>
        <w:t>At the time an Option is granted, the Administrator will fix the period within which the Option may be exercised</w:t>
      </w:r>
      <w:r>
        <w:rPr>
          <w:rFonts w:ascii="Arial" w:cs="Arial" w:eastAsia="Arial" w:hAnsi="Arial"/>
          <w:sz w:val="18"/>
          <w:szCs w:val="18"/>
          <w:i w:val="1"/>
          <w:iCs w:val="1"/>
          <w:color w:val="auto"/>
        </w:rPr>
        <w:t xml:space="preserve"> </w:t>
      </w:r>
      <w:r>
        <w:rPr>
          <w:rFonts w:ascii="Arial" w:cs="Arial" w:eastAsia="Arial" w:hAnsi="Arial"/>
          <w:sz w:val="18"/>
          <w:szCs w:val="18"/>
          <w:color w:val="auto"/>
        </w:rPr>
        <w:t>and will determine any conditions which must be satisfied before the Option may be exercised. Exercise of an Option may be conditioned upon performance criteria or other reasonable conditions such as Continuous Status as an Employee, Director or Consultant.</w:t>
      </w:r>
    </w:p>
    <w:p>
      <w:pPr>
        <w:spacing w:after="0" w:line="140" w:lineRule="exact"/>
        <w:rPr>
          <w:rFonts w:ascii="Arial" w:cs="Arial" w:eastAsia="Arial" w:hAnsi="Arial"/>
          <w:sz w:val="18"/>
          <w:szCs w:val="18"/>
          <w:color w:val="auto"/>
        </w:rPr>
      </w:pPr>
    </w:p>
    <w:p>
      <w:pPr>
        <w:ind w:right="320" w:firstLine="464"/>
        <w:spacing w:after="0" w:line="268" w:lineRule="auto"/>
        <w:tabs>
          <w:tab w:leader="none" w:pos="705"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Form of Consideration. </w:t>
      </w:r>
      <w:r>
        <w:rPr>
          <w:rFonts w:ascii="Arial" w:cs="Arial" w:eastAsia="Arial" w:hAnsi="Arial"/>
          <w:sz w:val="18"/>
          <w:szCs w:val="18"/>
          <w:color w:val="auto"/>
        </w:rPr>
        <w:t>The Administrator will determine the acceptable form of consideration for exercising an Option, including the method of</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Such consideration may consist partially or entirely of:</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2"/>
          <w:numId w:val="46"/>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to the extent permitted by Applicable Law, a promissory note made by the Optionee in favor of the Company;</w:t>
      </w:r>
    </w:p>
    <w:p>
      <w:pPr>
        <w:spacing w:after="0" w:line="90" w:lineRule="exact"/>
        <w:rPr>
          <w:rFonts w:ascii="Arial" w:cs="Arial" w:eastAsia="Arial" w:hAnsi="Arial"/>
          <w:sz w:val="18"/>
          <w:szCs w:val="18"/>
          <w:color w:val="auto"/>
        </w:rPr>
      </w:pPr>
    </w:p>
    <w:p>
      <w:pPr>
        <w:ind w:left="920" w:right="260" w:firstLine="421"/>
        <w:spacing w:after="0" w:line="268" w:lineRule="auto"/>
        <w:tabs>
          <w:tab w:leader="none" w:pos="1647" w:val="left"/>
        </w:tabs>
        <w:numPr>
          <w:ilvl w:val="2"/>
          <w:numId w:val="46"/>
        </w:numPr>
        <w:rPr>
          <w:rFonts w:ascii="Arial" w:cs="Arial" w:eastAsia="Arial" w:hAnsi="Arial"/>
          <w:sz w:val="18"/>
          <w:szCs w:val="18"/>
          <w:color w:val="auto"/>
        </w:rPr>
      </w:pPr>
      <w:r>
        <w:rPr>
          <w:rFonts w:ascii="Arial" w:cs="Arial" w:eastAsia="Arial" w:hAnsi="Arial"/>
          <w:sz w:val="18"/>
          <w:szCs w:val="18"/>
          <w:color w:val="auto"/>
        </w:rPr>
        <w:t>other Shares which have a Fair Market Value on the date of surrender equal to the aggregate exercise price of the Shares as to which an Option will be exercised;</w:t>
      </w:r>
    </w:p>
    <w:p>
      <w:pPr>
        <w:spacing w:after="0" w:line="50" w:lineRule="exact"/>
        <w:rPr>
          <w:rFonts w:ascii="Arial" w:cs="Arial" w:eastAsia="Arial" w:hAnsi="Arial"/>
          <w:sz w:val="18"/>
          <w:szCs w:val="18"/>
          <w:color w:val="auto"/>
        </w:rPr>
      </w:pPr>
    </w:p>
    <w:p>
      <w:pPr>
        <w:ind w:left="920" w:right="80" w:firstLine="421"/>
        <w:spacing w:after="0" w:line="357" w:lineRule="auto"/>
        <w:tabs>
          <w:tab w:leader="none" w:pos="1637" w:val="left"/>
        </w:tabs>
        <w:numPr>
          <w:ilvl w:val="2"/>
          <w:numId w:val="46"/>
        </w:numPr>
        <w:rPr>
          <w:rFonts w:ascii="Arial" w:cs="Arial" w:eastAsia="Arial" w:hAnsi="Arial"/>
          <w:sz w:val="15"/>
          <w:szCs w:val="15"/>
          <w:color w:val="auto"/>
        </w:rPr>
      </w:pPr>
      <w:r>
        <w:rPr>
          <w:rFonts w:ascii="Arial" w:cs="Arial" w:eastAsia="Arial" w:hAnsi="Arial"/>
          <w:sz w:val="15"/>
          <w:szCs w:val="15"/>
          <w:color w:val="auto"/>
        </w:rPr>
        <w:t>delivery of a properly executed exercise notice together with any other documentation as the Administrator and the Optionee’s broker, if applicable, require to effect an exercise of the Option and delivery to the Company of the sale or loan proceeds required to pay the exercise price; or</w:t>
      </w:r>
    </w:p>
    <w:p>
      <w:pPr>
        <w:ind w:left="1580" w:hanging="239"/>
        <w:spacing w:after="0"/>
        <w:tabs>
          <w:tab w:leader="none" w:pos="1580" w:val="left"/>
        </w:tabs>
        <w:numPr>
          <w:ilvl w:val="2"/>
          <w:numId w:val="46"/>
        </w:numPr>
        <w:rPr>
          <w:rFonts w:ascii="Arial" w:cs="Arial" w:eastAsia="Arial" w:hAnsi="Arial"/>
          <w:sz w:val="18"/>
          <w:szCs w:val="18"/>
          <w:color w:val="auto"/>
        </w:rPr>
      </w:pPr>
      <w:r>
        <w:rPr>
          <w:rFonts w:ascii="Arial" w:cs="Arial" w:eastAsia="Arial" w:hAnsi="Arial"/>
          <w:sz w:val="18"/>
          <w:szCs w:val="18"/>
          <w:color w:val="auto"/>
        </w:rPr>
        <w:t>any other consideration and method of payment for the issuance of Shares to the extent permitted by Applicable Laws.</w:t>
      </w:r>
    </w:p>
    <w:p>
      <w:pPr>
        <w:spacing w:after="0" w:line="171" w:lineRule="exact"/>
        <w:rPr>
          <w:rFonts w:ascii="Arial" w:cs="Arial" w:eastAsia="Arial" w:hAnsi="Arial"/>
          <w:sz w:val="18"/>
          <w:szCs w:val="18"/>
          <w:color w:val="auto"/>
        </w:rPr>
      </w:pPr>
    </w:p>
    <w:p>
      <w:pPr>
        <w:jc w:val="both"/>
        <w:ind w:firstLine="464"/>
        <w:spacing w:after="0" w:line="256" w:lineRule="auto"/>
        <w:tabs>
          <w:tab w:leader="none" w:pos="695"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No Repricing without Shareholder Approval. </w:t>
      </w:r>
      <w:r>
        <w:rPr>
          <w:rFonts w:ascii="Arial" w:cs="Arial" w:eastAsia="Arial" w:hAnsi="Arial"/>
          <w:sz w:val="18"/>
          <w:szCs w:val="18"/>
          <w:color w:val="auto"/>
        </w:rPr>
        <w:t>Other than in connection with a change in the Company’s capitalization (as described in Section 15),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may not, without the approval of shareholders, “reprice” any Options. For purposes of this Plan, the term “reprice” means reducing the exercise price of outstanding Options or canceling outstanding Options with a purchase price in excess of Fair Market Value in exchange for cash or new Options with a lower exercise price or other Stock Awards.</w:t>
      </w:r>
    </w:p>
    <w:p>
      <w:pPr>
        <w:spacing w:after="0" w:line="143"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Exercise of Option.</w:t>
      </w:r>
    </w:p>
    <w:p>
      <w:pPr>
        <w:spacing w:after="0" w:line="90" w:lineRule="exact"/>
        <w:rPr>
          <w:rFonts w:ascii="Arial" w:cs="Arial" w:eastAsia="Arial" w:hAnsi="Arial"/>
          <w:sz w:val="18"/>
          <w:szCs w:val="18"/>
          <w:color w:val="auto"/>
        </w:rPr>
      </w:pPr>
    </w:p>
    <w:p>
      <w:pPr>
        <w:ind w:right="220" w:firstLine="464"/>
        <w:spacing w:after="0" w:line="259" w:lineRule="auto"/>
        <w:tabs>
          <w:tab w:leader="none" w:pos="695"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Procedure for Exercise; Rights as a Shareholder. </w:t>
      </w:r>
      <w:r>
        <w:rPr>
          <w:rFonts w:ascii="Arial" w:cs="Arial" w:eastAsia="Arial" w:hAnsi="Arial"/>
          <w:sz w:val="18"/>
          <w:szCs w:val="18"/>
          <w:color w:val="auto"/>
        </w:rPr>
        <w:t>Any Option granted hereunder will be exercisable according to the terms of the Plan and at times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under conditions determined by the Administrator and set forth in the Option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an Option may not be exercised for a fraction of a Share.</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An Option will be deemed exercised when the Company receives: (i) written notice of exercise (in accordance with the Option Agreement) from the person entitled to exercise the Option, (ii) full payment for the Shares with respect to which the Option is exercised, and (iii) all representations, indemnifications and documents reasonably requested by the Administrator. Full payment may consist of any consideration and method of payment authorized by the Administrator and permitted by the Option Agreement and this Plan. Shares issued upon exercise of an Option will be issued in the name of the Optionee or, if requested by the Optionee, in the name of the Optionee and his or her spouse. Until the stock certificate evidencing such Shares is issued (as evidenced by the appropriate entry on the books of the Company or of a duly authorized transfer agent of the Company), no right to vote or receive dividends or any other rights as a shareholder will exist with respect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 the Optioned Stock, notwithstanding the exercise of the Option. Subject to the provisions of Sections 14, 18, and 19, the Company will issue (or cause to be issued) such stock certificate promptly after the Option is exercised. No adjustment will be made for a dividend or other right for which the record date is prior to the date the stock certificate is issued, except as provided in Section 15 of the Plan. Notwithstanding the foregoing, the Administrator in its discretion may require the Company to retain possession of any certificate evidencing Shares of Common Stock acquired upon exercise of an Option, if those Shares remain subject to repurchase under the provisions of the Option Agreement or any other agreement between the Company and the Optionee, or if those Shares are collateral for a loan or obligation due to the Company.</w:t>
      </w:r>
    </w:p>
    <w:p>
      <w:pPr>
        <w:spacing w:after="0" w:line="14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Exercising an Option in any manner will decrease the number of Shares thereafter available, both for purposes of this Plan and for sale under the Option, by the number of Shares as to which the Option is exercised.</w:t>
      </w:r>
    </w:p>
    <w:p>
      <w:pPr>
        <w:spacing w:after="0" w:line="132" w:lineRule="exact"/>
        <w:rPr>
          <w:sz w:val="20"/>
          <w:szCs w:val="20"/>
          <w:color w:val="auto"/>
        </w:rPr>
      </w:pPr>
    </w:p>
    <w:p>
      <w:pPr>
        <w:ind w:right="20" w:firstLine="464"/>
        <w:spacing w:after="0" w:line="288" w:lineRule="auto"/>
        <w:tabs>
          <w:tab w:leader="none" w:pos="705"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Employment or Consulting Relationship or Directorship. </w:t>
      </w:r>
      <w:r>
        <w:rPr>
          <w:rFonts w:ascii="Arial" w:cs="Arial" w:eastAsia="Arial" w:hAnsi="Arial"/>
          <w:sz w:val="16"/>
          <w:szCs w:val="16"/>
          <w:color w:val="auto"/>
        </w:rPr>
        <w:t>If an Optionee holds exercisable Options on the date his or her Continuous</w:t>
      </w:r>
      <w:r>
        <w:rPr>
          <w:rFonts w:ascii="Arial" w:cs="Arial" w:eastAsia="Arial" w:hAnsi="Arial"/>
          <w:sz w:val="16"/>
          <w:szCs w:val="16"/>
          <w:i w:val="1"/>
          <w:iCs w:val="1"/>
          <w:color w:val="auto"/>
        </w:rPr>
        <w:t xml:space="preserve"> </w:t>
      </w:r>
      <w:r>
        <w:rPr>
          <w:rFonts w:ascii="Arial" w:cs="Arial" w:eastAsia="Arial" w:hAnsi="Arial"/>
          <w:sz w:val="16"/>
          <w:szCs w:val="16"/>
          <w:color w:val="auto"/>
        </w:rPr>
        <w:t>Status as an Employee, Director or Consultant terminates (other than because of termination due to Cause, death or Disability), the Optionee may exercise the Options that were vested and exercisable as of the date of termination for a period of 90 days following such termination (or such other period as is set forth in the Option Agreement or determined by the Administrator). If the Optionee is not entitled to exercise his or her entire Option at the date of such termination, the Shares covered by the unexercisable portion of the Option will revert to the Plan, unless otherwise set forth in the Option Agreement or determined by the Administrator. The Administrator may determine in its sole discretion that such unexercisable portion of the Option will become exercisable at such times and on such terms as the Administrator may determine in its sole discretion. If the Optionee does not exercise an Option within the time specified above after termination, that Option will expire, and the Shares covered by it will revert to the Plan, unless otherwise set forth in the Option Agreement or determined by the Administrator.</w:t>
      </w:r>
    </w:p>
    <w:p>
      <w:pPr>
        <w:spacing w:after="0" w:line="119" w:lineRule="exact"/>
        <w:rPr>
          <w:rFonts w:ascii="Arial" w:cs="Arial" w:eastAsia="Arial" w:hAnsi="Arial"/>
          <w:sz w:val="16"/>
          <w:szCs w:val="16"/>
          <w:color w:val="auto"/>
        </w:rPr>
      </w:pPr>
    </w:p>
    <w:p>
      <w:pPr>
        <w:ind w:right="60" w:firstLine="464"/>
        <w:spacing w:after="0" w:line="289" w:lineRule="auto"/>
        <w:tabs>
          <w:tab w:leader="none" w:pos="695"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Disability of Optionee. </w:t>
      </w:r>
      <w:r>
        <w:rPr>
          <w:rFonts w:ascii="Arial" w:cs="Arial" w:eastAsia="Arial" w:hAnsi="Arial"/>
          <w:sz w:val="16"/>
          <w:szCs w:val="16"/>
          <w:color w:val="auto"/>
        </w:rPr>
        <w:t>If an Optionee holds exercisable Options on the date his or her Continuous Status as an Employee, Director or Consultant</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terminates because of Disability, the Optionee may exercise the Options that were vested and exercisable as of the date of termination for a period of 12 months following such termination (or such other period as is set forth in the Option Agreement or determined by the Administrator). If the Optionee is not entitled to exercise his or her entire Option at the date of such termination, the Shares covered by the unexercisable portion of the Option will revert to the Plan, unless otherwise set forth in the Option Agreement or determined by the Administrator. The Administrator may determine in its sole discretion that such unexercisable portion of the Option will become exercisable at such times and on such terms as the Administrator may determine in its sole discretion. If the Optionee does not exercise an Option within the time specified above after termination, that Option will expire, and the Shares covered by it will revert to the Plan, unless otherwise set forth in the Option Agreement or determined by the Administrator.</w:t>
      </w:r>
    </w:p>
    <w:p>
      <w:pPr>
        <w:spacing w:after="0" w:line="118" w:lineRule="exact"/>
        <w:rPr>
          <w:rFonts w:ascii="Arial" w:cs="Arial" w:eastAsia="Arial" w:hAnsi="Arial"/>
          <w:sz w:val="16"/>
          <w:szCs w:val="16"/>
          <w:color w:val="auto"/>
        </w:rPr>
      </w:pPr>
    </w:p>
    <w:p>
      <w:pPr>
        <w:ind w:firstLine="464"/>
        <w:spacing w:after="0" w:line="289" w:lineRule="auto"/>
        <w:tabs>
          <w:tab w:leader="none" w:pos="705"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Death of Optionee</w:t>
      </w:r>
      <w:r>
        <w:rPr>
          <w:rFonts w:ascii="Arial" w:cs="Arial" w:eastAsia="Arial" w:hAnsi="Arial"/>
          <w:sz w:val="16"/>
          <w:szCs w:val="16"/>
          <w:color w:val="auto"/>
        </w:rPr>
        <w:t>. If an Optionee holds exercisable Options on the date his or her death, the Optionee’s estate or a person who acquired the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the Option by bequest or inheritance may exercise the Options that were vested and exercisable as of the date of death for a period of 12 months following the date of death (or such other period as is set forth in the Option Agreement or determined by the Administrator). If the Optionee is not entitled to exercise his or her entire Option at the date of death, the Shares covered by the unexercisable portion of the Option will revert to the Plan, unless otherwise set forth in the Option Agreement or determined by the Administrator. The Administrator may determine in its sole discretion that such unexercisable portion of the Option will become exercisable at such times and on such terms as the Administrator may determine in its sole discretion. If the Optionee’s estate or a person who acquired the right to exercise the Option by bequest or inheritance does not exercise an Option within the time specified above after termination, that Option will expire, and the Shares covered by it will revert to the Plan, unless otherwise set forth in the Option Agreement or determined by the Administrator.</w:t>
      </w:r>
    </w:p>
    <w:p>
      <w:pPr>
        <w:spacing w:after="0" w:line="118" w:lineRule="exact"/>
        <w:rPr>
          <w:rFonts w:ascii="Arial" w:cs="Arial" w:eastAsia="Arial" w:hAnsi="Arial"/>
          <w:sz w:val="16"/>
          <w:szCs w:val="16"/>
          <w:color w:val="auto"/>
        </w:rPr>
      </w:pPr>
    </w:p>
    <w:p>
      <w:pPr>
        <w:ind w:right="700" w:firstLine="464"/>
        <w:spacing w:after="0" w:line="268" w:lineRule="auto"/>
        <w:tabs>
          <w:tab w:leader="none" w:pos="695"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Termination for Cause. </w:t>
      </w:r>
      <w:r>
        <w:rPr>
          <w:rFonts w:ascii="Arial" w:cs="Arial" w:eastAsia="Arial" w:hAnsi="Arial"/>
          <w:sz w:val="18"/>
          <w:szCs w:val="18"/>
          <w:color w:val="auto"/>
        </w:rPr>
        <w:t>If an Optionee’s Continuous Status as an Employee, Director or Consultant is terminated for Cause, then all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any vested Options) held by Optionee shall immediately be terminated and cancelled.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64"/>
        <w:spacing w:after="0" w:line="256" w:lineRule="auto"/>
        <w:tabs>
          <w:tab w:leader="none" w:pos="676"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Disqualifying Dispositions of Incentive Stock Options. </w:t>
      </w:r>
      <w:r>
        <w:rPr>
          <w:rFonts w:ascii="Arial" w:cs="Arial" w:eastAsia="Arial" w:hAnsi="Arial"/>
          <w:sz w:val="18"/>
          <w:szCs w:val="18"/>
          <w:color w:val="auto"/>
        </w:rPr>
        <w:t>If Common Stock acquired upon exercise of any Incentive Stock Option is disposed of in a</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 that, under Section 422 of the Code, disqualifies the holder from the application of Section 421(a) of the Code, the holder of the Common Stock immediately before the disposition will comply with any requirements imposed by the Company in order to enable the Company to secure the related income tax deduction to which it is entitled in such event.</w:t>
      </w:r>
    </w:p>
    <w:p>
      <w:pPr>
        <w:spacing w:after="0" w:line="143" w:lineRule="exact"/>
        <w:rPr>
          <w:rFonts w:ascii="Arial" w:cs="Arial" w:eastAsia="Arial" w:hAnsi="Arial"/>
          <w:sz w:val="18"/>
          <w:szCs w:val="18"/>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Non-Transferability of Options.</w:t>
      </w:r>
    </w:p>
    <w:p>
      <w:pPr>
        <w:spacing w:after="0" w:line="90" w:lineRule="exact"/>
        <w:rPr>
          <w:rFonts w:ascii="Arial" w:cs="Arial" w:eastAsia="Arial" w:hAnsi="Arial"/>
          <w:sz w:val="18"/>
          <w:szCs w:val="18"/>
          <w:color w:val="auto"/>
        </w:rPr>
      </w:pPr>
    </w:p>
    <w:p>
      <w:pPr>
        <w:ind w:firstLine="464"/>
        <w:spacing w:after="0" w:line="289" w:lineRule="auto"/>
        <w:tabs>
          <w:tab w:leader="none" w:pos="695" w:val="left"/>
        </w:tabs>
        <w:numPr>
          <w:ilvl w:val="1"/>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No Transfer. </w:t>
      </w:r>
      <w:r>
        <w:rPr>
          <w:rFonts w:ascii="Arial" w:cs="Arial" w:eastAsia="Arial" w:hAnsi="Arial"/>
          <w:sz w:val="16"/>
          <w:szCs w:val="16"/>
          <w:color w:val="auto"/>
        </w:rPr>
        <w:t>An Option may not be sold, pledged, assigned, hypothecated, transferred, or disposed of in any manner other than by will or by the laws</w:t>
      </w:r>
      <w:r>
        <w:rPr>
          <w:rFonts w:ascii="Arial" w:cs="Arial" w:eastAsia="Arial" w:hAnsi="Arial"/>
          <w:sz w:val="16"/>
          <w:szCs w:val="16"/>
          <w:i w:val="1"/>
          <w:iCs w:val="1"/>
          <w:color w:val="auto"/>
        </w:rPr>
        <w:t xml:space="preserve"> </w:t>
      </w:r>
      <w:r>
        <w:rPr>
          <w:rFonts w:ascii="Arial" w:cs="Arial" w:eastAsia="Arial" w:hAnsi="Arial"/>
          <w:sz w:val="16"/>
          <w:szCs w:val="16"/>
          <w:color w:val="auto"/>
        </w:rPr>
        <w:t>of descent or distribution and may be exercised, during the lifetime of the Optionee, only by the Optionee. Notwithstanding the foregoing, to the extent that the Administrator so authorizes at the time a Nonqualified Stock Option is granted or amended, (i) such Option may be assigned pursuant to a qualified domestic relations order as defined by the Code, and exercised by the spouse or former spouse of the Optionee who obtained such Option pursuant to such qualified domestic relations order, or (ii) such Option may be assigned, in whole or in part, during the Optionee’s lifetime to one or more Family Members of the Optionee. Rights under the assigned portion may be exercised by the Family Member(s) who acquire a proprietary interest in such Option pursuant to the assignment. The terms applicable to the assigned portion shall be the same as those in effect for the Option immediately before such assignment and shall be set forth in such documents issued to the assignee as the Administrator deems appropriate.</w:t>
      </w:r>
    </w:p>
    <w:p>
      <w:pPr>
        <w:spacing w:after="0" w:line="118" w:lineRule="exact"/>
        <w:rPr>
          <w:rFonts w:ascii="Arial" w:cs="Arial" w:eastAsia="Arial" w:hAnsi="Arial"/>
          <w:sz w:val="16"/>
          <w:szCs w:val="16"/>
          <w:color w:val="auto"/>
        </w:rPr>
      </w:pPr>
    </w:p>
    <w:p>
      <w:pPr>
        <w:ind w:right="40" w:firstLine="464"/>
        <w:spacing w:after="0" w:line="256" w:lineRule="auto"/>
        <w:tabs>
          <w:tab w:leader="none" w:pos="705"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Designation of Beneficiary. </w:t>
      </w:r>
      <w:r>
        <w:rPr>
          <w:rFonts w:ascii="Arial" w:cs="Arial" w:eastAsia="Arial" w:hAnsi="Arial"/>
          <w:sz w:val="18"/>
          <w:szCs w:val="18"/>
          <w:color w:val="auto"/>
        </w:rPr>
        <w:t>An Optionee may file a written designation of a beneficiary who is to receive any Options that remain unexercised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the Optionee’s death. If a participant is married and the designated beneficiary is not the spouse, spousal consent will be required for the designation to be effective. The Optionee may change such designation of beneficiary at any time by written notice to the Administrator, subject to the above spousal consent requirement.</w:t>
      </w:r>
    </w:p>
    <w:p>
      <w:pPr>
        <w:spacing w:after="0" w:line="143" w:lineRule="exact"/>
        <w:rPr>
          <w:rFonts w:ascii="Arial" w:cs="Arial" w:eastAsia="Arial" w:hAnsi="Arial"/>
          <w:sz w:val="18"/>
          <w:szCs w:val="18"/>
          <w:color w:val="auto"/>
        </w:rPr>
      </w:pPr>
    </w:p>
    <w:p>
      <w:pPr>
        <w:ind w:right="60" w:firstLine="464"/>
        <w:spacing w:after="0" w:line="298" w:lineRule="auto"/>
        <w:tabs>
          <w:tab w:leader="none" w:pos="695" w:val="left"/>
        </w:tabs>
        <w:numPr>
          <w:ilvl w:val="1"/>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Effect of No Designation. </w:t>
      </w:r>
      <w:r>
        <w:rPr>
          <w:rFonts w:ascii="Arial" w:cs="Arial" w:eastAsia="Arial" w:hAnsi="Arial"/>
          <w:sz w:val="16"/>
          <w:szCs w:val="16"/>
          <w:color w:val="auto"/>
        </w:rPr>
        <w:t>If an Optionee dies and there is no beneficiary validly designated and living at the time of the Optionee’s death,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will deliver such Optionee’s Options to the executor or administrator of his or her estate, or if no such executor or administrator has been appointed (to the knowledge of the Company), the Company, in its discretion, may deliver such Options to the spouse or to any one or more dependents or relatives of the Optionee, or if no spouse, dependent or relative is known to the Company, then to such other person as the Company may designate.</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1"/>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Death of Spouse or Dissolution of Marriage.   </w:t>
      </w:r>
      <w:r>
        <w:rPr>
          <w:rFonts w:ascii="Arial" w:cs="Arial" w:eastAsia="Arial" w:hAnsi="Arial"/>
          <w:sz w:val="16"/>
          <w:szCs w:val="16"/>
          <w:color w:val="auto"/>
        </w:rPr>
        <w:t>If an Optionee designates his or her spouse as beneficiary, that designation will be deemed</w:t>
      </w:r>
    </w:p>
    <w:p>
      <w:pPr>
        <w:spacing w:after="0" w:line="38" w:lineRule="exact"/>
        <w:rPr>
          <w:rFonts w:ascii="Arial" w:cs="Arial" w:eastAsia="Arial" w:hAnsi="Arial"/>
          <w:sz w:val="16"/>
          <w:szCs w:val="16"/>
          <w:color w:val="auto"/>
        </w:rPr>
      </w:pPr>
    </w:p>
    <w:p>
      <w:pPr>
        <w:ind w:right="20"/>
        <w:spacing w:after="0" w:line="292" w:lineRule="auto"/>
        <w:rPr>
          <w:rFonts w:ascii="Arial" w:cs="Arial" w:eastAsia="Arial" w:hAnsi="Arial"/>
          <w:sz w:val="16"/>
          <w:szCs w:val="16"/>
          <w:color w:val="auto"/>
        </w:rPr>
      </w:pPr>
      <w:r>
        <w:rPr>
          <w:rFonts w:ascii="Arial" w:cs="Arial" w:eastAsia="Arial" w:hAnsi="Arial"/>
          <w:sz w:val="16"/>
          <w:szCs w:val="16"/>
          <w:color w:val="auto"/>
        </w:rPr>
        <w:t>automatically revoked if the Optionee’s marriage is later dissolved. Similarly, any designation of a beneficiary will be deemed automatically revoked upon the death of the beneficiary if the beneficiary predeceases the Optionee. Without limiting the generality of the preceding sentence, the interest in Options of a spouse of an Optionee who has predeceased the Optionee or (except as provided in Section 12(a) regarding qualified domestic relations orders) whose marriage has been dissolved will automatically pass to the Optionee, and will not be transferable by such spouse in any manner, including but not limited to such spouse’s will, nor will any such interest pass under the laws of intestate succession.</w:t>
      </w:r>
    </w:p>
    <w:p>
      <w:pPr>
        <w:spacing w:after="0" w:line="116" w:lineRule="exact"/>
        <w:rPr>
          <w:rFonts w:ascii="Arial" w:cs="Arial" w:eastAsia="Arial" w:hAnsi="Arial"/>
          <w:sz w:val="16"/>
          <w:szCs w:val="16"/>
          <w:color w:val="auto"/>
        </w:rPr>
      </w:pPr>
    </w:p>
    <w:p>
      <w:pPr>
        <w:ind w:left="280" w:hanging="272"/>
        <w:spacing w:after="0"/>
        <w:tabs>
          <w:tab w:leader="none" w:pos="2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Stock Awards.</w:t>
      </w:r>
    </w:p>
    <w:p>
      <w:pPr>
        <w:spacing w:after="0" w:line="90" w:lineRule="exact"/>
        <w:rPr>
          <w:rFonts w:ascii="Arial" w:cs="Arial" w:eastAsia="Arial" w:hAnsi="Arial"/>
          <w:sz w:val="18"/>
          <w:szCs w:val="18"/>
          <w:color w:val="auto"/>
        </w:rPr>
      </w:pPr>
    </w:p>
    <w:p>
      <w:pPr>
        <w:jc w:val="both"/>
        <w:ind w:right="40" w:firstLine="464"/>
        <w:spacing w:after="0" w:line="323" w:lineRule="auto"/>
        <w:tabs>
          <w:tab w:leader="none" w:pos="695" w:val="left"/>
        </w:tabs>
        <w:numPr>
          <w:ilvl w:val="1"/>
          <w:numId w:val="49"/>
        </w:numPr>
        <w:rPr>
          <w:rFonts w:ascii="Arial" w:cs="Arial" w:eastAsia="Arial" w:hAnsi="Arial"/>
          <w:sz w:val="15"/>
          <w:szCs w:val="15"/>
          <w:color w:val="auto"/>
        </w:rPr>
      </w:pPr>
      <w:r>
        <w:rPr>
          <w:rFonts w:ascii="Arial" w:cs="Arial" w:eastAsia="Arial" w:hAnsi="Arial"/>
          <w:sz w:val="15"/>
          <w:szCs w:val="15"/>
          <w:i w:val="1"/>
          <w:iCs w:val="1"/>
          <w:color w:val="auto"/>
        </w:rPr>
        <w:t xml:space="preserve">Grant. </w:t>
      </w:r>
      <w:r>
        <w:rPr>
          <w:rFonts w:ascii="Arial" w:cs="Arial" w:eastAsia="Arial" w:hAnsi="Arial"/>
          <w:sz w:val="15"/>
          <w:szCs w:val="15"/>
          <w:color w:val="auto"/>
        </w:rPr>
        <w:t>Subject to the express provisions and limitations of the Plan, the Administrator, in its sole and absolute discretion, may grant Stock Awards to</w:t>
      </w:r>
      <w:r>
        <w:rPr>
          <w:rFonts w:ascii="Arial" w:cs="Arial" w:eastAsia="Arial" w:hAnsi="Arial"/>
          <w:sz w:val="15"/>
          <w:szCs w:val="15"/>
          <w:i w:val="1"/>
          <w:iCs w:val="1"/>
          <w:color w:val="auto"/>
        </w:rPr>
        <w:t xml:space="preserve"> </w:t>
      </w:r>
      <w:r>
        <w:rPr>
          <w:rFonts w:ascii="Arial" w:cs="Arial" w:eastAsia="Arial" w:hAnsi="Arial"/>
          <w:sz w:val="15"/>
          <w:szCs w:val="15"/>
          <w:color w:val="auto"/>
        </w:rPr>
        <w:t>Employees, Consultants or Directors for a number of shares of Common Stock on such terms and conditions and to such Employees, Consultants or Directors as it deems advisable and specifies in the respective grants. Subject to the limitations and restrictions set forth in the Plan, an Employee, Consultant or Director who has been granted an Option or Stock Award may, if otherwise eligible, be granted additional Options or Stock Awards if the Administrator shall so determine.</w:t>
      </w:r>
    </w:p>
    <w:p>
      <w:pPr>
        <w:spacing w:after="0" w:line="97" w:lineRule="exact"/>
        <w:rPr>
          <w:rFonts w:ascii="Arial" w:cs="Arial" w:eastAsia="Arial" w:hAnsi="Arial"/>
          <w:sz w:val="15"/>
          <w:szCs w:val="15"/>
          <w:color w:val="auto"/>
        </w:rPr>
      </w:pPr>
    </w:p>
    <w:p>
      <w:pPr>
        <w:ind w:right="160" w:firstLine="464"/>
        <w:spacing w:after="0" w:line="268" w:lineRule="auto"/>
        <w:tabs>
          <w:tab w:leader="none" w:pos="705"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Restrictions. </w:t>
      </w:r>
      <w:r>
        <w:rPr>
          <w:rFonts w:ascii="Arial" w:cs="Arial" w:eastAsia="Arial" w:hAnsi="Arial"/>
          <w:sz w:val="18"/>
          <w:szCs w:val="18"/>
          <w:color w:val="auto"/>
        </w:rPr>
        <w:t>The Administrator, in its sole and absolute discretion, may impose restrictions in connection with any Stock Award, including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limitation, (i) imposing a restricted period during which all</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or a portion of the Common Stock subject to the Stock Award may not be sold, assigned, transferred, pledged or otherwise encumbered (the “</w:t>
      </w:r>
      <w:r>
        <w:rPr>
          <w:rFonts w:ascii="Arial" w:cs="Arial" w:eastAsia="Arial" w:hAnsi="Arial"/>
          <w:sz w:val="16"/>
          <w:szCs w:val="16"/>
          <w:b w:val="1"/>
          <w:bCs w:val="1"/>
          <w:color w:val="auto"/>
        </w:rPr>
        <w:t>Restricted</w:t>
      </w:r>
    </w:p>
    <w:p>
      <w:pPr>
        <w:spacing w:after="0" w:line="44"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Period</w:t>
      </w:r>
      <w:r>
        <w:rPr>
          <w:rFonts w:ascii="Arial" w:cs="Arial" w:eastAsia="Arial" w:hAnsi="Arial"/>
          <w:sz w:val="16"/>
          <w:szCs w:val="16"/>
          <w:color w:val="auto"/>
        </w:rPr>
        <w:t>”), (ii) providing for a vesting schedule with respect to such Common Stock such that if a Grantee ceases to be an Employee, Consultant or Director during</w:t>
      </w:r>
      <w:r>
        <w:rPr>
          <w:rFonts w:ascii="Arial" w:cs="Arial" w:eastAsia="Arial" w:hAnsi="Arial"/>
          <w:sz w:val="16"/>
          <w:szCs w:val="16"/>
          <w:b w:val="1"/>
          <w:bCs w:val="1"/>
          <w:color w:val="auto"/>
        </w:rPr>
        <w:t xml:space="preserve"> </w:t>
      </w:r>
      <w:r>
        <w:rPr>
          <w:rFonts w:ascii="Arial" w:cs="Arial" w:eastAsia="Arial" w:hAnsi="Arial"/>
          <w:sz w:val="16"/>
          <w:szCs w:val="16"/>
          <w:color w:val="auto"/>
        </w:rPr>
        <w:t>the Restricted Period, some or all of the shares of Common Stock subject to the Stock Award shall be immediately forfeited and returned to the Company. The Administrator may, at any time, reduce or terminate the Restricted Period. Each certificate issued in respect of shares of Common Stock pursuant to a Stock Award which is subject to restrictions shall be registered in the name of the Grantee, shall be deposited by the Grantee with the Company together with a stock power endorsed in blank and shall bear an appropriate legend summarizing the restrictions imposed with respect to such shares of Common Stock.</w:t>
      </w:r>
    </w:p>
    <w:p>
      <w:pPr>
        <w:spacing w:after="0" w:line="117" w:lineRule="exact"/>
        <w:rPr>
          <w:sz w:val="20"/>
          <w:szCs w:val="20"/>
          <w:color w:val="auto"/>
        </w:rPr>
      </w:pPr>
    </w:p>
    <w:p>
      <w:pPr>
        <w:ind w:right="100" w:firstLine="464"/>
        <w:spacing w:after="0" w:line="255" w:lineRule="auto"/>
        <w:tabs>
          <w:tab w:leader="none" w:pos="695" w:val="left"/>
        </w:tabs>
        <w:numPr>
          <w:ilvl w:val="1"/>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Rights As Shareholder. </w:t>
      </w:r>
      <w:r>
        <w:rPr>
          <w:rFonts w:ascii="Arial" w:cs="Arial" w:eastAsia="Arial" w:hAnsi="Arial"/>
          <w:sz w:val="18"/>
          <w:szCs w:val="18"/>
          <w:color w:val="auto"/>
        </w:rPr>
        <w:t>Subject to the terms of any agreement governing a Stock Award, the Grantee of a Stock Award shall have all the rights of a</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with respect to the Common Stock issued pursuant to a Stock Award, including the right to vote such Shares; provided, however, that dividends or distributions paid with respect to any such Shares which have not vested shall be deposited with the Company and shall be subject to forfeiture until the underlying Shares have vested unless otherwise provided by the Administrator in its sole discretion. A Grantee shall not be entitled to interest with respect to the dividends or distributions so deposited.</w:t>
      </w:r>
    </w:p>
    <w:p>
      <w:pPr>
        <w:spacing w:after="0" w:line="142" w:lineRule="exact"/>
        <w:rPr>
          <w:rFonts w:ascii="Arial" w:cs="Arial" w:eastAsia="Arial" w:hAnsi="Arial"/>
          <w:sz w:val="18"/>
          <w:szCs w:val="18"/>
          <w:color w:val="auto"/>
        </w:rPr>
      </w:pPr>
    </w:p>
    <w:p>
      <w:pPr>
        <w:ind w:right="20" w:firstLine="8"/>
        <w:spacing w:after="0" w:line="287" w:lineRule="auto"/>
        <w:tabs>
          <w:tab w:leader="none" w:pos="263"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Withholding Taxes. </w:t>
      </w:r>
      <w:r>
        <w:rPr>
          <w:rFonts w:ascii="Arial" w:cs="Arial" w:eastAsia="Arial" w:hAnsi="Arial"/>
          <w:sz w:val="16"/>
          <w:szCs w:val="16"/>
          <w:color w:val="auto"/>
        </w:rPr>
        <w:t>The Company will have the right to take whatever steps the Administrator deems necessary or appropriate to comply with all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state, local, and employment tax withholding requirements, and the Company’s obligations to deliver Shares upon the exercise of an Option or in connection with a Stock Award will be conditioned upon compliance with all such withholding tax requirements. Without limiting the generality of the foregoing, upon the exercise of an Option, the Company will have the right to withhold taxes from any other compensation or other amounts which it may owe to the Optionee, or to require the Optionee to pay to the Company the amount of any taxes which the Company may be required to withhold with respect to the Shares issued on such exercise. Without limiting the generality of the foregoing, the Administrator in its discretion may authorize the Grantee to satisfy all or part of any withholding tax liability by (a) having the Company withhold from the Shares which would otherwise be issued in connection with a Stock Award or on the exercise of an Option that number of Shares having a Fair Market Value, as of the date the withholding tax liability arises, equal to or less than the amount of the Company’s withholding tax liability, or (b) by delivering to the Company previously-owned and unencumbered Shares of the Common Stock having a Fair Market Value, as of the date the withholding tax liability arises, equal to or less than the amount of the Company’s withholding tax liability.</w:t>
      </w:r>
    </w:p>
    <w:p>
      <w:pPr>
        <w:spacing w:after="0" w:line="122" w:lineRule="exact"/>
        <w:rPr>
          <w:rFonts w:ascii="Arial" w:cs="Arial" w:eastAsia="Arial" w:hAnsi="Arial"/>
          <w:sz w:val="16"/>
          <w:szCs w:val="16"/>
          <w:color w:val="auto"/>
        </w:rPr>
      </w:pPr>
    </w:p>
    <w:p>
      <w:pPr>
        <w:ind w:left="280" w:hanging="272"/>
        <w:spacing w:after="0"/>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Adjustments Upon Changes in Capitalization, Dissolution, Merger or Asset Sale.</w:t>
      </w:r>
    </w:p>
    <w:p>
      <w:pPr>
        <w:spacing w:after="0" w:line="90" w:lineRule="exact"/>
        <w:rPr>
          <w:rFonts w:ascii="Arial" w:cs="Arial" w:eastAsia="Arial" w:hAnsi="Arial"/>
          <w:sz w:val="18"/>
          <w:szCs w:val="18"/>
          <w:color w:val="auto"/>
        </w:rPr>
      </w:pPr>
    </w:p>
    <w:p>
      <w:pPr>
        <w:ind w:right="100" w:firstLine="464"/>
        <w:spacing w:after="0" w:line="288" w:lineRule="auto"/>
        <w:tabs>
          <w:tab w:leader="none" w:pos="695" w:val="left"/>
        </w:tabs>
        <w:numPr>
          <w:ilvl w:val="1"/>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Changes in Capitalization. </w:t>
      </w:r>
      <w:r>
        <w:rPr>
          <w:rFonts w:ascii="Arial" w:cs="Arial" w:eastAsia="Arial" w:hAnsi="Arial"/>
          <w:sz w:val="16"/>
          <w:szCs w:val="16"/>
          <w:color w:val="auto"/>
        </w:rPr>
        <w:t>Subject to any required action by the shareholders of the Company, if the outstanding shares of Common Stock are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decreased, changed into or exchanged for a different number or kind of shares or securities of the Company or a successor entity, or for other property (including without limitation, cash), through reorganization, recapitalization, reclassification, stock combination, stock dividend, stock split, reverse stock split, spin off or other similar transaction, an appropriate and proportionate adjustment will be made in the maximum number and kind of shares as to which Options and Stock Awards may be granted under this Plan. A corresponding adjustment changing the number or kind of shares allocated to Stock Awards or unexercised Options which have been granted prior to any such change will likewise be made. Any such adjustment in the outstanding Options will be made without change in the aggregate purchase price applicable to the unexercised portion of the Options but with a corresponding adjustment in the price for each share or other unit of any security covered by the Option. Such adjustment will be made by the Administrator, whose determination in that respect will be final, binding, and conclusive.</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 an adjustment under this Section 15(a) is made to an Incentive Stock Option, the adjustment will be made in a manner which will not be considered a “modification” under the provisions of subsection 424(h)(3) of the Code.</w:t>
      </w:r>
    </w:p>
    <w:p>
      <w:pPr>
        <w:spacing w:after="0" w:line="132" w:lineRule="exact"/>
        <w:rPr>
          <w:sz w:val="20"/>
          <w:szCs w:val="20"/>
          <w:color w:val="auto"/>
        </w:rPr>
      </w:pPr>
    </w:p>
    <w:p>
      <w:pPr>
        <w:ind w:right="660" w:firstLine="464"/>
        <w:spacing w:after="0" w:line="268"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Dissolution or Liquidation. </w:t>
      </w:r>
      <w:r>
        <w:rPr>
          <w:rFonts w:ascii="Arial" w:cs="Arial" w:eastAsia="Arial" w:hAnsi="Arial"/>
          <w:sz w:val="18"/>
          <w:szCs w:val="18"/>
          <w:color w:val="auto"/>
        </w:rPr>
        <w:t>In the event of the proposed dissolution or liquidation of the Company, to the extent that an Option had not been</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exercised or a Stock Award had not previously vested, it will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terminate immediately prior to the consummation of such proposed dissolution or liquidation. In such instance, the Administrator may, in the exercise of its sole discretion, declare that any Stock Award shall become vested or any Option will terminate as of a date fixed by the Administrator and give each Optionee the right to exercise his or her Option as to all or any part of the Optioned Stock, including Shares as to which the Option would not otherwise be exercisable.</w:t>
      </w:r>
    </w:p>
    <w:p>
      <w:pPr>
        <w:spacing w:after="0" w:line="107" w:lineRule="exact"/>
        <w:rPr>
          <w:sz w:val="20"/>
          <w:szCs w:val="20"/>
          <w:color w:val="auto"/>
        </w:rPr>
      </w:pPr>
    </w:p>
    <w:p>
      <w:pPr>
        <w:jc w:val="both"/>
        <w:ind w:right="40" w:firstLine="464"/>
        <w:spacing w:after="0" w:line="303" w:lineRule="auto"/>
        <w:tabs>
          <w:tab w:leader="none" w:pos="695" w:val="left"/>
        </w:tabs>
        <w:numPr>
          <w:ilvl w:val="1"/>
          <w:numId w:val="53"/>
        </w:numPr>
        <w:rPr>
          <w:rFonts w:ascii="Arial" w:cs="Arial" w:eastAsia="Arial" w:hAnsi="Arial"/>
          <w:sz w:val="15"/>
          <w:szCs w:val="15"/>
          <w:color w:val="auto"/>
        </w:rPr>
      </w:pPr>
      <w:r>
        <w:rPr>
          <w:rFonts w:ascii="Arial" w:cs="Arial" w:eastAsia="Arial" w:hAnsi="Arial"/>
          <w:sz w:val="15"/>
          <w:szCs w:val="15"/>
          <w:i w:val="1"/>
          <w:iCs w:val="1"/>
          <w:color w:val="auto"/>
        </w:rPr>
        <w:t xml:space="preserve">Corporate Transaction. </w:t>
      </w:r>
      <w:r>
        <w:rPr>
          <w:rFonts w:ascii="Arial" w:cs="Arial" w:eastAsia="Arial" w:hAnsi="Arial"/>
          <w:sz w:val="15"/>
          <w:szCs w:val="15"/>
          <w:color w:val="auto"/>
        </w:rPr>
        <w:t>Upon the happening of a merger, reorganization or sale of substantially all of the assets of the Company, the Administrator,</w:t>
      </w:r>
      <w:r>
        <w:rPr>
          <w:rFonts w:ascii="Arial" w:cs="Arial" w:eastAsia="Arial" w:hAnsi="Arial"/>
          <w:sz w:val="15"/>
          <w:szCs w:val="15"/>
          <w:i w:val="1"/>
          <w:iCs w:val="1"/>
          <w:color w:val="auto"/>
        </w:rPr>
        <w:t xml:space="preserve"> </w:t>
      </w:r>
      <w:r>
        <w:rPr>
          <w:rFonts w:ascii="Arial" w:cs="Arial" w:eastAsia="Arial" w:hAnsi="Arial"/>
          <w:sz w:val="15"/>
          <w:szCs w:val="15"/>
          <w:color w:val="auto"/>
        </w:rPr>
        <w:t>may, in its sole discretion, do one or more of the following: (i) shorten the period during which Options are exercisable (provided they remain exercisable for at least 30 days after the date notice of such shortening is given to the Optionees); (ii) accelerate any vesting schedule to which an Option or Stock Award is subject;</w:t>
      </w:r>
    </w:p>
    <w:p>
      <w:pPr>
        <w:spacing w:after="0" w:line="1" w:lineRule="exact"/>
        <w:rPr>
          <w:rFonts w:ascii="Arial" w:cs="Arial" w:eastAsia="Arial" w:hAnsi="Arial"/>
          <w:sz w:val="15"/>
          <w:szCs w:val="15"/>
          <w:color w:val="auto"/>
        </w:rPr>
      </w:pPr>
    </w:p>
    <w:p>
      <w:pPr>
        <w:ind w:firstLine="8"/>
        <w:spacing w:after="0" w:line="287" w:lineRule="auto"/>
        <w:tabs>
          <w:tab w:leader="none" w:pos="307" w:val="left"/>
        </w:tabs>
        <w:numPr>
          <w:ilvl w:val="0"/>
          <w:numId w:val="54"/>
        </w:numPr>
        <w:rPr>
          <w:rFonts w:ascii="Arial" w:cs="Arial" w:eastAsia="Arial" w:hAnsi="Arial"/>
          <w:sz w:val="16"/>
          <w:szCs w:val="16"/>
          <w:color w:val="auto"/>
        </w:rPr>
      </w:pPr>
      <w:r>
        <w:rPr>
          <w:rFonts w:ascii="Arial" w:cs="Arial" w:eastAsia="Arial" w:hAnsi="Arial"/>
          <w:sz w:val="16"/>
          <w:szCs w:val="16"/>
          <w:color w:val="auto"/>
        </w:rPr>
        <w:t>arrange to have the surviving or successor entity or any parent entity thereof assume the Stock Awards and the Options or grant replacement options with appropriate adjustments in the option prices and adjustments in the number and kind of securities issuable upon exercise or adjustments so that the Options or their replacements represent the right to purchase the shares of stock, securities or other property (including cash) as may be issuable or payable as a result of such transaction with respect to or in exchange for the number of Shares of Common Stock purchasable and receivable upon exercise of the Options had such exercise occurred in full prior to such transaction; or (iv) cancel Options or Stock Awards upon payment to the Optionees or Grantees in cash, with respect to each Option or Stock Award to the extent then exercisable or vested (including, if applicable, any Options or Stock Awards as to which the vesting schedule has been accelerated as contemplated in clause (ii) above), of an amount that is the equivalent of the excess of the Fair Market Value of the Common Stock (at the effective time of the merger, reorganization, sale or other event) over (in the case of Options) the exercise price of the Option. The Administrator may also provide for one or more of the foregoing alternatives in any particular Option Agreement or agreement governing a Stock Award.</w:t>
      </w:r>
    </w:p>
    <w:p>
      <w:pPr>
        <w:spacing w:after="0" w:line="120" w:lineRule="exact"/>
        <w:rPr>
          <w:sz w:val="20"/>
          <w:szCs w:val="20"/>
          <w:color w:val="auto"/>
        </w:rPr>
      </w:pPr>
    </w:p>
    <w:p>
      <w:pPr>
        <w:ind w:right="360" w:firstLine="8"/>
        <w:spacing w:after="0" w:line="259" w:lineRule="auto"/>
        <w:tabs>
          <w:tab w:leader="none" w:pos="263"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Date of Grant. </w:t>
      </w:r>
      <w:r>
        <w:rPr>
          <w:rFonts w:ascii="Arial" w:cs="Arial" w:eastAsia="Arial" w:hAnsi="Arial"/>
          <w:sz w:val="18"/>
          <w:szCs w:val="18"/>
          <w:color w:val="auto"/>
        </w:rPr>
        <w:t>The date of grant of an Option or Stock Award will be, for all purposes, the date as of which the Administrator makes the determination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granting such Option or Stock Award, or any other, later date determined by the Administrator and specified in the Option Agreement. Notice of the determination will be provided to each Grantee within a reasonable time after the date of grant.</w:t>
      </w:r>
    </w:p>
    <w:p>
      <w:pPr>
        <w:spacing w:after="0" w:line="140" w:lineRule="exact"/>
        <w:rPr>
          <w:rFonts w:ascii="Arial" w:cs="Arial" w:eastAsia="Arial" w:hAnsi="Arial"/>
          <w:sz w:val="18"/>
          <w:szCs w:val="18"/>
          <w:color w:val="auto"/>
        </w:rPr>
      </w:pPr>
    </w:p>
    <w:p>
      <w:pPr>
        <w:ind w:left="280" w:hanging="272"/>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Amendment and Termination of the Plan.</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1"/>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The Board may at any time amend, alter or suspend or terminate the Plan.</w:t>
      </w:r>
    </w:p>
    <w:p>
      <w:pPr>
        <w:spacing w:after="0" w:line="171" w:lineRule="exact"/>
        <w:rPr>
          <w:rFonts w:ascii="Arial" w:cs="Arial" w:eastAsia="Arial" w:hAnsi="Arial"/>
          <w:sz w:val="18"/>
          <w:szCs w:val="18"/>
          <w:color w:val="auto"/>
        </w:rPr>
      </w:pPr>
    </w:p>
    <w:p>
      <w:pPr>
        <w:ind w:firstLine="464"/>
        <w:spacing w:after="0" w:line="298" w:lineRule="auto"/>
        <w:tabs>
          <w:tab w:leader="none" w:pos="705" w:val="left"/>
        </w:tabs>
        <w:numPr>
          <w:ilvl w:val="1"/>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Shareholder Approval. </w:t>
      </w:r>
      <w:r>
        <w:rPr>
          <w:rFonts w:ascii="Arial" w:cs="Arial" w:eastAsia="Arial" w:hAnsi="Arial"/>
          <w:sz w:val="16"/>
          <w:szCs w:val="16"/>
          <w:color w:val="auto"/>
        </w:rPr>
        <w:t>The Company will obtain shareholder approval of any Plan amendment that increases the number of Shares for which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or Stock Awards may be granted, or to the extent necessary and desirable to comply with Section 422 of the Code (or any successor statute) or other Applicable Laws, or the requirements of any exchange or quotation system on which the Common Stock is listed or quoted. Such shareholder approval, if required, will be obtained in such a manner and to such a degree as is required by the Applicable Law or requirement.</w:t>
      </w:r>
    </w:p>
    <w:p>
      <w:pPr>
        <w:spacing w:after="0" w:line="112" w:lineRule="exact"/>
        <w:rPr>
          <w:rFonts w:ascii="Arial" w:cs="Arial" w:eastAsia="Arial" w:hAnsi="Arial"/>
          <w:sz w:val="16"/>
          <w:szCs w:val="16"/>
          <w:color w:val="auto"/>
        </w:rPr>
      </w:pPr>
    </w:p>
    <w:p>
      <w:pPr>
        <w:jc w:val="both"/>
        <w:ind w:right="400" w:firstLine="464"/>
        <w:spacing w:after="0" w:line="370" w:lineRule="auto"/>
        <w:tabs>
          <w:tab w:leader="none" w:pos="695" w:val="left"/>
        </w:tabs>
        <w:numPr>
          <w:ilvl w:val="1"/>
          <w:numId w:val="55"/>
        </w:numPr>
        <w:rPr>
          <w:rFonts w:ascii="Arial" w:cs="Arial" w:eastAsia="Arial" w:hAnsi="Arial"/>
          <w:sz w:val="15"/>
          <w:szCs w:val="15"/>
          <w:color w:val="auto"/>
        </w:rPr>
      </w:pPr>
      <w:r>
        <w:rPr>
          <w:rFonts w:ascii="Arial" w:cs="Arial" w:eastAsia="Arial" w:hAnsi="Arial"/>
          <w:sz w:val="15"/>
          <w:szCs w:val="15"/>
          <w:i w:val="1"/>
          <w:iCs w:val="1"/>
          <w:color w:val="auto"/>
        </w:rPr>
        <w:t xml:space="preserve">Effect of Amendment or Termination. </w:t>
      </w:r>
      <w:r>
        <w:rPr>
          <w:rFonts w:ascii="Arial" w:cs="Arial" w:eastAsia="Arial" w:hAnsi="Arial"/>
          <w:sz w:val="15"/>
          <w:szCs w:val="15"/>
          <w:color w:val="auto"/>
        </w:rPr>
        <w:t>No amendment, alteration, suspension or termination of the Plan will impair the rights of a Grantee, unless</w:t>
      </w:r>
      <w:r>
        <w:rPr>
          <w:rFonts w:ascii="Arial" w:cs="Arial" w:eastAsia="Arial" w:hAnsi="Arial"/>
          <w:sz w:val="15"/>
          <w:szCs w:val="15"/>
          <w:i w:val="1"/>
          <w:iCs w:val="1"/>
          <w:color w:val="auto"/>
        </w:rPr>
        <w:t xml:space="preserve"> </w:t>
      </w:r>
      <w:r>
        <w:rPr>
          <w:rFonts w:ascii="Arial" w:cs="Arial" w:eastAsia="Arial" w:hAnsi="Arial"/>
          <w:sz w:val="15"/>
          <w:szCs w:val="15"/>
          <w:color w:val="auto"/>
        </w:rPr>
        <w:t>mutually agreed otherwise between the Grantee and the Administrator. Any such agreement must be in writing and signed by the Grantee and the Company.</w:t>
      </w:r>
    </w:p>
    <w:p>
      <w:pPr>
        <w:spacing w:after="0" w:line="62" w:lineRule="exact"/>
        <w:rPr>
          <w:rFonts w:ascii="Arial" w:cs="Arial" w:eastAsia="Arial" w:hAnsi="Arial"/>
          <w:sz w:val="15"/>
          <w:szCs w:val="15"/>
          <w:color w:val="auto"/>
        </w:rPr>
      </w:pPr>
    </w:p>
    <w:p>
      <w:pPr>
        <w:ind w:left="280" w:hanging="272"/>
        <w:spacing w:after="0"/>
        <w:tabs>
          <w:tab w:leader="none" w:pos="28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Conditions Upon Issuance of Shares.</w:t>
      </w:r>
    </w:p>
    <w:p>
      <w:pPr>
        <w:spacing w:after="0" w:line="90" w:lineRule="exact"/>
        <w:rPr>
          <w:rFonts w:ascii="Arial" w:cs="Arial" w:eastAsia="Arial" w:hAnsi="Arial"/>
          <w:sz w:val="18"/>
          <w:szCs w:val="18"/>
          <w:color w:val="auto"/>
        </w:rPr>
      </w:pPr>
    </w:p>
    <w:p>
      <w:pPr>
        <w:ind w:right="20" w:firstLine="464"/>
        <w:spacing w:after="0" w:line="256" w:lineRule="auto"/>
        <w:tabs>
          <w:tab w:leader="none" w:pos="695" w:val="left"/>
        </w:tabs>
        <w:numPr>
          <w:ilvl w:val="1"/>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Legal Compliance. </w:t>
      </w:r>
      <w:r>
        <w:rPr>
          <w:rFonts w:ascii="Arial" w:cs="Arial" w:eastAsia="Arial" w:hAnsi="Arial"/>
          <w:sz w:val="18"/>
          <w:szCs w:val="18"/>
          <w:color w:val="auto"/>
        </w:rPr>
        <w:t>Shares will not be issued in connection with a Stock Award or pursuant to the exercise of an Option unless the exercise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Option and the issuance and delivery of such Shares will comply with all Applicable Laws, and will be further subject to the approval of counsel for the Company with respect to such compliance. Any securities delivered under the Plan will be subject to such restrictions, and the person acquiring such securities will, if requested by the Company, provide such assurances and representations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to the Company as the Company may deem necessary or desirable to assure compliance with all Applicable Laws. To the extent permitted by Applicable Laws, the Plan and Options and Stock Awards granted hereunder will be deemed amended to the extent necessary to conform to such laws, rules and regulations.</w:t>
      </w:r>
    </w:p>
    <w:p>
      <w:pPr>
        <w:spacing w:after="0" w:line="62" w:lineRule="exact"/>
        <w:rPr>
          <w:sz w:val="20"/>
          <w:szCs w:val="20"/>
          <w:color w:val="auto"/>
        </w:rPr>
      </w:pPr>
    </w:p>
    <w:p>
      <w:pPr>
        <w:ind w:right="260" w:firstLine="464"/>
        <w:spacing w:after="0" w:line="259" w:lineRule="auto"/>
        <w:tabs>
          <w:tab w:leader="none" w:pos="705" w:val="left"/>
        </w:tabs>
        <w:numPr>
          <w:ilvl w:val="1"/>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Investment Representation. </w:t>
      </w:r>
      <w:r>
        <w:rPr>
          <w:rFonts w:ascii="Arial" w:cs="Arial" w:eastAsia="Arial" w:hAnsi="Arial"/>
          <w:sz w:val="18"/>
          <w:szCs w:val="18"/>
          <w:color w:val="auto"/>
        </w:rPr>
        <w:t>As a condition to the exercise of an Option or grant of a Stock Award, the Company may require the person exercising</w:t>
      </w:r>
      <w:r>
        <w:rPr>
          <w:rFonts w:ascii="Arial" w:cs="Arial" w:eastAsia="Arial" w:hAnsi="Arial"/>
          <w:sz w:val="18"/>
          <w:szCs w:val="18"/>
          <w:i w:val="1"/>
          <w:iCs w:val="1"/>
          <w:color w:val="auto"/>
        </w:rPr>
        <w:t xml:space="preserve"> </w:t>
      </w:r>
      <w:r>
        <w:rPr>
          <w:rFonts w:ascii="Arial" w:cs="Arial" w:eastAsia="Arial" w:hAnsi="Arial"/>
          <w:sz w:val="18"/>
          <w:szCs w:val="18"/>
          <w:color w:val="auto"/>
        </w:rPr>
        <w:t>such Option or receiving such Stock Award to represent and warrant at the time of any such exercise or receipt that the Shares are being acquired only for investment and without any present intention to sell, transfer, or distribute such Shares.</w:t>
      </w:r>
    </w:p>
    <w:p>
      <w:pPr>
        <w:spacing w:after="0" w:line="140" w:lineRule="exact"/>
        <w:rPr>
          <w:rFonts w:ascii="Arial" w:cs="Arial" w:eastAsia="Arial" w:hAnsi="Arial"/>
          <w:sz w:val="18"/>
          <w:szCs w:val="18"/>
          <w:color w:val="auto"/>
        </w:rPr>
      </w:pPr>
    </w:p>
    <w:p>
      <w:pPr>
        <w:ind w:left="280" w:hanging="272"/>
        <w:spacing w:after="0"/>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Liability of Company.</w:t>
      </w:r>
    </w:p>
    <w:p>
      <w:pPr>
        <w:spacing w:after="0" w:line="90" w:lineRule="exact"/>
        <w:rPr>
          <w:rFonts w:ascii="Arial" w:cs="Arial" w:eastAsia="Arial" w:hAnsi="Arial"/>
          <w:sz w:val="18"/>
          <w:szCs w:val="18"/>
          <w:color w:val="auto"/>
        </w:rPr>
      </w:pPr>
    </w:p>
    <w:p>
      <w:pPr>
        <w:ind w:right="160" w:firstLine="464"/>
        <w:spacing w:after="0" w:line="259" w:lineRule="auto"/>
        <w:tabs>
          <w:tab w:leader="none" w:pos="695"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Inability to Obtain Authority. </w:t>
      </w:r>
      <w:r>
        <w:rPr>
          <w:rFonts w:ascii="Arial" w:cs="Arial" w:eastAsia="Arial" w:hAnsi="Arial"/>
          <w:sz w:val="18"/>
          <w:szCs w:val="18"/>
          <w:color w:val="auto"/>
        </w:rPr>
        <w:t>If the Company cannot, by the exercise of commercially reasonable efforts, obtain authority from any regulatory body</w:t>
      </w:r>
      <w:r>
        <w:rPr>
          <w:rFonts w:ascii="Arial" w:cs="Arial" w:eastAsia="Arial" w:hAnsi="Arial"/>
          <w:sz w:val="18"/>
          <w:szCs w:val="18"/>
          <w:i w:val="1"/>
          <w:iCs w:val="1"/>
          <w:color w:val="auto"/>
        </w:rPr>
        <w:t xml:space="preserve"> </w:t>
      </w:r>
      <w:r>
        <w:rPr>
          <w:rFonts w:ascii="Arial" w:cs="Arial" w:eastAsia="Arial" w:hAnsi="Arial"/>
          <w:sz w:val="18"/>
          <w:szCs w:val="18"/>
          <w:color w:val="auto"/>
        </w:rPr>
        <w:t>having jurisdiction for the sale of any Shares under this Plan, and such authority is deemed by the Company’s counsel to be necessary to the lawful issuance of those Shares, the Company will be relieved of any liability for failing to issue or sell those Shares.</w:t>
      </w:r>
    </w:p>
    <w:p>
      <w:pPr>
        <w:spacing w:after="0" w:line="140" w:lineRule="exact"/>
        <w:rPr>
          <w:rFonts w:ascii="Arial" w:cs="Arial" w:eastAsia="Arial" w:hAnsi="Arial"/>
          <w:sz w:val="18"/>
          <w:szCs w:val="18"/>
          <w:color w:val="auto"/>
        </w:rPr>
      </w:pPr>
    </w:p>
    <w:p>
      <w:pPr>
        <w:ind w:right="60" w:firstLine="464"/>
        <w:spacing w:after="0" w:line="256" w:lineRule="auto"/>
        <w:tabs>
          <w:tab w:leader="none" w:pos="705"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Grants Exceeding Allotted Shares. </w:t>
      </w:r>
      <w:r>
        <w:rPr>
          <w:rFonts w:ascii="Arial" w:cs="Arial" w:eastAsia="Arial" w:hAnsi="Arial"/>
          <w:sz w:val="18"/>
          <w:szCs w:val="18"/>
          <w:color w:val="auto"/>
        </w:rPr>
        <w:t>If the Optioned Stock covered by an Option or Shares subject to a Stock Award exceed, as of the date of grant,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which may be issued under the Plan without additional shareholder approval, that Option or Stock Award will be contingent with respect to such excess Shares, unless and until shareholder approval of an amendment sufficiently increasing the number of Shares subject to this Plan is timely obtained in accordance with Section 17(b).</w:t>
      </w:r>
    </w:p>
    <w:p>
      <w:pPr>
        <w:spacing w:after="0" w:line="143" w:lineRule="exact"/>
        <w:rPr>
          <w:rFonts w:ascii="Arial" w:cs="Arial" w:eastAsia="Arial" w:hAnsi="Arial"/>
          <w:sz w:val="18"/>
          <w:szCs w:val="18"/>
          <w:color w:val="auto"/>
        </w:rPr>
      </w:pPr>
    </w:p>
    <w:p>
      <w:pPr>
        <w:ind w:right="40" w:firstLine="464"/>
        <w:spacing w:after="0" w:line="256" w:lineRule="auto"/>
        <w:tabs>
          <w:tab w:leader="none" w:pos="695"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Rights of Participants and Beneficiaries. </w:t>
      </w:r>
      <w:r>
        <w:rPr>
          <w:rFonts w:ascii="Arial" w:cs="Arial" w:eastAsia="Arial" w:hAnsi="Arial"/>
          <w:sz w:val="18"/>
          <w:szCs w:val="18"/>
          <w:color w:val="auto"/>
        </w:rPr>
        <w:t>The Company will pay all amounts payable under this Plan only to the Grantee, or beneficiaries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pursuant to this Plan. The Company will not be liable for the debts, contracts, or engagements of any Grantee or his or her beneficiaries, and rights to cash payments under this Plan may not be taken in execution by attachment or garnishment, or by any other legal or equitable proceeding while in the hands of the Company.</w:t>
      </w:r>
    </w:p>
    <w:p>
      <w:pPr>
        <w:spacing w:after="0" w:line="143" w:lineRule="exact"/>
        <w:rPr>
          <w:rFonts w:ascii="Arial" w:cs="Arial" w:eastAsia="Arial" w:hAnsi="Arial"/>
          <w:sz w:val="18"/>
          <w:szCs w:val="18"/>
          <w:color w:val="auto"/>
        </w:rPr>
      </w:pPr>
    </w:p>
    <w:p>
      <w:pPr>
        <w:ind w:right="880" w:firstLine="8"/>
        <w:spacing w:after="0" w:line="268" w:lineRule="auto"/>
        <w:tabs>
          <w:tab w:leader="none" w:pos="263"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Reservation of Shares. </w:t>
      </w:r>
      <w:r>
        <w:rPr>
          <w:rFonts w:ascii="Arial" w:cs="Arial" w:eastAsia="Arial" w:hAnsi="Arial"/>
          <w:sz w:val="18"/>
          <w:szCs w:val="18"/>
          <w:color w:val="auto"/>
        </w:rPr>
        <w:t>The Company will at all times reserve and keep available for issuance a number of Shares sufficient to satisfy this Plan’s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during its term.</w:t>
      </w:r>
    </w:p>
    <w:p>
      <w:pPr>
        <w:spacing w:after="0" w:line="131" w:lineRule="exact"/>
        <w:rPr>
          <w:rFonts w:ascii="Arial" w:cs="Arial" w:eastAsia="Arial" w:hAnsi="Arial"/>
          <w:sz w:val="18"/>
          <w:szCs w:val="18"/>
          <w:color w:val="auto"/>
        </w:rPr>
      </w:pPr>
    </w:p>
    <w:p>
      <w:pPr>
        <w:ind w:firstLine="8"/>
        <w:spacing w:after="0" w:line="255" w:lineRule="auto"/>
        <w:tabs>
          <w:tab w:leader="none" w:pos="263"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Shareholder Approval. </w:t>
      </w:r>
      <w:r>
        <w:rPr>
          <w:rFonts w:ascii="Arial" w:cs="Arial" w:eastAsia="Arial" w:hAnsi="Arial"/>
          <w:sz w:val="18"/>
          <w:szCs w:val="18"/>
          <w:color w:val="auto"/>
        </w:rPr>
        <w:t>Continuance of this Plan will be subject to approval by the shareholders of the Company within 12 months before or after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its adoption. Such shareholder approval will be obtained in the manner and to the degree required under Applicable Laws. Options or Stock Awards may be granted but Options may not be exercised prior to shareholder approval of the Plan. If any Options or Stock Awards are so granted and shareholder approval is not obtained within 12 months of the date of adoption of this Plan by the Board, those Options or Stock Awards will terminate retroactively as of the date they were granted.</w:t>
      </w:r>
    </w:p>
    <w:p>
      <w:pPr>
        <w:spacing w:after="0" w:line="142" w:lineRule="exact"/>
        <w:rPr>
          <w:rFonts w:ascii="Arial" w:cs="Arial" w:eastAsia="Arial" w:hAnsi="Arial"/>
          <w:sz w:val="18"/>
          <w:szCs w:val="18"/>
          <w:color w:val="auto"/>
        </w:rPr>
      </w:pPr>
    </w:p>
    <w:p>
      <w:pPr>
        <w:ind w:right="140" w:firstLine="8"/>
        <w:spacing w:after="0" w:line="294" w:lineRule="auto"/>
        <w:tabs>
          <w:tab w:leader="none" w:pos="263"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Legending Stock Certificates. </w:t>
      </w:r>
      <w:r>
        <w:rPr>
          <w:rFonts w:ascii="Arial" w:cs="Arial" w:eastAsia="Arial" w:hAnsi="Arial"/>
          <w:sz w:val="16"/>
          <w:szCs w:val="16"/>
          <w:color w:val="auto"/>
        </w:rPr>
        <w:t>In order to enforce any restrictions imposed upon Common Stock issued in connection with a Stock Award or upon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of an Option granted under this Plan or to which such Common Stock may be subject, the Administrator may cause a legend or legends to be placed on any certificates representing such Common Stock, which legend or legends will make appropriate reference to such restrictions, including, but not limited to, a restriction against sale of such Common Stock for any period of time as may be required by Applicable Laws. Additionally, and not by way of limitation, the Administrator may impose such restrictions on any Common Stock issued pursuant to the Plan as it may deem advisable.</w:t>
      </w:r>
    </w:p>
    <w:p>
      <w:pPr>
        <w:spacing w:after="0" w:line="115" w:lineRule="exact"/>
        <w:rPr>
          <w:rFonts w:ascii="Arial" w:cs="Arial" w:eastAsia="Arial" w:hAnsi="Arial"/>
          <w:sz w:val="16"/>
          <w:szCs w:val="16"/>
          <w:color w:val="auto"/>
        </w:rPr>
      </w:pPr>
    </w:p>
    <w:p>
      <w:pPr>
        <w:ind w:right="260" w:firstLine="8"/>
        <w:spacing w:after="0" w:line="306" w:lineRule="auto"/>
        <w:tabs>
          <w:tab w:leader="none" w:pos="263"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No Employment Rights. </w:t>
      </w:r>
      <w:r>
        <w:rPr>
          <w:rFonts w:ascii="Arial" w:cs="Arial" w:eastAsia="Arial" w:hAnsi="Arial"/>
          <w:sz w:val="16"/>
          <w:szCs w:val="16"/>
          <w:color w:val="auto"/>
        </w:rPr>
        <w:t>Neither this Plan nor any Option or Stock Award will confer upon a Grantee any right with respect to continuing the Grantee’s</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or consulting relationship with the Company, or continuing service as a Director, nor will they interfere in any way with the Grantee’s right or the Company’s right to terminate such employment or consulting relationship or directorship at any time, with or without cause.</w:t>
      </w:r>
    </w:p>
    <w:p>
      <w:pPr>
        <w:spacing w:after="0" w:line="106" w:lineRule="exact"/>
        <w:rPr>
          <w:rFonts w:ascii="Arial" w:cs="Arial" w:eastAsia="Arial" w:hAnsi="Arial"/>
          <w:sz w:val="16"/>
          <w:szCs w:val="16"/>
          <w:color w:val="auto"/>
        </w:rPr>
      </w:pPr>
    </w:p>
    <w:p>
      <w:pPr>
        <w:ind w:right="180" w:firstLine="8"/>
        <w:spacing w:after="0" w:line="268" w:lineRule="auto"/>
        <w:tabs>
          <w:tab w:leader="none" w:pos="263"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Plan will be governed by, and construed in accordance with the laws of the State of Nevada (without giving effect to conflicts of law</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Proxy For Annual Meeting Of Stockholders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May 12, 2010</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undersigned stockholder of Wynn Resorts, Limited, a Nevada corporation (the “Company”), hereby appoints Stephen A. Wynn, Kim Sinatra or Kevin Tourek any of them, as proxies for the undersigned, each with full power of substitution to attend the Annual Meeting of Stockholders of the Company to be held on May 12, 2010 at 11 a.m., local time, in the Encore Theater at Wynn Las Vegas, 3131 Las Vegas Boulevard South, Las Vegas, Nevada, and at any adjournment(s) or postponement(s) thereof, to cast on behalf of the undersigned all votes that the undersigned is entitled to cast at such Annual Meeting and otherwise to represent the undersigned at the Annual Meeting, with the same effect as if the undersigned were present. The undersigned instructs such proxies or their substitutes to act on the following matters as specified by the undersigned, and to vote in such manner as they may determine on any other matters that may properly come before the Annual Meeting. The undersigned hereby acknowledges receipt of the Notice of Annual Meeting of Stockholders and the accompanying Proxy Statement and revokes any proxy previously given with respect to such shares.</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BOARD OF DIRECTORS RECOMMENDS A VOTE “FOR” PROPOSAL NOS. 1, 2 AND 3</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FOLD AND DETACH HERE</w:t>
      </w:r>
    </w:p>
    <w:p>
      <w:pPr>
        <w:sectPr>
          <w:pgSz w:w="11900" w:h="16838" w:orient="portrait"/>
          <w:cols w:equalWidth="0" w:num="1">
            <w:col w:w="11340"/>
          </w:cols>
          <w:pgMar w:left="240" w:top="459" w:right="3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WYNN RESORTS, LIMITED</w:t>
      </w:r>
    </w:p>
    <w:p>
      <w:pPr>
        <w:spacing w:after="0" w:line="90"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PLEASE VOTE, DATE AND SIGN, AND RETURN PROMPTLY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THE ENCLOSED ENVELOPE</w:t>
      </w:r>
    </w:p>
    <w:p>
      <w:pPr>
        <w:spacing w:after="0" w:line="205" w:lineRule="exact"/>
        <w:rPr>
          <w:sz w:val="20"/>
          <w:szCs w:val="20"/>
          <w:color w:val="auto"/>
        </w:rPr>
      </w:pPr>
    </w:p>
    <w:p>
      <w:pPr>
        <w:ind w:left="460" w:right="40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elect the following four Class II directors to serve as such until the 2013 Annual Meeting of Stockholders and until their successors are elected and qualified, or until such director’s earlier death, resignation or removal;</w:t>
      </w:r>
    </w:p>
    <w:p>
      <w:pPr>
        <w:sectPr>
          <w:pgSz w:w="11900" w:h="16838" w:orient="portrait"/>
          <w:cols w:equalWidth="0" w:num="1">
            <w:col w:w="11400"/>
          </w:cols>
          <w:pgMar w:left="240" w:top="459" w:right="259" w:bottom="1440" w:gutter="0" w:footer="0" w:header="0"/>
        </w:sectPr>
      </w:pPr>
    </w:p>
    <w:p>
      <w:pPr>
        <w:spacing w:after="0" w:line="17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Nominees: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Ray R. Irani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Alvin V. Shoemaker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 Boone Wayson</w:t>
      </w:r>
    </w:p>
    <w:p>
      <w:pPr>
        <w:spacing w:after="0" w:line="155" w:lineRule="exact"/>
        <w:rPr>
          <w:sz w:val="20"/>
          <w:szCs w:val="20"/>
          <w:color w:val="auto"/>
        </w:rPr>
      </w:pPr>
    </w:p>
    <w:p>
      <w:pPr>
        <w:sectPr>
          <w:pgSz w:w="11900" w:h="16838" w:orient="portrait"/>
          <w:cols w:equalWidth="0" w:num="2">
            <w:col w:w="1680" w:space="700"/>
            <w:col w:w="9020"/>
          </w:cols>
          <w:pgMar w:left="240" w:top="459" w:right="259" w:bottom="1440" w:gutter="0" w:footer="0" w:header="0"/>
          <w:type w:val="continuous"/>
        </w:sectPr>
      </w:pPr>
    </w:p>
    <w:p>
      <w:pPr>
        <w:ind w:left="260" w:hanging="252"/>
        <w:spacing w:after="0" w:line="207" w:lineRule="exact"/>
        <w:tabs>
          <w:tab w:leader="none" w:pos="260" w:val="left"/>
        </w:tabs>
        <w:numPr>
          <w:ilvl w:val="0"/>
          <w:numId w:val="59"/>
        </w:numPr>
        <w:rPr>
          <w:rFonts w:ascii="MS PGothic" w:cs="MS PGothic" w:eastAsia="MS PGothic" w:hAnsi="MS PGothic"/>
          <w:sz w:val="18"/>
          <w:szCs w:val="18"/>
          <w:color w:val="auto"/>
        </w:rPr>
      </w:pPr>
      <w:r>
        <w:rPr>
          <w:rFonts w:ascii="Arial" w:cs="Arial" w:eastAsia="Arial" w:hAnsi="Arial"/>
          <w:sz w:val="18"/>
          <w:szCs w:val="18"/>
          <w:color w:val="auto"/>
        </w:rPr>
        <w:t>FOR ALL NOMINEES</w:t>
      </w:r>
      <w:r>
        <w:rPr>
          <w:rFonts w:ascii="MS PGothic" w:cs="MS PGothic" w:eastAsia="MS PGothic" w:hAnsi="MS PGothic"/>
          <w:sz w:val="16"/>
          <w:szCs w:val="16"/>
          <w:color w:val="auto"/>
        </w:rPr>
        <w:t xml:space="preserve">☐ </w:t>
      </w:r>
      <w:r>
        <w:rPr>
          <w:rFonts w:ascii="Arial" w:cs="Arial" w:eastAsia="Arial" w:hAnsi="Arial"/>
          <w:sz w:val="16"/>
          <w:szCs w:val="16"/>
          <w:color w:val="auto"/>
        </w:rPr>
        <w:t>WITHHOLD AS TO ALL NOMINEES</w:t>
      </w:r>
    </w:p>
    <w:p>
      <w:pPr>
        <w:spacing w:after="0" w:line="203" w:lineRule="exact"/>
        <w:rPr>
          <w:rFonts w:ascii="MS PGothic" w:cs="MS PGothic" w:eastAsia="MS PGothic" w:hAnsi="MS PGothic"/>
          <w:sz w:val="18"/>
          <w:szCs w:val="18"/>
          <w:color w:val="auto"/>
        </w:rPr>
      </w:pPr>
    </w:p>
    <w:p>
      <w:pPr>
        <w:ind w:left="260" w:hanging="252"/>
        <w:spacing w:after="0"/>
        <w:tabs>
          <w:tab w:leader="none" w:pos="260" w:val="left"/>
        </w:tabs>
        <w:numPr>
          <w:ilvl w:val="0"/>
          <w:numId w:val="59"/>
        </w:numPr>
        <w:rPr>
          <w:rFonts w:ascii="MS PGothic" w:cs="MS PGothic" w:eastAsia="MS PGothic" w:hAnsi="MS PGothic"/>
          <w:sz w:val="18"/>
          <w:szCs w:val="18"/>
          <w:color w:val="auto"/>
        </w:rPr>
      </w:pPr>
      <w:r>
        <w:rPr>
          <w:rFonts w:ascii="Arial" w:cs="Arial" w:eastAsia="Arial" w:hAnsi="Arial"/>
          <w:sz w:val="18"/>
          <w:szCs w:val="18"/>
          <w:color w:val="auto"/>
        </w:rPr>
        <w:t>FOR ALL NOMINEES(S) (Except as written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474345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hanging="452"/>
        <w:spacing w:after="0" w:line="259"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approve amendments to the Company’s 2002 Stock Incentive Plan to increase the number of shares of the Company’s common stock subject to the 2002 Stock Incentive Plan from 9,750,000 shares to 12,750,000 shares, to extend the term of the Plan to 2022, and to remove the ability of the Administrator to reprice stock options;</w:t>
      </w:r>
    </w:p>
    <w:p>
      <w:pPr>
        <w:spacing w:after="0" w:line="108" w:lineRule="exact"/>
        <w:rPr>
          <w:sz w:val="20"/>
          <w:szCs w:val="20"/>
          <w:color w:val="auto"/>
        </w:rPr>
      </w:pPr>
    </w:p>
    <w:p>
      <w:pPr>
        <w:spacing w:after="0" w:line="207" w:lineRule="exact"/>
        <w:tabs>
          <w:tab w:leader="none" w:pos="1100" w:val="left"/>
          <w:tab w:leader="none" w:pos="26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ABSTAIN</w:t>
      </w:r>
    </w:p>
    <w:p>
      <w:pPr>
        <w:spacing w:after="0" w:line="244"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ratify the Audit Committee’s appointment of Ernst &amp; Young, LLP as the independent auditors for the Company and all of its subsidiaries for 2010; and</w:t>
      </w:r>
    </w:p>
    <w:p>
      <w:pPr>
        <w:spacing w:after="0" w:line="162" w:lineRule="exact"/>
        <w:rPr>
          <w:sz w:val="20"/>
          <w:szCs w:val="20"/>
          <w:color w:val="auto"/>
        </w:rPr>
      </w:pPr>
    </w:p>
    <w:p>
      <w:pPr>
        <w:spacing w:after="0" w:line="207" w:lineRule="exact"/>
        <w:tabs>
          <w:tab w:leader="none" w:pos="1100" w:val="left"/>
          <w:tab w:leader="none" w:pos="26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ABSTAIN</w:t>
      </w:r>
    </w:p>
    <w:p>
      <w:pPr>
        <w:spacing w:after="0" w:line="244"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 consider and transact such other business as may properly come before the Annual Meeting or any adjournment or postponement thereof.</w:t>
      </w:r>
    </w:p>
    <w:p>
      <w:pPr>
        <w:spacing w:after="0" w:line="194" w:lineRule="exact"/>
        <w:rPr>
          <w:rFonts w:ascii="Arial" w:cs="Arial" w:eastAsia="Arial" w:hAnsi="Arial"/>
          <w:sz w:val="16"/>
          <w:szCs w:val="16"/>
          <w:color w:val="auto"/>
        </w:rPr>
      </w:pPr>
    </w:p>
    <w:p>
      <w:pPr>
        <w:ind w:left="3220" w:hanging="245"/>
        <w:spacing w:after="0"/>
        <w:tabs>
          <w:tab w:leader="none" w:pos="3220" w:val="left"/>
        </w:tabs>
        <w:numPr>
          <w:ilvl w:val="1"/>
          <w:numId w:val="62"/>
        </w:numPr>
        <w:rPr>
          <w:rFonts w:ascii="MS PGothic" w:cs="MS PGothic" w:eastAsia="MS PGothic" w:hAnsi="MS PGothic"/>
          <w:sz w:val="18"/>
          <w:szCs w:val="18"/>
          <w:color w:val="auto"/>
        </w:rPr>
      </w:pPr>
      <w:r>
        <w:rPr>
          <w:rFonts w:ascii="Arial" w:cs="Arial" w:eastAsia="Arial" w:hAnsi="Arial"/>
          <w:sz w:val="18"/>
          <w:szCs w:val="18"/>
          <w:color w:val="auto"/>
        </w:rPr>
        <w:t>CHECK HERE IF YOU PLAN TO ATTEND THE ANNUAL MEETING</w:t>
      </w:r>
    </w:p>
    <w:p>
      <w:pPr>
        <w:spacing w:after="0" w:line="16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THE VOTES ENTITLED TO BE CAST BY THE UNDERSIGNED WILL BE CAST IN ACCORDANCE WITH THE SPECIFICATIONS MADE. IF THIS PROXY IS EXECUTED BUT NO SPECIFICATION IS MADE, THE VOTES ENTITLED TO BE CAST BY THE UNDERSIGNED WILL BE CAST “FOR” PROPOSAL NOS. 1, 2 AND 3 AND OTHERWISE IN THE DISCRETION OF THE PROXIES AT THE ANNUAL MEETING OR ANY ADJOURNMENT OR POSTPONEMENT THEREOF.</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Sign, date and return the proxy card promptly using the enclosed envelope.</w:t>
      </w:r>
    </w:p>
    <w:p>
      <w:pPr>
        <w:spacing w:after="0" w:line="293"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10795</wp:posOffset>
            </wp:positionV>
            <wp:extent cx="67576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pacing w:after="0" w:line="17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-13970</wp:posOffset>
            </wp:positionV>
            <wp:extent cx="5575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Please sign exactly as your name appears hereon and date. If the shares are held jointly, each holder should sign. When signing as an attorney, executor, administrator, trustee, guardian or as an officer, signing for a corporation or other entity, please give full title under signature.</w:t>
      </w:r>
    </w:p>
    <w:sectPr>
      <w:pgSz w:w="11900" w:h="16838" w:orient="portrait"/>
      <w:cols w:equalWidth="0" w:num="1">
        <w:col w:w="11400"/>
      </w:cols>
      <w:pgMar w:left="240" w:top="459"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lvl w:ilvl="1">
      <w:lvlJc w:val="left"/>
      <w:lvlText w:val="(%2)"/>
      <w:numFmt w:val="decimal"/>
      <w:start w:val="1"/>
    </w:lvl>
  </w:abstractNum>
  <w:abstractNum w:abstractNumId="3">
    <w:nsid w:val="4516DDE9"/>
    <w:multiLevelType w:val="hybridMultilevel"/>
    <w:lvl w:ilvl="0">
      <w:lvlJc w:val="left"/>
      <w:lvlText w:val="%1."/>
      <w:numFmt w:val="decimal"/>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1)"/>
      <w:numFmt w:val="lowerRoman"/>
      <w:start w:val="1"/>
    </w:lvl>
  </w:abstractNum>
  <w:abstractNum w:abstractNumId="6">
    <w:nsid w:val="419AC241"/>
    <w:multiLevelType w:val="hybridMultilevel"/>
    <w:lvl w:ilvl="0">
      <w:lvlJc w:val="left"/>
      <w:lvlText w:val="(%1)"/>
      <w:numFmt w:val="decimal"/>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1)"/>
      <w:numFmt w:val="decimal"/>
      <w:start w:val="1"/>
    </w:lvl>
  </w:abstractNum>
  <w:abstractNum w:abstractNumId="9">
    <w:nsid w:val="5072367"/>
    <w:multiLevelType w:val="hybridMultilevel"/>
    <w:lvl w:ilvl="0">
      <w:lvlJc w:val="left"/>
      <w:lvlText w:val="(%1)"/>
      <w:numFmt w:val="decimal"/>
      <w:start w:val="4"/>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1)"/>
      <w:numFmt w:val="decimal"/>
      <w:start w:val="1"/>
    </w:lvl>
    <w:lvl w:ilvl="1">
      <w:lvlJc w:val="left"/>
      <w:lvlText w:val="(%2)"/>
      <w:numFmt w:val="lowerRoman"/>
      <w:start w:val="1"/>
    </w:lvl>
  </w:abstractNum>
  <w:abstractNum w:abstractNumId="15">
    <w:nsid w:val="5E884ADC"/>
    <w:multiLevelType w:val="hybridMultilevel"/>
    <w:lvl w:ilvl="0">
      <w:lvlJc w:val="left"/>
      <w:lvlText w:val="(%1)"/>
      <w:numFmt w:val="decimal"/>
      <w:start w:val="4"/>
    </w:lvl>
  </w:abstractNum>
  <w:abstractNum w:abstractNumId="16">
    <w:nsid w:val="51EAD36B"/>
    <w:multiLevelType w:val="hybridMultilevel"/>
    <w:lvl w:ilvl="0">
      <w:lvlJc w:val="left"/>
      <w:lvlText w:val="(%1)"/>
      <w:numFmt w:val="decimal"/>
      <w:start w:val="1"/>
    </w:lvl>
    <w:lvl w:ilvl="1">
      <w:lvlJc w:val="left"/>
      <w:lvlText w:val="(%2)"/>
      <w:numFmt w:val="lowerRoman"/>
      <w:start w:val="1"/>
    </w:lvl>
  </w:abstractNum>
  <w:abstractNum w:abstractNumId="17">
    <w:nsid w:val="2D517796"/>
    <w:multiLevelType w:val="hybridMultilevel"/>
    <w:lvl w:ilvl="0">
      <w:lvlJc w:val="left"/>
      <w:lvlText w:val="(%1)"/>
      <w:numFmt w:val="lowerRoman"/>
      <w:start w:val="1"/>
    </w:lvl>
  </w:abstractNum>
  <w:abstractNum w:abstractNumId="18">
    <w:nsid w:val="580BD78F"/>
    <w:multiLevelType w:val="hybridMultilevel"/>
    <w:lvl w:ilvl="0">
      <w:lvlJc w:val="left"/>
      <w:lvlText w:val="(%1)"/>
      <w:numFmt w:val="lowerRoman"/>
      <w:start w:val="1"/>
    </w:lvl>
  </w:abstractNum>
  <w:abstractNum w:abstractNumId="19">
    <w:nsid w:val="153EA438"/>
    <w:multiLevelType w:val="hybridMultilevel"/>
    <w:lvl w:ilvl="0">
      <w:lvlJc w:val="left"/>
      <w:lvlText w:val="(%1)"/>
      <w:numFmt w:val="lowerRoman"/>
      <w:start w:val="5"/>
    </w:lvl>
  </w:abstractNum>
  <w:abstractNum w:abstractNumId="20">
    <w:nsid w:val="3855585C"/>
    <w:multiLevelType w:val="hybridMultilevel"/>
    <w:lvl w:ilvl="0">
      <w:lvlJc w:val="left"/>
      <w:lvlText w:val="(%1)"/>
      <w:numFmt w:val="lowerRoman"/>
      <w:start w:val="1"/>
    </w:lvl>
  </w:abstractNum>
  <w:abstractNum w:abstractNumId="21">
    <w:nsid w:val="70A64E2A"/>
    <w:multiLevelType w:val="hybridMultilevel"/>
    <w:lvl w:ilvl="0">
      <w:lvlJc w:val="left"/>
      <w:lvlText w:val="(%1)"/>
      <w:numFmt w:val="lowerRoman"/>
      <w:start w:val="1"/>
    </w:lvl>
  </w:abstractNum>
  <w:abstractNum w:abstractNumId="22">
    <w:nsid w:val="6A2342EC"/>
    <w:multiLevelType w:val="hybridMultilevel"/>
    <w:lvl w:ilvl="0">
      <w:lvlJc w:val="left"/>
      <w:lvlText w:val="(%1)"/>
      <w:numFmt w:val="decimal"/>
      <w:start w:val="1"/>
    </w:lvl>
  </w:abstractNum>
  <w:abstractNum w:abstractNumId="23">
    <w:nsid w:val="2A487CB0"/>
    <w:multiLevelType w:val="hybridMultilevel"/>
    <w:lvl w:ilvl="0">
      <w:lvlJc w:val="left"/>
      <w:lvlText w:val="(%1)"/>
      <w:numFmt w:val="decimal"/>
      <w:start w:val="1"/>
    </w:lvl>
    <w:lvl w:ilvl="1">
      <w:lvlJc w:val="left"/>
      <w:lvlText w:val="%2."/>
      <w:numFmt w:val="lowerLetter"/>
      <w:start w:val="1"/>
    </w:lvl>
  </w:abstractNum>
  <w:abstractNum w:abstractNumId="24">
    <w:nsid w:val="1D4ED43B"/>
    <w:multiLevelType w:val="hybridMultilevel"/>
    <w:lvl w:ilvl="0">
      <w:lvlJc w:val="left"/>
      <w:lvlText w:val="(%1)"/>
      <w:numFmt w:val="decimal"/>
      <w:start w:val="3"/>
    </w:lvl>
    <w:lvl w:ilvl="1">
      <w:lvlJc w:val="left"/>
      <w:lvlText w:val="%2."/>
      <w:numFmt w:val="lowerLetter"/>
      <w:start w:val="1"/>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1)"/>
      <w:numFmt w:val="decimal"/>
      <w:start w:val="1"/>
    </w:lvl>
  </w:abstractNum>
  <w:abstractNum w:abstractNumId="27">
    <w:nsid w:val="57E4CCAF"/>
    <w:multiLevelType w:val="hybridMultilevel"/>
    <w:lvl w:ilvl="0">
      <w:lvlJc w:val="left"/>
      <w:lvlText w:val="(%1)"/>
      <w:numFmt w:val="decimal"/>
      <w:start w:val="3"/>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1)"/>
      <w:numFmt w:val="decimal"/>
      <w:start w:val="1"/>
    </w:lvl>
  </w:abstractNum>
  <w:abstractNum w:abstractNumId="31">
    <w:nsid w:val="6DE91B18"/>
    <w:multiLevelType w:val="hybridMultilevel"/>
    <w:lvl w:ilvl="0">
      <w:lvlJc w:val="left"/>
      <w:lvlText w:val="(%1)"/>
      <w:numFmt w:val="decimal"/>
      <w:start w:val="3"/>
    </w:lvl>
  </w:abstractNum>
  <w:abstractNum w:abstractNumId="32">
    <w:nsid w:val="38437FDB"/>
    <w:multiLevelType w:val="hybridMultilevel"/>
    <w:lvl w:ilvl="0">
      <w:lvlJc w:val="left"/>
      <w:lvlText w:val="(%1)"/>
      <w:numFmt w:val="decimal"/>
      <w:start w:val="1"/>
    </w:lvl>
  </w:abstractNum>
  <w:abstractNum w:abstractNumId="33">
    <w:nsid w:val="7644A45C"/>
    <w:multiLevelType w:val="hybridMultilevel"/>
    <w:lvl w:ilvl="0">
      <w:lvlJc w:val="left"/>
      <w:lvlText w:val="(%1)"/>
      <w:numFmt w:val="lowerLetter"/>
      <w:start w:val="2"/>
    </w:lvl>
  </w:abstractNum>
  <w:abstractNum w:abstractNumId="34">
    <w:nsid w:val="32FFF902"/>
    <w:multiLevelType w:val="hybridMultilevel"/>
    <w:lvl w:ilvl="0">
      <w:lvlJc w:val="left"/>
      <w:lvlText w:val="(%1)"/>
      <w:numFmt w:val="lowerLetter"/>
      <w:start w:val="2"/>
    </w:lvl>
  </w:abstractNum>
  <w:abstractNum w:abstractNumId="35">
    <w:nsid w:val="684A481A"/>
    <w:multiLevelType w:val="hybridMultilevel"/>
    <w:lvl w:ilvl="0">
      <w:lvlJc w:val="left"/>
      <w:lvlText w:val="%1."/>
      <w:numFmt w:val="decimal"/>
      <w:start w:val="1"/>
    </w:lvl>
    <w:lvl w:ilvl="1">
      <w:lvlJc w:val="left"/>
      <w:lvlText w:val="(%2)"/>
      <w:numFmt w:val="lowerLetter"/>
      <w:start w:val="1"/>
    </w:lvl>
  </w:abstractNum>
  <w:abstractNum w:abstractNumId="36">
    <w:nsid w:val="579478FE"/>
    <w:multiLevelType w:val="hybridMultilevel"/>
    <w:lvl w:ilvl="0">
      <w:lvlJc w:val="left"/>
      <w:lvlText w:val="(%1)"/>
      <w:numFmt w:val="lowerLetter"/>
      <w:start w:val="10"/>
    </w:lvl>
  </w:abstractNum>
  <w:abstractNum w:abstractNumId="37">
    <w:nsid w:val="749ABB43"/>
    <w:multiLevelType w:val="hybridMultilevel"/>
    <w:lvl w:ilvl="0">
      <w:lvlJc w:val="left"/>
      <w:lvlText w:val="(%1)"/>
      <w:numFmt w:val="lowerLetter"/>
      <w:start w:val="11"/>
    </w:lvl>
    <w:lvl w:ilvl="1">
      <w:lvlJc w:val="left"/>
      <w:lvlText w:val="(%2)"/>
      <w:numFmt w:val="lowerRoman"/>
      <w:start w:val="1"/>
    </w:lvl>
  </w:abstractNum>
  <w:abstractNum w:abstractNumId="38">
    <w:nsid w:val="3DC240FB"/>
    <w:multiLevelType w:val="hybridMultilevel"/>
    <w:lvl w:ilvl="0">
      <w:lvlJc w:val="left"/>
      <w:lvlText w:val="(%1)"/>
      <w:numFmt w:val="lowerLetter"/>
      <w:start w:val="17"/>
    </w:lvl>
  </w:abstractNum>
  <w:abstractNum w:abstractNumId="39">
    <w:nsid w:val="1BA026FA"/>
    <w:multiLevelType w:val="hybridMultilevel"/>
    <w:lvl w:ilvl="0">
      <w:lvlJc w:val="left"/>
      <w:lvlText w:val="(%1)"/>
      <w:numFmt w:val="lowerLetter"/>
      <w:start w:val="27"/>
    </w:lvl>
  </w:abstractNum>
  <w:abstractNum w:abstractNumId="40">
    <w:nsid w:val="79A1DEAA"/>
    <w:multiLevelType w:val="hybridMultilevel"/>
    <w:lvl w:ilvl="0">
      <w:lvlJc w:val="left"/>
      <w:lvlText w:val="%1."/>
      <w:numFmt w:val="decimal"/>
      <w:start w:val="3"/>
    </w:lvl>
  </w:abstractNum>
  <w:abstractNum w:abstractNumId="41">
    <w:nsid w:val="75C6C33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2">
    <w:nsid w:val="12E685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0"/>
    </w:lvl>
  </w:abstractNum>
  <w:abstractNum w:abstractNumId="43">
    <w:nsid w:val="70C6A52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4">
    <w:nsid w:val="520EEDD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5">
    <w:nsid w:val="374A3FE6"/>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6">
    <w:nsid w:val="4F4EF005"/>
    <w:multiLevelType w:val="hybridMultilevel"/>
    <w:lvl w:ilvl="0">
      <w:lvlJc w:val="left"/>
      <w:lvlText w:val="(%1)"/>
      <w:numFmt w:val="lowerLetter"/>
      <w:start w:val="2"/>
    </w:lvl>
  </w:abstractNum>
  <w:abstractNum w:abstractNumId="47">
    <w:nsid w:val="23F9C13C"/>
    <w:multiLevelType w:val="hybridMultilevel"/>
    <w:lvl w:ilvl="0">
      <w:lvlJc w:val="left"/>
      <w:lvlText w:val="%1"/>
      <w:numFmt w:val="decimal"/>
      <w:start w:val="1"/>
    </w:lvl>
    <w:lvl w:ilvl="1">
      <w:lvlJc w:val="left"/>
      <w:lvlText w:val="(%2)"/>
      <w:numFmt w:val="lowerLetter"/>
      <w:start w:val="6"/>
    </w:lvl>
  </w:abstractNum>
  <w:abstractNum w:abstractNumId="48">
    <w:nsid w:val="649BB77C"/>
    <w:multiLevelType w:val="hybridMultilevel"/>
    <w:lvl w:ilvl="0">
      <w:lvlJc w:val="left"/>
      <w:lvlText w:val="%1."/>
      <w:numFmt w:val="decimal"/>
      <w:start w:val="12"/>
    </w:lvl>
    <w:lvl w:ilvl="1">
      <w:lvlJc w:val="left"/>
      <w:lvlText w:val="(%2)"/>
      <w:numFmt w:val="lowerLetter"/>
      <w:start w:val="1"/>
    </w:lvl>
  </w:abstractNum>
  <w:abstractNum w:abstractNumId="49">
    <w:nsid w:val="275AC794"/>
    <w:multiLevelType w:val="hybridMultilevel"/>
    <w:lvl w:ilvl="0">
      <w:lvlJc w:val="left"/>
      <w:lvlText w:val="%1"/>
      <w:numFmt w:val="decimal"/>
      <w:start w:val="1"/>
    </w:lvl>
    <w:lvl w:ilvl="1">
      <w:lvlJc w:val="left"/>
      <w:lvlText w:val="(%2)"/>
      <w:numFmt w:val="lowerLetter"/>
      <w:start w:val="3"/>
    </w:lvl>
  </w:abstractNum>
  <w:abstractNum w:abstractNumId="50">
    <w:nsid w:val="39386575"/>
    <w:multiLevelType w:val="hybridMultilevel"/>
    <w:lvl w:ilvl="0">
      <w:lvlJc w:val="left"/>
      <w:lvlText w:val="%1."/>
      <w:numFmt w:val="decimal"/>
      <w:start w:val="14"/>
    </w:lvl>
    <w:lvl w:ilvl="1">
      <w:lvlJc w:val="left"/>
      <w:lvlText w:val="(%2)"/>
      <w:numFmt w:val="lowerLetter"/>
      <w:start w:val="1"/>
    </w:lvl>
  </w:abstractNum>
  <w:abstractNum w:abstractNumId="51">
    <w:nsid w:val="1CF10FD8"/>
    <w:multiLevelType w:val="hybridMultilevel"/>
    <w:lvl w:ilvl="0">
      <w:lvlJc w:val="left"/>
      <w:lvlText w:val="(%1)"/>
      <w:numFmt w:val="lowerLetter"/>
      <w:start w:val="2"/>
    </w:lvl>
  </w:abstractNum>
  <w:abstractNum w:abstractNumId="52">
    <w:nsid w:val="180115BE"/>
    <w:multiLevelType w:val="hybridMultilevel"/>
    <w:lvl w:ilvl="0">
      <w:lvlJc w:val="left"/>
      <w:lvlText w:val="%1"/>
      <w:numFmt w:val="lowerLetter"/>
      <w:start w:val="1"/>
    </w:lvl>
    <w:lvl w:ilvl="1">
      <w:lvlJc w:val="left"/>
      <w:lvlText w:val="(%2)"/>
      <w:numFmt w:val="lowerLetter"/>
      <w:start w:val="3"/>
    </w:lvl>
  </w:abstractNum>
  <w:abstractNum w:abstractNumId="53">
    <w:nsid w:val="235BA861"/>
    <w:multiLevelType w:val="hybridMultilevel"/>
    <w:lvl w:ilvl="0">
      <w:lvlJc w:val="left"/>
      <w:lvlText w:val="(%1)"/>
      <w:numFmt w:val="lowerLetter"/>
      <w:start w:val="61"/>
    </w:lvl>
    <w:lvl w:ilvl="1">
      <w:lvlJc w:val="left"/>
      <w:lvlText w:val="%2"/>
      <w:numFmt w:val="lowerLetter"/>
      <w:start w:val="1"/>
    </w:lvl>
  </w:abstractNum>
  <w:abstractNum w:abstractNumId="54">
    <w:nsid w:val="47398C89"/>
    <w:multiLevelType w:val="hybridMultilevel"/>
    <w:lvl w:ilvl="0">
      <w:lvlJc w:val="left"/>
      <w:lvlText w:val="%1."/>
      <w:numFmt w:val="decimal"/>
      <w:start w:val="16"/>
    </w:lvl>
    <w:lvl w:ilvl="1">
      <w:lvlJc w:val="left"/>
      <w:lvlText w:val="(%2)"/>
      <w:numFmt w:val="lowerLetter"/>
      <w:start w:val="1"/>
    </w:lvl>
  </w:abstractNum>
  <w:abstractNum w:abstractNumId="55">
    <w:nsid w:val="354FE9F9"/>
    <w:multiLevelType w:val="hybridMultilevel"/>
    <w:lvl w:ilvl="0">
      <w:lvlJc w:val="left"/>
      <w:lvlText w:val="%1"/>
      <w:numFmt w:val="decimal"/>
      <w:start w:val="1"/>
    </w:lvl>
    <w:lvl w:ilvl="1">
      <w:lvlJc w:val="left"/>
      <w:lvlText w:val="(%2)"/>
      <w:numFmt w:val="lowerLetter"/>
      <w:start w:val="2"/>
    </w:lvl>
  </w:abstractNum>
  <w:abstractNum w:abstractNumId="56">
    <w:nsid w:val="15B5AF5C"/>
    <w:multiLevelType w:val="hybridMultilevel"/>
    <w:lvl w:ilvl="0">
      <w:lvlJc w:val="left"/>
      <w:lvlText w:val="%1."/>
      <w:numFmt w:val="decimal"/>
      <w:start w:val="19"/>
    </w:lvl>
    <w:lvl w:ilvl="1">
      <w:lvlJc w:val="left"/>
      <w:lvlText w:val="(%2)"/>
      <w:numFmt w:val="lowerLetter"/>
      <w:start w:val="1"/>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1."/>
      <w:numFmt w:val="decimal"/>
      <w:start w:val="2"/>
    </w:lvl>
  </w:abstractNum>
  <w:abstractNum w:abstractNumId="60">
    <w:nsid w:val="3F6AB60F"/>
    <w:multiLevelType w:val="hybridMultilevel"/>
    <w:lvl w:ilvl="0">
      <w:lvlJc w:val="left"/>
      <w:lvlText w:val="%1."/>
      <w:numFmt w:val="decimal"/>
      <w:start w:val="3"/>
    </w:lvl>
  </w:abstractNum>
  <w:abstractNum w:abstractNumId="61">
    <w:nsid w:val="61574095"/>
    <w:multiLevelType w:val="hybridMultilevel"/>
    <w:lvl w:ilvl="0">
      <w:lvlJc w:val="left"/>
      <w:lvlText w:val="%1."/>
      <w:numFmt w:val="decimal"/>
      <w:start w:val="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2019-12-10T21:03:55Z</dcterms:created>
  <dcterms:modified xsi:type="dcterms:W3CDTF">2019-12-10T21:03:55Z</dcterms:modified>
</cp:coreProperties>
</file>