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33"/>
        </w:trPr>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582295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98" w:lineRule="exact"/>
        <w:rPr>
          <w:sz w:val="20"/>
          <w:szCs w:val="20"/>
          <w:color w:val="auto"/>
        </w:rPr>
      </w:pPr>
    </w:p>
    <w:p>
      <w:pPr>
        <w:jc w:val="both"/>
        <w:ind w:right="20" w:firstLine="347"/>
        <w:spacing w:after="0" w:line="270" w:lineRule="auto"/>
        <w:rPr>
          <w:sz w:val="20"/>
          <w:szCs w:val="20"/>
          <w:color w:val="auto"/>
        </w:rPr>
      </w:pPr>
      <w:r>
        <w:rPr>
          <w:rFonts w:ascii="Times New Roman" w:cs="Times New Roman" w:eastAsia="Times New Roman" w:hAnsi="Times New Roman"/>
          <w:sz w:val="15"/>
          <w:szCs w:val="15"/>
          <w:color w:val="auto"/>
        </w:rPr>
        <w:t>On August 18, 2025 (August 19, 2025 Hong Kong time), Wynn Macau, Limited ("WML"), an indirect subsidiary of Wynn Resorts, Limited (the "Registrant") with its ordinary shares of common stock listed on The Stock Exchange of Hong Kong Limited (the "HKSE"), completed its offering (the "Offering") of $1.0 billion aggregate principal amount of 6.750% senior notes due 2034 (the "Notes"). The Notes were issued pursuant to an indenture, dated as of August 19, 2025 (the "Indenture"), between, WML and Deutsche Bank Trust Company Americas, as trustee.</w:t>
      </w:r>
    </w:p>
    <w:p>
      <w:pPr>
        <w:spacing w:after="0" w:line="173"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WML expects to receive net proceeds of approximately $989.0 million from the Offering of the Notes after deducting discounts, commissions and estimated expenses payable by WML and to use the net proceeds for general corporate purposes, including repayment of outstanding indebtedness, such as amounts outstanding under the WM Cayman II Revolver and/or one or more series of existing WML senior notes. The following is a brief description of certain terms and conditions of the Indenture and the Notes.</w:t>
      </w:r>
    </w:p>
    <w:p>
      <w:pPr>
        <w:spacing w:after="0" w:line="169"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5"/>
          <w:szCs w:val="15"/>
          <w:color w:val="auto"/>
        </w:rPr>
        <w:t>At any time prior to August 15, 2028, WML may use the net cash proceeds from certain equity offerings to redeem up to 35% of the aggregate principal amount of the Notes at a redemption price of 106.750% of the aggregate principal amount of the Notes, plus accrued and unpaid interest, if any. At any time prior to August 15, 2028, WML may redeem the Notes in whole or in part at a redemption price equal to the greater of (a) 100% of the aggregate principal amount of the Notes to be redeemed, or (b) a make-whole amount as determined by an independent investment banker in accordance with the terms of the Indenture, in either case, plus accrued and unpaid interest.</w:t>
      </w:r>
    </w:p>
    <w:p>
      <w:pPr>
        <w:spacing w:after="0" w:line="173" w:lineRule="exact"/>
        <w:rPr>
          <w:sz w:val="20"/>
          <w:szCs w:val="20"/>
          <w:color w:val="auto"/>
        </w:rPr>
      </w:pPr>
    </w:p>
    <w:p>
      <w:pPr>
        <w:jc w:val="both"/>
        <w:ind w:firstLine="347"/>
        <w:spacing w:after="0" w:line="266" w:lineRule="auto"/>
        <w:rPr>
          <w:sz w:val="20"/>
          <w:szCs w:val="20"/>
          <w:color w:val="auto"/>
        </w:rPr>
      </w:pPr>
      <w:r>
        <w:rPr>
          <w:rFonts w:ascii="Times New Roman" w:cs="Times New Roman" w:eastAsia="Times New Roman" w:hAnsi="Times New Roman"/>
          <w:sz w:val="15"/>
          <w:szCs w:val="15"/>
          <w:color w:val="auto"/>
        </w:rPr>
        <w:t>In addition, on or after August 15, 2028, WML may redeem the Notes in whole or in part at a premium decreasing annually from 103.375% of the applicable principal amount to 100.000%, plus accrued and unpaid interest. If WML undergoes a Change of Control (as defined in the Indenture), it must offer to repurchase the Notes at a price equal to 101% of the aggregate principal amount thereof, plus accrued and unpaid interest. In addition, WML may redeem the Notes, in whole but not in part, at a redemption price equal to 100% of the principal amount, plus accrued and unpaid interest, in response to any change in or amendment to certain tax laws or tax positions. Further, if a holder or beneficial owner of the Notes fails to meet certain requirements imposed by any Gaming Authority (as defined in the Indenture), WML may require the holder or beneficial owner to dispose of or redeem its Notes.</w:t>
      </w:r>
    </w:p>
    <w:p>
      <w:pPr>
        <w:spacing w:after="0" w:line="364" w:lineRule="exact"/>
        <w:rPr>
          <w:sz w:val="20"/>
          <w:szCs w:val="20"/>
          <w:color w:val="auto"/>
        </w:rPr>
      </w:pPr>
    </w:p>
    <w:p>
      <w:pPr>
        <w:jc w:val="both"/>
        <w:ind w:firstLine="347"/>
        <w:spacing w:after="0" w:line="267" w:lineRule="auto"/>
        <w:rPr>
          <w:sz w:val="20"/>
          <w:szCs w:val="20"/>
          <w:color w:val="auto"/>
        </w:rPr>
      </w:pPr>
      <w:r>
        <w:rPr>
          <w:rFonts w:ascii="Times New Roman" w:cs="Times New Roman" w:eastAsia="Times New Roman" w:hAnsi="Times New Roman"/>
          <w:sz w:val="15"/>
          <w:szCs w:val="15"/>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Notes will have the right to require WML to repurchase all or any part of such holder’s Notes at a purchase price in cash equal to 100% of the principal amount thereof, plus accrued and unpaid interest.</w:t>
      </w:r>
    </w:p>
    <w:p>
      <w:pPr>
        <w:spacing w:after="0" w:line="175"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5"/>
          <w:szCs w:val="15"/>
          <w:color w:val="auto"/>
        </w:rPr>
        <w:t>The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collateral securing such debt; and will be structurally subordinated to all existing and future obligations of WML’s subsidiaries, including the WM Cayman II Revolver. The Notes are not registered under the Securities Act of 1933, as amended (the “Securities Act”), and the Notes are subject to restrictions on transferability and resale.</w:t>
      </w:r>
    </w:p>
    <w:p>
      <w:pPr>
        <w:spacing w:after="0" w:line="173" w:lineRule="exact"/>
        <w:rPr>
          <w:sz w:val="20"/>
          <w:szCs w:val="20"/>
          <w:color w:val="auto"/>
        </w:rPr>
      </w:pPr>
    </w:p>
    <w:p>
      <w:pPr>
        <w:jc w:val="both"/>
        <w:ind w:firstLine="347"/>
        <w:spacing w:after="0" w:line="264" w:lineRule="auto"/>
        <w:rPr>
          <w:sz w:val="20"/>
          <w:szCs w:val="20"/>
          <w:color w:val="auto"/>
        </w:rPr>
      </w:pPr>
      <w:r>
        <w:rPr>
          <w:rFonts w:ascii="Times New Roman" w:cs="Times New Roman" w:eastAsia="Times New Roman" w:hAnsi="Times New Roman"/>
          <w:sz w:val="15"/>
          <w:szCs w:val="15"/>
          <w:color w:val="auto"/>
        </w:rPr>
        <w:t>The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Indenture contain customary events of default, including, but not limited to: default for 30 days in the payment when due of interest on the Notes; default in the payment when due of the principal of, or premium, if any, on the Notes; failure to comply with any payment obligations relating to the repurchase by WML of the Notes upon a change of control; failure to comply with certain covenants in the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Notes then outstanding will become due and payable immediately without further action or notice.</w:t>
      </w:r>
    </w:p>
    <w:p>
      <w:pPr>
        <w:spacing w:after="0" w:line="366" w:lineRule="exact"/>
        <w:rPr>
          <w:sz w:val="20"/>
          <w:szCs w:val="20"/>
          <w:color w:val="auto"/>
        </w:rPr>
      </w:pPr>
    </w:p>
    <w:p>
      <w:pPr>
        <w:ind w:right="80" w:firstLine="347"/>
        <w:spacing w:after="0" w:line="295" w:lineRule="auto"/>
        <w:rPr>
          <w:sz w:val="20"/>
          <w:szCs w:val="20"/>
          <w:color w:val="auto"/>
        </w:rPr>
      </w:pPr>
      <w:r>
        <w:rPr>
          <w:rFonts w:ascii="Times New Roman" w:cs="Times New Roman" w:eastAsia="Times New Roman" w:hAnsi="Times New Roman"/>
          <w:sz w:val="15"/>
          <w:szCs w:val="15"/>
          <w:color w:val="auto"/>
        </w:rPr>
        <w:t>The foregoing description of the Indenture is qualified in its entirety by reference to the full text of the Indenture, which is filed herewith as Exhibit 4.1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572770</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2.01</w:t>
      </w:r>
      <w:r>
        <w:rPr>
          <w:sz w:val="20"/>
          <w:szCs w:val="20"/>
          <w:color w:val="auto"/>
        </w:rPr>
        <w:tab/>
      </w:r>
      <w:r>
        <w:rPr>
          <w:rFonts w:ascii="Times New Roman" w:cs="Times New Roman" w:eastAsia="Times New Roman" w:hAnsi="Times New Roman"/>
          <w:sz w:val="15"/>
          <w:szCs w:val="15"/>
          <w:b w:val="1"/>
          <w:bCs w:val="1"/>
          <w:color w:val="auto"/>
        </w:rPr>
        <w:t>Creation of a Direct Financial Obligation.</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The information set forth in Item 1.01 is incorporated herein by reference.</w:t>
      </w:r>
    </w:p>
    <w:p>
      <w:pPr>
        <w:spacing w:after="0" w:line="25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86"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On August 19, 2025, WML filed with the HKSE (1) a notice indicating that WML submitted an application to the HKSE for the listing of and permission to deal in the Notes (the “Listing Notice”) and (2) an announcement regarding the closing of the issuance of the Notes (the “Closing Announcement”). The Registrant owns approximately 72% of WML's ordinary shares of common stock. The Listing Notice and Closing Announcement are furnished herewith as Exhibits 99.1 and 99.2, respectively.</w:t>
      </w:r>
    </w:p>
    <w:p>
      <w:pPr>
        <w:spacing w:after="0" w:line="169"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and the exhibits attached to this Current Report on Form 8-K shall not be deemed to be “filed” for purposes of Section 18 of the Securities Exchange Act of 1934, as amended, nor shall it be deemed incorporated by reference in any filing under the Securities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c>
          <w:tcPr>
            <w:tcW w:w="0" w:type="dxa"/>
            <w:vAlign w:val="bottom"/>
          </w:tcPr>
          <w:p>
            <w:pPr>
              <w:spacing w:after="0"/>
              <w:rPr>
                <w:sz w:val="1"/>
                <w:szCs w:val="1"/>
                <w:color w:val="auto"/>
              </w:rPr>
            </w:pPr>
          </w:p>
        </w:tc>
      </w:tr>
      <w:tr>
        <w:trPr>
          <w:trHeight w:val="382"/>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98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720" w:type="dxa"/>
            <w:vAlign w:val="bottom"/>
          </w:tcPr>
          <w:p>
            <w:pPr>
              <w:spacing w:after="0"/>
              <w:rPr>
                <w:sz w:val="23"/>
                <w:szCs w:val="23"/>
                <w:color w:val="auto"/>
              </w:rPr>
            </w:pPr>
          </w:p>
        </w:tc>
        <w:tc>
          <w:tcPr>
            <w:tcW w:w="992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FF"/>
              </w:rPr>
              <w:t>Indenture, dated as of August 19, 2025, by and between Wynn Macau, Limited and Deutsche Bank Trust Company Americas, as trustee, related to senior notes</w:t>
            </w: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9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20" w:type="dxa"/>
            <w:vAlign w:val="bottom"/>
            <w:tcBorders>
              <w:top w:val="single" w:sz="8" w:color="0000FF"/>
            </w:tcBorders>
            <w:gridSpan w:val="4"/>
          </w:tcPr>
          <w:p>
            <w:pPr>
              <w:spacing w:after="0" w:line="131" w:lineRule="exact"/>
              <w:rPr>
                <w:sz w:val="20"/>
                <w:szCs w:val="20"/>
                <w:color w:val="auto"/>
              </w:rPr>
            </w:pPr>
            <w:r>
              <w:rPr>
                <w:rFonts w:ascii="Times New Roman" w:cs="Times New Roman" w:eastAsia="Times New Roman" w:hAnsi="Times New Roman"/>
                <w:sz w:val="15"/>
                <w:szCs w:val="15"/>
                <w:color w:val="0000FF"/>
              </w:rPr>
              <w:t>due 2034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16"/>
                <w:szCs w:val="16"/>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Notice of Listing on the Stock Exchange of Hong Kong Limited, dated August 19, 2025</w:t>
            </w:r>
          </w:p>
        </w:tc>
        <w:tc>
          <w:tcPr>
            <w:tcW w:w="0" w:type="dxa"/>
            <w:vAlign w:val="bottom"/>
          </w:tcPr>
          <w:p>
            <w:pPr>
              <w:spacing w:after="0"/>
              <w:rPr>
                <w:sz w:val="1"/>
                <w:szCs w:val="1"/>
                <w:color w:val="auto"/>
              </w:rPr>
            </w:pPr>
          </w:p>
        </w:tc>
      </w:tr>
      <w:tr>
        <w:trPr>
          <w:trHeight w:val="177"/>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99.2</w:t>
            </w:r>
          </w:p>
        </w:tc>
        <w:tc>
          <w:tcPr>
            <w:tcW w:w="720" w:type="dxa"/>
            <w:vAlign w:val="bottom"/>
          </w:tcPr>
          <w:p>
            <w:pPr>
              <w:spacing w:after="0"/>
              <w:rPr>
                <w:sz w:val="15"/>
                <w:szCs w:val="15"/>
                <w:color w:val="auto"/>
              </w:rPr>
            </w:pPr>
          </w:p>
        </w:tc>
        <w:tc>
          <w:tcPr>
            <w:tcW w:w="4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Closing Announcement of Wynn Macau, Limited, dated August 19, 2025</w:t>
            </w:r>
          </w:p>
        </w:tc>
        <w:tc>
          <w:tcPr>
            <w:tcW w:w="900" w:type="dxa"/>
            <w:vAlign w:val="bottom"/>
            <w:tcBorders>
              <w:top w:val="single" w:sz="8" w:color="0000FF"/>
            </w:tcBorders>
          </w:tcPr>
          <w:p>
            <w:pPr>
              <w:spacing w:after="0"/>
              <w:rPr>
                <w:sz w:val="15"/>
                <w:szCs w:val="15"/>
                <w:color w:val="auto"/>
              </w:rPr>
            </w:pPr>
          </w:p>
        </w:tc>
        <w:tc>
          <w:tcPr>
            <w:tcW w:w="4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034"/>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 w:name="page4"/>
    <w:bookmarkEnd w:id="3"/>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80"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Dated: August 19, 2025</w:t>
            </w:r>
          </w:p>
        </w:tc>
        <w:tc>
          <w:tcPr>
            <w:tcW w:w="3100" w:type="dxa"/>
            <w:vAlign w:val="bottom"/>
          </w:tcPr>
          <w:p>
            <w:pPr>
              <w:ind w:left="2480"/>
              <w:spacing w:after="0"/>
              <w:rPr>
                <w:sz w:val="20"/>
                <w:szCs w:val="20"/>
                <w:color w:val="auto"/>
              </w:rPr>
            </w:pPr>
            <w:r>
              <w:rPr>
                <w:rFonts w:ascii="Times New Roman" w:cs="Times New Roman" w:eastAsia="Times New Roman" w:hAnsi="Times New Roman"/>
                <w:sz w:val="15"/>
                <w:szCs w:val="15"/>
                <w:color w:val="auto"/>
              </w:rPr>
              <w:t>By:</w:t>
            </w:r>
          </w:p>
        </w:tc>
        <w:tc>
          <w:tcPr>
            <w:tcW w:w="3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86"/>
        </w:trPr>
        <w:tc>
          <w:tcPr>
            <w:tcW w:w="39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3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340"/>
          </w:cols>
          <w:pgMar w:left="320" w:top="781"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1213485</wp:posOffset>
            </wp:positionV>
            <wp:extent cx="715200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color w:val="auto"/>
        </w:rPr>
        <w:t>WYNN MACAU, LIMITED</w:t>
      </w:r>
    </w:p>
    <w:p>
      <w:pPr>
        <w:spacing w:after="0" w:line="18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color w:val="auto"/>
        </w:rPr>
        <w:t>6.750% SENIOR NOTES DUE 2034</w:t>
      </w:r>
    </w:p>
    <w:p>
      <w:pPr>
        <w:spacing w:after="0" w:line="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u w:val="single" w:color="auto"/>
          <w:color w:val="auto"/>
        </w:rPr>
        <w:t>______________________</w:t>
      </w:r>
    </w:p>
    <w:p>
      <w:pPr>
        <w:spacing w:after="0" w:line="200" w:lineRule="exact"/>
        <w:rPr>
          <w:sz w:val="20"/>
          <w:szCs w:val="20"/>
          <w:color w:val="auto"/>
        </w:rPr>
      </w:pPr>
    </w:p>
    <w:p>
      <w:pPr>
        <w:spacing w:after="0" w:line="3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color w:val="auto"/>
        </w:rPr>
        <w:t>INDENTURE</w:t>
      </w:r>
    </w:p>
    <w:p>
      <w:pPr>
        <w:spacing w:after="0" w:line="19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color w:val="auto"/>
        </w:rPr>
        <w:t>Dated as of August 19, 2025</w:t>
      </w:r>
    </w:p>
    <w:p>
      <w:pPr>
        <w:spacing w:after="0" w:line="200" w:lineRule="exact"/>
        <w:rPr>
          <w:sz w:val="20"/>
          <w:szCs w:val="20"/>
          <w:color w:val="auto"/>
        </w:rPr>
      </w:pPr>
    </w:p>
    <w:p>
      <w:pPr>
        <w:spacing w:after="0" w:line="38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u w:val="single" w:color="auto"/>
          <w:color w:val="auto"/>
        </w:rPr>
        <w:t>______________________</w:t>
      </w:r>
    </w:p>
    <w:p>
      <w:pPr>
        <w:spacing w:after="0" w:line="18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2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color w:val="auto"/>
        </w:rPr>
        <w:t>Trustee</w:t>
      </w:r>
    </w:p>
    <w:p>
      <w:pPr>
        <w:spacing w:after="0" w:line="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u w:val="single" w:color="auto"/>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252730</wp:posOffset>
            </wp:positionV>
            <wp:extent cx="715200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280" w:type="dxa"/>
            <w:vAlign w:val="bottom"/>
          </w:tcPr>
          <w:p>
            <w:pPr>
              <w:jc w:val="center"/>
              <w:ind w:right="3827"/>
              <w:spacing w:after="0"/>
              <w:rPr>
                <w:sz w:val="20"/>
                <w:szCs w:val="20"/>
                <w:color w:val="auto"/>
              </w:rPr>
            </w:pPr>
            <w:r>
              <w:rPr>
                <w:rFonts w:ascii="Times New Roman" w:cs="Times New Roman" w:eastAsia="Times New Roman" w:hAnsi="Times New Roman"/>
                <w:sz w:val="19"/>
                <w:szCs w:val="19"/>
                <w:color w:val="auto"/>
                <w:w w:val="96"/>
              </w:rPr>
              <w:t>TABLE OF CONTENTS</w:t>
            </w:r>
          </w:p>
        </w:tc>
      </w:tr>
      <w:tr>
        <w:trPr>
          <w:trHeight w:val="521"/>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Page</w:t>
            </w:r>
          </w:p>
        </w:tc>
      </w:tr>
      <w:tr>
        <w:trPr>
          <w:trHeight w:val="289"/>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80" w:type="dxa"/>
            <w:vAlign w:val="bottom"/>
          </w:tcPr>
          <w:p>
            <w:pPr>
              <w:jc w:val="center"/>
              <w:ind w:right="3887"/>
              <w:spacing w:after="0"/>
              <w:rPr>
                <w:sz w:val="20"/>
                <w:szCs w:val="20"/>
                <w:color w:val="auto"/>
              </w:rPr>
            </w:pPr>
            <w:r>
              <w:rPr>
                <w:rFonts w:ascii="Times New Roman" w:cs="Times New Roman" w:eastAsia="Times New Roman" w:hAnsi="Times New Roman"/>
                <w:sz w:val="19"/>
                <w:szCs w:val="19"/>
                <w:color w:val="auto"/>
                <w:w w:val="95"/>
              </w:rPr>
              <w:t>ARTICLE 1</w:t>
            </w:r>
          </w:p>
        </w:tc>
      </w:tr>
      <w:tr>
        <w:trPr>
          <w:trHeight w:val="243"/>
        </w:trPr>
        <w:tc>
          <w:tcPr>
            <w:tcW w:w="9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7280" w:type="dxa"/>
            <w:vAlign w:val="bottom"/>
          </w:tcPr>
          <w:p>
            <w:pPr>
              <w:jc w:val="center"/>
              <w:ind w:right="3847"/>
              <w:spacing w:after="0"/>
              <w:rPr>
                <w:sz w:val="20"/>
                <w:szCs w:val="20"/>
                <w:color w:val="auto"/>
              </w:rPr>
            </w:pPr>
            <w:r>
              <w:rPr>
                <w:rFonts w:ascii="Times New Roman" w:cs="Times New Roman" w:eastAsia="Times New Roman" w:hAnsi="Times New Roman"/>
                <w:sz w:val="19"/>
                <w:szCs w:val="19"/>
                <w:color w:val="auto"/>
                <w:w w:val="96"/>
              </w:rPr>
              <w:t>DEFINITIONS AND INCORPORATION</w:t>
            </w:r>
          </w:p>
        </w:tc>
      </w:tr>
      <w:tr>
        <w:trPr>
          <w:trHeight w:val="255"/>
        </w:trPr>
        <w:tc>
          <w:tcPr>
            <w:tcW w:w="9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7280" w:type="dxa"/>
            <w:vAlign w:val="bottom"/>
          </w:tcPr>
          <w:p>
            <w:pPr>
              <w:jc w:val="center"/>
              <w:ind w:right="3827"/>
              <w:spacing w:after="0"/>
              <w:rPr>
                <w:sz w:val="20"/>
                <w:szCs w:val="20"/>
                <w:color w:val="auto"/>
              </w:rPr>
            </w:pPr>
            <w:r>
              <w:rPr>
                <w:rFonts w:ascii="Times New Roman" w:cs="Times New Roman" w:eastAsia="Times New Roman" w:hAnsi="Times New Roman"/>
                <w:sz w:val="19"/>
                <w:szCs w:val="19"/>
                <w:color w:val="auto"/>
                <w:w w:val="97"/>
              </w:rPr>
              <w:t>BY REFERENCE</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1.01</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Definitions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1.02</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Definitions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1.03</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Rules of Construction</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89"/>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80" w:type="dxa"/>
            <w:vAlign w:val="bottom"/>
          </w:tcPr>
          <w:p>
            <w:pPr>
              <w:jc w:val="center"/>
              <w:ind w:right="3847"/>
              <w:spacing w:after="0"/>
              <w:rPr>
                <w:sz w:val="20"/>
                <w:szCs w:val="20"/>
                <w:color w:val="auto"/>
              </w:rPr>
            </w:pPr>
            <w:r>
              <w:rPr>
                <w:rFonts w:ascii="Times New Roman" w:cs="Times New Roman" w:eastAsia="Times New Roman" w:hAnsi="Times New Roman"/>
                <w:sz w:val="19"/>
                <w:szCs w:val="19"/>
                <w:color w:val="auto"/>
                <w:w w:val="95"/>
              </w:rPr>
              <w:t>ARTICLE 2</w:t>
            </w:r>
          </w:p>
        </w:tc>
      </w:tr>
      <w:tr>
        <w:trPr>
          <w:trHeight w:val="243"/>
        </w:trPr>
        <w:tc>
          <w:tcPr>
            <w:tcW w:w="9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7280" w:type="dxa"/>
            <w:vAlign w:val="bottom"/>
          </w:tcPr>
          <w:p>
            <w:pPr>
              <w:jc w:val="center"/>
              <w:ind w:right="3827"/>
              <w:spacing w:after="0"/>
              <w:rPr>
                <w:sz w:val="20"/>
                <w:szCs w:val="20"/>
                <w:color w:val="auto"/>
              </w:rPr>
            </w:pPr>
            <w:r>
              <w:rPr>
                <w:rFonts w:ascii="Times New Roman" w:cs="Times New Roman" w:eastAsia="Times New Roman" w:hAnsi="Times New Roman"/>
                <w:sz w:val="19"/>
                <w:szCs w:val="19"/>
                <w:color w:val="auto"/>
                <w:w w:val="97"/>
              </w:rPr>
              <w:t>THE NOTES</w:t>
            </w:r>
          </w:p>
        </w:tc>
      </w:tr>
      <w:tr>
        <w:trPr>
          <w:trHeight w:val="301"/>
        </w:trPr>
        <w:tc>
          <w:tcPr>
            <w:tcW w:w="3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2.01 Form and Dating</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r>
      <w:tr>
        <w:trPr>
          <w:trHeight w:val="289"/>
        </w:trPr>
        <w:tc>
          <w:tcPr>
            <w:tcW w:w="3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2.02 Execution and Authentication</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89"/>
        </w:trPr>
        <w:tc>
          <w:tcPr>
            <w:tcW w:w="3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2.03 Registrar and Paying Agent</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89"/>
        </w:trPr>
        <w:tc>
          <w:tcPr>
            <w:tcW w:w="3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2.04 Paying Agent to Hold Money in Trust</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2.05</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Holder Lists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r>
      <w:tr>
        <w:trPr>
          <w:trHeight w:val="289"/>
        </w:trPr>
        <w:tc>
          <w:tcPr>
            <w:tcW w:w="3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2.06 Transfer and Exchange</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2.07</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Replacement Notes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2.08</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Outstanding Notes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2.09</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Treasury Notes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2.10</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Temporary Notes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2.11</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Cancelation</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2.12</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Defaulted Interest</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2.13</w:t>
            </w:r>
          </w:p>
        </w:tc>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Issuance of Additional Notes</w:t>
            </w:r>
          </w:p>
        </w:tc>
        <w:tc>
          <w:tcPr>
            <w:tcW w:w="7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220"/>
          </w:cols>
          <w:pgMar w:left="320" w:top="129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2.14</w:t>
            </w:r>
          </w:p>
        </w:tc>
        <w:tc>
          <w:tcPr>
            <w:tcW w:w="8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CUSIP Numbers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89"/>
        </w:trPr>
        <w:tc>
          <w:tcPr>
            <w:tcW w:w="980" w:type="dxa"/>
            <w:vAlign w:val="bottom"/>
          </w:tcPr>
          <w:p>
            <w:pPr>
              <w:spacing w:after="0"/>
              <w:rPr>
                <w:sz w:val="24"/>
                <w:szCs w:val="24"/>
                <w:color w:val="auto"/>
              </w:rPr>
            </w:pPr>
          </w:p>
        </w:tc>
        <w:tc>
          <w:tcPr>
            <w:tcW w:w="8060" w:type="dxa"/>
            <w:vAlign w:val="bottom"/>
          </w:tcPr>
          <w:p>
            <w:pPr>
              <w:jc w:val="center"/>
              <w:ind w:left="1107"/>
              <w:spacing w:after="0"/>
              <w:rPr>
                <w:sz w:val="20"/>
                <w:szCs w:val="20"/>
                <w:color w:val="auto"/>
              </w:rPr>
            </w:pPr>
            <w:r>
              <w:rPr>
                <w:rFonts w:ascii="Times New Roman" w:cs="Times New Roman" w:eastAsia="Times New Roman" w:hAnsi="Times New Roman"/>
                <w:sz w:val="19"/>
                <w:szCs w:val="19"/>
                <w:color w:val="auto"/>
                <w:w w:val="95"/>
              </w:rPr>
              <w:t>ARTICLE 3</w:t>
            </w:r>
          </w:p>
        </w:tc>
        <w:tc>
          <w:tcPr>
            <w:tcW w:w="218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8060" w:type="dxa"/>
            <w:vAlign w:val="bottom"/>
          </w:tcPr>
          <w:p>
            <w:pPr>
              <w:jc w:val="center"/>
              <w:ind w:left="1107"/>
              <w:spacing w:after="0"/>
              <w:rPr>
                <w:sz w:val="20"/>
                <w:szCs w:val="20"/>
                <w:color w:val="auto"/>
              </w:rPr>
            </w:pPr>
            <w:r>
              <w:rPr>
                <w:rFonts w:ascii="Times New Roman" w:cs="Times New Roman" w:eastAsia="Times New Roman" w:hAnsi="Times New Roman"/>
                <w:sz w:val="19"/>
                <w:szCs w:val="19"/>
                <w:color w:val="auto"/>
                <w:w w:val="96"/>
              </w:rPr>
              <w:t>REDEMPTION AND PREPAYMENT</w:t>
            </w:r>
          </w:p>
        </w:tc>
        <w:tc>
          <w:tcPr>
            <w:tcW w:w="2180" w:type="dxa"/>
            <w:vAlign w:val="bottom"/>
          </w:tcPr>
          <w:p>
            <w:pPr>
              <w:spacing w:after="0"/>
              <w:rPr>
                <w:sz w:val="21"/>
                <w:szCs w:val="21"/>
                <w:color w:val="auto"/>
              </w:rPr>
            </w:pPr>
          </w:p>
        </w:tc>
      </w:tr>
      <w:tr>
        <w:trPr>
          <w:trHeight w:val="301"/>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3.01 Notices to Trustee</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3.02 Selection of Notes to Be Redeemed or Purchased</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3.03 Notice of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3.04 Effect of Notice of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3.05 Deposit of Redemption or Purchase Price</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3.06 Notes Redeemed or Purchased in Part</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3.07</w:t>
            </w:r>
          </w:p>
        </w:tc>
        <w:tc>
          <w:tcPr>
            <w:tcW w:w="8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Optional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3.08</w:t>
            </w:r>
          </w:p>
        </w:tc>
        <w:tc>
          <w:tcPr>
            <w:tcW w:w="8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Mandatory Redemption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3.09 Mandatory Disposition or Redemption Pursuant to Gaming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3.10 Redemption Upon Changes in Withholding Taxes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89"/>
        </w:trPr>
        <w:tc>
          <w:tcPr>
            <w:tcW w:w="980" w:type="dxa"/>
            <w:vAlign w:val="bottom"/>
          </w:tcPr>
          <w:p>
            <w:pPr>
              <w:spacing w:after="0"/>
              <w:rPr>
                <w:sz w:val="24"/>
                <w:szCs w:val="24"/>
                <w:color w:val="auto"/>
              </w:rPr>
            </w:pPr>
          </w:p>
        </w:tc>
        <w:tc>
          <w:tcPr>
            <w:tcW w:w="8060" w:type="dxa"/>
            <w:vAlign w:val="bottom"/>
          </w:tcPr>
          <w:p>
            <w:pPr>
              <w:jc w:val="center"/>
              <w:ind w:left="1107"/>
              <w:spacing w:after="0"/>
              <w:rPr>
                <w:sz w:val="20"/>
                <w:szCs w:val="20"/>
                <w:color w:val="auto"/>
              </w:rPr>
            </w:pPr>
            <w:r>
              <w:rPr>
                <w:rFonts w:ascii="Times New Roman" w:cs="Times New Roman" w:eastAsia="Times New Roman" w:hAnsi="Times New Roman"/>
                <w:sz w:val="19"/>
                <w:szCs w:val="19"/>
                <w:color w:val="auto"/>
                <w:w w:val="95"/>
              </w:rPr>
              <w:t>ARTICLE 4</w:t>
            </w:r>
          </w:p>
        </w:tc>
        <w:tc>
          <w:tcPr>
            <w:tcW w:w="218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8060" w:type="dxa"/>
            <w:vAlign w:val="bottom"/>
          </w:tcPr>
          <w:p>
            <w:pPr>
              <w:jc w:val="center"/>
              <w:ind w:left="1127"/>
              <w:spacing w:after="0"/>
              <w:rPr>
                <w:sz w:val="20"/>
                <w:szCs w:val="20"/>
                <w:color w:val="auto"/>
              </w:rPr>
            </w:pPr>
            <w:r>
              <w:rPr>
                <w:rFonts w:ascii="Times New Roman" w:cs="Times New Roman" w:eastAsia="Times New Roman" w:hAnsi="Times New Roman"/>
                <w:sz w:val="19"/>
                <w:szCs w:val="19"/>
                <w:color w:val="auto"/>
                <w:w w:val="97"/>
              </w:rPr>
              <w:t>COVENANTS</w:t>
            </w:r>
          </w:p>
        </w:tc>
        <w:tc>
          <w:tcPr>
            <w:tcW w:w="2180" w:type="dxa"/>
            <w:vAlign w:val="bottom"/>
          </w:tcPr>
          <w:p>
            <w:pPr>
              <w:spacing w:after="0"/>
              <w:rPr>
                <w:sz w:val="21"/>
                <w:szCs w:val="21"/>
                <w:color w:val="auto"/>
              </w:rPr>
            </w:pPr>
          </w:p>
        </w:tc>
      </w:tr>
      <w:tr>
        <w:trPr>
          <w:trHeight w:val="301"/>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4.01 Payment of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4.02 Maintenance of Office or Agency</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4.03</w:t>
            </w:r>
          </w:p>
        </w:tc>
        <w:tc>
          <w:tcPr>
            <w:tcW w:w="8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Reports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4.04</w:t>
            </w:r>
          </w:p>
        </w:tc>
        <w:tc>
          <w:tcPr>
            <w:tcW w:w="8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Compliance Certificate</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4.05</w:t>
            </w:r>
          </w:p>
        </w:tc>
        <w:tc>
          <w:tcPr>
            <w:tcW w:w="8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Taxes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4.06 Stay, Extension and Usury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r>
      <w:tr>
        <w:trPr>
          <w:trHeight w:val="289"/>
        </w:trPr>
        <w:tc>
          <w:tcPr>
            <w:tcW w:w="9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4.07 Corporate and Organizational Existence</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4.08</w:t>
            </w:r>
          </w:p>
        </w:tc>
        <w:tc>
          <w:tcPr>
            <w:tcW w:w="8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Offer to Purchase Upon Change of Control Triggering Event</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1220"/>
          </w:cols>
          <w:pgMar w:left="320" w:top="1297"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4.09</w:t>
            </w:r>
          </w:p>
        </w:tc>
        <w:tc>
          <w:tcPr>
            <w:tcW w:w="7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Additional Amounts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4.10 Special Put Option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289"/>
        </w:trPr>
        <w:tc>
          <w:tcPr>
            <w:tcW w:w="980" w:type="dxa"/>
            <w:vAlign w:val="bottom"/>
          </w:tcPr>
          <w:p>
            <w:pPr>
              <w:spacing w:after="0"/>
              <w:rPr>
                <w:sz w:val="24"/>
                <w:szCs w:val="24"/>
                <w:color w:val="auto"/>
              </w:rPr>
            </w:pPr>
          </w:p>
        </w:tc>
        <w:tc>
          <w:tcPr>
            <w:tcW w:w="7920" w:type="dxa"/>
            <w:vAlign w:val="bottom"/>
          </w:tcPr>
          <w:p>
            <w:pPr>
              <w:jc w:val="center"/>
              <w:ind w:left="1247"/>
              <w:spacing w:after="0"/>
              <w:rPr>
                <w:sz w:val="20"/>
                <w:szCs w:val="20"/>
                <w:color w:val="auto"/>
              </w:rPr>
            </w:pPr>
            <w:r>
              <w:rPr>
                <w:rFonts w:ascii="Times New Roman" w:cs="Times New Roman" w:eastAsia="Times New Roman" w:hAnsi="Times New Roman"/>
                <w:sz w:val="19"/>
                <w:szCs w:val="19"/>
                <w:color w:val="auto"/>
                <w:w w:val="95"/>
              </w:rPr>
              <w:t>ARTICLE 5</w:t>
            </w:r>
          </w:p>
        </w:tc>
        <w:tc>
          <w:tcPr>
            <w:tcW w:w="232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7920" w:type="dxa"/>
            <w:vAlign w:val="bottom"/>
          </w:tcPr>
          <w:p>
            <w:pPr>
              <w:jc w:val="center"/>
              <w:ind w:left="1267"/>
              <w:spacing w:after="0"/>
              <w:rPr>
                <w:sz w:val="20"/>
                <w:szCs w:val="20"/>
                <w:color w:val="auto"/>
              </w:rPr>
            </w:pPr>
            <w:r>
              <w:rPr>
                <w:rFonts w:ascii="Times New Roman" w:cs="Times New Roman" w:eastAsia="Times New Roman" w:hAnsi="Times New Roman"/>
                <w:sz w:val="19"/>
                <w:szCs w:val="19"/>
                <w:color w:val="auto"/>
                <w:w w:val="97"/>
              </w:rPr>
              <w:t>SUCCESSORS</w:t>
            </w:r>
          </w:p>
        </w:tc>
        <w:tc>
          <w:tcPr>
            <w:tcW w:w="2320" w:type="dxa"/>
            <w:vAlign w:val="bottom"/>
          </w:tcPr>
          <w:p>
            <w:pPr>
              <w:spacing w:after="0"/>
              <w:rPr>
                <w:sz w:val="21"/>
                <w:szCs w:val="21"/>
                <w:color w:val="auto"/>
              </w:rPr>
            </w:pPr>
          </w:p>
        </w:tc>
      </w:tr>
      <w:tr>
        <w:trPr>
          <w:trHeight w:val="301"/>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5.01 Merger, Consolidation or Sale of Assets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5.02 Successor Corporation Substituted</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89"/>
        </w:trPr>
        <w:tc>
          <w:tcPr>
            <w:tcW w:w="980" w:type="dxa"/>
            <w:vAlign w:val="bottom"/>
          </w:tcPr>
          <w:p>
            <w:pPr>
              <w:spacing w:after="0"/>
              <w:rPr>
                <w:sz w:val="24"/>
                <w:szCs w:val="24"/>
                <w:color w:val="auto"/>
              </w:rPr>
            </w:pPr>
          </w:p>
        </w:tc>
        <w:tc>
          <w:tcPr>
            <w:tcW w:w="7920" w:type="dxa"/>
            <w:vAlign w:val="bottom"/>
          </w:tcPr>
          <w:p>
            <w:pPr>
              <w:jc w:val="center"/>
              <w:ind w:left="1247"/>
              <w:spacing w:after="0"/>
              <w:rPr>
                <w:sz w:val="20"/>
                <w:szCs w:val="20"/>
                <w:color w:val="auto"/>
              </w:rPr>
            </w:pPr>
            <w:r>
              <w:rPr>
                <w:rFonts w:ascii="Times New Roman" w:cs="Times New Roman" w:eastAsia="Times New Roman" w:hAnsi="Times New Roman"/>
                <w:sz w:val="19"/>
                <w:szCs w:val="19"/>
                <w:color w:val="auto"/>
                <w:w w:val="95"/>
              </w:rPr>
              <w:t>ARTICLE 6</w:t>
            </w:r>
          </w:p>
        </w:tc>
        <w:tc>
          <w:tcPr>
            <w:tcW w:w="232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7920" w:type="dxa"/>
            <w:vAlign w:val="bottom"/>
          </w:tcPr>
          <w:p>
            <w:pPr>
              <w:jc w:val="center"/>
              <w:ind w:left="1247"/>
              <w:spacing w:after="0"/>
              <w:rPr>
                <w:sz w:val="20"/>
                <w:szCs w:val="20"/>
                <w:color w:val="auto"/>
              </w:rPr>
            </w:pPr>
            <w:r>
              <w:rPr>
                <w:rFonts w:ascii="Times New Roman" w:cs="Times New Roman" w:eastAsia="Times New Roman" w:hAnsi="Times New Roman"/>
                <w:sz w:val="19"/>
                <w:szCs w:val="19"/>
                <w:color w:val="auto"/>
                <w:w w:val="96"/>
              </w:rPr>
              <w:t>DEFAULTS AND REMEDIES</w:t>
            </w:r>
          </w:p>
        </w:tc>
        <w:tc>
          <w:tcPr>
            <w:tcW w:w="2320" w:type="dxa"/>
            <w:vAlign w:val="bottom"/>
          </w:tcPr>
          <w:p>
            <w:pPr>
              <w:spacing w:after="0"/>
              <w:rPr>
                <w:sz w:val="21"/>
                <w:szCs w:val="21"/>
                <w:color w:val="auto"/>
              </w:rPr>
            </w:pPr>
          </w:p>
        </w:tc>
      </w:tr>
      <w:tr>
        <w:trPr>
          <w:trHeight w:val="301"/>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6.01 Events of Default</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6.02</w:t>
            </w:r>
          </w:p>
        </w:tc>
        <w:tc>
          <w:tcPr>
            <w:tcW w:w="7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Acceleration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6.03</w:t>
            </w:r>
          </w:p>
        </w:tc>
        <w:tc>
          <w:tcPr>
            <w:tcW w:w="7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Remedies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6.04 Waiver of Defaults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6.05 Control by Majority</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6.06 Limitation on Suits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6.07 Rights of Holders of Notes to Receive Payment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6.08 Collection Suit by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6.09 Trustee May File Proofs of Claim</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6.10</w:t>
            </w:r>
          </w:p>
        </w:tc>
        <w:tc>
          <w:tcPr>
            <w:tcW w:w="7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Priorities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289"/>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6.11 Undertaking for Costs</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289"/>
        </w:trPr>
        <w:tc>
          <w:tcPr>
            <w:tcW w:w="980" w:type="dxa"/>
            <w:vAlign w:val="bottom"/>
          </w:tcPr>
          <w:p>
            <w:pPr>
              <w:spacing w:after="0"/>
              <w:rPr>
                <w:sz w:val="24"/>
                <w:szCs w:val="24"/>
                <w:color w:val="auto"/>
              </w:rPr>
            </w:pPr>
          </w:p>
        </w:tc>
        <w:tc>
          <w:tcPr>
            <w:tcW w:w="7920" w:type="dxa"/>
            <w:vAlign w:val="bottom"/>
          </w:tcPr>
          <w:p>
            <w:pPr>
              <w:jc w:val="center"/>
              <w:ind w:left="1247"/>
              <w:spacing w:after="0"/>
              <w:rPr>
                <w:sz w:val="20"/>
                <w:szCs w:val="20"/>
                <w:color w:val="auto"/>
              </w:rPr>
            </w:pPr>
            <w:r>
              <w:rPr>
                <w:rFonts w:ascii="Times New Roman" w:cs="Times New Roman" w:eastAsia="Times New Roman" w:hAnsi="Times New Roman"/>
                <w:sz w:val="19"/>
                <w:szCs w:val="19"/>
                <w:color w:val="auto"/>
                <w:w w:val="95"/>
              </w:rPr>
              <w:t>ARTICLE 7</w:t>
            </w:r>
          </w:p>
        </w:tc>
        <w:tc>
          <w:tcPr>
            <w:tcW w:w="232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7920" w:type="dxa"/>
            <w:vAlign w:val="bottom"/>
          </w:tcPr>
          <w:p>
            <w:pPr>
              <w:jc w:val="center"/>
              <w:ind w:left="1247"/>
              <w:spacing w:after="0"/>
              <w:rPr>
                <w:sz w:val="20"/>
                <w:szCs w:val="20"/>
                <w:color w:val="auto"/>
              </w:rPr>
            </w:pPr>
            <w:r>
              <w:rPr>
                <w:rFonts w:ascii="Times New Roman" w:cs="Times New Roman" w:eastAsia="Times New Roman" w:hAnsi="Times New Roman"/>
                <w:sz w:val="19"/>
                <w:szCs w:val="19"/>
                <w:color w:val="auto"/>
                <w:w w:val="98"/>
              </w:rPr>
              <w:t>TRUSTEE</w:t>
            </w:r>
          </w:p>
        </w:tc>
        <w:tc>
          <w:tcPr>
            <w:tcW w:w="2320" w:type="dxa"/>
            <w:vAlign w:val="bottom"/>
          </w:tcPr>
          <w:p>
            <w:pPr>
              <w:spacing w:after="0"/>
              <w:rPr>
                <w:sz w:val="21"/>
                <w:szCs w:val="21"/>
                <w:color w:val="auto"/>
              </w:rPr>
            </w:pPr>
          </w:p>
        </w:tc>
      </w:tr>
      <w:tr>
        <w:trPr>
          <w:trHeight w:val="301"/>
        </w:trPr>
        <w:tc>
          <w:tcPr>
            <w:tcW w:w="8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7.01 Duties of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Section 7.02</w:t>
            </w:r>
          </w:p>
        </w:tc>
        <w:tc>
          <w:tcPr>
            <w:tcW w:w="7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Rights of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20"/>
          </w:cols>
          <w:pgMar w:left="320" w:top="1297"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7.03 Individual Rights of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7.04 Trustee’s Disclaimer</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7.05 Notice of Defaults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7.06 Compensation and Indemnity</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7.07 Replacement of Trustee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7.08 Successor Trustee by Merger,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7.09 Eligibility; Disqualification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89"/>
        </w:trPr>
        <w:tc>
          <w:tcPr>
            <w:tcW w:w="9680" w:type="dxa"/>
            <w:vAlign w:val="bottom"/>
          </w:tcPr>
          <w:p>
            <w:pPr>
              <w:jc w:val="center"/>
              <w:ind w:left="1447"/>
              <w:spacing w:after="0"/>
              <w:rPr>
                <w:sz w:val="20"/>
                <w:szCs w:val="20"/>
                <w:color w:val="auto"/>
              </w:rPr>
            </w:pPr>
            <w:r>
              <w:rPr>
                <w:rFonts w:ascii="Times New Roman" w:cs="Times New Roman" w:eastAsia="Times New Roman" w:hAnsi="Times New Roman"/>
                <w:sz w:val="19"/>
                <w:szCs w:val="19"/>
                <w:color w:val="auto"/>
                <w:w w:val="95"/>
              </w:rPr>
              <w:t>ARTICLE 8</w:t>
            </w:r>
          </w:p>
        </w:tc>
        <w:tc>
          <w:tcPr>
            <w:tcW w:w="1540" w:type="dxa"/>
            <w:vAlign w:val="bottom"/>
          </w:tcPr>
          <w:p>
            <w:pPr>
              <w:spacing w:after="0"/>
              <w:rPr>
                <w:sz w:val="24"/>
                <w:szCs w:val="24"/>
                <w:color w:val="auto"/>
              </w:rPr>
            </w:pPr>
          </w:p>
        </w:tc>
      </w:tr>
      <w:tr>
        <w:trPr>
          <w:trHeight w:val="243"/>
        </w:trPr>
        <w:tc>
          <w:tcPr>
            <w:tcW w:w="9680" w:type="dxa"/>
            <w:vAlign w:val="bottom"/>
          </w:tcPr>
          <w:p>
            <w:pPr>
              <w:jc w:val="center"/>
              <w:ind w:left="1447"/>
              <w:spacing w:after="0"/>
              <w:rPr>
                <w:sz w:val="20"/>
                <w:szCs w:val="20"/>
                <w:color w:val="auto"/>
              </w:rPr>
            </w:pPr>
            <w:r>
              <w:rPr>
                <w:rFonts w:ascii="Times New Roman" w:cs="Times New Roman" w:eastAsia="Times New Roman" w:hAnsi="Times New Roman"/>
                <w:sz w:val="19"/>
                <w:szCs w:val="19"/>
                <w:color w:val="auto"/>
                <w:w w:val="97"/>
              </w:rPr>
              <w:t>LEGAL DEFEASANCE AND COVENANT DEFEASANCE</w:t>
            </w:r>
          </w:p>
        </w:tc>
        <w:tc>
          <w:tcPr>
            <w:tcW w:w="1540" w:type="dxa"/>
            <w:vAlign w:val="bottom"/>
          </w:tcPr>
          <w:p>
            <w:pPr>
              <w:spacing w:after="0"/>
              <w:rPr>
                <w:sz w:val="21"/>
                <w:szCs w:val="21"/>
                <w:color w:val="auto"/>
              </w:rPr>
            </w:pPr>
          </w:p>
        </w:tc>
      </w:tr>
      <w:tr>
        <w:trPr>
          <w:trHeight w:val="301"/>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8.01 Option to Effect Legal Defeasance or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8.02 Legal Defeasance and Discharge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8.03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8.04 Conditions to Legal or Covenant Defeasance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8.05 Deposited Money and Government Securities to be Held in Trust; Other Miscellaneous Provisions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8.06 Repayment to Issuer</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8.07 Reinstatement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r>
      <w:tr>
        <w:trPr>
          <w:trHeight w:val="289"/>
        </w:trPr>
        <w:tc>
          <w:tcPr>
            <w:tcW w:w="9680" w:type="dxa"/>
            <w:vAlign w:val="bottom"/>
          </w:tcPr>
          <w:p>
            <w:pPr>
              <w:jc w:val="center"/>
              <w:ind w:left="1447"/>
              <w:spacing w:after="0"/>
              <w:rPr>
                <w:sz w:val="20"/>
                <w:szCs w:val="20"/>
                <w:color w:val="auto"/>
              </w:rPr>
            </w:pPr>
            <w:r>
              <w:rPr>
                <w:rFonts w:ascii="Times New Roman" w:cs="Times New Roman" w:eastAsia="Times New Roman" w:hAnsi="Times New Roman"/>
                <w:sz w:val="19"/>
                <w:szCs w:val="19"/>
                <w:color w:val="auto"/>
                <w:w w:val="95"/>
              </w:rPr>
              <w:t>ARTICLE 9</w:t>
            </w:r>
          </w:p>
        </w:tc>
        <w:tc>
          <w:tcPr>
            <w:tcW w:w="1540" w:type="dxa"/>
            <w:vAlign w:val="bottom"/>
          </w:tcPr>
          <w:p>
            <w:pPr>
              <w:spacing w:after="0"/>
              <w:rPr>
                <w:sz w:val="24"/>
                <w:szCs w:val="24"/>
                <w:color w:val="auto"/>
              </w:rPr>
            </w:pPr>
          </w:p>
        </w:tc>
      </w:tr>
      <w:tr>
        <w:trPr>
          <w:trHeight w:val="243"/>
        </w:trPr>
        <w:tc>
          <w:tcPr>
            <w:tcW w:w="9680" w:type="dxa"/>
            <w:vAlign w:val="bottom"/>
          </w:tcPr>
          <w:p>
            <w:pPr>
              <w:jc w:val="center"/>
              <w:ind w:left="1447"/>
              <w:spacing w:after="0"/>
              <w:rPr>
                <w:sz w:val="20"/>
                <w:szCs w:val="20"/>
                <w:color w:val="auto"/>
              </w:rPr>
            </w:pPr>
            <w:r>
              <w:rPr>
                <w:rFonts w:ascii="Times New Roman" w:cs="Times New Roman" w:eastAsia="Times New Roman" w:hAnsi="Times New Roman"/>
                <w:sz w:val="19"/>
                <w:szCs w:val="19"/>
                <w:color w:val="auto"/>
                <w:w w:val="96"/>
              </w:rPr>
              <w:t>AMENDMENT, SUPPLEMENT AND WAIVER</w:t>
            </w:r>
          </w:p>
        </w:tc>
        <w:tc>
          <w:tcPr>
            <w:tcW w:w="1540" w:type="dxa"/>
            <w:vAlign w:val="bottom"/>
          </w:tcPr>
          <w:p>
            <w:pPr>
              <w:spacing w:after="0"/>
              <w:rPr>
                <w:sz w:val="21"/>
                <w:szCs w:val="21"/>
                <w:color w:val="auto"/>
              </w:rPr>
            </w:pPr>
          </w:p>
        </w:tc>
      </w:tr>
      <w:tr>
        <w:trPr>
          <w:trHeight w:val="301"/>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9.01 Without Consent of Holders of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9.02 With Consent of Holders of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9.03 Revocation and Effect of Consents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9.04 Notation on or Exchange of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89"/>
        </w:trPr>
        <w:tc>
          <w:tcPr>
            <w:tcW w:w="9680" w:type="dxa"/>
            <w:vAlign w:val="bottom"/>
          </w:tcPr>
          <w:p>
            <w:pPr>
              <w:spacing w:after="0"/>
              <w:rPr>
                <w:sz w:val="20"/>
                <w:szCs w:val="20"/>
                <w:color w:val="auto"/>
              </w:rPr>
            </w:pPr>
            <w:r>
              <w:rPr>
                <w:rFonts w:ascii="Times New Roman" w:cs="Times New Roman" w:eastAsia="Times New Roman" w:hAnsi="Times New Roman"/>
                <w:sz w:val="19"/>
                <w:szCs w:val="19"/>
                <w:color w:val="auto"/>
              </w:rPr>
              <w:t>Section 9.05 Trustee to Sign Amendments, etc.</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220"/>
          </w:cols>
          <w:pgMar w:left="320" w:top="1297"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p>
        </w:tc>
        <w:tc>
          <w:tcPr>
            <w:tcW w:w="8240" w:type="dxa"/>
            <w:vAlign w:val="bottom"/>
          </w:tcPr>
          <w:p>
            <w:pPr>
              <w:jc w:val="center"/>
              <w:ind w:left="1307"/>
              <w:spacing w:after="0"/>
              <w:rPr>
                <w:sz w:val="20"/>
                <w:szCs w:val="20"/>
                <w:color w:val="auto"/>
              </w:rPr>
            </w:pPr>
            <w:r>
              <w:rPr>
                <w:rFonts w:ascii="Times New Roman" w:cs="Times New Roman" w:eastAsia="Times New Roman" w:hAnsi="Times New Roman"/>
                <w:sz w:val="19"/>
                <w:szCs w:val="19"/>
                <w:color w:val="auto"/>
                <w:w w:val="96"/>
              </w:rPr>
              <w:t>ARTICLE 10</w:t>
            </w:r>
          </w:p>
        </w:tc>
        <w:tc>
          <w:tcPr>
            <w:tcW w:w="2180" w:type="dxa"/>
            <w:vAlign w:val="bottom"/>
          </w:tcPr>
          <w:p>
            <w:pPr>
              <w:spacing w:after="0"/>
              <w:rPr>
                <w:sz w:val="20"/>
                <w:szCs w:val="20"/>
                <w:color w:val="auto"/>
              </w:rPr>
            </w:pPr>
          </w:p>
        </w:tc>
      </w:tr>
      <w:tr>
        <w:trPr>
          <w:trHeight w:val="243"/>
        </w:trPr>
        <w:tc>
          <w:tcPr>
            <w:tcW w:w="800" w:type="dxa"/>
            <w:vAlign w:val="bottom"/>
          </w:tcPr>
          <w:p>
            <w:pPr>
              <w:spacing w:after="0"/>
              <w:rPr>
                <w:sz w:val="21"/>
                <w:szCs w:val="21"/>
                <w:color w:val="auto"/>
              </w:rPr>
            </w:pPr>
          </w:p>
        </w:tc>
        <w:tc>
          <w:tcPr>
            <w:tcW w:w="8240" w:type="dxa"/>
            <w:vAlign w:val="bottom"/>
          </w:tcPr>
          <w:p>
            <w:pPr>
              <w:jc w:val="center"/>
              <w:ind w:left="1307"/>
              <w:spacing w:after="0"/>
              <w:rPr>
                <w:sz w:val="20"/>
                <w:szCs w:val="20"/>
                <w:color w:val="auto"/>
              </w:rPr>
            </w:pPr>
            <w:r>
              <w:rPr>
                <w:rFonts w:ascii="Times New Roman" w:cs="Times New Roman" w:eastAsia="Times New Roman" w:hAnsi="Times New Roman"/>
                <w:sz w:val="19"/>
                <w:szCs w:val="19"/>
                <w:color w:val="auto"/>
                <w:w w:val="96"/>
              </w:rPr>
              <w:t>SATISFACTION AND DISCHARGE</w:t>
            </w:r>
          </w:p>
        </w:tc>
        <w:tc>
          <w:tcPr>
            <w:tcW w:w="2180" w:type="dxa"/>
            <w:vAlign w:val="bottom"/>
          </w:tcPr>
          <w:p>
            <w:pPr>
              <w:spacing w:after="0"/>
              <w:rPr>
                <w:sz w:val="21"/>
                <w:szCs w:val="21"/>
                <w:color w:val="auto"/>
              </w:rPr>
            </w:pPr>
          </w:p>
        </w:tc>
      </w:tr>
      <w:tr>
        <w:trPr>
          <w:trHeight w:val="301"/>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10.01</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Satisfaction and Discharge</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10.02</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Application of Trust Money</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89"/>
        </w:trPr>
        <w:tc>
          <w:tcPr>
            <w:tcW w:w="800" w:type="dxa"/>
            <w:vAlign w:val="bottom"/>
          </w:tcPr>
          <w:p>
            <w:pPr>
              <w:spacing w:after="0"/>
              <w:rPr>
                <w:sz w:val="24"/>
                <w:szCs w:val="24"/>
                <w:color w:val="auto"/>
              </w:rPr>
            </w:pPr>
          </w:p>
        </w:tc>
        <w:tc>
          <w:tcPr>
            <w:tcW w:w="8240" w:type="dxa"/>
            <w:vAlign w:val="bottom"/>
          </w:tcPr>
          <w:p>
            <w:pPr>
              <w:jc w:val="center"/>
              <w:ind w:left="1307"/>
              <w:spacing w:after="0"/>
              <w:rPr>
                <w:sz w:val="20"/>
                <w:szCs w:val="20"/>
                <w:color w:val="auto"/>
              </w:rPr>
            </w:pPr>
            <w:r>
              <w:rPr>
                <w:rFonts w:ascii="Times New Roman" w:cs="Times New Roman" w:eastAsia="Times New Roman" w:hAnsi="Times New Roman"/>
                <w:sz w:val="19"/>
                <w:szCs w:val="19"/>
                <w:color w:val="auto"/>
                <w:w w:val="96"/>
              </w:rPr>
              <w:t>ARTICLE 11</w:t>
            </w:r>
          </w:p>
        </w:tc>
        <w:tc>
          <w:tcPr>
            <w:tcW w:w="2180" w:type="dxa"/>
            <w:vAlign w:val="bottom"/>
          </w:tcPr>
          <w:p>
            <w:pPr>
              <w:spacing w:after="0"/>
              <w:rPr>
                <w:sz w:val="24"/>
                <w:szCs w:val="24"/>
                <w:color w:val="auto"/>
              </w:rPr>
            </w:pPr>
          </w:p>
        </w:tc>
      </w:tr>
      <w:tr>
        <w:trPr>
          <w:trHeight w:val="243"/>
        </w:trPr>
        <w:tc>
          <w:tcPr>
            <w:tcW w:w="800" w:type="dxa"/>
            <w:vAlign w:val="bottom"/>
          </w:tcPr>
          <w:p>
            <w:pPr>
              <w:spacing w:after="0"/>
              <w:rPr>
                <w:sz w:val="21"/>
                <w:szCs w:val="21"/>
                <w:color w:val="auto"/>
              </w:rPr>
            </w:pPr>
          </w:p>
        </w:tc>
        <w:tc>
          <w:tcPr>
            <w:tcW w:w="8240" w:type="dxa"/>
            <w:vAlign w:val="bottom"/>
          </w:tcPr>
          <w:p>
            <w:pPr>
              <w:jc w:val="center"/>
              <w:ind w:left="1287"/>
              <w:spacing w:after="0"/>
              <w:rPr>
                <w:sz w:val="20"/>
                <w:szCs w:val="20"/>
                <w:color w:val="auto"/>
              </w:rPr>
            </w:pPr>
            <w:r>
              <w:rPr>
                <w:rFonts w:ascii="Times New Roman" w:cs="Times New Roman" w:eastAsia="Times New Roman" w:hAnsi="Times New Roman"/>
                <w:sz w:val="19"/>
                <w:szCs w:val="19"/>
                <w:color w:val="auto"/>
                <w:w w:val="97"/>
              </w:rPr>
              <w:t>MISCELLANEOUS</w:t>
            </w:r>
          </w:p>
        </w:tc>
        <w:tc>
          <w:tcPr>
            <w:tcW w:w="2180" w:type="dxa"/>
            <w:vAlign w:val="bottom"/>
          </w:tcPr>
          <w:p>
            <w:pPr>
              <w:spacing w:after="0"/>
              <w:rPr>
                <w:sz w:val="21"/>
                <w:szCs w:val="21"/>
                <w:color w:val="auto"/>
              </w:rPr>
            </w:pPr>
          </w:p>
        </w:tc>
      </w:tr>
      <w:tr>
        <w:trPr>
          <w:trHeight w:val="301"/>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11.01</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11.02</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Certificate and Opinion as to Conditions Precedent</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11.03</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Section 11.03  Statements Required in Certificate or Opinion</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11.04</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Rules by Trustee and Agents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11.05</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 Personal Liability of Directors, Officers, Employees and Equity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11.06</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Governing Law; Waiver of Jury 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11.07</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Submission to Jurisdiction; Waiver of Immunities; Agent for Service</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11.08</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Indemnification for Judgment Currency</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11.09</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 Adverse Interpretation of Other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11.10</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Successors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11.11</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11.12</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Counterpart Originals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11.13</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Table of Contents, Headings,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Section</w:t>
            </w:r>
          </w:p>
        </w:tc>
        <w:tc>
          <w:tcPr>
            <w:tcW w:w="8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11.14</w:t>
            </w:r>
          </w:p>
        </w:tc>
        <w:tc>
          <w:tcPr>
            <w:tcW w:w="82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Compliance with Applicable Anti-Terrorism and Money Laundering Regulations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EXHIBITS</w:t>
      </w:r>
    </w:p>
    <w:p>
      <w:pPr>
        <w:spacing w:after="0" w:line="227" w:lineRule="auto"/>
        <w:rPr>
          <w:sz w:val="20"/>
          <w:szCs w:val="20"/>
          <w:color w:val="auto"/>
        </w:rPr>
      </w:pPr>
      <w:r>
        <w:rPr>
          <w:rFonts w:ascii="Times New Roman" w:cs="Times New Roman" w:eastAsia="Times New Roman" w:hAnsi="Times New Roman"/>
          <w:sz w:val="19"/>
          <w:szCs w:val="19"/>
          <w:color w:val="auto"/>
        </w:rPr>
        <w:t>Exhibit A FORM OF NOTE</w:t>
      </w:r>
    </w:p>
    <w:p>
      <w:pPr>
        <w:spacing w:after="0" w:line="228" w:lineRule="auto"/>
        <w:rPr>
          <w:sz w:val="20"/>
          <w:szCs w:val="20"/>
          <w:color w:val="auto"/>
        </w:rPr>
      </w:pPr>
      <w:r>
        <w:rPr>
          <w:rFonts w:ascii="Times New Roman" w:cs="Times New Roman" w:eastAsia="Times New Roman" w:hAnsi="Times New Roman"/>
          <w:sz w:val="19"/>
          <w:szCs w:val="19"/>
          <w:color w:val="auto"/>
        </w:rPr>
        <w:t>Exhibit B FORM OF CERTIFICATE OF TRANSFER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C FORM OF CERTIFICATE OF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1220"/>
          </w:cols>
          <w:pgMar w:left="320" w:top="1297" w:right="359" w:bottom="1440" w:gutter="0" w:footer="0" w:header="0"/>
        </w:sectPr>
      </w:pPr>
    </w:p>
    <w:bookmarkStart w:id="10" w:name="page11"/>
    <w:bookmarkEnd w:id="10"/>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INDENTURE, dated as of August 19, 2025, between Wynn Macau, Limited, a company incorporated with limited liability under the laws of the Cayman Islands (the “</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and Deutsche Bank Trust Company Americas, a New York banking corporation, as trustee (the “</w:t>
      </w:r>
      <w:r>
        <w:rPr>
          <w:rFonts w:ascii="Times New Roman" w:cs="Times New Roman" w:eastAsia="Times New Roman" w:hAnsi="Times New Roman"/>
          <w:sz w:val="19"/>
          <w:szCs w:val="19"/>
          <w:i w:val="1"/>
          <w:iCs w:val="1"/>
          <w:color w:val="auto"/>
        </w:rPr>
        <w:t>Trustee</w:t>
      </w:r>
      <w:r>
        <w:rPr>
          <w:rFonts w:ascii="Times New Roman" w:cs="Times New Roman" w:eastAsia="Times New Roman" w:hAnsi="Times New Roman"/>
          <w:sz w:val="19"/>
          <w:szCs w:val="19"/>
          <w:color w:val="auto"/>
        </w:rPr>
        <w: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Issuer and the Trustee agree as follows for the benefit of each other and for the equal and ratable benefit of the Holders (as defined below)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6.750% Senior Notes due 2034 (the “</w:t>
      </w:r>
      <w:r>
        <w:rPr>
          <w:rFonts w:ascii="Times New Roman" w:cs="Times New Roman" w:eastAsia="Times New Roman" w:hAnsi="Times New Roman"/>
          <w:sz w:val="19"/>
          <w:szCs w:val="19"/>
          <w:i w:val="1"/>
          <w:iCs w:val="1"/>
          <w:color w:val="auto"/>
        </w:rPr>
        <w:t>Notes</w:t>
      </w:r>
      <w:r>
        <w:rPr>
          <w:rFonts w:ascii="Times New Roman" w:cs="Times New Roman" w:eastAsia="Times New Roman" w:hAnsi="Times New Roman"/>
          <w:sz w:val="19"/>
          <w:szCs w:val="19"/>
          <w:color w:val="auto"/>
        </w:rPr>
        <w:t>”):</w:t>
      </w:r>
    </w:p>
    <w:p>
      <w:pPr>
        <w:spacing w:after="0" w:line="1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1</w:t>
      </w:r>
    </w:p>
    <w:p>
      <w:pPr>
        <w:ind w:left="4040"/>
        <w:spacing w:after="0" w:line="203" w:lineRule="auto"/>
        <w:rPr>
          <w:sz w:val="20"/>
          <w:szCs w:val="20"/>
          <w:color w:val="auto"/>
        </w:rPr>
      </w:pPr>
      <w:r>
        <w:rPr>
          <w:rFonts w:ascii="Times New Roman" w:cs="Times New Roman" w:eastAsia="Times New Roman" w:hAnsi="Times New Roman"/>
          <w:sz w:val="19"/>
          <w:szCs w:val="19"/>
          <w:color w:val="auto"/>
        </w:rPr>
        <w:t>DEFINITIONS AND INCORPORATION</w:t>
      </w:r>
    </w:p>
    <w:p>
      <w:pPr>
        <w:ind w:left="4940"/>
        <w:spacing w:after="0" w:line="203" w:lineRule="auto"/>
        <w:rPr>
          <w:sz w:val="20"/>
          <w:szCs w:val="20"/>
          <w:color w:val="auto"/>
        </w:rPr>
      </w:pPr>
      <w:r>
        <w:rPr>
          <w:rFonts w:ascii="Times New Roman" w:cs="Times New Roman" w:eastAsia="Times New Roman" w:hAnsi="Times New Roman"/>
          <w:sz w:val="19"/>
          <w:szCs w:val="19"/>
          <w:color w:val="auto"/>
        </w:rPr>
        <w:t>BY REFERENCE</w:t>
      </w:r>
    </w:p>
    <w:p>
      <w:pPr>
        <w:spacing w:after="0" w:line="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128" w:lineRule="exact"/>
        <w:rPr>
          <w:sz w:val="20"/>
          <w:szCs w:val="20"/>
          <w:color w:val="auto"/>
        </w:rPr>
      </w:pPr>
    </w:p>
    <w:p>
      <w:pPr>
        <w:jc w:val="both"/>
        <w:ind w:right="20"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144A Global Note</w:t>
      </w:r>
      <w:r>
        <w:rPr>
          <w:rFonts w:ascii="Times New Roman" w:cs="Times New Roman" w:eastAsia="Times New Roman" w:hAnsi="Times New Roman"/>
          <w:sz w:val="19"/>
          <w:szCs w:val="19"/>
          <w:color w:val="auto"/>
        </w:rPr>
        <w:t>” means a Global Note substantially in the form of Exhibit A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26"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Additional Notes</w:t>
      </w:r>
      <w:r>
        <w:rPr>
          <w:rFonts w:ascii="Times New Roman" w:cs="Times New Roman" w:eastAsia="Times New Roman" w:hAnsi="Times New Roman"/>
          <w:sz w:val="19"/>
          <w:szCs w:val="19"/>
          <w:color w:val="auto"/>
        </w:rPr>
        <w:t>” means Additional Notes issued under this Indenture in accordance with Section 2.13 hereof, as part of the same series as the Initial Notes. Any Additional Notes shall vote on all matters as one class with the Initial Notes, including, without limitation, waivers, amendments and redemptions.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Treasury Rate</w:t>
      </w:r>
      <w:r>
        <w:rPr>
          <w:rFonts w:ascii="Times New Roman" w:cs="Times New Roman" w:eastAsia="Times New Roman" w:hAnsi="Times New Roman"/>
          <w:sz w:val="19"/>
          <w:szCs w:val="19"/>
          <w:color w:val="auto"/>
        </w:rPr>
        <w:t>” means, with respect to any redemption date:</w:t>
      </w:r>
    </w:p>
    <w:p>
      <w:pPr>
        <w:spacing w:after="0" w:line="156" w:lineRule="exact"/>
        <w:rPr>
          <w:sz w:val="20"/>
          <w:szCs w:val="20"/>
          <w:color w:val="auto"/>
        </w:rPr>
      </w:pPr>
    </w:p>
    <w:p>
      <w:pPr>
        <w:jc w:val="both"/>
        <w:ind w:left="280" w:firstLine="268"/>
        <w:spacing w:after="0" w:line="238" w:lineRule="auto"/>
        <w:tabs>
          <w:tab w:leader="none" w:pos="110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33" w:lineRule="exact"/>
        <w:rPr>
          <w:rFonts w:ascii="Times New Roman" w:cs="Times New Roman" w:eastAsia="Times New Roman" w:hAnsi="Times New Roman"/>
          <w:sz w:val="17"/>
          <w:szCs w:val="17"/>
          <w:color w:val="auto"/>
        </w:rPr>
      </w:pPr>
    </w:p>
    <w:p>
      <w:pPr>
        <w:jc w:val="both"/>
        <w:ind w:left="280" w:firstLine="268"/>
        <w:spacing w:after="0" w:line="255" w:lineRule="auto"/>
        <w:tabs>
          <w:tab w:leader="none" w:pos="110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41"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The Adjusted Treasury Rate shall be calculated on the third Business Day preceding the redemption date or, in the case of a satisfaction and discharge or a defeasance, on the third Business Day prior to the date on which the Issuer deposits the amount required under this Indenture.</w:t>
      </w:r>
    </w:p>
    <w:p>
      <w:pPr>
        <w:spacing w:after="0" w:line="114"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Ms. Chen Chih Ling, Linda shall not, by virtue 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60"/>
          </w:cols>
          <w:pgMar w:left="320" w:top="1239" w:right="319" w:bottom="1440" w:gutter="0" w:footer="0" w:header="0"/>
        </w:sectPr>
      </w:pPr>
    </w:p>
    <w:bookmarkStart w:id="11" w:name="page12"/>
    <w:bookmarkEnd w:id="11"/>
    <w:p>
      <w:pPr>
        <w:jc w:val="both"/>
        <w:spacing w:after="0" w:line="223" w:lineRule="auto"/>
        <w:rPr>
          <w:sz w:val="20"/>
          <w:szCs w:val="20"/>
          <w:color w:val="auto"/>
        </w:rPr>
      </w:pPr>
      <w:r>
        <w:rPr>
          <w:rFonts w:ascii="Times New Roman" w:cs="Times New Roman" w:eastAsia="Times New Roman" w:hAnsi="Times New Roman"/>
          <w:sz w:val="19"/>
          <w:szCs w:val="19"/>
          <w:color w:val="auto"/>
        </w:rPr>
        <w:t>meeting any of the foregoing criteria as a result of the shares held by her in the Concessionaire as of the date of this Indenture or as a result of her role as executive director of the Issuer, be an Affiliate of the Issuer, Wynn Resorts or any of their respective Subsidiaries. For purposes of this definition, the terms “controlling,” “controlled by” and “under common control with” have correlative meanings.</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Agent</w:t>
      </w:r>
      <w:r>
        <w:rPr>
          <w:rFonts w:ascii="Times New Roman" w:cs="Times New Roman" w:eastAsia="Times New Roman" w:hAnsi="Times New Roman"/>
          <w:sz w:val="19"/>
          <w:szCs w:val="19"/>
          <w:color w:val="auto"/>
        </w:rPr>
        <w:t>” means any Registrar, Paying Agent or additional paying agent.</w:t>
      </w:r>
    </w:p>
    <w:p>
      <w:pPr>
        <w:spacing w:after="0" w:line="152" w:lineRule="exact"/>
        <w:rPr>
          <w:sz w:val="20"/>
          <w:szCs w:val="20"/>
          <w:color w:val="auto"/>
        </w:rPr>
      </w:pPr>
    </w:p>
    <w:p>
      <w:pPr>
        <w:jc w:val="both"/>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Procedures</w:t>
      </w:r>
      <w:r>
        <w:rPr>
          <w:rFonts w:ascii="Times New Roman" w:cs="Times New Roman" w:eastAsia="Times New Roman" w:hAnsi="Times New Roman"/>
          <w:sz w:val="19"/>
          <w:szCs w:val="19"/>
          <w:color w:val="auto"/>
        </w:rPr>
        <w:t>” means, with respect to any transfer or exchange of or for beneficial interests in any Global Note, the rules and procedures of the Depositary, Euroclear and Clearstream that apply to such transfer or exchange.</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Bankruptcy Law</w:t>
      </w:r>
      <w:r>
        <w:rPr>
          <w:rFonts w:ascii="Times New Roman" w:cs="Times New Roman" w:eastAsia="Times New Roman" w:hAnsi="Times New Roman"/>
          <w:sz w:val="19"/>
          <w:szCs w:val="19"/>
          <w:color w:val="auto"/>
        </w:rPr>
        <w:t>” means Title 11, U.S. Code or any similar federal, state or foreign law for the relief of debtors.</w:t>
      </w:r>
    </w:p>
    <w:p>
      <w:pPr>
        <w:spacing w:after="0" w:line="152" w:lineRule="exact"/>
        <w:rPr>
          <w:sz w:val="20"/>
          <w:szCs w:val="20"/>
          <w:color w:val="auto"/>
        </w:rPr>
      </w:pPr>
    </w:p>
    <w:p>
      <w:pPr>
        <w:jc w:val="both"/>
        <w:ind w:firstLine="556"/>
        <w:spacing w:after="0" w:line="2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Beneficial Owner</w:t>
      </w:r>
      <w:r>
        <w:rPr>
          <w:rFonts w:ascii="Times New Roman" w:cs="Times New Roman" w:eastAsia="Times New Roman" w:hAnsi="Times New Roman"/>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Board of Directors</w:t>
      </w:r>
      <w:r>
        <w:rPr>
          <w:rFonts w:ascii="Times New Roman" w:cs="Times New Roman" w:eastAsia="Times New Roman" w:hAnsi="Times New Roman"/>
          <w:sz w:val="19"/>
          <w:szCs w:val="19"/>
          <w:color w:val="auto"/>
        </w:rPr>
        <w:t>” means:</w:t>
      </w:r>
    </w:p>
    <w:p>
      <w:pPr>
        <w:spacing w:after="0" w:line="156" w:lineRule="exact"/>
        <w:rPr>
          <w:sz w:val="20"/>
          <w:szCs w:val="20"/>
          <w:color w:val="auto"/>
        </w:rPr>
      </w:pPr>
    </w:p>
    <w:p>
      <w:pPr>
        <w:ind w:left="1100" w:hanging="552"/>
        <w:spacing w:after="0"/>
        <w:tabs>
          <w:tab w:leader="none" w:pos="11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corporation, the board of directors of the corporation or any committee thereof duly authorized to act on behalf of such</w:t>
      </w:r>
    </w:p>
    <w:p>
      <w:pPr>
        <w:spacing w:after="0" w:line="9" w:lineRule="exact"/>
        <w:rPr>
          <w:rFonts w:ascii="Times New Roman" w:cs="Times New Roman" w:eastAsia="Times New Roman" w:hAnsi="Times New Roman"/>
          <w:sz w:val="17"/>
          <w:szCs w:val="17"/>
          <w:color w:val="auto"/>
        </w:rPr>
      </w:pPr>
    </w:p>
    <w:p>
      <w:pPr>
        <w:ind w:left="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board;</w:t>
      </w:r>
    </w:p>
    <w:p>
      <w:pPr>
        <w:spacing w:after="0" w:line="131" w:lineRule="exact"/>
        <w:rPr>
          <w:rFonts w:ascii="Times New Roman" w:cs="Times New Roman" w:eastAsia="Times New Roman" w:hAnsi="Times New Roman"/>
          <w:sz w:val="17"/>
          <w:szCs w:val="17"/>
          <w:color w:val="auto"/>
        </w:rPr>
      </w:pPr>
    </w:p>
    <w:p>
      <w:pPr>
        <w:ind w:left="1100" w:hanging="552"/>
        <w:spacing w:after="0"/>
        <w:tabs>
          <w:tab w:leader="none" w:pos="11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partnership, the board of directors of the general partner of the partnership;</w:t>
      </w:r>
    </w:p>
    <w:p>
      <w:pPr>
        <w:spacing w:after="0" w:line="151" w:lineRule="exact"/>
        <w:rPr>
          <w:rFonts w:ascii="Times New Roman" w:cs="Times New Roman" w:eastAsia="Times New Roman" w:hAnsi="Times New Roman"/>
          <w:sz w:val="19"/>
          <w:szCs w:val="19"/>
          <w:color w:val="auto"/>
        </w:rPr>
      </w:pPr>
    </w:p>
    <w:p>
      <w:pPr>
        <w:ind w:left="280" w:right="20" w:firstLine="268"/>
        <w:spacing w:after="0" w:line="234" w:lineRule="auto"/>
        <w:tabs>
          <w:tab w:leader="none" w:pos="11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limited liability company, the Person or Persons who are the managing member, members or managers or any controlling committee or managing members or managers thereof; and</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other Person, the board or committee of such Person serving a similar function.</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Business Day</w:t>
      </w:r>
      <w:r>
        <w:rPr>
          <w:rFonts w:ascii="Times New Roman" w:cs="Times New Roman" w:eastAsia="Times New Roman" w:hAnsi="Times New Roman"/>
          <w:sz w:val="19"/>
          <w:szCs w:val="19"/>
          <w:color w:val="auto"/>
        </w:rPr>
        <w:t>” means any day other than a Legal Holiday.</w:t>
      </w:r>
    </w:p>
    <w:p>
      <w:pPr>
        <w:spacing w:after="0" w:line="152"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Capital Lease Obligation</w:t>
      </w:r>
      <w:r>
        <w:rPr>
          <w:rFonts w:ascii="Times New Roman" w:cs="Times New Roman" w:eastAsia="Times New Roman" w:hAnsi="Times New Roman"/>
          <w:sz w:val="19"/>
          <w:szCs w:val="19"/>
          <w:color w:val="auto"/>
        </w:rPr>
        <w:t xml:space="preserve">” means, at the time any determination is to be made, the amount of the liability in respect of a capital lease that would at that time be required to be capitalized on a balance sheet in </w:t>
      </w:r>
      <w:r>
        <w:rPr>
          <w:rFonts w:ascii="Times New Roman" w:cs="Times New Roman" w:eastAsia="Times New Roman" w:hAnsi="Times New Roman"/>
          <w:sz w:val="19"/>
          <w:szCs w:val="19"/>
          <w:i w:val="1"/>
          <w:iCs w:val="1"/>
          <w:color w:val="auto"/>
        </w:rPr>
        <w:t>accordance</w:t>
      </w:r>
      <w:r>
        <w:rPr>
          <w:rFonts w:ascii="Times New Roman" w:cs="Times New Roman" w:eastAsia="Times New Roman" w:hAnsi="Times New Roman"/>
          <w:sz w:val="19"/>
          <w:szCs w:val="19"/>
          <w:color w:val="auto"/>
        </w:rPr>
        <w:t xml:space="preserve"> with IFRS as in effect as of December 31, 2018, and the Stated Maturity thereof shall be the date of the last payment of rent or any other amount due under such lease prior to the first date upon which such lease may be prepaid by the lessee without payment of a penalty.</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Capital Stock</w:t>
      </w:r>
      <w:r>
        <w:rPr>
          <w:rFonts w:ascii="Times New Roman" w:cs="Times New Roman" w:eastAsia="Times New Roman" w:hAnsi="Times New Roman"/>
          <w:sz w:val="19"/>
          <w:szCs w:val="19"/>
          <w:color w:val="auto"/>
        </w:rPr>
        <w:t>” means:</w:t>
      </w:r>
    </w:p>
    <w:p>
      <w:pPr>
        <w:spacing w:after="0" w:line="156" w:lineRule="exact"/>
        <w:rPr>
          <w:sz w:val="20"/>
          <w:szCs w:val="20"/>
          <w:color w:val="auto"/>
        </w:rPr>
      </w:pPr>
    </w:p>
    <w:p>
      <w:pPr>
        <w:ind w:left="1100" w:hanging="552"/>
        <w:spacing w:after="0"/>
        <w:tabs>
          <w:tab w:leader="none" w:pos="11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corporation, corporate stock;</w:t>
      </w:r>
    </w:p>
    <w:p>
      <w:pPr>
        <w:spacing w:after="0" w:line="151" w:lineRule="exact"/>
        <w:rPr>
          <w:rFonts w:ascii="Times New Roman" w:cs="Times New Roman" w:eastAsia="Times New Roman" w:hAnsi="Times New Roman"/>
          <w:sz w:val="19"/>
          <w:szCs w:val="19"/>
          <w:color w:val="auto"/>
        </w:rPr>
      </w:pPr>
    </w:p>
    <w:p>
      <w:pPr>
        <w:ind w:left="280" w:right="20" w:firstLine="268"/>
        <w:spacing w:after="0" w:line="234" w:lineRule="auto"/>
        <w:tabs>
          <w:tab w:leader="none" w:pos="11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association or business entity, any and all shares, interests, participations, rights or other equivalents (however designated) of corporate stock;</w:t>
      </w:r>
    </w:p>
    <w:p>
      <w:pPr>
        <w:spacing w:after="0" w:line="129" w:lineRule="exact"/>
        <w:rPr>
          <w:rFonts w:ascii="Times New Roman" w:cs="Times New Roman" w:eastAsia="Times New Roman" w:hAnsi="Times New Roman"/>
          <w:sz w:val="19"/>
          <w:szCs w:val="19"/>
          <w:color w:val="auto"/>
        </w:rPr>
      </w:pPr>
    </w:p>
    <w:p>
      <w:pPr>
        <w:ind w:left="280" w:firstLine="268"/>
        <w:spacing w:after="0" w:line="234" w:lineRule="auto"/>
        <w:tabs>
          <w:tab w:leader="none" w:pos="11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partnership or limited liability company, partnership interests (whether general or limited) or membership interests (whether general or limited); 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60"/>
          </w:cols>
          <w:pgMar w:left="320" w:top="1216" w:right="319" w:bottom="1440" w:gutter="0" w:footer="0" w:header="0"/>
        </w:sectPr>
      </w:pPr>
    </w:p>
    <w:bookmarkStart w:id="12" w:name="page13"/>
    <w:bookmarkEnd w:id="12"/>
    <w:p>
      <w:pPr>
        <w:jc w:val="both"/>
        <w:ind w:left="280" w:firstLine="268"/>
        <w:spacing w:after="0" w:line="223" w:lineRule="auto"/>
        <w:tabs>
          <w:tab w:leader="none" w:pos="11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w:t>
      </w:r>
      <w:r>
        <w:rPr>
          <w:rFonts w:ascii="Times New Roman" w:cs="Times New Roman" w:eastAsia="Times New Roman" w:hAnsi="Times New Roman"/>
          <w:sz w:val="19"/>
          <w:szCs w:val="19"/>
          <w:color w:val="auto"/>
        </w:rPr>
        <w:t>” means the occurrence of any of the following:</w:t>
      </w:r>
    </w:p>
    <w:p>
      <w:pPr>
        <w:spacing w:after="0" w:line="156" w:lineRule="exact"/>
        <w:rPr>
          <w:sz w:val="20"/>
          <w:szCs w:val="20"/>
          <w:color w:val="auto"/>
        </w:rPr>
      </w:pPr>
    </w:p>
    <w:p>
      <w:pPr>
        <w:jc w:val="both"/>
        <w:ind w:left="280" w:firstLine="268"/>
        <w:spacing w:after="0" w:line="223" w:lineRule="auto"/>
        <w:tabs>
          <w:tab w:leader="none" w:pos="11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or indirect sale,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13(d)(3) of the Exchange Act), other than to Wynn Resorts or any of its Affiliates;</w:t>
      </w:r>
    </w:p>
    <w:p>
      <w:pPr>
        <w:spacing w:after="0" w:line="13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adoption of a plan relating to the liquidation or dissolution of the Issuer or any successor thereto;</w:t>
      </w:r>
    </w:p>
    <w:p>
      <w:pPr>
        <w:spacing w:after="0" w:line="151" w:lineRule="exact"/>
        <w:rPr>
          <w:rFonts w:ascii="Times New Roman" w:cs="Times New Roman" w:eastAsia="Times New Roman" w:hAnsi="Times New Roman"/>
          <w:sz w:val="19"/>
          <w:szCs w:val="19"/>
          <w:color w:val="auto"/>
        </w:rPr>
      </w:pPr>
    </w:p>
    <w:p>
      <w:pPr>
        <w:jc w:val="both"/>
        <w:ind w:left="280" w:firstLine="268"/>
        <w:spacing w:after="0" w:line="223" w:lineRule="auto"/>
        <w:tabs>
          <w:tab w:leader="none" w:pos="11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any transaction (including, without limitation, any merger or consolidation) the result of which is that any “person” (as defined in clause (1) above), other than Wynn Resorts or any Affiliate of Wynn Resorts becomes the Beneficial Owner, directly or indirectly, of more than 50% of the outstanding Voting Stock of the Issuer, measured by voting power rather than number of Equity Interests;</w:t>
      </w:r>
    </w:p>
    <w:p>
      <w:pPr>
        <w:spacing w:after="0" w:line="13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day on which a majority of the members of the Board of Directors of the Issuer are not Continuing Directors;</w:t>
      </w:r>
    </w:p>
    <w:p>
      <w:pPr>
        <w:spacing w:after="0" w:line="151" w:lineRule="exact"/>
        <w:rPr>
          <w:rFonts w:ascii="Times New Roman" w:cs="Times New Roman" w:eastAsia="Times New Roman" w:hAnsi="Times New Roman"/>
          <w:sz w:val="19"/>
          <w:szCs w:val="19"/>
          <w:color w:val="auto"/>
        </w:rPr>
      </w:pPr>
    </w:p>
    <w:p>
      <w:pPr>
        <w:ind w:left="280" w:firstLine="268"/>
        <w:spacing w:after="0" w:line="234" w:lineRule="auto"/>
        <w:tabs>
          <w:tab w:leader="none" w:pos="11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day on which the Issuer ceases to own, directly or indirectly, at least 60% of the outstanding Equity Interests of (and at least a 60% economic interest in) the Concessionaire; or</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30th day following the date on which the Issuer ceases to be entitled to use the “WYNN” trademark.</w:t>
      </w:r>
    </w:p>
    <w:p>
      <w:pPr>
        <w:spacing w:after="0" w:line="152" w:lineRule="exact"/>
        <w:rPr>
          <w:sz w:val="20"/>
          <w:szCs w:val="20"/>
          <w:color w:val="auto"/>
        </w:rPr>
      </w:pPr>
    </w:p>
    <w:p>
      <w:pPr>
        <w:jc w:val="both"/>
        <w:ind w:firstLine="556"/>
        <w:spacing w:after="0" w:line="218" w:lineRule="auto"/>
        <w:rPr>
          <w:sz w:val="20"/>
          <w:szCs w:val="20"/>
          <w:color w:val="auto"/>
        </w:rPr>
      </w:pPr>
      <w:r>
        <w:rPr>
          <w:rFonts w:ascii="Times New Roman" w:cs="Times New Roman" w:eastAsia="Times New Roman" w:hAnsi="Times New Roman"/>
          <w:sz w:val="19"/>
          <w:szCs w:val="19"/>
          <w:color w:val="auto"/>
        </w:rPr>
        <w:t>Notwithstanding the preceding or any provision of Section 13(d)(3) of the Exchange Act,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spacing w:after="0" w:line="128" w:lineRule="exact"/>
        <w:rPr>
          <w:sz w:val="20"/>
          <w:szCs w:val="20"/>
          <w:color w:val="auto"/>
        </w:rPr>
      </w:pPr>
    </w:p>
    <w:p>
      <w:pPr>
        <w:jc w:val="both"/>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Triggering Event</w:t>
      </w:r>
      <w:r>
        <w:rPr>
          <w:rFonts w:ascii="Times New Roman" w:cs="Times New Roman" w:eastAsia="Times New Roman" w:hAnsi="Times New Roman"/>
          <w:sz w:val="19"/>
          <w:szCs w:val="19"/>
          <w:color w:val="auto"/>
        </w:rPr>
        <w:t>” means the occurrence of a Change of Control and, if the Notes are rated by both Rating Agencies, a Ratings Event.</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Clearstream</w:t>
      </w:r>
      <w:r>
        <w:rPr>
          <w:rFonts w:ascii="Times New Roman" w:cs="Times New Roman" w:eastAsia="Times New Roman" w:hAnsi="Times New Roman"/>
          <w:sz w:val="19"/>
          <w:szCs w:val="19"/>
          <w:color w:val="auto"/>
        </w:rPr>
        <w:t>” means Clearstream Banking S.A.</w:t>
      </w:r>
    </w:p>
    <w:p>
      <w:pPr>
        <w:spacing w:after="0" w:line="152"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Comparable Treasury Issue</w:t>
      </w:r>
      <w:r>
        <w:rPr>
          <w:rFonts w:ascii="Times New Roman" w:cs="Times New Roman" w:eastAsia="Times New Roman" w:hAnsi="Times New Roman"/>
          <w:sz w:val="19"/>
          <w:szCs w:val="19"/>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(“Remaining Life”).</w:t>
      </w:r>
    </w:p>
    <w:p>
      <w:pPr>
        <w:spacing w:after="0" w:line="129"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Comparable Treasury Price</w:t>
      </w:r>
      <w:r>
        <w:rPr>
          <w:rFonts w:ascii="Times New Roman" w:cs="Times New Roman" w:eastAsia="Times New Roman" w:hAnsi="Times New Roman"/>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Concessionaire</w:t>
      </w:r>
      <w:r>
        <w:rPr>
          <w:rFonts w:ascii="Times New Roman" w:cs="Times New Roman" w:eastAsia="Times New Roman" w:hAnsi="Times New Roman"/>
          <w:sz w:val="19"/>
          <w:szCs w:val="19"/>
          <w:color w:val="auto"/>
        </w:rPr>
        <w:t>” means Wynn Resorts (Macau) S.A., a company incorporated under the laws of Macau.</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60"/>
          </w:cols>
          <w:pgMar w:left="320" w:top="1216" w:right="319"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continuing</w:t>
      </w:r>
      <w:r>
        <w:rPr>
          <w:rFonts w:ascii="Times New Roman" w:cs="Times New Roman" w:eastAsia="Times New Roman" w:hAnsi="Times New Roman"/>
          <w:sz w:val="19"/>
          <w:szCs w:val="19"/>
          <w:color w:val="auto"/>
        </w:rPr>
        <w:t>” means, with respect to any Default or Event of Default, that such Default or Event of Default has not been cured or waived.</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Continuing Directors</w:t>
      </w:r>
      <w:r>
        <w:rPr>
          <w:rFonts w:ascii="Times New Roman" w:cs="Times New Roman" w:eastAsia="Times New Roman" w:hAnsi="Times New Roman"/>
          <w:sz w:val="19"/>
          <w:szCs w:val="19"/>
          <w:color w:val="auto"/>
        </w:rPr>
        <w:t>” means, as of any date of determination, with respect to any Person, any member of the Board of Directors of such</w:t>
      </w:r>
    </w:p>
    <w:p>
      <w:pPr>
        <w:spacing w:after="0"/>
        <w:rPr>
          <w:sz w:val="20"/>
          <w:szCs w:val="20"/>
          <w:color w:val="auto"/>
        </w:rPr>
      </w:pPr>
      <w:r>
        <w:rPr>
          <w:rFonts w:ascii="Times New Roman" w:cs="Times New Roman" w:eastAsia="Times New Roman" w:hAnsi="Times New Roman"/>
          <w:sz w:val="19"/>
          <w:szCs w:val="19"/>
          <w:color w:val="auto"/>
        </w:rPr>
        <w:t>Person who:</w:t>
      </w:r>
    </w:p>
    <w:p>
      <w:pPr>
        <w:spacing w:after="0" w:line="132" w:lineRule="exact"/>
        <w:rPr>
          <w:sz w:val="20"/>
          <w:szCs w:val="20"/>
          <w:color w:val="auto"/>
        </w:rPr>
      </w:pPr>
    </w:p>
    <w:p>
      <w:pPr>
        <w:ind w:left="1100" w:hanging="552"/>
        <w:spacing w:after="0"/>
        <w:tabs>
          <w:tab w:leader="none" w:pos="11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 a member of such Board of Directors on the date hereof; or</w:t>
      </w:r>
    </w:p>
    <w:p>
      <w:pPr>
        <w:spacing w:after="0" w:line="151" w:lineRule="exact"/>
        <w:rPr>
          <w:rFonts w:ascii="Times New Roman" w:cs="Times New Roman" w:eastAsia="Times New Roman" w:hAnsi="Times New Roman"/>
          <w:sz w:val="19"/>
          <w:szCs w:val="19"/>
          <w:color w:val="auto"/>
        </w:rPr>
      </w:pPr>
    </w:p>
    <w:p>
      <w:pPr>
        <w:ind w:left="280" w:firstLine="268"/>
        <w:spacing w:after="0" w:line="234" w:lineRule="auto"/>
        <w:tabs>
          <w:tab w:leader="none" w:pos="11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 nominated for election, or was elected or appointed, to such Board of Directors with the approval of a majority of the Continuing Directors who were members of such Board of Directors at the time of such nomination, election or appointment.</w:t>
      </w:r>
    </w:p>
    <w:p>
      <w:pPr>
        <w:spacing w:after="0" w:line="126" w:lineRule="exact"/>
        <w:rPr>
          <w:sz w:val="20"/>
          <w:szCs w:val="20"/>
          <w:color w:val="auto"/>
        </w:rPr>
      </w:pPr>
    </w:p>
    <w:p>
      <w:pPr>
        <w:jc w:val="both"/>
        <w:ind w:firstLine="556"/>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Trust Office of the Trustee</w:t>
      </w:r>
      <w:r>
        <w:rPr>
          <w:rFonts w:ascii="Times New Roman" w:cs="Times New Roman" w:eastAsia="Times New Roman" w:hAnsi="Times New Roman"/>
          <w:sz w:val="17"/>
          <w:szCs w:val="17"/>
          <w:color w:val="auto"/>
        </w:rPr>
        <w:t>” means the designated address of the Trustee specified in Section 11.01 hereof at which at any time its corporate trust business shall be administered, or such other designated address as to which the Trustee may give notice from time to time to the Issuer, or the designated address of any successor Trustee (or such other address as such successor Trustee may give notice from time to time to the Issuer).</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Custodian</w:t>
      </w:r>
      <w:r>
        <w:rPr>
          <w:rFonts w:ascii="Times New Roman" w:cs="Times New Roman" w:eastAsia="Times New Roman" w:hAnsi="Times New Roman"/>
          <w:sz w:val="19"/>
          <w:szCs w:val="19"/>
          <w:color w:val="auto"/>
        </w:rPr>
        <w:t>” means the Trustee, as custodian with respect to the Notes in global form, or any successor entity thereto.</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Default</w:t>
      </w:r>
      <w:r>
        <w:rPr>
          <w:rFonts w:ascii="Times New Roman" w:cs="Times New Roman" w:eastAsia="Times New Roman" w:hAnsi="Times New Roman"/>
          <w:sz w:val="19"/>
          <w:szCs w:val="19"/>
          <w:color w:val="auto"/>
        </w:rPr>
        <w:t>” means any event that is, or with the passage of time or the giving of notice or both would be, an Event of Default.</w:t>
      </w:r>
    </w:p>
    <w:p>
      <w:pPr>
        <w:spacing w:after="0" w:line="152"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Definitive Note</w:t>
      </w:r>
      <w:r>
        <w:rPr>
          <w:rFonts w:ascii="Times New Roman" w:cs="Times New Roman" w:eastAsia="Times New Roman" w:hAnsi="Times New Roman"/>
          <w:sz w:val="19"/>
          <w:szCs w:val="19"/>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26"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Depositary</w:t>
      </w:r>
      <w:r>
        <w:rPr>
          <w:rFonts w:ascii="Times New Roman" w:cs="Times New Roman" w:eastAsia="Times New Roman" w:hAnsi="Times New Roman"/>
          <w:sz w:val="19"/>
          <w:szCs w:val="19"/>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26" w:lineRule="exact"/>
        <w:rPr>
          <w:sz w:val="20"/>
          <w:szCs w:val="20"/>
          <w:color w:val="auto"/>
        </w:rPr>
      </w:pPr>
    </w:p>
    <w:p>
      <w:pPr>
        <w:jc w:val="both"/>
        <w:ind w:right="20" w:firstLine="55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Designated Officer</w:t>
      </w:r>
      <w:r>
        <w:rPr>
          <w:rFonts w:ascii="Times New Roman" w:cs="Times New Roman" w:eastAsia="Times New Roman" w:hAnsi="Times New Roman"/>
          <w:sz w:val="17"/>
          <w:szCs w:val="17"/>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86" w:lineRule="exact"/>
        <w:rPr>
          <w:sz w:val="20"/>
          <w:szCs w:val="20"/>
          <w:color w:val="auto"/>
        </w:rPr>
      </w:pPr>
    </w:p>
    <w:p>
      <w:pPr>
        <w:jc w:val="both"/>
        <w:ind w:firstLine="556"/>
        <w:spacing w:after="0" w:line="21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Disqualified Stock</w:t>
      </w:r>
      <w:r>
        <w:rPr>
          <w:rFonts w:ascii="Times New Roman" w:cs="Times New Roman" w:eastAsia="Times New Roman" w:hAnsi="Times New Roman"/>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issuer thereof to repurchase such Capital Stock upon the occurrence of a change of control or an asset sale will not constitute Disqualified Stock.</w:t>
      </w:r>
    </w:p>
    <w:p>
      <w:pPr>
        <w:spacing w:after="0" w:line="128"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Dollar Equivalent</w:t>
      </w:r>
      <w:r>
        <w:rPr>
          <w:rFonts w:ascii="Times New Roman" w:cs="Times New Roman" w:eastAsia="Times New Roman" w:hAnsi="Times New Roman"/>
          <w:sz w:val="19"/>
          <w:szCs w:val="19"/>
          <w:color w:val="auto"/>
        </w:rPr>
        <w: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60"/>
          </w:cols>
          <w:pgMar w:left="320" w:top="1212" w:right="319" w:bottom="1440" w:gutter="0" w:footer="0" w:header="0"/>
        </w:sectPr>
      </w:pPr>
    </w:p>
    <w:bookmarkStart w:id="14" w:name="page15"/>
    <w:bookmarkEnd w:id="14"/>
    <w:p>
      <w:pPr>
        <w:jc w:val="both"/>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Equity Interests</w:t>
      </w:r>
      <w:r>
        <w:rPr>
          <w:rFonts w:ascii="Times New Roman" w:cs="Times New Roman" w:eastAsia="Times New Roman" w:hAnsi="Times New Roman"/>
          <w:sz w:val="19"/>
          <w:szCs w:val="19"/>
          <w:color w:val="auto"/>
        </w:rPr>
        <w:t>” means Capital Stock and all warrants, options or other rights to acquire Capital Stock (but excluding any debt security that is convertible into, or exchangeable for, Capital Stock).</w:t>
      </w:r>
    </w:p>
    <w:p>
      <w:pPr>
        <w:spacing w:after="0" w:line="126"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Equity Offering</w:t>
      </w:r>
      <w:r>
        <w:rPr>
          <w:rFonts w:ascii="Times New Roman" w:cs="Times New Roman" w:eastAsia="Times New Roman" w:hAnsi="Times New Roman"/>
          <w:sz w:val="19"/>
          <w:szCs w:val="19"/>
          <w:color w:val="auto"/>
        </w:rPr>
        <w:t>” means any public sale or private issuance of Capital Stock (other than Disqualified Stock) of (1) the Issuer or (2) a direct or indirect parent of the Issuer to the extent the net proceeds from such sale or issuance are contributed in cash to the common equity capital of the Issuer (in each case other than pursuant to a registration statement on Form S-8 or otherwise relating to equity securities issuable under any employee benefit plan of the Issuer).</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Euroclear</w:t>
      </w:r>
      <w:r>
        <w:rPr>
          <w:rFonts w:ascii="Times New Roman" w:cs="Times New Roman" w:eastAsia="Times New Roman" w:hAnsi="Times New Roman"/>
          <w:sz w:val="19"/>
          <w:szCs w:val="19"/>
          <w:color w:val="auto"/>
        </w:rPr>
        <w:t>” means Euroclear Bank, SA/NV, as operator of the Euroclear system.</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Exchange Act</w:t>
      </w:r>
      <w:r>
        <w:rPr>
          <w:rFonts w:ascii="Times New Roman" w:cs="Times New Roman" w:eastAsia="Times New Roman" w:hAnsi="Times New Roman"/>
          <w:sz w:val="19"/>
          <w:szCs w:val="19"/>
          <w:color w:val="auto"/>
        </w:rPr>
        <w:t>” means the United States Securities Exchange Act of 1934, as amended.</w:t>
      </w:r>
    </w:p>
    <w:p>
      <w:pPr>
        <w:spacing w:after="0" w:line="152"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Fair Market Value</w:t>
      </w:r>
      <w:r>
        <w:rPr>
          <w:rFonts w:ascii="Times New Roman" w:cs="Times New Roman" w:eastAsia="Times New Roman" w:hAnsi="Times New Roman"/>
          <w:sz w:val="19"/>
          <w:szCs w:val="19"/>
          <w:color w:val="auto"/>
        </w:rPr>
        <w:t>” means the value that would be paid by a willing buyer to an unaffiliated willing seller in a transaction not involving distress or necessity of either party, determined in good faith by (1) an appropriate officer of the Issuer, in the case of any value equal to or less than US$25.0 million (or the Dollar Equivalent thereof) or (2) the Board of Directors of the Issuer, in the event of any value greater than US$25.0 million (or the Dollar Equivalent thereof), in each case, unless otherwise provided in this Indenture.</w:t>
      </w:r>
    </w:p>
    <w:p>
      <w:pPr>
        <w:spacing w:after="0" w:line="129" w:lineRule="exact"/>
        <w:rPr>
          <w:sz w:val="20"/>
          <w:szCs w:val="20"/>
          <w:color w:val="auto"/>
        </w:rPr>
      </w:pPr>
    </w:p>
    <w:p>
      <w:pPr>
        <w:jc w:val="both"/>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Fitch</w:t>
      </w:r>
      <w:r>
        <w:rPr>
          <w:rFonts w:ascii="Times New Roman" w:cs="Times New Roman" w:eastAsia="Times New Roman" w:hAnsi="Times New Roman"/>
          <w:sz w:val="19"/>
          <w:szCs w:val="19"/>
          <w:color w:val="auto"/>
        </w:rPr>
        <w:t>” means Fitch Ratings, Inc., or any successor to its statistical rating business, except that any reference to a particular rating by Fitch shall be deemed to be a reference to the corresponding rating by any such successor.</w:t>
      </w:r>
    </w:p>
    <w:p>
      <w:pPr>
        <w:spacing w:after="0" w:line="126" w:lineRule="exact"/>
        <w:rPr>
          <w:sz w:val="20"/>
          <w:szCs w:val="20"/>
          <w:color w:val="auto"/>
        </w:rPr>
      </w:pPr>
    </w:p>
    <w:p>
      <w:pPr>
        <w:jc w:val="both"/>
        <w:ind w:firstLine="556"/>
        <w:spacing w:after="0" w:line="2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Gaming Authority</w:t>
      </w:r>
      <w:r>
        <w:rPr>
          <w:rFonts w:ascii="Times New Roman" w:cs="Times New Roman" w:eastAsia="Times New Roman" w:hAnsi="Times New Roman"/>
          <w:sz w:val="19"/>
          <w:szCs w:val="19"/>
          <w:color w:val="auto"/>
        </w:rPr>
        <w:t>” means any agency, authority, board, bureau, commission, department, office or instrumentality of any nature whatsoever of any national or foreign government, any state, province or city or other political subdivision or otherwise, whether on the date of this Indenture or thereafter in existence, including the Government of the Macau Special Administrative Region and any other applicable gaming regulatory authority or agency, in each case, with authority to regulate the sale or distribution of liquor or any gaming operation (or proposed gaming operation) owned, managed or operated by the Issuer or any of its respective Affiliates, including the Concessionaire.</w:t>
      </w:r>
    </w:p>
    <w:p>
      <w:pPr>
        <w:spacing w:after="0" w:line="128" w:lineRule="exact"/>
        <w:rPr>
          <w:sz w:val="20"/>
          <w:szCs w:val="20"/>
          <w:color w:val="auto"/>
        </w:rPr>
      </w:pPr>
    </w:p>
    <w:p>
      <w:pPr>
        <w:jc w:val="both"/>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Gaming Law</w:t>
      </w:r>
      <w:r>
        <w:rPr>
          <w:rFonts w:ascii="Times New Roman" w:cs="Times New Roman" w:eastAsia="Times New Roman" w:hAnsi="Times New Roman"/>
          <w:sz w:val="19"/>
          <w:szCs w:val="19"/>
          <w:color w:val="auto"/>
        </w:rPr>
        <w:t>” means the gaming laws, rules, regulations or ordinances of any jurisdiction or jurisdictions to which Wynn Resorts, the Issuer or any of their respective Affiliates, including the Concessionaire, is, or may be, at any time subject.</w:t>
      </w:r>
    </w:p>
    <w:p>
      <w:pPr>
        <w:spacing w:after="0" w:line="126"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Gaming License</w:t>
      </w:r>
      <w:r>
        <w:rPr>
          <w:rFonts w:ascii="Times New Roman" w:cs="Times New Roman" w:eastAsia="Times New Roman" w:hAnsi="Times New Roman"/>
          <w:sz w:val="19"/>
          <w:szCs w:val="19"/>
          <w:color w:val="auto"/>
        </w:rPr>
        <w:t>” means the license, concession, subconcession or other authorization from any Government Authority which authorizes, permits, concedes or allows the Issuer or any of its Subsidiaries, at the relevant time, to own or manage casino or gaming areas or operate casino games of fortune and chance.</w:t>
      </w:r>
    </w:p>
    <w:p>
      <w:pPr>
        <w:spacing w:after="0" w:line="126" w:lineRule="exact"/>
        <w:rPr>
          <w:sz w:val="20"/>
          <w:szCs w:val="20"/>
          <w:color w:val="auto"/>
        </w:rPr>
      </w:pPr>
    </w:p>
    <w:p>
      <w:pPr>
        <w:jc w:val="both"/>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Global Note Legend</w:t>
      </w:r>
      <w:r>
        <w:rPr>
          <w:rFonts w:ascii="Times New Roman" w:cs="Times New Roman" w:eastAsia="Times New Roman" w:hAnsi="Times New Roman"/>
          <w:sz w:val="19"/>
          <w:szCs w:val="19"/>
          <w:color w:val="auto"/>
        </w:rPr>
        <w:t>” means the legend set forth in Section 2.06(f)(2) hereof, which is required to be placed on all Global Notes issued under this Indenture.</w:t>
      </w:r>
    </w:p>
    <w:p>
      <w:pPr>
        <w:spacing w:after="0" w:line="126" w:lineRule="exact"/>
        <w:rPr>
          <w:sz w:val="20"/>
          <w:szCs w:val="20"/>
          <w:color w:val="auto"/>
        </w:rPr>
      </w:pPr>
    </w:p>
    <w:p>
      <w:pPr>
        <w:jc w:val="both"/>
        <w:ind w:firstLine="556"/>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means each of the global Notes issued in accordance with Section 2.01 hereof and substantially in the form of Exhibit A hereto that, except as otherwise provided in Section 2.01(b) hereof, bear the Global Note Legend and that have the “Schedule of Exchanges of Interests in the Global Note” attached thereto, and that are deposited with or on behalf of and registered in the name of the Depositary or its nominee.</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Government Securities</w:t>
      </w:r>
      <w:r>
        <w:rPr>
          <w:rFonts w:ascii="Times New Roman" w:cs="Times New Roman" w:eastAsia="Times New Roman" w:hAnsi="Times New Roman"/>
          <w:sz w:val="19"/>
          <w:szCs w:val="19"/>
          <w:color w:val="auto"/>
        </w:rPr>
        <w:t>” means securities that are:</w:t>
      </w:r>
    </w:p>
    <w:p>
      <w:pPr>
        <w:spacing w:after="0" w:line="156" w:lineRule="exact"/>
        <w:rPr>
          <w:sz w:val="20"/>
          <w:szCs w:val="20"/>
          <w:color w:val="auto"/>
        </w:rPr>
      </w:pPr>
    </w:p>
    <w:p>
      <w:pPr>
        <w:ind w:left="1100" w:hanging="552"/>
        <w:spacing w:after="0"/>
        <w:tabs>
          <w:tab w:leader="none" w:pos="11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the United States of America for the timely payment of which its full faith and credit is pledged; or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53" w:lineRule="exact"/>
        <w:rPr>
          <w:rFonts w:ascii="Times New Roman" w:cs="Times New Roman" w:eastAsia="Times New Roman" w:hAnsi="Times New Roman"/>
          <w:sz w:val="19"/>
          <w:szCs w:val="19"/>
          <w:color w:val="auto"/>
        </w:rPr>
      </w:pPr>
    </w:p>
    <w:p>
      <w:pPr>
        <w:ind w:left="5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w:t>
      </w:r>
    </w:p>
    <w:p>
      <w:pPr>
        <w:sectPr>
          <w:pgSz w:w="11900" w:h="16838" w:orient="portrait"/>
          <w:cols w:equalWidth="0" w:num="1">
            <w:col w:w="11260"/>
          </w:cols>
          <w:pgMar w:left="320" w:top="1212" w:right="319" w:bottom="1440" w:gutter="0" w:footer="0" w:header="0"/>
        </w:sectPr>
      </w:pPr>
    </w:p>
    <w:bookmarkStart w:id="15" w:name="page16"/>
    <w:bookmarkEnd w:id="15"/>
    <w:p>
      <w:pPr>
        <w:ind w:left="280" w:firstLine="268"/>
        <w:spacing w:after="0" w:line="234" w:lineRule="auto"/>
        <w:tabs>
          <w:tab w:leader="none" w:pos="110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53"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which, in either case, are not callable or redeemable at the option of the issuer thereof, and will include a depository receipt issued by a bank (as defined in Section 3(a)(2) of the Securities Act),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29"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Guarantee</w:t>
      </w:r>
      <w:r>
        <w:rPr>
          <w:rFonts w:ascii="Times New Roman" w:cs="Times New Roman" w:eastAsia="Times New Roman" w:hAnsi="Times New Roman"/>
          <w:sz w:val="19"/>
          <w:szCs w:val="19"/>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Hedging Obligations</w:t>
      </w:r>
      <w:r>
        <w:rPr>
          <w:rFonts w:ascii="Times New Roman" w:cs="Times New Roman" w:eastAsia="Times New Roman" w:hAnsi="Times New Roman"/>
          <w:sz w:val="19"/>
          <w:szCs w:val="19"/>
          <w:color w:val="auto"/>
        </w:rPr>
        <w:t>” means, with respect to any specified Person, the obligations of such Person under:</w:t>
      </w:r>
    </w:p>
    <w:p>
      <w:pPr>
        <w:spacing w:after="0" w:line="156" w:lineRule="exact"/>
        <w:rPr>
          <w:sz w:val="20"/>
          <w:szCs w:val="20"/>
          <w:color w:val="auto"/>
        </w:rPr>
      </w:pPr>
    </w:p>
    <w:p>
      <w:pPr>
        <w:ind w:left="280" w:firstLine="268"/>
        <w:spacing w:after="0" w:line="234" w:lineRule="auto"/>
        <w:tabs>
          <w:tab w:leader="none" w:pos="110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rate swap agreements (whether from fixed to floating or from floating to fixed), interest rate cap agreements and interest rate collar agreements;</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or arrangements designed to manage interest rates or interest rate risk; and</w:t>
      </w:r>
    </w:p>
    <w:p>
      <w:pPr>
        <w:spacing w:after="0" w:line="138"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or arrangements designed to protect such Person against fluctuations in currency exchange rates and/or commodity</w:t>
      </w:r>
    </w:p>
    <w:p>
      <w:pPr>
        <w:ind w:left="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prices.</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Holder</w:t>
      </w:r>
      <w:r>
        <w:rPr>
          <w:rFonts w:ascii="Times New Roman" w:cs="Times New Roman" w:eastAsia="Times New Roman" w:hAnsi="Times New Roman"/>
          <w:sz w:val="19"/>
          <w:szCs w:val="19"/>
          <w:color w:val="auto"/>
        </w:rPr>
        <w:t>” means any registered holder, from time to time, of the Notes. Only registered holders shall have any rights under this Indenture.</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IFRS</w:t>
      </w:r>
      <w:r>
        <w:rPr>
          <w:rFonts w:ascii="Times New Roman" w:cs="Times New Roman" w:eastAsia="Times New Roman" w:hAnsi="Times New Roman"/>
          <w:sz w:val="19"/>
          <w:szCs w:val="19"/>
          <w:color w:val="auto"/>
        </w:rPr>
        <w:t>” means International Financial Reporting Standards as in effect from time to time.</w:t>
      </w:r>
    </w:p>
    <w:p>
      <w:pPr>
        <w:spacing w:after="0" w:line="152" w:lineRule="exact"/>
        <w:rPr>
          <w:sz w:val="20"/>
          <w:szCs w:val="20"/>
          <w:color w:val="auto"/>
        </w:rPr>
      </w:pPr>
    </w:p>
    <w:p>
      <w:pPr>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Indebtedness</w:t>
      </w:r>
      <w:r>
        <w:rPr>
          <w:rFonts w:ascii="Times New Roman" w:cs="Times New Roman" w:eastAsia="Times New Roman" w:hAnsi="Times New Roman"/>
          <w:sz w:val="19"/>
          <w:szCs w:val="19"/>
          <w:color w:val="auto"/>
        </w:rPr>
        <w:t>” means, with respect to any specified Person, any indebtedness of such Person (excluding accrued expenses and trade payables), whether or not contingent:</w:t>
      </w:r>
    </w:p>
    <w:p>
      <w:pPr>
        <w:spacing w:after="0" w:line="130" w:lineRule="exact"/>
        <w:rPr>
          <w:sz w:val="20"/>
          <w:szCs w:val="20"/>
          <w:color w:val="auto"/>
        </w:rPr>
      </w:pPr>
    </w:p>
    <w:p>
      <w:pPr>
        <w:ind w:left="1100" w:hanging="552"/>
        <w:spacing w:after="0"/>
        <w:tabs>
          <w:tab w:leader="none" w:pos="11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borrowed money;</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evidenced by bonds, notes, debentures or similar instruments or letters of credit (or reimbursement agreements in respect thereof);</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banker’s acceptances;</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Capital Lease Obligations;</w:t>
      </w:r>
    </w:p>
    <w:p>
      <w:pPr>
        <w:spacing w:after="0" w:line="151" w:lineRule="exact"/>
        <w:rPr>
          <w:rFonts w:ascii="Times New Roman" w:cs="Times New Roman" w:eastAsia="Times New Roman" w:hAnsi="Times New Roman"/>
          <w:sz w:val="19"/>
          <w:szCs w:val="19"/>
          <w:color w:val="auto"/>
        </w:rPr>
      </w:pPr>
    </w:p>
    <w:p>
      <w:pPr>
        <w:ind w:left="280" w:right="20" w:firstLine="268"/>
        <w:spacing w:after="0" w:line="234" w:lineRule="auto"/>
        <w:tabs>
          <w:tab w:leader="none" w:pos="110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the balance deferred and unpaid of the purchase price of any property or services due more than six months after such property is acquired or such services are completed; 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60"/>
          </w:cols>
          <w:pgMar w:left="320" w:top="1216" w:right="319" w:bottom="1440" w:gutter="0" w:footer="0" w:header="0"/>
        </w:sectPr>
      </w:pPr>
    </w:p>
    <w:bookmarkStart w:id="16" w:name="page17"/>
    <w:bookmarkEnd w:id="16"/>
    <w:p>
      <w:pPr>
        <w:ind w:left="1100" w:hanging="552"/>
        <w:spacing w:after="0"/>
        <w:tabs>
          <w:tab w:leader="none" w:pos="11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representing any Hedging Obligations,</w:t>
      </w:r>
    </w:p>
    <w:p>
      <w:pPr>
        <w:spacing w:after="0" w:line="175"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if and to the extent any of the preceding items (other than letters of credit and Hedging Obligations) would appear as a liability upon a balance sheet of the specified Person prepared in accordance with IFRS.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amount of any Indebtedness outstanding as of any date shall be:</w:t>
      </w:r>
    </w:p>
    <w:p>
      <w:pPr>
        <w:spacing w:after="0" w:line="164" w:lineRule="exact"/>
        <w:rPr>
          <w:sz w:val="20"/>
          <w:szCs w:val="20"/>
          <w:color w:val="auto"/>
        </w:rPr>
      </w:pPr>
    </w:p>
    <w:p>
      <w:pPr>
        <w:ind w:left="1100" w:hanging="552"/>
        <w:spacing w:after="0"/>
        <w:tabs>
          <w:tab w:leader="none" w:pos="11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accreted value of the Indebtedness, in the case of any Indebtedness issued with original issue discount;</w:t>
      </w:r>
    </w:p>
    <w:p>
      <w:pPr>
        <w:spacing w:after="0" w:line="151" w:lineRule="exact"/>
        <w:rPr>
          <w:rFonts w:ascii="Times New Roman" w:cs="Times New Roman" w:eastAsia="Times New Roman" w:hAnsi="Times New Roman"/>
          <w:sz w:val="19"/>
          <w:szCs w:val="19"/>
          <w:color w:val="auto"/>
        </w:rPr>
      </w:pPr>
    </w:p>
    <w:p>
      <w:pPr>
        <w:ind w:left="280" w:right="20" w:firstLine="268"/>
        <w:spacing w:after="0" w:line="234" w:lineRule="auto"/>
        <w:tabs>
          <w:tab w:leader="none" w:pos="110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the Indebtedness, together with any interest on the Indebtedness that is more than 30 days past due, in the case of any other Indebtedness;</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Guarantee of Indebtedness, the maximum amount of the Indebtedness guaranteed under such Guarantee; and</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Indebtedness of others secured by a Lien on any asset of the specified Person, the lesser of:</w:t>
      </w:r>
    </w:p>
    <w:p>
      <w:pPr>
        <w:spacing w:after="0" w:line="152" w:lineRule="exact"/>
        <w:rPr>
          <w:sz w:val="20"/>
          <w:szCs w:val="20"/>
          <w:color w:val="auto"/>
        </w:rPr>
      </w:pPr>
    </w:p>
    <w:p>
      <w:pPr>
        <w:ind w:firstLine="548"/>
        <w:spacing w:after="0" w:line="234" w:lineRule="auto"/>
        <w:tabs>
          <w:tab w:leader="none" w:pos="110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face amount of such Indebtedness (plus, in the case of any letter of credit or similar instrument, the amount of any reimbursement obligations in respect thereof), and</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Market Value of the asset(s) subject to such Lien.</w:t>
      </w:r>
    </w:p>
    <w:p>
      <w:pPr>
        <w:spacing w:after="0" w:line="175"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Notwithstanding anything contained in this Indenture to the contrary, any obligation of the Issuer incurred in the ordinary course of business in respect of casino chips or similar instruments shall not constitute “Indebtedness” for any purpose under this Indenture.</w:t>
      </w:r>
    </w:p>
    <w:p>
      <w:pPr>
        <w:spacing w:after="0" w:line="1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Indenture</w:t>
      </w:r>
      <w:r>
        <w:rPr>
          <w:rFonts w:ascii="Times New Roman" w:cs="Times New Roman" w:eastAsia="Times New Roman" w:hAnsi="Times New Roman"/>
          <w:sz w:val="19"/>
          <w:szCs w:val="19"/>
          <w:color w:val="auto"/>
        </w:rPr>
        <w:t>” means this Indenture, as amended or supplemented from time to time.</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Independent Investment Banker</w:t>
      </w:r>
      <w:r>
        <w:rPr>
          <w:rFonts w:ascii="Times New Roman" w:cs="Times New Roman" w:eastAsia="Times New Roman" w:hAnsi="Times New Roman"/>
          <w:sz w:val="19"/>
          <w:szCs w:val="19"/>
          <w:color w:val="auto"/>
        </w:rPr>
        <w:t>” means one of the Reference Treasury Dealers appointed by the Issuer.</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Indirect Participant</w:t>
      </w:r>
      <w:r>
        <w:rPr>
          <w:rFonts w:ascii="Times New Roman" w:cs="Times New Roman" w:eastAsia="Times New Roman" w:hAnsi="Times New Roman"/>
          <w:sz w:val="19"/>
          <w:szCs w:val="19"/>
          <w:color w:val="auto"/>
        </w:rPr>
        <w:t>” means a Person who holds a beneficial interest in a Global Note through a Participant.</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Initial Notes</w:t>
      </w:r>
      <w:r>
        <w:rPr>
          <w:rFonts w:ascii="Times New Roman" w:cs="Times New Roman" w:eastAsia="Times New Roman" w:hAnsi="Times New Roman"/>
          <w:sz w:val="17"/>
          <w:szCs w:val="17"/>
          <w:color w:val="auto"/>
        </w:rPr>
        <w:t>” means the first US$1,000,000,000 aggregate principal amount of Notes issued under this Indenture on the date of this Indenture.</w:t>
      </w:r>
    </w:p>
    <w:p>
      <w:pPr>
        <w:spacing w:after="0" w:line="179" w:lineRule="exact"/>
        <w:rPr>
          <w:sz w:val="20"/>
          <w:szCs w:val="20"/>
          <w:color w:val="auto"/>
        </w:rPr>
      </w:pPr>
    </w:p>
    <w:p>
      <w:pPr>
        <w:jc w:val="both"/>
        <w:ind w:firstLine="556"/>
        <w:spacing w:after="0" w:line="213" w:lineRule="auto"/>
        <w:rPr>
          <w:sz w:val="20"/>
          <w:szCs w:val="20"/>
          <w:color w:val="auto"/>
        </w:rPr>
      </w:pPr>
      <w:r>
        <w:rPr>
          <w:rFonts w:ascii="Times New Roman" w:cs="Times New Roman" w:eastAsia="Times New Roman" w:hAnsi="Times New Roman"/>
          <w:sz w:val="19"/>
          <w:szCs w:val="19"/>
          <w:color w:val="auto"/>
        </w:rPr>
        <w:t>“Initial Purchasers” means Deutsche Bank AG, Singapore Branch, BofA Securities, Inc., Scotia Capital (USA) Inc., SMBC Nikko Securities America, Inc., Abu Dhabi Commercial Bank PJSC, Banco Nacional Ultramarino, S.A., Bank of China Limited, Macau Branch, Bank of Communications Co., Ltd. Macau Branch, BNP PARIBAS, CBRE Capital Advisors, Inc., China CITIC Bank International Limited, China Construction Bank Corporation Macau Branch, DBS Bank Ltd., Industrial and Commercial Bank of China (Macau) Limited, Luso International Banking Limited, Oversea-Chinese Banking Corporation Limited, Tai Fung Bank Limited and United Overseas Bank Limited, Hong Kong Branch (incorporated in Singapore with limited liability).</w:t>
      </w:r>
    </w:p>
    <w:p>
      <w:pPr>
        <w:spacing w:after="0" w:line="129" w:lineRule="exact"/>
        <w:rPr>
          <w:sz w:val="20"/>
          <w:szCs w:val="20"/>
          <w:color w:val="auto"/>
        </w:rPr>
      </w:pPr>
    </w:p>
    <w:p>
      <w:pPr>
        <w:jc w:val="both"/>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Investment Grade</w:t>
      </w:r>
      <w:r>
        <w:rPr>
          <w:rFonts w:ascii="Times New Roman" w:cs="Times New Roman" w:eastAsia="Times New Roman" w:hAnsi="Times New Roman"/>
          <w:sz w:val="19"/>
          <w:szCs w:val="19"/>
          <w:color w:val="auto"/>
        </w:rPr>
        <w:t>” means a rating of Baa3 or better by Moody’s (or its equivalent under any successor rating categories of Moody’s), a rating of BBB-or better by S&amp;P (or its equivalent under any successor rating categories of S&amp;P), a rating of BBB-or better by Fitch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60"/>
          </w:cols>
          <w:pgMar w:left="320" w:top="1216" w:right="319" w:bottom="1440" w:gutter="0" w:footer="0" w:header="0"/>
        </w:sectPr>
      </w:pPr>
    </w:p>
    <w:bookmarkStart w:id="17" w:name="page18"/>
    <w:bookmarkEnd w:id="17"/>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(or its equivalent under any successor rating categories of Fitch) or the equivalent Investment Grade credit rating from any additional Rating Agency or Rating Agencies selected by the Issuer, as applicable.</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Issue Date</w:t>
      </w:r>
      <w:r>
        <w:rPr>
          <w:rFonts w:ascii="Times New Roman" w:cs="Times New Roman" w:eastAsia="Times New Roman" w:hAnsi="Times New Roman"/>
          <w:sz w:val="19"/>
          <w:szCs w:val="19"/>
          <w:color w:val="auto"/>
        </w:rPr>
        <w:t>” means the date on which the Notes (other than Additional Notes) are originally issued.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Issuer</w:t>
      </w:r>
      <w:r>
        <w:rPr>
          <w:rFonts w:ascii="Times New Roman" w:cs="Times New Roman" w:eastAsia="Times New Roman" w:hAnsi="Times New Roman"/>
          <w:sz w:val="19"/>
          <w:szCs w:val="19"/>
          <w:color w:val="auto"/>
        </w:rPr>
        <w:t>” means Wynn Macau, Limited, and any and all successors thereto.</w:t>
      </w:r>
    </w:p>
    <w:p>
      <w:pPr>
        <w:spacing w:after="0" w:line="152"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Legal Holiday</w:t>
      </w:r>
      <w:r>
        <w:rPr>
          <w:rFonts w:ascii="Times New Roman" w:cs="Times New Roman" w:eastAsia="Times New Roman" w:hAnsi="Times New Roman"/>
          <w:sz w:val="19"/>
          <w:szCs w:val="19"/>
          <w:color w:val="auto"/>
        </w:rPr>
        <w:t>” means a Saturday, a Sunday or a day on which banking institutions in New York, New York, Hong Kong, Macau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29"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Lien</w:t>
      </w:r>
      <w:r>
        <w:rPr>
          <w:rFonts w:ascii="Times New Roman" w:cs="Times New Roman" w:eastAsia="Times New Roman" w:hAnsi="Times New Roman"/>
          <w:sz w:val="19"/>
          <w:szCs w:val="19"/>
          <w:color w:val="auto"/>
        </w:rPr>
        <w:t>” means, with respect to any asset, (1) any mortgage, lien, pledge, charge, security interest or encumbrance of any kind in respect of such asset, whether or not filed, recorded or otherwise perfected under applicable law, including any conditional sale or other title retention agreement, (2) any lease in the nature thereof or (3) any agreement to deliver a security interest in any asset.</w:t>
      </w:r>
    </w:p>
    <w:p>
      <w:pPr>
        <w:spacing w:after="0" w:line="126" w:lineRule="exact"/>
        <w:rPr>
          <w:sz w:val="20"/>
          <w:szCs w:val="20"/>
          <w:color w:val="auto"/>
        </w:rPr>
      </w:pPr>
    </w:p>
    <w:p>
      <w:pPr>
        <w:jc w:val="both"/>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Moody’s</w:t>
      </w:r>
      <w:r>
        <w:rPr>
          <w:rFonts w:ascii="Times New Roman" w:cs="Times New Roman" w:eastAsia="Times New Roman" w:hAnsi="Times New Roman"/>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Non-U.S. Person</w:t>
      </w:r>
      <w:r>
        <w:rPr>
          <w:rFonts w:ascii="Times New Roman" w:cs="Times New Roman" w:eastAsia="Times New Roman" w:hAnsi="Times New Roman"/>
          <w:sz w:val="19"/>
          <w:szCs w:val="19"/>
          <w:color w:val="auto"/>
        </w:rPr>
        <w:t>” means a Person who is not a U.S. Person.</w:t>
      </w:r>
    </w:p>
    <w:p>
      <w:pPr>
        <w:spacing w:after="0" w:line="152"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Notes</w:t>
      </w:r>
      <w:r>
        <w:rPr>
          <w:rFonts w:ascii="Times New Roman" w:cs="Times New Roman" w:eastAsia="Times New Roman" w:hAnsi="Times New Roman"/>
          <w:sz w:val="19"/>
          <w:szCs w:val="19"/>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26" w:lineRule="exact"/>
        <w:rPr>
          <w:sz w:val="20"/>
          <w:szCs w:val="20"/>
          <w:color w:val="auto"/>
        </w:rPr>
      </w:pPr>
    </w:p>
    <w:p>
      <w:pPr>
        <w:jc w:val="both"/>
        <w:ind w:firstLine="556"/>
        <w:spacing w:after="0" w:line="2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Obligations</w:t>
      </w:r>
      <w:r>
        <w:rPr>
          <w:rFonts w:ascii="Times New Roman" w:cs="Times New Roman" w:eastAsia="Times New Roman" w:hAnsi="Times New Roman"/>
          <w:sz w:val="19"/>
          <w:szCs w:val="19"/>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51" w:lineRule="exact"/>
        <w:rPr>
          <w:sz w:val="20"/>
          <w:szCs w:val="20"/>
          <w:color w:val="auto"/>
        </w:rPr>
      </w:pPr>
    </w:p>
    <w:p>
      <w:pPr>
        <w:jc w:val="both"/>
        <w:ind w:right="180" w:firstLine="55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Officer</w:t>
      </w:r>
      <w:r>
        <w:rPr>
          <w:rFonts w:ascii="Times New Roman" w:cs="Times New Roman" w:eastAsia="Times New Roman" w:hAnsi="Times New Roman"/>
          <w:sz w:val="19"/>
          <w:szCs w:val="19"/>
          <w:color w:val="auto"/>
        </w:rPr>
        <w:t>” means the Chairman of the Board, Chief Executive Officer, Chief Financial Officer, President, any Executive Vice President, Senior Vice President or Vice President, Treasurer or Secretary of the Issuer, or the Surviving Person, as the case may be, or any Director of the Board of the Issuer, or the Surviving Person, as the case may be, or any Person acting in that capacity.</w:t>
      </w:r>
    </w:p>
    <w:p>
      <w:pPr>
        <w:spacing w:after="0" w:line="181" w:lineRule="exact"/>
        <w:rPr>
          <w:sz w:val="20"/>
          <w:szCs w:val="20"/>
          <w:color w:val="auto"/>
        </w:rPr>
      </w:pPr>
    </w:p>
    <w:p>
      <w:pPr>
        <w:ind w:right="480" w:firstLine="55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Officer’s Certificate</w:t>
      </w:r>
      <w:r>
        <w:rPr>
          <w:rFonts w:ascii="Times New Roman" w:cs="Times New Roman" w:eastAsia="Times New Roman" w:hAnsi="Times New Roman"/>
          <w:sz w:val="19"/>
          <w:szCs w:val="19"/>
          <w:color w:val="auto"/>
        </w:rPr>
        <w:t>” means a certificate signed on behalf of the Issuer , or the Surviving Person, as the case may be, by an Officer of the Issuer, or the Surviving Person, as the case may be, that meets the requirements of Section 11.03 hereof.</w:t>
      </w:r>
    </w:p>
    <w:p>
      <w:pPr>
        <w:spacing w:after="0" w:line="133" w:lineRule="exact"/>
        <w:rPr>
          <w:sz w:val="20"/>
          <w:szCs w:val="20"/>
          <w:color w:val="auto"/>
        </w:rPr>
      </w:pPr>
    </w:p>
    <w:p>
      <w:pPr>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Opinion of Counsel</w:t>
      </w:r>
      <w:r>
        <w:rPr>
          <w:rFonts w:ascii="Times New Roman" w:cs="Times New Roman" w:eastAsia="Times New Roman" w:hAnsi="Times New Roman"/>
          <w:sz w:val="19"/>
          <w:szCs w:val="19"/>
          <w:color w:val="auto"/>
        </w:rPr>
        <w:t>” means an opinion from legal counsel who is reasonably acceptable to the Trustee, that meets the requirements of Section 11.03 hereof. The counsel may be an employee of or counsel to the Issuer.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60"/>
          </w:cols>
          <w:pgMar w:left="320" w:top="1216" w:right="319" w:bottom="1440" w:gutter="0" w:footer="0" w:header="0"/>
        </w:sectPr>
      </w:pPr>
    </w:p>
    <w:bookmarkStart w:id="18" w:name="page19"/>
    <w:bookmarkEnd w:id="18"/>
    <w:p>
      <w:pPr>
        <w:jc w:val="both"/>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26" w:lineRule="exact"/>
        <w:rPr>
          <w:sz w:val="20"/>
          <w:szCs w:val="20"/>
          <w:color w:val="auto"/>
        </w:rPr>
      </w:pPr>
    </w:p>
    <w:p>
      <w:pPr>
        <w:jc w:val="both"/>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means any individual, corporation, partnership, joint venture, association, joint-stock company, trust, unincorporated organization, limited liability company or government or other entity.</w:t>
      </w:r>
    </w:p>
    <w:p>
      <w:pPr>
        <w:spacing w:after="0" w:line="126" w:lineRule="exact"/>
        <w:rPr>
          <w:sz w:val="20"/>
          <w:szCs w:val="20"/>
          <w:color w:val="auto"/>
        </w:rPr>
      </w:pPr>
    </w:p>
    <w:p>
      <w:pPr>
        <w:jc w:val="both"/>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Private Placement Legend</w:t>
      </w:r>
      <w:r>
        <w:rPr>
          <w:rFonts w:ascii="Times New Roman" w:cs="Times New Roman" w:eastAsia="Times New Roman" w:hAnsi="Times New Roman"/>
          <w:sz w:val="19"/>
          <w:szCs w:val="19"/>
          <w:color w:val="auto"/>
        </w:rPr>
        <w:t>” means the legend set forth in Section 2.06(f)(1) hereof to be placed on all Notes issued under this Indenture except where otherwise permitted by the provisions of this Indenture.</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QIB</w:t>
      </w:r>
      <w:r>
        <w:rPr>
          <w:rFonts w:ascii="Times New Roman" w:cs="Times New Roman" w:eastAsia="Times New Roman" w:hAnsi="Times New Roman"/>
          <w:sz w:val="19"/>
          <w:szCs w:val="19"/>
          <w:color w:val="auto"/>
        </w:rPr>
        <w:t>” means a “qualified institutional buyer” as defined in Rule 144A.</w:t>
      </w:r>
    </w:p>
    <w:p>
      <w:pPr>
        <w:spacing w:after="0" w:line="152"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Rating Agencies</w:t>
      </w:r>
      <w:r>
        <w:rPr>
          <w:rFonts w:ascii="Times New Roman" w:cs="Times New Roman" w:eastAsia="Times New Roman" w:hAnsi="Times New Roman"/>
          <w:sz w:val="19"/>
          <w:szCs w:val="19"/>
          <w:color w:val="auto"/>
        </w:rPr>
        <w:t>” means (a) each of Moody’s and S&amp;P and (b) if either Moody’s or S&amp;P ceases to rate the Notes or fails to make a rating of the Notes publicly available for reasons outside of the Issuer’s control, a “nationally recognized statistical rating organization” within the meaning of Section 3(a)(62) of the Exchange Act selected by the Issuer (as certified by a resolution of the Issuer’s Board of Directors) as a replacement agency for Moody’s or S&amp;P, or each of them, as the case may be.</w:t>
      </w:r>
    </w:p>
    <w:p>
      <w:pPr>
        <w:spacing w:after="0" w:line="129" w:lineRule="exact"/>
        <w:rPr>
          <w:sz w:val="20"/>
          <w:szCs w:val="20"/>
          <w:color w:val="auto"/>
        </w:rPr>
      </w:pPr>
    </w:p>
    <w:p>
      <w:pPr>
        <w:jc w:val="both"/>
        <w:ind w:firstLine="556"/>
        <w:spacing w:after="0" w:line="21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Rating Category</w:t>
      </w:r>
      <w:r>
        <w:rPr>
          <w:rFonts w:ascii="Times New Roman" w:cs="Times New Roman" w:eastAsia="Times New Roman" w:hAnsi="Times New Roman"/>
          <w:sz w:val="19"/>
          <w:szCs w:val="19"/>
          <w:color w:val="auto"/>
        </w:rPr>
        <w:t>” means (1) with respect to S&amp;P, any of the following categories: “BB,” “B,” “CCC,” “CC,” “C” and “D” (or equivalent successor categories), (2) with respect to Moody’s, any of the following categories: “Ba,” “B,” “Caa,” “Ca,” “C” and “D” (or equivalent successor categories) and (3)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a rating from “BB+” to “BB,” or from “BB” to “BB–,” shall constitute a decrease of one gradation).</w:t>
      </w:r>
    </w:p>
    <w:p>
      <w:pPr>
        <w:spacing w:after="0" w:line="128" w:lineRule="exact"/>
        <w:rPr>
          <w:sz w:val="20"/>
          <w:szCs w:val="20"/>
          <w:color w:val="auto"/>
        </w:rPr>
      </w:pPr>
    </w:p>
    <w:p>
      <w:pPr>
        <w:jc w:val="both"/>
        <w:ind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Rating Date</w:t>
      </w:r>
      <w:r>
        <w:rPr>
          <w:rFonts w:ascii="Times New Roman" w:cs="Times New Roman" w:eastAsia="Times New Roman" w:hAnsi="Times New Roman"/>
          <w:sz w:val="19"/>
          <w:szCs w:val="19"/>
          <w:color w:val="auto"/>
        </w:rPr>
        <w:t>” means the date that is 60 days prior to the earlier of (a) a Change of Control or (b) public notice of the occurrence of a Change of Control or the intention by the Issuer to affect a Change of Control.</w:t>
      </w:r>
    </w:p>
    <w:p>
      <w:pPr>
        <w:spacing w:after="0" w:line="126"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Ratings Event</w:t>
      </w:r>
      <w:r>
        <w:rPr>
          <w:rFonts w:ascii="Times New Roman" w:cs="Times New Roman" w:eastAsia="Times New Roman" w:hAnsi="Times New Roman"/>
          <w:sz w:val="19"/>
          <w:szCs w:val="19"/>
          <w:color w:val="auto"/>
        </w:rPr>
        <w:t>” means the occurrence of the events described in (1) or (2) of this definition on, or within 60 days after the earlier of (i) the occurrence of a Change of Control or (ii) public notice of the occurrence of a Change of Control or the intention by the Issuer to effect a Change of Control (which period shall be extended so long as the rating of the Notes is under publicly announced consideration for a possible downgrade by any of the Rating Agencies):</w:t>
      </w:r>
    </w:p>
    <w:p>
      <w:pPr>
        <w:spacing w:after="0" w:line="133" w:lineRule="exact"/>
        <w:rPr>
          <w:sz w:val="20"/>
          <w:szCs w:val="20"/>
          <w:color w:val="auto"/>
        </w:rPr>
      </w:pPr>
    </w:p>
    <w:p>
      <w:pPr>
        <w:ind w:left="280" w:firstLine="268"/>
        <w:spacing w:after="0" w:line="234" w:lineRule="auto"/>
        <w:tabs>
          <w:tab w:leader="none" w:pos="11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Notes are rated by one or both Rating Agencies on the Rating Date as Investment Grade, the rating of the Notes shall be reduced so that the Notes are rated below Investment Grade by both Rating Agencies; or</w:t>
      </w:r>
    </w:p>
    <w:p>
      <w:pPr>
        <w:spacing w:after="0" w:line="129" w:lineRule="exact"/>
        <w:rPr>
          <w:rFonts w:ascii="Times New Roman" w:cs="Times New Roman" w:eastAsia="Times New Roman" w:hAnsi="Times New Roman"/>
          <w:sz w:val="19"/>
          <w:szCs w:val="19"/>
          <w:color w:val="auto"/>
        </w:rPr>
      </w:pPr>
    </w:p>
    <w:p>
      <w:pPr>
        <w:ind w:left="280" w:right="20" w:firstLine="268"/>
        <w:spacing w:after="0" w:line="234" w:lineRule="auto"/>
        <w:tabs>
          <w:tab w:leader="none" w:pos="11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Notes are rated below Investment Grade by both Rating Agencies on the Rating Date, the rating of the Notes by either Rating Agency shall decrease by one or more gradations (including gradations within Rating Categories as well as between Rating Categories).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Reference Treasury Dealer</w:t>
      </w:r>
      <w:r>
        <w:rPr>
          <w:rFonts w:ascii="Times New Roman" w:cs="Times New Roman" w:eastAsia="Times New Roman" w:hAnsi="Times New Roman"/>
          <w:sz w:val="19"/>
          <w:szCs w:val="19"/>
          <w:color w:val="auto"/>
        </w:rPr>
        <w:t>” means any primary U.S. Government securities dealer in New York City selected by the Issuer.</w:t>
      </w:r>
    </w:p>
    <w:p>
      <w:pPr>
        <w:spacing w:after="0" w:line="152"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Reference Treasury Dealer Quotations</w:t>
      </w:r>
      <w:r>
        <w:rPr>
          <w:rFonts w:ascii="Times New Roman" w:cs="Times New Roman" w:eastAsia="Times New Roman" w:hAnsi="Times New Roman"/>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60"/>
          </w:cols>
          <w:pgMar w:left="320" w:top="1212" w:right="319" w:bottom="1440" w:gutter="0" w:footer="0" w:header="0"/>
        </w:sectPr>
      </w:pPr>
    </w:p>
    <w:bookmarkStart w:id="19" w:name="page20"/>
    <w:bookmarkEnd w:id="19"/>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Investment Banker at 5:00 p.m., New York City time, on the third Business Day preceding such redemption date or, in the case of a satisfaction and discharge or a defeasance, on the third Business Day prior to the date on which the Issuer deposits the amount required under this Indenture.</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Regulation S</w:t>
      </w:r>
      <w:r>
        <w:rPr>
          <w:rFonts w:ascii="Times New Roman" w:cs="Times New Roman" w:eastAsia="Times New Roman" w:hAnsi="Times New Roman"/>
          <w:sz w:val="19"/>
          <w:szCs w:val="19"/>
          <w:color w:val="auto"/>
        </w:rPr>
        <w:t>” means Regulation S promulgated under the Securities Act.</w:t>
      </w:r>
    </w:p>
    <w:p>
      <w:pPr>
        <w:spacing w:after="0" w:line="152"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Regulation S Global Note</w:t>
      </w:r>
      <w:r>
        <w:rPr>
          <w:rFonts w:ascii="Times New Roman" w:cs="Times New Roman" w:eastAsia="Times New Roman" w:hAnsi="Times New Roman"/>
          <w:sz w:val="19"/>
          <w:szCs w:val="19"/>
          <w:color w:val="auto"/>
        </w:rPr>
        <w:t>” means a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26" w:lineRule="exact"/>
        <w:rPr>
          <w:sz w:val="20"/>
          <w:szCs w:val="20"/>
          <w:color w:val="auto"/>
        </w:rPr>
      </w:pPr>
    </w:p>
    <w:p>
      <w:pPr>
        <w:jc w:val="both"/>
        <w:ind w:firstLine="556"/>
        <w:spacing w:after="0" w:line="2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Responsible Officer,</w:t>
      </w:r>
      <w:r>
        <w:rPr>
          <w:rFonts w:ascii="Times New Roman" w:cs="Times New Roman" w:eastAsia="Times New Roman" w:hAnsi="Times New Roman"/>
          <w:sz w:val="19"/>
          <w:szCs w:val="19"/>
          <w:color w:val="auto"/>
        </w:rPr>
        <w:t>” means when used with respect to the Trustee, means any officer within the corporate trust department of the Trustee, including any director,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Definitive Note</w:t>
      </w:r>
      <w:r>
        <w:rPr>
          <w:rFonts w:ascii="Times New Roman" w:cs="Times New Roman" w:eastAsia="Times New Roman" w:hAnsi="Times New Roman"/>
          <w:sz w:val="19"/>
          <w:szCs w:val="19"/>
          <w:color w:val="auto"/>
        </w:rPr>
        <w:t>” means a Definitive Note bearing the Private Placement Legend.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Restricted Global Note</w:t>
      </w:r>
      <w:r>
        <w:rPr>
          <w:rFonts w:ascii="Times New Roman" w:cs="Times New Roman" w:eastAsia="Times New Roman" w:hAnsi="Times New Roman"/>
          <w:sz w:val="19"/>
          <w:szCs w:val="19"/>
          <w:color w:val="auto"/>
        </w:rPr>
        <w:t>” means a Global Note bearing the Private Placement Legend.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144</w:t>
      </w:r>
      <w:r>
        <w:rPr>
          <w:rFonts w:ascii="Times New Roman" w:cs="Times New Roman" w:eastAsia="Times New Roman" w:hAnsi="Times New Roman"/>
          <w:sz w:val="19"/>
          <w:szCs w:val="19"/>
          <w:color w:val="auto"/>
        </w:rPr>
        <w:t>” means Rule 144 promulgated under the Securities Act.</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144A</w:t>
      </w:r>
      <w:r>
        <w:rPr>
          <w:rFonts w:ascii="Times New Roman" w:cs="Times New Roman" w:eastAsia="Times New Roman" w:hAnsi="Times New Roman"/>
          <w:sz w:val="19"/>
          <w:szCs w:val="19"/>
          <w:color w:val="auto"/>
        </w:rPr>
        <w:t>” means Rule 144A promulgated under the Securities Act.</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903</w:t>
      </w:r>
      <w:r>
        <w:rPr>
          <w:rFonts w:ascii="Times New Roman" w:cs="Times New Roman" w:eastAsia="Times New Roman" w:hAnsi="Times New Roman"/>
          <w:sz w:val="19"/>
          <w:szCs w:val="19"/>
          <w:color w:val="auto"/>
        </w:rPr>
        <w:t>” means Rule 903 promulgated under the Securities Act.</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Rule 904</w:t>
      </w:r>
      <w:r>
        <w:rPr>
          <w:rFonts w:ascii="Times New Roman" w:cs="Times New Roman" w:eastAsia="Times New Roman" w:hAnsi="Times New Roman"/>
          <w:sz w:val="19"/>
          <w:szCs w:val="19"/>
          <w:color w:val="auto"/>
        </w:rPr>
        <w:t>” means Rule 904 promulgated under the Securities Act.</w:t>
      </w:r>
    </w:p>
    <w:p>
      <w:pPr>
        <w:spacing w:after="0" w:line="152" w:lineRule="exact"/>
        <w:rPr>
          <w:sz w:val="20"/>
          <w:szCs w:val="20"/>
          <w:color w:val="auto"/>
        </w:rPr>
      </w:pPr>
    </w:p>
    <w:p>
      <w:pPr>
        <w:jc w:val="both"/>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S&amp;P</w:t>
      </w:r>
      <w:r>
        <w:rPr>
          <w:rFonts w:ascii="Times New Roman" w:cs="Times New Roman" w:eastAsia="Times New Roman" w:hAnsi="Times New Roman"/>
          <w:sz w:val="19"/>
          <w:szCs w:val="19"/>
          <w:color w:val="auto"/>
        </w:rPr>
        <w:t>” means Standard &amp; Poor’s Rating Group or any successor to its statistical rating business, except that any reference to a particular rating by S&amp;P shall be deemed to be a reference to the corresponding rating by any such successor.</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w:t>
      </w:r>
      <w:r>
        <w:rPr>
          <w:rFonts w:ascii="Times New Roman" w:cs="Times New Roman" w:eastAsia="Times New Roman" w:hAnsi="Times New Roman"/>
          <w:sz w:val="19"/>
          <w:szCs w:val="19"/>
          <w:color w:val="auto"/>
        </w:rPr>
        <w:t>” means the United States Securities and Exchange Commission.</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Securities Act</w:t>
      </w:r>
      <w:r>
        <w:rPr>
          <w:rFonts w:ascii="Times New Roman" w:cs="Times New Roman" w:eastAsia="Times New Roman" w:hAnsi="Times New Roman"/>
          <w:sz w:val="19"/>
          <w:szCs w:val="19"/>
          <w:color w:val="auto"/>
        </w:rPr>
        <w:t>” means the United States Securities Act of 1933, as amended.</w:t>
      </w:r>
    </w:p>
    <w:p>
      <w:pPr>
        <w:spacing w:after="0" w:line="152" w:lineRule="exact"/>
        <w:rPr>
          <w:sz w:val="20"/>
          <w:szCs w:val="20"/>
          <w:color w:val="auto"/>
        </w:rPr>
      </w:pPr>
    </w:p>
    <w:p>
      <w:pPr>
        <w:jc w:val="both"/>
        <w:ind w:firstLine="556"/>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Significant Subsidiary</w:t>
      </w:r>
      <w:r>
        <w:rPr>
          <w:rFonts w:ascii="Times New Roman" w:cs="Times New Roman" w:eastAsia="Times New Roman" w:hAnsi="Times New Roman"/>
          <w:sz w:val="19"/>
          <w:szCs w:val="19"/>
          <w:color w:val="auto"/>
        </w:rPr>
        <w:t>” means any Subsidiary that (a) contributed at least 10% of the Issuer’s and its Subsidiaries’ total consolidated income from continuing operations before income taxes and extraordinary items for the most recently ended fiscal year of the Issuer or (b) owned at least 10% of Total Assets as of the last day of the most recently ended fiscal year of the Issuer.</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Special Put Option Triggering Event</w:t>
      </w:r>
      <w:r>
        <w:rPr>
          <w:rFonts w:ascii="Times New Roman" w:cs="Times New Roman" w:eastAsia="Times New Roman" w:hAnsi="Times New Roman"/>
          <w:sz w:val="19"/>
          <w:szCs w:val="19"/>
          <w:color w:val="auto"/>
        </w:rPr>
        <w:t>” means:</w:t>
      </w:r>
    </w:p>
    <w:p>
      <w:pPr>
        <w:spacing w:after="0" w:line="156" w:lineRule="exact"/>
        <w:rPr>
          <w:sz w:val="20"/>
          <w:szCs w:val="20"/>
          <w:color w:val="auto"/>
        </w:rPr>
      </w:pPr>
    </w:p>
    <w:p>
      <w:pPr>
        <w:jc w:val="both"/>
        <w:ind w:firstLine="548"/>
        <w:spacing w:after="0" w:line="218" w:lineRule="auto"/>
        <w:tabs>
          <w:tab w:leader="none" w:pos="82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event after which none of the Issuer or any Subsidiary of the Issuer has such licenses, concessions, subconcessions or other permits or authorizations as are necessary for the Issuer and its Subsidiaries to own or manage casino or gaming areas or operate casino games of fortune and chance in Macau in substantially the same manner and scope as the Issuer and its Subsidiaries are entitled to at the Issue Date, for a period of ten consecutive days or more, and such event has a material adverse effect on the financial condition,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60"/>
          </w:cols>
          <w:pgMar w:left="320" w:top="121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9"/>
          <w:szCs w:val="19"/>
          <w:color w:val="auto"/>
        </w:rPr>
        <w:t>business, properties, or results of operations of the Issuer and its Subsidiaries, taken as a whole; or</w:t>
      </w:r>
    </w:p>
    <w:p>
      <w:pPr>
        <w:spacing w:after="0" w:line="152" w:lineRule="exact"/>
        <w:rPr>
          <w:sz w:val="20"/>
          <w:szCs w:val="20"/>
          <w:color w:val="auto"/>
        </w:rPr>
      </w:pPr>
    </w:p>
    <w:p>
      <w:pPr>
        <w:ind w:firstLine="548"/>
        <w:spacing w:after="0" w:line="234" w:lineRule="auto"/>
        <w:tabs>
          <w:tab w:leader="none" w:pos="84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rescission, revocation or modification of any Gaming License which has had a material adverse effect on the financial condition, business, properties, or results of operations of the Issuer and its Subsidiaries, taken as a whole.</w:t>
      </w:r>
    </w:p>
    <w:p>
      <w:pPr>
        <w:spacing w:after="0" w:line="126" w:lineRule="exact"/>
        <w:rPr>
          <w:sz w:val="20"/>
          <w:szCs w:val="20"/>
          <w:color w:val="auto"/>
        </w:rPr>
      </w:pPr>
    </w:p>
    <w:p>
      <w:pPr>
        <w:jc w:val="both"/>
        <w:ind w:firstLine="556"/>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Stated Maturity</w:t>
      </w:r>
      <w:r>
        <w:rPr>
          <w:rFonts w:ascii="Times New Roman" w:cs="Times New Roman" w:eastAsia="Times New Roman" w:hAnsi="Times New Roman"/>
          <w:sz w:val="19"/>
          <w:szCs w:val="19"/>
          <w:color w:val="auto"/>
        </w:rPr>
        <w:t>”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this Indenture, and shall not include any contingent obligations to repay, redeem or repurchase any such interest or principal prior to the date originally scheduled for the payment thereof.</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means, with respect to any specified Person:</w:t>
      </w:r>
    </w:p>
    <w:p>
      <w:pPr>
        <w:spacing w:after="0" w:line="156" w:lineRule="exact"/>
        <w:rPr>
          <w:sz w:val="20"/>
          <w:szCs w:val="20"/>
          <w:color w:val="auto"/>
        </w:rPr>
      </w:pPr>
    </w:p>
    <w:p>
      <w:pPr>
        <w:jc w:val="both"/>
        <w:ind w:left="280" w:firstLine="268"/>
        <w:spacing w:after="0" w:line="215" w:lineRule="auto"/>
        <w:tabs>
          <w:tab w:leader="none" w:pos="1109"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1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partnership (a) the sole general partner or the managing general partner of which is such Person or a Subsidiary of such Person or</w:t>
      </w:r>
    </w:p>
    <w:p>
      <w:pPr>
        <w:ind w:left="540" w:hanging="270"/>
        <w:spacing w:after="0"/>
        <w:tabs>
          <w:tab w:leader="none" w:pos="5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only general partners of which are that Person or one or more Subsidiaries of that Person (or any combination thereof); or</w:t>
      </w:r>
    </w:p>
    <w:p>
      <w:pPr>
        <w:spacing w:after="0" w:line="131" w:lineRule="exact"/>
        <w:rPr>
          <w:rFonts w:ascii="Times New Roman" w:cs="Times New Roman" w:eastAsia="Times New Roman" w:hAnsi="Times New Roman"/>
          <w:sz w:val="19"/>
          <w:szCs w:val="19"/>
          <w:color w:val="auto"/>
        </w:rPr>
      </w:pPr>
    </w:p>
    <w:p>
      <w:pPr>
        <w:ind w:left="280" w:right="20" w:firstLine="268"/>
        <w:spacing w:after="0" w:line="234" w:lineRule="auto"/>
        <w:tabs>
          <w:tab w:leader="none" w:pos="1109"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26" w:lineRule="exact"/>
        <w:rPr>
          <w:sz w:val="20"/>
          <w:szCs w:val="20"/>
          <w:color w:val="auto"/>
        </w:rPr>
      </w:pPr>
    </w:p>
    <w:p>
      <w:pPr>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Total Assets</w:t>
      </w:r>
      <w:r>
        <w:rPr>
          <w:rFonts w:ascii="Times New Roman" w:cs="Times New Roman" w:eastAsia="Times New Roman" w:hAnsi="Times New Roman"/>
          <w:sz w:val="19"/>
          <w:szCs w:val="19"/>
          <w:color w:val="auto"/>
        </w:rPr>
        <w:t>” means at any date, the total assets of the Issuer and its Subsidiaries at such date, determined on a consolidated basis in accordance with IFRS.</w:t>
      </w:r>
    </w:p>
    <w:p>
      <w:pPr>
        <w:spacing w:after="0" w:line="126" w:lineRule="exact"/>
        <w:rPr>
          <w:sz w:val="20"/>
          <w:szCs w:val="20"/>
          <w:color w:val="auto"/>
        </w:rPr>
      </w:pPr>
    </w:p>
    <w:p>
      <w:pPr>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Trustee</w:t>
      </w:r>
      <w:r>
        <w:rPr>
          <w:rFonts w:ascii="Times New Roman" w:cs="Times New Roman" w:eastAsia="Times New Roman" w:hAnsi="Times New Roman"/>
          <w:sz w:val="19"/>
          <w:szCs w:val="19"/>
          <w:color w:val="auto"/>
        </w:rPr>
        <w:t>” means the party named as such in the preamble to this Indenture until a successor replaces it in accordance with the applicable provisions of this Indenture and thereafter means the successor serving hereunder.</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Unrestricted Definitive Note</w:t>
      </w:r>
      <w:r>
        <w:rPr>
          <w:rFonts w:ascii="Times New Roman" w:cs="Times New Roman" w:eastAsia="Times New Roman" w:hAnsi="Times New Roman"/>
          <w:sz w:val="19"/>
          <w:szCs w:val="19"/>
          <w:color w:val="auto"/>
        </w:rPr>
        <w:t>” means a Definitive Note that does not bear and is not required to bear the Private Placement Legend.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Unrestricted Global Note</w:t>
      </w:r>
      <w:r>
        <w:rPr>
          <w:rFonts w:ascii="Times New Roman" w:cs="Times New Roman" w:eastAsia="Times New Roman" w:hAnsi="Times New Roman"/>
          <w:sz w:val="19"/>
          <w:szCs w:val="19"/>
          <w:color w:val="auto"/>
        </w:rPr>
        <w:t>” means a Global Note that does not bear and is not required to bear the Private Placement Legend.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U.S. Person</w:t>
      </w:r>
      <w:r>
        <w:rPr>
          <w:rFonts w:ascii="Times New Roman" w:cs="Times New Roman" w:eastAsia="Times New Roman" w:hAnsi="Times New Roman"/>
          <w:sz w:val="19"/>
          <w:szCs w:val="19"/>
          <w:color w:val="auto"/>
        </w:rPr>
        <w:t>” means a U.S. Person as defined in Rule 902(k) promulgated under the Securities Act.</w:t>
      </w:r>
    </w:p>
    <w:p>
      <w:pPr>
        <w:spacing w:after="0" w:line="152" w:lineRule="exact"/>
        <w:rPr>
          <w:sz w:val="20"/>
          <w:szCs w:val="20"/>
          <w:color w:val="auto"/>
        </w:rPr>
      </w:pPr>
    </w:p>
    <w:p>
      <w:pPr>
        <w:ind w:right="20" w:firstLine="556"/>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Voting Stock</w:t>
      </w:r>
      <w:r>
        <w:rPr>
          <w:rFonts w:ascii="Times New Roman" w:cs="Times New Roman" w:eastAsia="Times New Roman" w:hAnsi="Times New Roman"/>
          <w:sz w:val="19"/>
          <w:szCs w:val="19"/>
          <w:color w:val="auto"/>
        </w:rPr>
        <w:t>” of any Person as of any date means the Capital Stock of such Person that is at the time entitled to vote in the election of the Board of Directors of such Person.</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Wynn Resorts</w:t>
      </w:r>
      <w:r>
        <w:rPr>
          <w:rFonts w:ascii="Times New Roman" w:cs="Times New Roman" w:eastAsia="Times New Roman" w:hAnsi="Times New Roman"/>
          <w:sz w:val="19"/>
          <w:szCs w:val="19"/>
          <w:color w:val="auto"/>
        </w:rPr>
        <w:t>” means Wynn Resorts, Limited, a Nevada corporation, and its successors.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60"/>
          </w:cols>
          <w:pgMar w:left="320" w:top="1216"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63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i w:val="1"/>
                <w:iCs w:val="1"/>
                <w:color w:val="auto"/>
              </w:rPr>
              <w:t>Other Definitions</w:t>
            </w:r>
            <w:r>
              <w:rPr>
                <w:rFonts w:ascii="Times New Roman" w:cs="Times New Roman" w:eastAsia="Times New Roman" w:hAnsi="Times New Roman"/>
                <w:sz w:val="19"/>
                <w:szCs w:val="19"/>
                <w:color w:val="auto"/>
              </w:rPr>
              <w:t>.</w:t>
            </w:r>
          </w:p>
        </w:tc>
        <w:tc>
          <w:tcPr>
            <w:tcW w:w="3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280" w:type="dxa"/>
            <w:vAlign w:val="bottom"/>
            <w:gridSpan w:val="3"/>
          </w:tcPr>
          <w:p>
            <w:pPr>
              <w:jc w:val="center"/>
              <w:ind w:left="3607"/>
              <w:spacing w:after="0"/>
              <w:rPr>
                <w:sz w:val="20"/>
                <w:szCs w:val="20"/>
                <w:color w:val="auto"/>
              </w:rPr>
            </w:pPr>
            <w:r>
              <w:rPr>
                <w:rFonts w:ascii="Times New Roman" w:cs="Times New Roman" w:eastAsia="Times New Roman" w:hAnsi="Times New Roman"/>
                <w:sz w:val="19"/>
                <w:szCs w:val="19"/>
                <w:color w:val="auto"/>
                <w:w w:val="94"/>
              </w:rPr>
              <w:t>Defined</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color w:val="auto"/>
                <w:w w:val="94"/>
              </w:rPr>
              <w:t>in</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Term</w:t>
            </w:r>
          </w:p>
        </w:tc>
        <w:tc>
          <w:tcPr>
            <w:tcW w:w="4280" w:type="dxa"/>
            <w:vAlign w:val="bottom"/>
            <w:gridSpan w:val="3"/>
          </w:tcPr>
          <w:p>
            <w:pPr>
              <w:jc w:val="center"/>
              <w:ind w:left="3607"/>
              <w:spacing w:after="0" w:line="196" w:lineRule="exact"/>
              <w:rPr>
                <w:sz w:val="20"/>
                <w:szCs w:val="20"/>
                <w:color w:val="auto"/>
              </w:rPr>
            </w:pPr>
            <w:r>
              <w:rPr>
                <w:rFonts w:ascii="Times New Roman" w:cs="Times New Roman" w:eastAsia="Times New Roman" w:hAnsi="Times New Roman"/>
                <w:sz w:val="19"/>
                <w:szCs w:val="19"/>
                <w:color w:val="auto"/>
                <w:w w:val="94"/>
              </w:rPr>
              <w:t>Section</w:t>
            </w:r>
          </w:p>
        </w:tc>
        <w:tc>
          <w:tcPr>
            <w:tcW w:w="0" w:type="dxa"/>
            <w:vAlign w:val="bottom"/>
          </w:tcPr>
          <w:p>
            <w:pPr>
              <w:spacing w:after="0"/>
              <w:rPr>
                <w:sz w:val="1"/>
                <w:szCs w:val="1"/>
                <w:color w:val="auto"/>
              </w:rPr>
            </w:pPr>
          </w:p>
        </w:tc>
      </w:tr>
      <w:tr>
        <w:trPr>
          <w:trHeight w:val="96"/>
        </w:trPr>
        <w:tc>
          <w:tcPr>
            <w:tcW w:w="60" w:type="dxa"/>
            <w:vAlign w:val="bottom"/>
          </w:tcPr>
          <w:p>
            <w:pPr>
              <w:spacing w:after="0"/>
              <w:rPr>
                <w:sz w:val="8"/>
                <w:szCs w:val="8"/>
                <w:color w:val="auto"/>
              </w:rPr>
            </w:pPr>
          </w:p>
        </w:tc>
        <w:tc>
          <w:tcPr>
            <w:tcW w:w="6320" w:type="dxa"/>
            <w:vAlign w:val="bottom"/>
            <w:gridSpan w:val="2"/>
            <w:vMerge w:val="continue"/>
          </w:tcPr>
          <w:p>
            <w:pPr>
              <w:spacing w:after="0"/>
              <w:rPr>
                <w:sz w:val="8"/>
                <w:szCs w:val="8"/>
                <w:color w:val="auto"/>
              </w:rPr>
            </w:pPr>
          </w:p>
        </w:tc>
        <w:tc>
          <w:tcPr>
            <w:tcW w:w="37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Additional Amounts</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AML Law</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w w:val="98"/>
              </w:rPr>
              <w:t>11.14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Authentication Order</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Offer</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Payment</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Change of Control Payment Date</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Covenant Defeasance</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8.03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DTC</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2.03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6.01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“FATCA”</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HKSE</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Judgment Currency</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w w:val="98"/>
              </w:rPr>
              <w:t>11.08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Legal Defeasance</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8.02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2.03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Relevant Jurisdiction</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Registrar</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2.03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Special Put Option Offer</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Special Put Option Payment</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Surviving Person</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w:t>
            </w:r>
          </w:p>
        </w:tc>
        <w:tc>
          <w:tcPr>
            <w:tcW w:w="4260" w:type="dxa"/>
            <w:vAlign w:val="bottom"/>
            <w:gridSpan w:val="2"/>
          </w:tcPr>
          <w:p>
            <w:pPr>
              <w:jc w:val="center"/>
              <w:ind w:left="3627"/>
              <w:spacing w:after="0"/>
              <w:rPr>
                <w:sz w:val="20"/>
                <w:szCs w:val="20"/>
                <w:color w:val="auto"/>
              </w:rPr>
            </w:pPr>
            <w:r>
              <w:rPr>
                <w:rFonts w:ascii="Times New Roman" w:cs="Times New Roman" w:eastAsia="Times New Roman" w:hAnsi="Times New Roman"/>
                <w:sz w:val="19"/>
                <w:szCs w:val="19"/>
                <w:color w:val="auto"/>
              </w:rPr>
              <w:t>4.09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1.03</w:t>
      </w:r>
      <w:r>
        <w:rPr>
          <w:sz w:val="20"/>
          <w:szCs w:val="20"/>
          <w:color w:val="auto"/>
        </w:rPr>
        <w:tab/>
      </w:r>
      <w:r>
        <w:rPr>
          <w:rFonts w:ascii="Times New Roman" w:cs="Times New Roman" w:eastAsia="Times New Roman" w:hAnsi="Times New Roman"/>
          <w:sz w:val="17"/>
          <w:szCs w:val="17"/>
          <w:i w:val="1"/>
          <w:iCs w:val="1"/>
          <w:color w:val="auto"/>
        </w:rPr>
        <w:t>Rules of Construction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Unless the context otherwise requires:</w:t>
      </w:r>
    </w:p>
    <w:p>
      <w:pPr>
        <w:spacing w:after="0" w:line="164" w:lineRule="exact"/>
        <w:rPr>
          <w:sz w:val="20"/>
          <w:szCs w:val="20"/>
          <w:color w:val="auto"/>
        </w:rPr>
      </w:pPr>
    </w:p>
    <w:p>
      <w:pPr>
        <w:ind w:left="1660" w:hanging="556"/>
        <w:spacing w:after="0"/>
        <w:tabs>
          <w:tab w:leader="none" w:pos="1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term has the meaning assigned to it;</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accounting term not otherwise defined has the meaning assigned to it in accordance with IFRS;</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is not exclusive;</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“including” is not limiting;</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words in the singular include the plural, and in the plural include the singular;</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and “shall” shall be interpreted to express a command;</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apply to successive events and transactions;</w:t>
      </w:r>
    </w:p>
    <w:p>
      <w:pPr>
        <w:spacing w:after="0" w:line="151" w:lineRule="exact"/>
        <w:rPr>
          <w:rFonts w:ascii="Times New Roman" w:cs="Times New Roman" w:eastAsia="Times New Roman" w:hAnsi="Times New Roman"/>
          <w:sz w:val="19"/>
          <w:szCs w:val="19"/>
          <w:color w:val="auto"/>
        </w:rPr>
      </w:pPr>
    </w:p>
    <w:p>
      <w:pPr>
        <w:ind w:left="540" w:firstLine="564"/>
        <w:spacing w:after="0" w:line="234" w:lineRule="auto"/>
        <w:tabs>
          <w:tab w:leader="none" w:pos="1647"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sections of or rules under the Securities Act shall be deemed to include substitute, replacement of successor sections or rules adopted by the SEC from time to time;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212" w:right="339" w:bottom="1440" w:gutter="0" w:footer="0" w:header="0"/>
        </w:sectPr>
      </w:pPr>
    </w:p>
    <w:bookmarkStart w:id="22" w:name="page23"/>
    <w:bookmarkEnd w:id="22"/>
    <w:p>
      <w:pPr>
        <w:ind w:left="540" w:firstLine="564"/>
        <w:spacing w:after="0" w:line="234" w:lineRule="auto"/>
        <w:tabs>
          <w:tab w:leader="none" w:pos="164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any statute, law, rule or regulation shall be deemed to refer to the same as from time to time amended and in effect and to any successor statute, law, rule or regulation;</w:t>
      </w:r>
    </w:p>
    <w:p>
      <w:pPr>
        <w:spacing w:after="0" w:line="129"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any contract, agreement or instrument shall mean the same as amended, modified, supplemented or amended and restated from time to time, in each case, in accordance with any applicable restrictions contained therein and in this Indenture; and</w:t>
      </w:r>
    </w:p>
    <w:p>
      <w:pPr>
        <w:spacing w:after="0" w:line="129" w:lineRule="exact"/>
        <w:rPr>
          <w:rFonts w:ascii="Times New Roman" w:cs="Times New Roman" w:eastAsia="Times New Roman" w:hAnsi="Times New Roman"/>
          <w:sz w:val="19"/>
          <w:szCs w:val="19"/>
          <w:color w:val="auto"/>
        </w:rPr>
      </w:pPr>
    </w:p>
    <w:p>
      <w:pPr>
        <w:ind w:left="540" w:firstLine="564"/>
        <w:spacing w:after="0" w:line="234" w:lineRule="auto"/>
        <w:tabs>
          <w:tab w:leader="none" w:pos="16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by the Issuer on the date of this Indenture of the transactions described in the Issuer’s offering memorandum, dated as of August 12, 2025, relating to the offering of the Initial Notes, shall be deemed to occur concurrently.</w:t>
      </w:r>
    </w:p>
    <w:p>
      <w:pPr>
        <w:spacing w:after="0" w:line="1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2</w:t>
      </w:r>
    </w:p>
    <w:p>
      <w:pPr>
        <w:ind w:left="5120"/>
        <w:spacing w:after="0"/>
        <w:rPr>
          <w:sz w:val="20"/>
          <w:szCs w:val="20"/>
          <w:color w:val="auto"/>
        </w:rPr>
      </w:pPr>
      <w:r>
        <w:rPr>
          <w:rFonts w:ascii="Times New Roman" w:cs="Times New Roman" w:eastAsia="Times New Roman" w:hAnsi="Times New Roman"/>
          <w:sz w:val="19"/>
          <w:szCs w:val="19"/>
          <w:color w:val="auto"/>
        </w:rPr>
        <w:t>THE NOTES</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2.01</w:t>
      </w:r>
      <w:r>
        <w:rPr>
          <w:sz w:val="20"/>
          <w:szCs w:val="20"/>
          <w:color w:val="auto"/>
        </w:rPr>
        <w:tab/>
      </w:r>
      <w:r>
        <w:rPr>
          <w:rFonts w:ascii="Times New Roman" w:cs="Times New Roman" w:eastAsia="Times New Roman" w:hAnsi="Times New Roman"/>
          <w:sz w:val="17"/>
          <w:szCs w:val="17"/>
          <w:i w:val="1"/>
          <w:iCs w:val="1"/>
          <w:color w:val="auto"/>
        </w:rPr>
        <w:t>Form and Dating</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right="20" w:firstLine="548"/>
        <w:spacing w:after="0" w:line="225" w:lineRule="auto"/>
        <w:tabs>
          <w:tab w:leader="none" w:pos="11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General</w:t>
      </w:r>
      <w:r>
        <w:rPr>
          <w:rFonts w:ascii="Times New Roman" w:cs="Times New Roman" w:eastAsia="Times New Roman" w:hAnsi="Times New Roman"/>
          <w:sz w:val="19"/>
          <w:szCs w:val="19"/>
          <w:color w:val="auto"/>
        </w:rPr>
        <w:t>. The Notes and the Trustee’s certificate of authentication shall be substantially in the form of Exhibit A hereto. The Notes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have notations, legends or endorsements required by law, stock exchange rule or usage. Each Note shall be dated the date of its authentication. The Notes shall be in denominations of US$200,000 or an integral multiple of US$1,000 in excess of US$200,000.</w:t>
      </w:r>
    </w:p>
    <w:p>
      <w:pPr>
        <w:spacing w:after="0" w:line="154" w:lineRule="exact"/>
        <w:rPr>
          <w:sz w:val="20"/>
          <w:szCs w:val="20"/>
          <w:color w:val="auto"/>
        </w:rPr>
      </w:pPr>
    </w:p>
    <w:p>
      <w:pPr>
        <w:jc w:val="both"/>
        <w:ind w:firstLine="556"/>
        <w:spacing w:after="0" w:line="297" w:lineRule="auto"/>
        <w:rPr>
          <w:sz w:val="20"/>
          <w:szCs w:val="20"/>
          <w:color w:val="auto"/>
        </w:rPr>
      </w:pPr>
      <w:r>
        <w:rPr>
          <w:rFonts w:ascii="Times New Roman" w:cs="Times New Roman" w:eastAsia="Times New Roman" w:hAnsi="Times New Roman"/>
          <w:sz w:val="17"/>
          <w:szCs w:val="17"/>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04" w:lineRule="exact"/>
        <w:rPr>
          <w:sz w:val="20"/>
          <w:szCs w:val="20"/>
          <w:color w:val="auto"/>
        </w:rPr>
      </w:pPr>
    </w:p>
    <w:p>
      <w:pPr>
        <w:jc w:val="both"/>
        <w:ind w:firstLine="548"/>
        <w:spacing w:after="0" w:line="209" w:lineRule="auto"/>
        <w:tabs>
          <w:tab w:leader="none" w:pos="110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Global Notes</w:t>
      </w:r>
      <w:r>
        <w:rPr>
          <w:rFonts w:ascii="Times New Roman" w:cs="Times New Roman" w:eastAsia="Times New Roman" w:hAnsi="Times New Roman"/>
          <w:sz w:val="19"/>
          <w:szCs w:val="19"/>
          <w:color w:val="auto"/>
        </w:rPr>
        <w:t>. Notes issued in global form shall be substantially in the form of Exhibit A hereto (including the Global Note Legend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thereon and the “Schedule of Exchanges of Interests in the Global Note”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Exhibit A attached hereto (but without the Global Note Legend thereon and without the “Schedule of Exchanges of Interests in the Global Note” attached thereto). Any Notes issued in global form and definitive form shall be duly executed by the Issuer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29" w:lineRule="exact"/>
        <w:rPr>
          <w:rFonts w:ascii="Times New Roman" w:cs="Times New Roman" w:eastAsia="Times New Roman" w:hAnsi="Times New Roman"/>
          <w:sz w:val="19"/>
          <w:szCs w:val="19"/>
          <w:color w:val="auto"/>
        </w:rPr>
      </w:pPr>
    </w:p>
    <w:p>
      <w:pPr>
        <w:jc w:val="both"/>
        <w:ind w:right="20" w:firstLine="548"/>
        <w:spacing w:after="0" w:line="219" w:lineRule="auto"/>
        <w:tabs>
          <w:tab w:leader="none" w:pos="110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Euroclear and Clearstream Procedures Applicable. </w:t>
      </w:r>
      <w:r>
        <w:rPr>
          <w:rFonts w:ascii="Times New Roman" w:cs="Times New Roman" w:eastAsia="Times New Roman" w:hAnsi="Times New Roman"/>
          <w:sz w:val="19"/>
          <w:szCs w:val="19"/>
          <w:color w:val="auto"/>
        </w:rPr>
        <w:t>The provisions of the “Operating Procedures of the Euroclear System” and “Terms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Conditions Governing Use of Euroclear” and the “General Terms and Conditions of Clearstream Banking” and “Customer Handbook” of Clearstream shall be applicable to transfers of beneficial interests in the Regulation S Global Note that are held by Participants through Euroclear or Clearstream.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60"/>
          </w:cols>
          <w:pgMar w:left="320" w:top="1216" w:right="319" w:bottom="1440" w:gutter="0" w:footer="0" w:header="0"/>
        </w:sectPr>
      </w:pPr>
    </w:p>
    <w:bookmarkStart w:id="23" w:name="page24"/>
    <w:bookmarkEnd w:id="23"/>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2.02</w:t>
      </w:r>
      <w:r>
        <w:rPr>
          <w:sz w:val="20"/>
          <w:szCs w:val="20"/>
          <w:color w:val="auto"/>
        </w:rPr>
        <w:tab/>
      </w:r>
      <w:r>
        <w:rPr>
          <w:rFonts w:ascii="Times New Roman" w:cs="Times New Roman" w:eastAsia="Times New Roman" w:hAnsi="Times New Roman"/>
          <w:sz w:val="17"/>
          <w:szCs w:val="17"/>
          <w:i w:val="1"/>
          <w:iCs w:val="1"/>
          <w:color w:val="auto"/>
        </w:rPr>
        <w:t>Execution and Authentication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 Designated Officer must sign the Notes for the Issuer by manual or facsimile signature.</w:t>
      </w:r>
    </w:p>
    <w:p>
      <w:pPr>
        <w:spacing w:after="0" w:line="187"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If a Designated Officer whose signature is on a Note no longer holds that office at the time a Note is authenticated, the Note shall nevertheless be valid.</w:t>
      </w:r>
    </w:p>
    <w:p>
      <w:pPr>
        <w:spacing w:after="0" w:line="152"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A Note shall not be valid until authenticated by the electronic or manual signature of the Trustee. The signature shall be conclusive evidence that the Note has been authenticated under this Indenture.</w:t>
      </w:r>
    </w:p>
    <w:p>
      <w:pPr>
        <w:spacing w:after="0" w:line="137" w:lineRule="exact"/>
        <w:rPr>
          <w:sz w:val="20"/>
          <w:szCs w:val="20"/>
          <w:color w:val="auto"/>
        </w:rPr>
      </w:pPr>
    </w:p>
    <w:p>
      <w:pPr>
        <w:jc w:val="both"/>
        <w:ind w:firstLine="556"/>
        <w:spacing w:after="0" w:line="252" w:lineRule="auto"/>
        <w:rPr>
          <w:sz w:val="20"/>
          <w:szCs w:val="20"/>
          <w:color w:val="auto"/>
        </w:rPr>
      </w:pPr>
      <w:r>
        <w:rPr>
          <w:rFonts w:ascii="Times New Roman" w:cs="Times New Roman" w:eastAsia="Times New Roman" w:hAnsi="Times New Roman"/>
          <w:sz w:val="19"/>
          <w:szCs w:val="19"/>
          <w:color w:val="auto"/>
        </w:rPr>
        <w:t>The Trustee shall, upon receipt of a written order of the Issuer signed by a Designated Officer of the Issuer (an “</w:t>
      </w:r>
      <w:r>
        <w:rPr>
          <w:rFonts w:ascii="Times New Roman" w:cs="Times New Roman" w:eastAsia="Times New Roman" w:hAnsi="Times New Roman"/>
          <w:sz w:val="19"/>
          <w:szCs w:val="19"/>
          <w:i w:val="1"/>
          <w:iCs w:val="1"/>
          <w:color w:val="auto"/>
        </w:rPr>
        <w:t>Authentication Order</w:t>
      </w:r>
      <w:r>
        <w:rPr>
          <w:rFonts w:ascii="Times New Roman" w:cs="Times New Roman" w:eastAsia="Times New Roman" w:hAnsi="Times New Roman"/>
          <w:sz w:val="19"/>
          <w:szCs w:val="19"/>
          <w:color w:val="auto"/>
        </w:rPr>
        <w:t>”), authenticate Notes for original issue that may be validly issued under this Indenture, including any Additional Notes (including Notes to be issued in substitution for outstanding Notes to reflect any name change of the Issuer, by succession permitted hereunder or otherwise). The aggregate principal amount of Notes outstanding at any time may not exceed the aggregate principal amount of Notes authorized for issuance by the Issuer pursuant to one or more Authentication Orders, except as provided in Section 2.07 hereof.</w:t>
      </w:r>
    </w:p>
    <w:p>
      <w:pPr>
        <w:spacing w:after="0" w:line="153"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2.03</w:t>
      </w:r>
      <w:r>
        <w:rPr>
          <w:sz w:val="20"/>
          <w:szCs w:val="20"/>
          <w:color w:val="auto"/>
        </w:rPr>
        <w:tab/>
      </w:r>
      <w:r>
        <w:rPr>
          <w:rFonts w:ascii="Times New Roman" w:cs="Times New Roman" w:eastAsia="Times New Roman" w:hAnsi="Times New Roman"/>
          <w:sz w:val="17"/>
          <w:szCs w:val="17"/>
          <w:i w:val="1"/>
          <w:iCs w:val="1"/>
          <w:color w:val="auto"/>
        </w:rPr>
        <w:t>Registrar and Paying Agent</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The Issuer shall maintain an office or agency where Notes may be presented for registration of transfer or for exchange (“</w:t>
      </w:r>
      <w:r>
        <w:rPr>
          <w:rFonts w:ascii="Times New Roman" w:cs="Times New Roman" w:eastAsia="Times New Roman" w:hAnsi="Times New Roman"/>
          <w:sz w:val="19"/>
          <w:szCs w:val="19"/>
          <w:i w:val="1"/>
          <w:iCs w:val="1"/>
          <w:color w:val="auto"/>
        </w:rPr>
        <w:t>Registrar</w:t>
      </w:r>
      <w:r>
        <w:rPr>
          <w:rFonts w:ascii="Times New Roman" w:cs="Times New Roman" w:eastAsia="Times New Roman" w:hAnsi="Times New Roman"/>
          <w:sz w:val="19"/>
          <w:szCs w:val="19"/>
          <w:color w:val="auto"/>
        </w:rPr>
        <w:t>”) and an office or agency where Notes may be presented for payment (“</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55" w:lineRule="exact"/>
        <w:rPr>
          <w:sz w:val="20"/>
          <w:szCs w:val="20"/>
          <w:color w:val="auto"/>
        </w:rPr>
      </w:pPr>
    </w:p>
    <w:p>
      <w:pPr>
        <w:jc w:val="both"/>
        <w:ind w:firstLine="556"/>
        <w:spacing w:after="0" w:line="285" w:lineRule="auto"/>
        <w:rPr>
          <w:sz w:val="20"/>
          <w:szCs w:val="20"/>
          <w:color w:val="auto"/>
        </w:rPr>
      </w:pPr>
      <w:r>
        <w:rPr>
          <w:rFonts w:ascii="Times New Roman" w:cs="Times New Roman" w:eastAsia="Times New Roman" w:hAnsi="Times New Roman"/>
          <w:sz w:val="17"/>
          <w:szCs w:val="17"/>
          <w:color w:val="auto"/>
        </w:rPr>
        <w:t>The Issuer initially appoints The Depository Trust Company (“</w:t>
      </w:r>
      <w:r>
        <w:rPr>
          <w:rFonts w:ascii="Times New Roman" w:cs="Times New Roman" w:eastAsia="Times New Roman" w:hAnsi="Times New Roman"/>
          <w:sz w:val="17"/>
          <w:szCs w:val="17"/>
          <w:i w:val="1"/>
          <w:iCs w:val="1"/>
          <w:color w:val="auto"/>
        </w:rPr>
        <w:t>DTC</w:t>
      </w:r>
      <w:r>
        <w:rPr>
          <w:rFonts w:ascii="Times New Roman" w:cs="Times New Roman" w:eastAsia="Times New Roman" w:hAnsi="Times New Roman"/>
          <w:sz w:val="17"/>
          <w:szCs w:val="17"/>
          <w:color w:val="auto"/>
        </w:rPr>
        <w:t>”) to act as Depositary with respect to the Global Notes. None of the Trustee or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60"/>
          </w:cols>
          <w:pgMar w:left="320" w:top="1212" w:right="31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9"/>
          <w:szCs w:val="19"/>
          <w:color w:val="auto"/>
        </w:rPr>
        <w:t>made only to or upon the order of the registered holders (which shall be DTC or its nominee in the case of a global note). The rights of beneficial owners in any global note shall be exercised only through DTC, subject to its applicable rules and procedures. The Trustee and Agents may conclusively rely and shall be fully protected in relying upon information furnished by DTC with respect to its agent members and other members, participants and any beneficial owners.</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Issuer initially appoints the Trustee to act as the Registrar and Paying Agent and to act as Custodian with respect to the Global Notes.</w:t>
      </w:r>
    </w:p>
    <w:p>
      <w:pPr>
        <w:spacing w:after="0" w:line="1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2.04</w:t>
      </w:r>
      <w:r>
        <w:rPr>
          <w:sz w:val="20"/>
          <w:szCs w:val="20"/>
          <w:color w:val="auto"/>
        </w:rPr>
        <w:tab/>
      </w:r>
      <w:r>
        <w:rPr>
          <w:rFonts w:ascii="Times New Roman" w:cs="Times New Roman" w:eastAsia="Times New Roman" w:hAnsi="Times New Roman"/>
          <w:sz w:val="17"/>
          <w:szCs w:val="17"/>
          <w:i w:val="1"/>
          <w:iCs w:val="1"/>
          <w:color w:val="auto"/>
        </w:rPr>
        <w:t>Paying Agent to Hold Money in Trust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6" w:lineRule="auto"/>
        <w:rPr>
          <w:sz w:val="20"/>
          <w:szCs w:val="20"/>
          <w:color w:val="auto"/>
        </w:rPr>
      </w:pPr>
      <w:r>
        <w:rPr>
          <w:rFonts w:ascii="Times New Roman" w:cs="Times New Roman" w:eastAsia="Times New Roman" w:hAnsi="Times New Roman"/>
          <w:sz w:val="19"/>
          <w:szCs w:val="19"/>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(if the Trustee is not serving as Paying Agent)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thereof)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3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2.05</w:t>
      </w:r>
      <w:r>
        <w:rPr>
          <w:sz w:val="20"/>
          <w:szCs w:val="20"/>
          <w:color w:val="auto"/>
        </w:rPr>
        <w:tab/>
      </w:r>
      <w:r>
        <w:rPr>
          <w:rFonts w:ascii="Times New Roman" w:cs="Times New Roman" w:eastAsia="Times New Roman" w:hAnsi="Times New Roman"/>
          <w:sz w:val="17"/>
          <w:szCs w:val="17"/>
          <w:i w:val="1"/>
          <w:iCs w:val="1"/>
          <w:color w:val="auto"/>
        </w:rPr>
        <w:t>Holder Lists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54" w:lineRule="auto"/>
        <w:rPr>
          <w:sz w:val="20"/>
          <w:szCs w:val="20"/>
          <w:color w:val="auto"/>
        </w:rPr>
      </w:pPr>
      <w:r>
        <w:rPr>
          <w:rFonts w:ascii="Times New Roman" w:cs="Times New Roman" w:eastAsia="Times New Roman" w:hAnsi="Times New Roman"/>
          <w:sz w:val="19"/>
          <w:szCs w:val="19"/>
          <w:color w:val="auto"/>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2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2.06</w:t>
      </w:r>
      <w:r>
        <w:rPr>
          <w:sz w:val="20"/>
          <w:szCs w:val="20"/>
          <w:color w:val="auto"/>
        </w:rPr>
        <w:tab/>
      </w:r>
      <w:r>
        <w:rPr>
          <w:rFonts w:ascii="Times New Roman" w:cs="Times New Roman" w:eastAsia="Times New Roman" w:hAnsi="Times New Roman"/>
          <w:sz w:val="17"/>
          <w:szCs w:val="17"/>
          <w:i w:val="1"/>
          <w:iCs w:val="1"/>
          <w:color w:val="auto"/>
        </w:rPr>
        <w:t>Transfer and Exchange</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firstLine="548"/>
        <w:spacing w:after="0" w:line="257" w:lineRule="auto"/>
        <w:tabs>
          <w:tab w:leader="none" w:pos="115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and Exchange of Global Notes</w:t>
      </w:r>
      <w:r>
        <w:rPr>
          <w:rFonts w:ascii="Times New Roman" w:cs="Times New Roman" w:eastAsia="Times New Roman" w:hAnsi="Times New Roman"/>
          <w:sz w:val="17"/>
          <w:szCs w:val="17"/>
          <w:color w:val="auto"/>
        </w:rPr>
        <w:t>. A Global Note may not be transferred except as a whole by the Depositary to a nominee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spacing w:after="0" w:line="116" w:lineRule="exact"/>
        <w:rPr>
          <w:rFonts w:ascii="Times New Roman" w:cs="Times New Roman" w:eastAsia="Times New Roman" w:hAnsi="Times New Roman"/>
          <w:sz w:val="17"/>
          <w:szCs w:val="17"/>
          <w:color w:val="auto"/>
        </w:rPr>
      </w:pPr>
    </w:p>
    <w:p>
      <w:pPr>
        <w:jc w:val="both"/>
        <w:ind w:left="540" w:firstLine="564"/>
        <w:spacing w:after="0" w:line="223" w:lineRule="auto"/>
        <w:tabs>
          <w:tab w:leader="none" w:pos="1647"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delivers to the Trustee written notice from the Depositary that it is unwilling or unable to continue to act as Depositary or that it is no longer a clearing agency registered under the Exchange Act and, in either case, a successor Depositary is not appointed by the Issuer within 120 days after the date of such notice from the Depositary;</w:t>
      </w:r>
    </w:p>
    <w:p>
      <w:pPr>
        <w:spacing w:after="0" w:line="131" w:lineRule="exact"/>
        <w:rPr>
          <w:rFonts w:ascii="Times New Roman" w:cs="Times New Roman" w:eastAsia="Times New Roman" w:hAnsi="Times New Roman"/>
          <w:sz w:val="19"/>
          <w:szCs w:val="19"/>
          <w:color w:val="auto"/>
        </w:rPr>
      </w:pPr>
    </w:p>
    <w:p>
      <w:pPr>
        <w:ind w:left="540" w:firstLine="564"/>
        <w:spacing w:after="0" w:line="234" w:lineRule="auto"/>
        <w:tabs>
          <w:tab w:leader="none" w:pos="1647"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in its sole discretion determines that the Global Notes (in whole but not in part) should be exchanged for Definitive Notes and delivers a written notice to such effect to the Trustee;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60"/>
          </w:cols>
          <w:pgMar w:left="320" w:top="1239" w:right="319" w:bottom="1440" w:gutter="0" w:footer="0" w:header="0"/>
        </w:sectPr>
      </w:pPr>
    </w:p>
    <w:bookmarkStart w:id="25" w:name="page26"/>
    <w:bookmarkEnd w:id="25"/>
    <w:p>
      <w:pPr>
        <w:jc w:val="both"/>
        <w:ind w:left="540" w:firstLine="564"/>
        <w:spacing w:after="0" w:line="223" w:lineRule="auto"/>
        <w:tabs>
          <w:tab w:leader="none" w:pos="164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55"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Section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29" w:lineRule="exact"/>
        <w:rPr>
          <w:sz w:val="20"/>
          <w:szCs w:val="20"/>
          <w:color w:val="auto"/>
        </w:rPr>
      </w:pPr>
    </w:p>
    <w:p>
      <w:pPr>
        <w:jc w:val="both"/>
        <w:ind w:firstLine="548"/>
        <w:spacing w:after="0" w:line="216" w:lineRule="auto"/>
        <w:tabs>
          <w:tab w:leader="none" w:pos="1107"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and Exchange of Beneficial Interests in the Global Notes</w:t>
      </w:r>
      <w:r>
        <w:rPr>
          <w:rFonts w:ascii="Times New Roman" w:cs="Times New Roman" w:eastAsia="Times New Roman" w:hAnsi="Times New Roman"/>
          <w:sz w:val="19"/>
          <w:szCs w:val="19"/>
          <w:color w:val="auto"/>
        </w:rPr>
        <w:t>. The transfer and exchange of beneficial interests in the Global Notes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28" w:lineRule="exact"/>
        <w:rPr>
          <w:rFonts w:ascii="Times New Roman" w:cs="Times New Roman" w:eastAsia="Times New Roman" w:hAnsi="Times New Roman"/>
          <w:sz w:val="19"/>
          <w:szCs w:val="19"/>
          <w:color w:val="auto"/>
        </w:rPr>
      </w:pPr>
    </w:p>
    <w:p>
      <w:pPr>
        <w:jc w:val="both"/>
        <w:ind w:left="540" w:firstLine="564"/>
        <w:spacing w:after="0" w:line="212" w:lineRule="auto"/>
        <w:tabs>
          <w:tab w:leader="none" w:pos="1647"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of Beneficial Interests in the Same Global Note</w:t>
      </w:r>
      <w:r>
        <w:rPr>
          <w:rFonts w:ascii="Times New Roman" w:cs="Times New Roman" w:eastAsia="Times New Roman" w:hAnsi="Times New Roman"/>
          <w:sz w:val="19"/>
          <w:szCs w:val="19"/>
          <w:color w:val="auto"/>
        </w:rPr>
        <w:t>. Beneficial interests in any Restricted Global Note may be transferred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prior to the expiration of the Distribution Compliance Period (as defined in Regulation S), transfers of beneficial interests in the Regulation S Global Note may not be made to a U.S. Person or for the account or benefit of a U.S. Person (other than by the Issuer to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30" w:lineRule="exact"/>
        <w:rPr>
          <w:rFonts w:ascii="Times New Roman" w:cs="Times New Roman" w:eastAsia="Times New Roman" w:hAnsi="Times New Roman"/>
          <w:sz w:val="19"/>
          <w:szCs w:val="19"/>
          <w:color w:val="auto"/>
        </w:rPr>
      </w:pPr>
    </w:p>
    <w:p>
      <w:pPr>
        <w:jc w:val="both"/>
        <w:ind w:left="540" w:firstLine="564"/>
        <w:spacing w:after="0" w:line="288" w:lineRule="auto"/>
        <w:tabs>
          <w:tab w:leader="none" w:pos="164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All Other Transfers and Exchanges of Beneficial Interests in Global Notes. </w:t>
      </w:r>
      <w:r>
        <w:rPr>
          <w:rFonts w:ascii="Times New Roman" w:cs="Times New Roman" w:eastAsia="Times New Roman" w:hAnsi="Times New Roman"/>
          <w:sz w:val="17"/>
          <w:szCs w:val="17"/>
          <w:color w:val="auto"/>
        </w:rPr>
        <w:t>In connection with all transfers and exchanges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beneficial interests that are not subject to Section 2.06(b)(1) above, the transferor of such beneficial interest must deliver to the Registrar either:</w:t>
      </w:r>
    </w:p>
    <w:p>
      <w:pPr>
        <w:spacing w:after="0" w:line="90" w:lineRule="exact"/>
        <w:rPr>
          <w:rFonts w:ascii="Times New Roman" w:cs="Times New Roman" w:eastAsia="Times New Roman" w:hAnsi="Times New Roman"/>
          <w:sz w:val="17"/>
          <w:szCs w:val="17"/>
          <w:color w:val="auto"/>
        </w:rPr>
      </w:pPr>
    </w:p>
    <w:p>
      <w:pPr>
        <w:ind w:left="2200" w:hanging="541"/>
        <w:spacing w:after="0"/>
        <w:tabs>
          <w:tab w:leader="none" w:pos="2200" w:val="left"/>
        </w:tabs>
        <w:numPr>
          <w:ilvl w:val="2"/>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w:t>
      </w:r>
    </w:p>
    <w:p>
      <w:pPr>
        <w:spacing w:after="0" w:line="151" w:lineRule="exact"/>
        <w:rPr>
          <w:rFonts w:ascii="Times New Roman" w:cs="Times New Roman" w:eastAsia="Times New Roman" w:hAnsi="Times New Roman"/>
          <w:sz w:val="19"/>
          <w:szCs w:val="19"/>
          <w:color w:val="auto"/>
        </w:rPr>
      </w:pPr>
    </w:p>
    <w:p>
      <w:pPr>
        <w:jc w:val="both"/>
        <w:ind w:left="1660" w:firstLine="555"/>
        <w:spacing w:after="0" w:line="223" w:lineRule="auto"/>
        <w:tabs>
          <w:tab w:leader="none" w:pos="2761" w:val="left"/>
        </w:tabs>
        <w:numPr>
          <w:ilvl w:val="3"/>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31" w:lineRule="exact"/>
        <w:rPr>
          <w:rFonts w:ascii="Times New Roman" w:cs="Times New Roman" w:eastAsia="Times New Roman" w:hAnsi="Times New Roman"/>
          <w:sz w:val="19"/>
          <w:szCs w:val="19"/>
          <w:color w:val="auto"/>
        </w:rPr>
      </w:pPr>
    </w:p>
    <w:p>
      <w:pPr>
        <w:ind w:left="1660" w:firstLine="555"/>
        <w:spacing w:after="0" w:line="234" w:lineRule="auto"/>
        <w:tabs>
          <w:tab w:leader="none" w:pos="2766" w:val="left"/>
        </w:tabs>
        <w:numPr>
          <w:ilvl w:val="3"/>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instructions given in accordance with the Applicable Procedures containing information regarding the Participant account to be credited with such increase; 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60"/>
          </w:cols>
          <w:pgMar w:left="320" w:top="1216" w:right="319" w:bottom="1440" w:gutter="0" w:footer="0" w:header="0"/>
        </w:sectPr>
      </w:pPr>
    </w:p>
    <w:bookmarkStart w:id="26" w:name="page27"/>
    <w:bookmarkEnd w:id="26"/>
    <w:p>
      <w:pPr>
        <w:ind w:left="2200" w:hanging="541"/>
        <w:spacing w:after="0"/>
        <w:tabs>
          <w:tab w:leader="none" w:pos="22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w:t>
      </w:r>
    </w:p>
    <w:p>
      <w:pPr>
        <w:spacing w:after="0" w:line="151" w:lineRule="exact"/>
        <w:rPr>
          <w:rFonts w:ascii="Times New Roman" w:cs="Times New Roman" w:eastAsia="Times New Roman" w:hAnsi="Times New Roman"/>
          <w:sz w:val="19"/>
          <w:szCs w:val="19"/>
          <w:color w:val="auto"/>
        </w:rPr>
      </w:pPr>
    </w:p>
    <w:p>
      <w:pPr>
        <w:jc w:val="both"/>
        <w:ind w:left="1660" w:firstLine="555"/>
        <w:spacing w:after="0" w:line="223" w:lineRule="auto"/>
        <w:tabs>
          <w:tab w:leader="none" w:pos="2761"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31" w:lineRule="exact"/>
        <w:rPr>
          <w:rFonts w:ascii="Times New Roman" w:cs="Times New Roman" w:eastAsia="Times New Roman" w:hAnsi="Times New Roman"/>
          <w:sz w:val="19"/>
          <w:szCs w:val="19"/>
          <w:color w:val="auto"/>
        </w:rPr>
      </w:pPr>
    </w:p>
    <w:p>
      <w:pPr>
        <w:ind w:left="1660" w:firstLine="555"/>
        <w:spacing w:after="0" w:line="234" w:lineRule="auto"/>
        <w:tabs>
          <w:tab w:leader="none" w:pos="2766"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instructions given by the Depositary to the Registrar containing information regarding the Person in whose name such Definitive Note shall be registered to effect the transfer or exchange referred to in (1) above.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38" w:lineRule="exact"/>
        <w:rPr>
          <w:sz w:val="20"/>
          <w:szCs w:val="20"/>
          <w:color w:val="auto"/>
        </w:rPr>
      </w:pPr>
    </w:p>
    <w:p>
      <w:pPr>
        <w:jc w:val="both"/>
        <w:ind w:left="540" w:firstLine="564"/>
        <w:spacing w:after="0" w:line="225" w:lineRule="auto"/>
        <w:tabs>
          <w:tab w:leader="none" w:pos="164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Transfer of Beneficial Interests to Another Restricted Global Note. </w:t>
      </w:r>
      <w:r>
        <w:rPr>
          <w:rFonts w:ascii="Times New Roman" w:cs="Times New Roman" w:eastAsia="Times New Roman" w:hAnsi="Times New Roman"/>
          <w:sz w:val="19"/>
          <w:szCs w:val="19"/>
          <w:color w:val="auto"/>
        </w:rPr>
        <w:t>A beneficial interest in any Restricted Global Note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130" w:lineRule="exact"/>
        <w:rPr>
          <w:rFonts w:ascii="Times New Roman" w:cs="Times New Roman" w:eastAsia="Times New Roman" w:hAnsi="Times New Roman"/>
          <w:sz w:val="19"/>
          <w:szCs w:val="19"/>
          <w:color w:val="auto"/>
        </w:rPr>
      </w:pPr>
    </w:p>
    <w:p>
      <w:pPr>
        <w:ind w:left="1100" w:right="20" w:firstLine="559"/>
        <w:spacing w:after="0" w:line="234" w:lineRule="auto"/>
        <w:tabs>
          <w:tab w:leader="none" w:pos="2202"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transferee shall take delivery in the form of a beneficial interest in the 144A Global Note, then the transferor must deliver a certificate in the form of Exhibit B hereto, including the certifications in item (1) thereof; and</w:t>
      </w:r>
    </w:p>
    <w:p>
      <w:pPr>
        <w:spacing w:after="0" w:line="129" w:lineRule="exact"/>
        <w:rPr>
          <w:rFonts w:ascii="Times New Roman" w:cs="Times New Roman" w:eastAsia="Times New Roman" w:hAnsi="Times New Roman"/>
          <w:sz w:val="19"/>
          <w:szCs w:val="19"/>
          <w:color w:val="auto"/>
        </w:rPr>
      </w:pPr>
    </w:p>
    <w:p>
      <w:pPr>
        <w:ind w:left="1100" w:firstLine="559"/>
        <w:spacing w:after="0" w:line="234" w:lineRule="auto"/>
        <w:tabs>
          <w:tab w:leader="none" w:pos="2203"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transferee shall take delivery in the form of a beneficial interest in the Regulation S Global Note, then the transferor must deliver a certificate in the form of Exhibit B hereto, including the certifications in item (2) thereof.</w:t>
      </w:r>
    </w:p>
    <w:p>
      <w:pPr>
        <w:spacing w:after="0" w:line="125" w:lineRule="exact"/>
        <w:rPr>
          <w:rFonts w:ascii="Times New Roman" w:cs="Times New Roman" w:eastAsia="Times New Roman" w:hAnsi="Times New Roman"/>
          <w:sz w:val="19"/>
          <w:szCs w:val="19"/>
          <w:color w:val="auto"/>
        </w:rPr>
      </w:pPr>
    </w:p>
    <w:p>
      <w:pPr>
        <w:jc w:val="both"/>
        <w:ind w:left="540" w:firstLine="564"/>
        <w:spacing w:after="0" w:line="219" w:lineRule="auto"/>
        <w:tabs>
          <w:tab w:leader="none" w:pos="164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and Exchange of Beneficial Interests in a Restricted Global Note for Beneficial Interests in an Unrestricted Global Note</w:t>
      </w:r>
      <w:r>
        <w:rPr>
          <w:rFonts w:ascii="Times New Roman" w:cs="Times New Roman" w:eastAsia="Times New Roman" w:hAnsi="Times New Roman"/>
          <w:sz w:val="19"/>
          <w:szCs w:val="19"/>
          <w:color w:val="auto"/>
        </w:rPr>
        <w:t>. A beneficial interest in any Restricted Global Note may be exchanged by any holder thereof for a beneficial interest in an Unrestricted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132" w:lineRule="exact"/>
        <w:rPr>
          <w:rFonts w:ascii="Times New Roman" w:cs="Times New Roman" w:eastAsia="Times New Roman" w:hAnsi="Times New Roman"/>
          <w:sz w:val="19"/>
          <w:szCs w:val="19"/>
          <w:color w:val="auto"/>
        </w:rPr>
      </w:pPr>
    </w:p>
    <w:p>
      <w:pPr>
        <w:jc w:val="both"/>
        <w:ind w:left="1100" w:firstLine="559"/>
        <w:spacing w:after="0" w:line="223" w:lineRule="auto"/>
        <w:tabs>
          <w:tab w:leader="none" w:pos="2202"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31" w:lineRule="exact"/>
        <w:rPr>
          <w:rFonts w:ascii="Times New Roman" w:cs="Times New Roman" w:eastAsia="Times New Roman" w:hAnsi="Times New Roman"/>
          <w:sz w:val="19"/>
          <w:szCs w:val="19"/>
          <w:color w:val="auto"/>
        </w:rPr>
      </w:pPr>
    </w:p>
    <w:p>
      <w:pPr>
        <w:jc w:val="both"/>
        <w:ind w:left="1100" w:firstLine="559"/>
        <w:spacing w:after="0" w:line="223" w:lineRule="auto"/>
        <w:tabs>
          <w:tab w:leader="none" w:pos="2203"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155"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9"/>
          <w:szCs w:val="19"/>
          <w:color w:val="auto"/>
        </w:rPr>
        <w:t>and if the Registrar so requests or if the Applicable Procedures so require, an Opinion of Counsel in form reasonably acceptable to the Registrar to the effect that such exchange or transfer is in compliance with the Securities Act and that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60"/>
          </w:cols>
          <w:pgMar w:left="320" w:top="1216" w:right="319" w:bottom="1440" w:gutter="0" w:footer="0" w:header="0"/>
        </w:sectPr>
      </w:pPr>
    </w:p>
    <w:bookmarkStart w:id="27" w:name="page28"/>
    <w:bookmarkEnd w:id="27"/>
    <w:p>
      <w:pPr>
        <w:ind w:left="1100"/>
        <w:spacing w:after="0" w:line="266" w:lineRule="auto"/>
        <w:rPr>
          <w:sz w:val="20"/>
          <w:szCs w:val="20"/>
          <w:color w:val="auto"/>
        </w:rPr>
      </w:pPr>
      <w:r>
        <w:rPr>
          <w:rFonts w:ascii="Times New Roman" w:cs="Times New Roman" w:eastAsia="Times New Roman" w:hAnsi="Times New Roman"/>
          <w:sz w:val="19"/>
          <w:szCs w:val="19"/>
          <w:color w:val="auto"/>
        </w:rPr>
        <w:t>the restrictions on transfer contained herein and in the Private Placement Legend are no longer required in order to maintain compliance with the Securities Act.</w:t>
      </w:r>
    </w:p>
    <w:p>
      <w:pPr>
        <w:spacing w:after="0" w:line="141" w:lineRule="exact"/>
        <w:rPr>
          <w:sz w:val="20"/>
          <w:szCs w:val="20"/>
          <w:color w:val="auto"/>
        </w:rPr>
      </w:pPr>
    </w:p>
    <w:p>
      <w:pPr>
        <w:jc w:val="both"/>
        <w:ind w:right="20" w:firstLine="556"/>
        <w:spacing w:after="0" w:line="254" w:lineRule="auto"/>
        <w:rPr>
          <w:sz w:val="20"/>
          <w:szCs w:val="20"/>
          <w:color w:val="auto"/>
        </w:rPr>
      </w:pPr>
      <w:r>
        <w:rPr>
          <w:rFonts w:ascii="Times New Roman" w:cs="Times New Roman" w:eastAsia="Times New Roman" w:hAnsi="Times New Roman"/>
          <w:sz w:val="19"/>
          <w:szCs w:val="19"/>
          <w:color w:val="auto"/>
        </w:rPr>
        <w:t>If any such transfer is effected pursuant to paragraph (4)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paragraph (4) above.</w:t>
      </w:r>
    </w:p>
    <w:p>
      <w:pPr>
        <w:spacing w:after="0" w:line="152"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Beneficial interests in an Unrestricted Global Note cannot be exchanged for, or transferred to Persons who take delivery thereof in the form of, a beneficial interest in a Restricted Global Note.</w:t>
      </w:r>
    </w:p>
    <w:p>
      <w:pPr>
        <w:spacing w:after="0" w:line="125" w:lineRule="exact"/>
        <w:rPr>
          <w:sz w:val="20"/>
          <w:szCs w:val="20"/>
          <w:color w:val="auto"/>
        </w:rPr>
      </w:pPr>
    </w:p>
    <w:p>
      <w:pPr>
        <w:ind w:left="1100" w:hanging="552"/>
        <w:spacing w:after="0"/>
        <w:tabs>
          <w:tab w:leader="none" w:pos="11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or Exchange of Beneficial Interests for Definitive Notes</w:t>
      </w:r>
      <w:r>
        <w:rPr>
          <w:rFonts w:ascii="Times New Roman" w:cs="Times New Roman" w:eastAsia="Times New Roman" w:hAnsi="Times New Roman"/>
          <w:sz w:val="19"/>
          <w:szCs w:val="19"/>
          <w:color w:val="auto"/>
        </w:rPr>
        <w:t>.</w:t>
      </w:r>
    </w:p>
    <w:p>
      <w:pPr>
        <w:spacing w:after="0" w:line="151" w:lineRule="exact"/>
        <w:rPr>
          <w:rFonts w:ascii="Times New Roman" w:cs="Times New Roman" w:eastAsia="Times New Roman" w:hAnsi="Times New Roman"/>
          <w:sz w:val="19"/>
          <w:szCs w:val="19"/>
          <w:color w:val="auto"/>
        </w:rPr>
      </w:pPr>
    </w:p>
    <w:p>
      <w:pPr>
        <w:jc w:val="both"/>
        <w:ind w:left="540" w:firstLine="564"/>
        <w:spacing w:after="0" w:line="257" w:lineRule="auto"/>
        <w:tabs>
          <w:tab w:leader="none" w:pos="164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Beneficial Interests in Restricted Global Notes to Restricted Definitive Notes. </w:t>
      </w:r>
      <w:r>
        <w:rPr>
          <w:rFonts w:ascii="Times New Roman" w:cs="Times New Roman" w:eastAsia="Times New Roman" w:hAnsi="Times New Roman"/>
          <w:sz w:val="17"/>
          <w:szCs w:val="17"/>
          <w:color w:val="auto"/>
        </w:rPr>
        <w:t>If any holder of a beneficial interest in a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16" w:lineRule="exact"/>
        <w:rPr>
          <w:rFonts w:ascii="Times New Roman" w:cs="Times New Roman" w:eastAsia="Times New Roman" w:hAnsi="Times New Roman"/>
          <w:sz w:val="17"/>
          <w:szCs w:val="17"/>
          <w:color w:val="auto"/>
        </w:rPr>
      </w:pPr>
    </w:p>
    <w:p>
      <w:pPr>
        <w:jc w:val="both"/>
        <w:ind w:left="1100" w:right="20" w:firstLine="559"/>
        <w:spacing w:after="0" w:line="223" w:lineRule="auto"/>
        <w:tabs>
          <w:tab w:leader="none" w:pos="2202"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31" w:lineRule="exact"/>
        <w:rPr>
          <w:rFonts w:ascii="Times New Roman" w:cs="Times New Roman" w:eastAsia="Times New Roman" w:hAnsi="Times New Roman"/>
          <w:sz w:val="19"/>
          <w:szCs w:val="19"/>
          <w:color w:val="auto"/>
        </w:rPr>
      </w:pPr>
    </w:p>
    <w:p>
      <w:pPr>
        <w:ind w:left="1100" w:firstLine="559"/>
        <w:spacing w:after="0" w:line="234" w:lineRule="auto"/>
        <w:tabs>
          <w:tab w:leader="none" w:pos="2203"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beneficial interest is being transferred to a QIB in accordance with Rule 144A, a certificate to the effect set forth in Exhibit B hereto, including the certifications in item (1) thereof;</w:t>
      </w:r>
    </w:p>
    <w:p>
      <w:pPr>
        <w:spacing w:after="0" w:line="129" w:lineRule="exact"/>
        <w:rPr>
          <w:rFonts w:ascii="Times New Roman" w:cs="Times New Roman" w:eastAsia="Times New Roman" w:hAnsi="Times New Roman"/>
          <w:sz w:val="19"/>
          <w:szCs w:val="19"/>
          <w:color w:val="auto"/>
        </w:rPr>
      </w:pPr>
    </w:p>
    <w:p>
      <w:pPr>
        <w:ind w:left="1100" w:right="20" w:firstLine="559"/>
        <w:spacing w:after="0" w:line="234" w:lineRule="auto"/>
        <w:tabs>
          <w:tab w:leader="none" w:pos="2203"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29" w:lineRule="exact"/>
        <w:rPr>
          <w:rFonts w:ascii="Times New Roman" w:cs="Times New Roman" w:eastAsia="Times New Roman" w:hAnsi="Times New Roman"/>
          <w:sz w:val="19"/>
          <w:szCs w:val="19"/>
          <w:color w:val="auto"/>
        </w:rPr>
      </w:pPr>
    </w:p>
    <w:p>
      <w:pPr>
        <w:jc w:val="both"/>
        <w:ind w:left="1100" w:right="20" w:firstLine="559"/>
        <w:spacing w:after="0" w:line="239" w:lineRule="auto"/>
        <w:tabs>
          <w:tab w:leader="none" w:pos="2202"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beneficial interest is being transferred pursuant to an exemption from the registration requirements of the Securities Act in accordance with Rule 144, a certificate to the effect set forth in Exhibit B hereto, including the certifications in item (3)</w:t>
      </w:r>
    </w:p>
    <w:p>
      <w:pPr>
        <w:spacing w:after="0" w:line="1"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 thereof;</w:t>
      </w:r>
    </w:p>
    <w:p>
      <w:pPr>
        <w:spacing w:after="0" w:line="131" w:lineRule="exact"/>
        <w:rPr>
          <w:rFonts w:ascii="Times New Roman" w:cs="Times New Roman" w:eastAsia="Times New Roman" w:hAnsi="Times New Roman"/>
          <w:sz w:val="17"/>
          <w:szCs w:val="17"/>
          <w:color w:val="auto"/>
        </w:rPr>
      </w:pPr>
    </w:p>
    <w:p>
      <w:pPr>
        <w:ind w:left="1100" w:firstLine="559"/>
        <w:spacing w:after="0" w:line="234" w:lineRule="auto"/>
        <w:tabs>
          <w:tab w:leader="none" w:pos="2205"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beneficial interest is being transferred to the Issuer or any of its Subsidiaries, a certificate to the effect set forth in Exhibit B hereto, including the certifications in item (3)(b) thereof; or</w:t>
      </w:r>
    </w:p>
    <w:p>
      <w:pPr>
        <w:spacing w:after="0" w:line="129" w:lineRule="exact"/>
        <w:rPr>
          <w:rFonts w:ascii="Times New Roman" w:cs="Times New Roman" w:eastAsia="Times New Roman" w:hAnsi="Times New Roman"/>
          <w:sz w:val="19"/>
          <w:szCs w:val="19"/>
          <w:color w:val="auto"/>
        </w:rPr>
      </w:pPr>
    </w:p>
    <w:p>
      <w:pPr>
        <w:ind w:left="1100" w:right="20" w:firstLine="559"/>
        <w:spacing w:after="0" w:line="234" w:lineRule="auto"/>
        <w:tabs>
          <w:tab w:leader="none" w:pos="2206" w:val="left"/>
        </w:tabs>
        <w:numPr>
          <w:ilvl w:val="2"/>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5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9"/>
          <w:szCs w:val="19"/>
          <w:color w:val="auto"/>
        </w:rPr>
        <w:t>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60"/>
          </w:cols>
          <w:pgMar w:left="320" w:top="1239" w:right="319" w:bottom="1440" w:gutter="0" w:footer="0" w:header="0"/>
        </w:sectPr>
      </w:pPr>
    </w:p>
    <w:bookmarkStart w:id="28" w:name="page29"/>
    <w:bookmarkEnd w:id="28"/>
    <w:p>
      <w:pPr>
        <w:jc w:val="both"/>
        <w:ind w:right="20"/>
        <w:spacing w:after="0" w:line="250" w:lineRule="auto"/>
        <w:rPr>
          <w:sz w:val="20"/>
          <w:szCs w:val="20"/>
          <w:color w:val="auto"/>
        </w:rPr>
      </w:pPr>
      <w:r>
        <w:rPr>
          <w:rFonts w:ascii="Times New Roman" w:cs="Times New Roman" w:eastAsia="Times New Roman" w:hAnsi="Times New Roman"/>
          <w:sz w:val="19"/>
          <w:szCs w:val="19"/>
          <w:color w:val="auto"/>
        </w:rPr>
        <w:t>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31" w:lineRule="exact"/>
        <w:rPr>
          <w:sz w:val="20"/>
          <w:szCs w:val="20"/>
          <w:color w:val="auto"/>
        </w:rPr>
      </w:pPr>
    </w:p>
    <w:p>
      <w:pPr>
        <w:jc w:val="both"/>
        <w:ind w:left="540" w:firstLine="564"/>
        <w:spacing w:after="0" w:line="225" w:lineRule="auto"/>
        <w:tabs>
          <w:tab w:leader="none" w:pos="1647"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Beneficial Interests in Restricted Global Notes to Unrestricted Definitive Notes. </w:t>
      </w:r>
      <w:r>
        <w:rPr>
          <w:rFonts w:ascii="Times New Roman" w:cs="Times New Roman" w:eastAsia="Times New Roman" w:hAnsi="Times New Roman"/>
          <w:sz w:val="19"/>
          <w:szCs w:val="19"/>
          <w:color w:val="auto"/>
        </w:rPr>
        <w:t>A holder of a beneficial interest in a 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30" w:lineRule="exact"/>
        <w:rPr>
          <w:rFonts w:ascii="Times New Roman" w:cs="Times New Roman" w:eastAsia="Times New Roman" w:hAnsi="Times New Roman"/>
          <w:sz w:val="19"/>
          <w:szCs w:val="19"/>
          <w:color w:val="auto"/>
        </w:rPr>
      </w:pPr>
    </w:p>
    <w:p>
      <w:pPr>
        <w:jc w:val="both"/>
        <w:ind w:left="1100" w:right="20" w:firstLine="559"/>
        <w:spacing w:after="0" w:line="223" w:lineRule="auto"/>
        <w:tabs>
          <w:tab w:leader="none" w:pos="2202"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31" w:lineRule="exact"/>
        <w:rPr>
          <w:rFonts w:ascii="Times New Roman" w:cs="Times New Roman" w:eastAsia="Times New Roman" w:hAnsi="Times New Roman"/>
          <w:sz w:val="19"/>
          <w:szCs w:val="19"/>
          <w:color w:val="auto"/>
        </w:rPr>
      </w:pPr>
    </w:p>
    <w:p>
      <w:pPr>
        <w:jc w:val="both"/>
        <w:ind w:left="1100" w:firstLine="559"/>
        <w:spacing w:after="0" w:line="223" w:lineRule="auto"/>
        <w:tabs>
          <w:tab w:leader="none" w:pos="2203"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55" w:lineRule="exact"/>
        <w:rPr>
          <w:sz w:val="20"/>
          <w:szCs w:val="20"/>
          <w:color w:val="auto"/>
        </w:rPr>
      </w:pPr>
    </w:p>
    <w:p>
      <w:pPr>
        <w:jc w:val="both"/>
        <w:ind w:left="1100"/>
        <w:spacing w:after="0" w:line="253" w:lineRule="auto"/>
        <w:rPr>
          <w:sz w:val="20"/>
          <w:szCs w:val="20"/>
          <w:color w:val="auto"/>
        </w:rPr>
      </w:pPr>
      <w:r>
        <w:rPr>
          <w:rFonts w:ascii="Times New Roman" w:cs="Times New Roman" w:eastAsia="Times New Roman" w:hAnsi="Times New Roman"/>
          <w:sz w:val="19"/>
          <w:szCs w:val="19"/>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8" w:lineRule="exact"/>
        <w:rPr>
          <w:sz w:val="20"/>
          <w:szCs w:val="20"/>
          <w:color w:val="auto"/>
        </w:rPr>
      </w:pPr>
    </w:p>
    <w:p>
      <w:pPr>
        <w:jc w:val="both"/>
        <w:ind w:left="540" w:firstLine="564"/>
        <w:spacing w:after="0" w:line="210" w:lineRule="auto"/>
        <w:tabs>
          <w:tab w:leader="none" w:pos="1647"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Beneficial Interests in Unrestricted Global Notes to Unrestricted Definitive Notes. </w:t>
      </w:r>
      <w:r>
        <w:rPr>
          <w:rFonts w:ascii="Times New Roman" w:cs="Times New Roman" w:eastAsia="Times New Roman" w:hAnsi="Times New Roman"/>
          <w:sz w:val="19"/>
          <w:szCs w:val="19"/>
          <w:color w:val="auto"/>
        </w:rPr>
        <w:t>If any holder of a beneficial interest in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2.06(c)(3) shall not bear the Private Placement Legend.</w:t>
      </w:r>
    </w:p>
    <w:p>
      <w:pPr>
        <w:spacing w:after="0" w:line="125"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Transfer and Exchange of Definitive Notes for Beneficial Interests</w:t>
      </w:r>
      <w:r>
        <w:rPr>
          <w:rFonts w:ascii="Times New Roman" w:cs="Times New Roman" w:eastAsia="Times New Roman" w:hAnsi="Times New Roman"/>
          <w:sz w:val="19"/>
          <w:szCs w:val="19"/>
          <w:color w:val="auto"/>
        </w:rPr>
        <w:t>.</w:t>
      </w:r>
    </w:p>
    <w:p>
      <w:pPr>
        <w:spacing w:after="0" w:line="151" w:lineRule="exact"/>
        <w:rPr>
          <w:rFonts w:ascii="Times New Roman" w:cs="Times New Roman" w:eastAsia="Times New Roman" w:hAnsi="Times New Roman"/>
          <w:sz w:val="19"/>
          <w:szCs w:val="19"/>
          <w:color w:val="auto"/>
        </w:rPr>
      </w:pPr>
    </w:p>
    <w:p>
      <w:pPr>
        <w:ind w:left="540" w:right="20" w:firstLine="564"/>
        <w:spacing w:after="0" w:line="236" w:lineRule="auto"/>
        <w:tabs>
          <w:tab w:leader="none" w:pos="1647"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Restricted Definitive Notes to Beneficial Interests in Restricted Global Notes. </w:t>
      </w:r>
      <w:r>
        <w:rPr>
          <w:rFonts w:ascii="Times New Roman" w:cs="Times New Roman" w:eastAsia="Times New Roman" w:hAnsi="Times New Roman"/>
          <w:sz w:val="19"/>
          <w:szCs w:val="19"/>
          <w:color w:val="auto"/>
        </w:rPr>
        <w:t>If any Holder of a Restricted Definitive Note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proposes to exchange such Note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60"/>
          </w:cols>
          <w:pgMar w:left="320" w:top="1239" w:right="319" w:bottom="1440" w:gutter="0" w:footer="0" w:header="0"/>
        </w:sectPr>
      </w:pPr>
    </w:p>
    <w:bookmarkStart w:id="29" w:name="page30"/>
    <w:bookmarkEnd w:id="29"/>
    <w:p>
      <w:pPr>
        <w:ind w:right="20"/>
        <w:spacing w:after="0" w:line="234" w:lineRule="auto"/>
        <w:rPr>
          <w:sz w:val="20"/>
          <w:szCs w:val="20"/>
          <w:color w:val="auto"/>
        </w:rPr>
      </w:pPr>
      <w:r>
        <w:rPr>
          <w:rFonts w:ascii="Times New Roman" w:cs="Times New Roman" w:eastAsia="Times New Roman" w:hAnsi="Times New Roman"/>
          <w:sz w:val="19"/>
          <w:szCs w:val="19"/>
          <w:color w:val="auto"/>
        </w:rPr>
        <w:t>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30" w:lineRule="exact"/>
        <w:rPr>
          <w:sz w:val="20"/>
          <w:szCs w:val="20"/>
          <w:color w:val="auto"/>
        </w:rPr>
      </w:pPr>
    </w:p>
    <w:p>
      <w:pPr>
        <w:ind w:left="560" w:firstLine="559"/>
        <w:spacing w:after="0" w:line="283" w:lineRule="auto"/>
        <w:tabs>
          <w:tab w:leader="none" w:pos="1662"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94" w:lineRule="exact"/>
        <w:rPr>
          <w:rFonts w:ascii="Times New Roman" w:cs="Times New Roman" w:eastAsia="Times New Roman" w:hAnsi="Times New Roman"/>
          <w:sz w:val="17"/>
          <w:szCs w:val="17"/>
          <w:color w:val="auto"/>
        </w:rPr>
      </w:pPr>
    </w:p>
    <w:p>
      <w:pPr>
        <w:ind w:left="560" w:firstLine="559"/>
        <w:spacing w:after="0" w:line="234" w:lineRule="auto"/>
        <w:tabs>
          <w:tab w:leader="none" w:pos="1663"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Restricted Definitive Note is being transferred to a QIB in accordance with Rule 144A, a certificate to the effect set forth in Exhibit B hereto, including the certifications in item (1) thereof;</w:t>
      </w:r>
    </w:p>
    <w:p>
      <w:pPr>
        <w:spacing w:after="0" w:line="129" w:lineRule="exact"/>
        <w:rPr>
          <w:rFonts w:ascii="Times New Roman" w:cs="Times New Roman" w:eastAsia="Times New Roman" w:hAnsi="Times New Roman"/>
          <w:sz w:val="19"/>
          <w:szCs w:val="19"/>
          <w:color w:val="auto"/>
        </w:rPr>
      </w:pPr>
    </w:p>
    <w:p>
      <w:pPr>
        <w:ind w:left="560" w:firstLine="559"/>
        <w:spacing w:after="0" w:line="234" w:lineRule="auto"/>
        <w:tabs>
          <w:tab w:leader="none" w:pos="1663"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29" w:lineRule="exact"/>
        <w:rPr>
          <w:rFonts w:ascii="Times New Roman" w:cs="Times New Roman" w:eastAsia="Times New Roman" w:hAnsi="Times New Roman"/>
          <w:sz w:val="19"/>
          <w:szCs w:val="19"/>
          <w:color w:val="auto"/>
        </w:rPr>
      </w:pPr>
    </w:p>
    <w:p>
      <w:pPr>
        <w:jc w:val="both"/>
        <w:ind w:left="560" w:firstLine="559"/>
        <w:spacing w:after="0" w:line="239" w:lineRule="auto"/>
        <w:tabs>
          <w:tab w:leader="none" w:pos="1662"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w:t>
      </w:r>
    </w:p>
    <w:p>
      <w:pPr>
        <w:spacing w:after="0" w:line="1" w:lineRule="exact"/>
        <w:rPr>
          <w:rFonts w:ascii="Times New Roman" w:cs="Times New Roman" w:eastAsia="Times New Roman" w:hAnsi="Times New Roman"/>
          <w:sz w:val="17"/>
          <w:szCs w:val="17"/>
          <w:color w:val="auto"/>
        </w:rPr>
      </w:pPr>
    </w:p>
    <w:p>
      <w:pPr>
        <w:ind w:left="820" w:hanging="256"/>
        <w:spacing w:after="0"/>
        <w:tabs>
          <w:tab w:leader="none" w:pos="82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thereof;</w:t>
      </w:r>
    </w:p>
    <w:p>
      <w:pPr>
        <w:spacing w:after="0" w:line="131" w:lineRule="exact"/>
        <w:rPr>
          <w:rFonts w:ascii="Times New Roman" w:cs="Times New Roman" w:eastAsia="Times New Roman" w:hAnsi="Times New Roman"/>
          <w:sz w:val="19"/>
          <w:szCs w:val="19"/>
          <w:color w:val="auto"/>
        </w:rPr>
      </w:pPr>
    </w:p>
    <w:p>
      <w:pPr>
        <w:ind w:left="560" w:right="20" w:firstLine="559"/>
        <w:spacing w:after="0" w:line="234" w:lineRule="auto"/>
        <w:tabs>
          <w:tab w:leader="none" w:pos="1665"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Restricted Definitive Note is being transferred to the Issuer or any of its Subsidiaries, a certificate to the effect set forth in Exhibit B hereto, including the certifications in item (3)(b) thereof; or</w:t>
      </w:r>
    </w:p>
    <w:p>
      <w:pPr>
        <w:spacing w:after="0" w:line="129" w:lineRule="exact"/>
        <w:rPr>
          <w:rFonts w:ascii="Times New Roman" w:cs="Times New Roman" w:eastAsia="Times New Roman" w:hAnsi="Times New Roman"/>
          <w:sz w:val="19"/>
          <w:szCs w:val="19"/>
          <w:color w:val="auto"/>
        </w:rPr>
      </w:pPr>
    </w:p>
    <w:p>
      <w:pPr>
        <w:ind w:left="560" w:firstLine="559"/>
        <w:spacing w:after="0" w:line="234" w:lineRule="auto"/>
        <w:tabs>
          <w:tab w:leader="none" w:pos="1666"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53" w:lineRule="exact"/>
        <w:rPr>
          <w:sz w:val="20"/>
          <w:szCs w:val="20"/>
          <w:color w:val="auto"/>
        </w:rPr>
      </w:pPr>
    </w:p>
    <w:p>
      <w:pPr>
        <w:jc w:val="both"/>
        <w:ind w:left="560"/>
        <w:spacing w:after="0" w:line="253" w:lineRule="auto"/>
        <w:rPr>
          <w:sz w:val="20"/>
          <w:szCs w:val="20"/>
          <w:color w:val="auto"/>
        </w:rPr>
      </w:pPr>
      <w:r>
        <w:rPr>
          <w:rFonts w:ascii="Times New Roman" w:cs="Times New Roman" w:eastAsia="Times New Roman" w:hAnsi="Times New Roman"/>
          <w:sz w:val="19"/>
          <w:szCs w:val="19"/>
          <w:color w:val="auto"/>
        </w:rPr>
        <w:t>the Trustee shall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138" w:lineRule="exact"/>
        <w:rPr>
          <w:sz w:val="20"/>
          <w:szCs w:val="20"/>
          <w:color w:val="auto"/>
        </w:rPr>
      </w:pPr>
    </w:p>
    <w:p>
      <w:pPr>
        <w:jc w:val="both"/>
        <w:ind w:firstLine="564"/>
        <w:spacing w:after="0" w:line="225" w:lineRule="auto"/>
        <w:tabs>
          <w:tab w:leader="none" w:pos="1107"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Restricted Definitive Notes to Beneficial Interests in Unrestricted Global Notes. </w:t>
      </w:r>
      <w:r>
        <w:rPr>
          <w:rFonts w:ascii="Times New Roman" w:cs="Times New Roman" w:eastAsia="Times New Roman" w:hAnsi="Times New Roman"/>
          <w:sz w:val="19"/>
          <w:szCs w:val="19"/>
          <w:color w:val="auto"/>
        </w:rPr>
        <w:t>A Holder of a Restricted Definitive Note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30" w:lineRule="exact"/>
        <w:rPr>
          <w:rFonts w:ascii="Times New Roman" w:cs="Times New Roman" w:eastAsia="Times New Roman" w:hAnsi="Times New Roman"/>
          <w:sz w:val="19"/>
          <w:szCs w:val="19"/>
          <w:color w:val="auto"/>
        </w:rPr>
      </w:pPr>
    </w:p>
    <w:p>
      <w:pPr>
        <w:ind w:left="560" w:right="20" w:firstLine="559"/>
        <w:spacing w:after="0" w:line="234" w:lineRule="auto"/>
        <w:tabs>
          <w:tab w:leader="none" w:pos="1662"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29" w:lineRule="exact"/>
        <w:rPr>
          <w:rFonts w:ascii="Times New Roman" w:cs="Times New Roman" w:eastAsia="Times New Roman" w:hAnsi="Times New Roman"/>
          <w:sz w:val="19"/>
          <w:szCs w:val="19"/>
          <w:color w:val="auto"/>
        </w:rPr>
      </w:pPr>
    </w:p>
    <w:p>
      <w:pPr>
        <w:jc w:val="both"/>
        <w:ind w:left="560" w:firstLine="559"/>
        <w:spacing w:after="0" w:line="223" w:lineRule="auto"/>
        <w:tabs>
          <w:tab w:leader="none" w:pos="1663"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55"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9"/>
          <w:szCs w:val="19"/>
          <w:color w:val="auto"/>
        </w:rPr>
        <w:t>and if the Registrar so requests or if the Applicable Procedures so require, an Opinion of Counsel in form reasonably acceptable to the Registrar to the effect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0720"/>
          </w:cols>
          <w:pgMar w:left="860" w:top="1216" w:right="319" w:bottom="1440" w:gutter="0" w:footer="0" w:header="0"/>
        </w:sectPr>
      </w:pPr>
    </w:p>
    <w:bookmarkStart w:id="30" w:name="page31"/>
    <w:bookmarkEnd w:id="30"/>
    <w:p>
      <w:pPr>
        <w:ind w:left="1100"/>
        <w:spacing w:after="0" w:line="266" w:lineRule="auto"/>
        <w:rPr>
          <w:sz w:val="20"/>
          <w:szCs w:val="20"/>
          <w:color w:val="auto"/>
        </w:rPr>
      </w:pPr>
      <w:r>
        <w:rPr>
          <w:rFonts w:ascii="Times New Roman" w:cs="Times New Roman" w:eastAsia="Times New Roman" w:hAnsi="Times New Roman"/>
          <w:sz w:val="19"/>
          <w:szCs w:val="19"/>
          <w:color w:val="auto"/>
        </w:rPr>
        <w:t>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1" w:lineRule="exact"/>
        <w:rPr>
          <w:sz w:val="20"/>
          <w:szCs w:val="20"/>
          <w:color w:val="auto"/>
        </w:rPr>
      </w:pPr>
    </w:p>
    <w:p>
      <w:pPr>
        <w:ind w:left="540" w:right="20" w:firstLine="556"/>
        <w:spacing w:after="0" w:line="279" w:lineRule="auto"/>
        <w:rPr>
          <w:sz w:val="20"/>
          <w:szCs w:val="20"/>
          <w:color w:val="auto"/>
        </w:rPr>
      </w:pPr>
      <w:r>
        <w:rPr>
          <w:rFonts w:ascii="Times New Roman" w:cs="Times New Roman" w:eastAsia="Times New Roman" w:hAnsi="Times New Roman"/>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02" w:lineRule="exact"/>
        <w:rPr>
          <w:sz w:val="20"/>
          <w:szCs w:val="20"/>
          <w:color w:val="auto"/>
        </w:rPr>
      </w:pPr>
    </w:p>
    <w:p>
      <w:pPr>
        <w:jc w:val="both"/>
        <w:ind w:left="540" w:firstLine="564"/>
        <w:spacing w:after="0" w:line="216" w:lineRule="auto"/>
        <w:tabs>
          <w:tab w:leader="none" w:pos="164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Unrestricted Definitive Notes to Beneficial Interests in Unrestricted Global Notes. </w:t>
      </w:r>
      <w:r>
        <w:rPr>
          <w:rFonts w:ascii="Times New Roman" w:cs="Times New Roman" w:eastAsia="Times New Roman" w:hAnsi="Times New Roman"/>
          <w:sz w:val="19"/>
          <w:szCs w:val="19"/>
          <w:color w:val="auto"/>
        </w:rPr>
        <w:t>A Holder of an Unrestricted Definitive Note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55" w:lineRule="exact"/>
        <w:rPr>
          <w:sz w:val="20"/>
          <w:szCs w:val="20"/>
          <w:color w:val="auto"/>
        </w:rPr>
      </w:pPr>
    </w:p>
    <w:p>
      <w:pPr>
        <w:jc w:val="both"/>
        <w:ind w:left="540" w:firstLine="556"/>
        <w:spacing w:after="0" w:line="249" w:lineRule="auto"/>
        <w:rPr>
          <w:sz w:val="20"/>
          <w:szCs w:val="20"/>
          <w:color w:val="auto"/>
        </w:rPr>
      </w:pPr>
      <w:r>
        <w:rPr>
          <w:rFonts w:ascii="Times New Roman" w:cs="Times New Roman" w:eastAsia="Times New Roman" w:hAnsi="Times New Roman"/>
          <w:sz w:val="19"/>
          <w:szCs w:val="19"/>
          <w:color w:val="auto"/>
        </w:rPr>
        <w:t>If any such exchange or transfer from a Definitive Note to a beneficial interest is effected pursuant to subparagraphs (2) or (3)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43" w:lineRule="exact"/>
        <w:rPr>
          <w:sz w:val="20"/>
          <w:szCs w:val="20"/>
          <w:color w:val="auto"/>
        </w:rPr>
      </w:pPr>
    </w:p>
    <w:p>
      <w:pPr>
        <w:jc w:val="both"/>
        <w:ind w:firstLine="548"/>
        <w:spacing w:after="0" w:line="214" w:lineRule="auto"/>
        <w:tabs>
          <w:tab w:leader="none" w:pos="110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Transfer and Exchange of Definitive Notes for Definitive Notes. </w:t>
      </w:r>
      <w:r>
        <w:rPr>
          <w:rFonts w:ascii="Times New Roman" w:cs="Times New Roman" w:eastAsia="Times New Roman" w:hAnsi="Times New Roman"/>
          <w:sz w:val="19"/>
          <w:szCs w:val="19"/>
          <w:color w:val="auto"/>
        </w:rPr>
        <w:t>Upon request by a Holder of Definitive Notes and such Holder’s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27" w:lineRule="exact"/>
        <w:rPr>
          <w:rFonts w:ascii="Times New Roman" w:cs="Times New Roman" w:eastAsia="Times New Roman" w:hAnsi="Times New Roman"/>
          <w:sz w:val="19"/>
          <w:szCs w:val="19"/>
          <w:color w:val="auto"/>
        </w:rPr>
      </w:pPr>
    </w:p>
    <w:p>
      <w:pPr>
        <w:ind w:left="540" w:right="20" w:firstLine="564"/>
        <w:spacing w:after="0" w:line="288" w:lineRule="auto"/>
        <w:tabs>
          <w:tab w:leader="none" w:pos="164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Restricted Definitive Notes to Restricted Definitive Notes. </w:t>
      </w:r>
      <w:r>
        <w:rPr>
          <w:rFonts w:ascii="Times New Roman" w:cs="Times New Roman" w:eastAsia="Times New Roman" w:hAnsi="Times New Roman"/>
          <w:sz w:val="17"/>
          <w:szCs w:val="17"/>
          <w:color w:val="auto"/>
        </w:rPr>
        <w:t>Any Restricted Definitive Note may be transferred to and registered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name of Persons who take delivery thereof in the form of a Restricted Definitive Note if the Registrar receives the following:</w:t>
      </w:r>
    </w:p>
    <w:p>
      <w:pPr>
        <w:spacing w:after="0" w:line="90" w:lineRule="exact"/>
        <w:rPr>
          <w:rFonts w:ascii="Times New Roman" w:cs="Times New Roman" w:eastAsia="Times New Roman" w:hAnsi="Times New Roman"/>
          <w:sz w:val="17"/>
          <w:szCs w:val="17"/>
          <w:color w:val="auto"/>
        </w:rPr>
      </w:pPr>
    </w:p>
    <w:p>
      <w:pPr>
        <w:ind w:left="1100" w:firstLine="559"/>
        <w:spacing w:after="0" w:line="234" w:lineRule="auto"/>
        <w:tabs>
          <w:tab w:leader="none" w:pos="2202" w:val="left"/>
        </w:tabs>
        <w:numPr>
          <w:ilvl w:val="2"/>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transfer shall be made pursuant to Rule 144A, then the transferor must deliver a certificate in the form of Exhibit B hereto, including the certifications in item (1) thereof;</w:t>
      </w:r>
    </w:p>
    <w:p>
      <w:pPr>
        <w:spacing w:after="0" w:line="129" w:lineRule="exact"/>
        <w:rPr>
          <w:rFonts w:ascii="Times New Roman" w:cs="Times New Roman" w:eastAsia="Times New Roman" w:hAnsi="Times New Roman"/>
          <w:sz w:val="19"/>
          <w:szCs w:val="19"/>
          <w:color w:val="auto"/>
        </w:rPr>
      </w:pPr>
    </w:p>
    <w:p>
      <w:pPr>
        <w:ind w:left="1100" w:right="20" w:firstLine="559"/>
        <w:spacing w:after="0" w:line="234" w:lineRule="auto"/>
        <w:tabs>
          <w:tab w:leader="none" w:pos="2203" w:val="left"/>
        </w:tabs>
        <w:numPr>
          <w:ilvl w:val="2"/>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transfer shall be made pursuant to Rule 903 or Rule 904, then the transferor must deliver a certificate in the form of Exhibit B hereto, including the certifications in item (2) thereof; and</w:t>
      </w:r>
    </w:p>
    <w:p>
      <w:pPr>
        <w:spacing w:after="0" w:line="129" w:lineRule="exact"/>
        <w:rPr>
          <w:rFonts w:ascii="Times New Roman" w:cs="Times New Roman" w:eastAsia="Times New Roman" w:hAnsi="Times New Roman"/>
          <w:sz w:val="19"/>
          <w:szCs w:val="19"/>
          <w:color w:val="auto"/>
        </w:rPr>
      </w:pPr>
    </w:p>
    <w:p>
      <w:pPr>
        <w:jc w:val="both"/>
        <w:ind w:left="1100" w:firstLine="559"/>
        <w:spacing w:after="0" w:line="223" w:lineRule="auto"/>
        <w:tabs>
          <w:tab w:leader="none" w:pos="2203" w:val="left"/>
        </w:tabs>
        <w:numPr>
          <w:ilvl w:val="2"/>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transfer shall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60"/>
          </w:cols>
          <w:pgMar w:left="320" w:top="1239" w:right="319" w:bottom="1440" w:gutter="0" w:footer="0" w:header="0"/>
        </w:sectPr>
      </w:pPr>
    </w:p>
    <w:bookmarkStart w:id="31" w:name="page32"/>
    <w:bookmarkEnd w:id="31"/>
    <w:p>
      <w:pPr>
        <w:jc w:val="both"/>
        <w:ind w:left="540" w:firstLine="564"/>
        <w:spacing w:after="0" w:line="225" w:lineRule="auto"/>
        <w:tabs>
          <w:tab w:leader="none" w:pos="1647"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Restricted Definitive Notes to Unrestricted Definitive Notes. </w:t>
      </w:r>
      <w:r>
        <w:rPr>
          <w:rFonts w:ascii="Times New Roman" w:cs="Times New Roman" w:eastAsia="Times New Roman" w:hAnsi="Times New Roman"/>
          <w:sz w:val="19"/>
          <w:szCs w:val="19"/>
          <w:color w:val="auto"/>
        </w:rPr>
        <w:t>Any Restricted Definitive Note may be exchanged by the Holder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thereof for an Unrestricted Definitive Note or transferred to a Person or Persons who take delivery thereof in the form of an Unrestricted Definitive Note if the Registrar receives the following:</w:t>
      </w:r>
    </w:p>
    <w:p>
      <w:pPr>
        <w:spacing w:after="0" w:line="130" w:lineRule="exact"/>
        <w:rPr>
          <w:rFonts w:ascii="Times New Roman" w:cs="Times New Roman" w:eastAsia="Times New Roman" w:hAnsi="Times New Roman"/>
          <w:sz w:val="19"/>
          <w:szCs w:val="19"/>
          <w:color w:val="auto"/>
        </w:rPr>
      </w:pPr>
    </w:p>
    <w:p>
      <w:pPr>
        <w:ind w:left="1100" w:firstLine="559"/>
        <w:spacing w:after="0" w:line="234" w:lineRule="auto"/>
        <w:tabs>
          <w:tab w:leader="none" w:pos="2202"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29" w:lineRule="exact"/>
        <w:rPr>
          <w:rFonts w:ascii="Times New Roman" w:cs="Times New Roman" w:eastAsia="Times New Roman" w:hAnsi="Times New Roman"/>
          <w:sz w:val="19"/>
          <w:szCs w:val="19"/>
          <w:color w:val="auto"/>
        </w:rPr>
      </w:pPr>
    </w:p>
    <w:p>
      <w:pPr>
        <w:jc w:val="both"/>
        <w:ind w:left="1100" w:firstLine="559"/>
        <w:spacing w:after="0" w:line="223" w:lineRule="auto"/>
        <w:tabs>
          <w:tab w:leader="none" w:pos="2203"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155" w:lineRule="exact"/>
        <w:rPr>
          <w:sz w:val="20"/>
          <w:szCs w:val="20"/>
          <w:color w:val="auto"/>
        </w:rPr>
      </w:pPr>
    </w:p>
    <w:p>
      <w:pPr>
        <w:jc w:val="both"/>
        <w:ind w:left="1100"/>
        <w:spacing w:after="0" w:line="253" w:lineRule="auto"/>
        <w:rPr>
          <w:sz w:val="20"/>
          <w:szCs w:val="20"/>
          <w:color w:val="auto"/>
        </w:rPr>
      </w:pPr>
      <w:r>
        <w:rPr>
          <w:rFonts w:ascii="Times New Roman" w:cs="Times New Roman" w:eastAsia="Times New Roman" w:hAnsi="Times New Roman"/>
          <w:sz w:val="19"/>
          <w:szCs w:val="19"/>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8" w:lineRule="exact"/>
        <w:rPr>
          <w:sz w:val="20"/>
          <w:szCs w:val="20"/>
          <w:color w:val="auto"/>
        </w:rPr>
      </w:pPr>
    </w:p>
    <w:p>
      <w:pPr>
        <w:jc w:val="both"/>
        <w:ind w:left="540" w:firstLine="564"/>
        <w:spacing w:after="0" w:line="225" w:lineRule="auto"/>
        <w:tabs>
          <w:tab w:leader="none" w:pos="1647"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Unrestricted Definitive Notes to Unrestricted Definitive Notes. </w:t>
      </w:r>
      <w:r>
        <w:rPr>
          <w:rFonts w:ascii="Times New Roman" w:cs="Times New Roman" w:eastAsia="Times New Roman" w:hAnsi="Times New Roman"/>
          <w:sz w:val="19"/>
          <w:szCs w:val="19"/>
          <w:color w:val="auto"/>
        </w:rPr>
        <w:t>A Holder of Unrestricted Definitive Notes may transfer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26" w:lineRule="exact"/>
        <w:rPr>
          <w:rFonts w:ascii="Times New Roman" w:cs="Times New Roman" w:eastAsia="Times New Roman" w:hAnsi="Times New Roman"/>
          <w:sz w:val="19"/>
          <w:szCs w:val="19"/>
          <w:color w:val="auto"/>
        </w:rPr>
      </w:pPr>
    </w:p>
    <w:p>
      <w:pPr>
        <w:ind w:firstLine="548"/>
        <w:spacing w:after="0" w:line="236" w:lineRule="auto"/>
        <w:tabs>
          <w:tab w:leader="none" w:pos="111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Legends. </w:t>
      </w:r>
      <w:r>
        <w:rPr>
          <w:rFonts w:ascii="Times New Roman" w:cs="Times New Roman" w:eastAsia="Times New Roman" w:hAnsi="Times New Roman"/>
          <w:sz w:val="19"/>
          <w:szCs w:val="19"/>
          <w:color w:val="auto"/>
        </w:rPr>
        <w:t>The following legends shall appear on the face of all Global Notes and Definitive Notes issued under this Indenture unless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specifically stated otherwise in the applicable provisions of this Indenture.</w:t>
      </w:r>
    </w:p>
    <w:p>
      <w:pPr>
        <w:spacing w:after="0" w:line="125"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Private Placement Legend</w:t>
      </w:r>
      <w:r>
        <w:rPr>
          <w:rFonts w:ascii="Times New Roman" w:cs="Times New Roman" w:eastAsia="Times New Roman" w:hAnsi="Times New Roman"/>
          <w:sz w:val="19"/>
          <w:szCs w:val="19"/>
          <w:color w:val="auto"/>
        </w:rPr>
        <w:t>.</w:t>
      </w:r>
    </w:p>
    <w:p>
      <w:pPr>
        <w:spacing w:after="0" w:line="155" w:lineRule="exact"/>
        <w:rPr>
          <w:rFonts w:ascii="Times New Roman" w:cs="Times New Roman" w:eastAsia="Times New Roman" w:hAnsi="Times New Roman"/>
          <w:sz w:val="19"/>
          <w:szCs w:val="19"/>
          <w:color w:val="auto"/>
        </w:rPr>
      </w:pPr>
    </w:p>
    <w:p>
      <w:pPr>
        <w:ind w:left="1100" w:right="20" w:firstLine="559"/>
        <w:spacing w:after="0" w:line="234" w:lineRule="auto"/>
        <w:tabs>
          <w:tab w:leader="none" w:pos="2202"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OR (B) IT IS NOT A U.S. PERSON, IS NOT ACQUIRING THIS NOTE FOR THE ACCOUNT OR BENEFIT OF A U.S. PERSON AND IS ACQUIRING THIS NOTE IN AN OFFSHORE TRANSACTION IN COMPLIANCE WITH REGULATION S UNDER THE SECURITIES ACT, (2) AGREES THAT IT WILL NOT, PRIOR TO THE DATE [IN THE CASE OF RULE 144A NOTES: ON WHICH THE ISSUER INSTRUCTS THE TRUSTEE THAT THIS RESTRICTIVE LEGEND SHALL BE DEEMED REMOVED (WHICH INSTRUCTION IS EXPECTED TO BE GIVEN ON OR ABOUT THE ONE-YEAR ANNIVERSARY OF THE ISSUANCE OF THIS NOTE)] [IN THE CASE OF REGULATION S NOTES: 40 DAYS AFTER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60"/>
          </w:cols>
          <w:pgMar w:left="320" w:top="1212" w:right="319" w:bottom="1440" w:gutter="0" w:footer="0" w:header="0"/>
        </w:sectPr>
      </w:pPr>
    </w:p>
    <w:bookmarkStart w:id="32" w:name="page33"/>
    <w:bookmarkEnd w:id="32"/>
    <w:p>
      <w:pPr>
        <w:jc w:val="both"/>
        <w:spacing w:after="0" w:line="277" w:lineRule="auto"/>
        <w:rPr>
          <w:sz w:val="20"/>
          <w:szCs w:val="20"/>
          <w:color w:val="auto"/>
        </w:rPr>
      </w:pPr>
      <w:r>
        <w:rPr>
          <w:rFonts w:ascii="Times New Roman" w:cs="Times New Roman" w:eastAsia="Times New Roman" w:hAnsi="Times New Roman"/>
          <w:sz w:val="17"/>
          <w:szCs w:val="17"/>
          <w:color w:val="auto"/>
        </w:rPr>
        <w:t>LATER OF THE ORIGINAL ISSUE DATE HEREOF AND THE LAST DATE ON WHICH THE ISSUER OR ANY AFFILIATE OF THE ISSUER WAS THE OWNER OF THIS NOTE (OR ANY PREDECESSOR OF SUCH NOTE)] RESELL OR OTHERWISE TRANSFER THIS NOTE EXCEPT (A) TO THE ISSUER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OR (E)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324" w:lineRule="exact"/>
        <w:rPr>
          <w:sz w:val="20"/>
          <w:szCs w:val="20"/>
          <w:color w:val="auto"/>
        </w:rPr>
      </w:pPr>
    </w:p>
    <w:p>
      <w:pPr>
        <w:ind w:left="2200" w:hanging="541"/>
        <w:spacing w:after="0"/>
        <w:tabs>
          <w:tab w:leader="none" w:pos="220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any Global Note or Definitive Note issued pursuant to subparagraphs (b)(4), (c)(2), (c)</w:t>
      </w:r>
    </w:p>
    <w:p>
      <w:pPr>
        <w:ind w:left="1100"/>
        <w:spacing w:after="0" w:line="22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 (d)(2), (d)(3), (e)(2) or (e)(3) of this Section 2.06 (and all Notes issued in exchange therefor or substitution thereof) shall not bear the Private Placement Legend.</w:t>
      </w:r>
    </w:p>
    <w:p>
      <w:pPr>
        <w:spacing w:after="0" w:line="125"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Global Note Legend</w:t>
      </w:r>
      <w:r>
        <w:rPr>
          <w:rFonts w:ascii="Times New Roman" w:cs="Times New Roman" w:eastAsia="Times New Roman" w:hAnsi="Times New Roman"/>
          <w:sz w:val="19"/>
          <w:szCs w:val="19"/>
          <w:color w:val="auto"/>
        </w:rPr>
        <w:t>. Each Global Note shall bear a legend in substantially the following form:</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CANCELATION PURSUANT TO SECTION 2.11 OF THE INDENTURE AND (4) THIS GLOBAL NOTE MAY BE TRANSFERRED TO A SUCCESSOR DEPOSITARY WITH THE PRIOR WRITTEN CONSENT OF THE ISSUER.</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9"/>
          <w:szCs w:val="19"/>
          <w:color w:val="auto"/>
        </w:rPr>
        <w:t>UNLESS AND UNTIL IT IS EXCHANGED IN WHOLE OR IN PART FOR NOTES IN DEFINITIVE FORM, THIS NOTE MAY NOT BE TRANSFERRED EXCEPT AS A WHOLE BY THE DEPOSITARY TO A NOMINEE OF THE DEPOSITARY OR BY A NOMINEE OF THE DEPOSITARY TO THE DEPOSITARY OR ANOTHER NOMINEE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60"/>
          </w:cols>
          <w:pgMar w:left="320" w:top="1239" w:right="319" w:bottom="1440" w:gutter="0" w:footer="0" w:header="0"/>
        </w:sectPr>
      </w:pPr>
    </w:p>
    <w:bookmarkStart w:id="33" w:name="page34"/>
    <w:bookmarkEnd w:id="33"/>
    <w:p>
      <w:pPr>
        <w:jc w:val="both"/>
        <w:ind w:left="7" w:right="20"/>
        <w:spacing w:after="0" w:line="279" w:lineRule="auto"/>
        <w:rPr>
          <w:sz w:val="20"/>
          <w:szCs w:val="20"/>
          <w:color w:val="auto"/>
        </w:rPr>
      </w:pPr>
      <w:r>
        <w:rPr>
          <w:rFonts w:ascii="Times New Roman" w:cs="Times New Roman" w:eastAsia="Times New Roman" w:hAnsi="Times New Roman"/>
          <w:sz w:val="17"/>
          <w:szCs w:val="17"/>
          <w:color w:val="auto"/>
        </w:rPr>
        <w:t>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w:t>
      </w:r>
    </w:p>
    <w:p>
      <w:pPr>
        <w:spacing w:after="0" w:line="2" w:lineRule="exact"/>
        <w:rPr>
          <w:sz w:val="20"/>
          <w:szCs w:val="20"/>
          <w:color w:val="auto"/>
        </w:rPr>
      </w:pPr>
    </w:p>
    <w:p>
      <w:pPr>
        <w:jc w:val="both"/>
        <w:ind w:left="7" w:hanging="7"/>
        <w:spacing w:after="0" w:line="242" w:lineRule="auto"/>
        <w:tabs>
          <w:tab w:leader="none" w:pos="21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48" w:lineRule="exact"/>
        <w:rPr>
          <w:rFonts w:ascii="Times New Roman" w:cs="Times New Roman" w:eastAsia="Times New Roman" w:hAnsi="Times New Roman"/>
          <w:sz w:val="19"/>
          <w:szCs w:val="19"/>
          <w:color w:val="auto"/>
        </w:rPr>
      </w:pPr>
    </w:p>
    <w:p>
      <w:pPr>
        <w:jc w:val="both"/>
        <w:ind w:left="7" w:firstLine="548"/>
        <w:spacing w:after="0" w:line="210" w:lineRule="auto"/>
        <w:tabs>
          <w:tab w:leader="none" w:pos="1115"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Cancelation and/or Adjustment of Global Notes. </w:t>
      </w:r>
      <w:r>
        <w:rPr>
          <w:rFonts w:ascii="Times New Roman" w:cs="Times New Roman" w:eastAsia="Times New Roman" w:hAnsi="Times New Roman"/>
          <w:sz w:val="19"/>
          <w:szCs w:val="19"/>
          <w:color w:val="auto"/>
        </w:rPr>
        <w:t>At such time as all beneficial interests in a particular Global Note have been exchanged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Definitive Notes or a particular Global Note has been redeemed, repurchased or canceled in whole and not in part, each such Global Note shall be returned to or retained and canceled by the Trustee in accordance with Section 2.11 hereof. At any time prior to such cancelation,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31" w:lineRule="exact"/>
        <w:rPr>
          <w:rFonts w:ascii="Times New Roman" w:cs="Times New Roman" w:eastAsia="Times New Roman" w:hAnsi="Times New Roman"/>
          <w:sz w:val="19"/>
          <w:szCs w:val="19"/>
          <w:color w:val="auto"/>
        </w:rPr>
      </w:pPr>
    </w:p>
    <w:p>
      <w:pPr>
        <w:ind w:left="1107" w:hanging="552"/>
        <w:spacing w:after="0"/>
        <w:tabs>
          <w:tab w:leader="none" w:pos="1107"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General Provisions Relating to Transfers and Exchanges</w:t>
      </w:r>
      <w:r>
        <w:rPr>
          <w:rFonts w:ascii="Times New Roman" w:cs="Times New Roman" w:eastAsia="Times New Roman" w:hAnsi="Times New Roman"/>
          <w:sz w:val="19"/>
          <w:szCs w:val="19"/>
          <w:color w:val="auto"/>
        </w:rPr>
        <w:t>.</w:t>
      </w:r>
    </w:p>
    <w:p>
      <w:pPr>
        <w:spacing w:after="0" w:line="155" w:lineRule="exact"/>
        <w:rPr>
          <w:rFonts w:ascii="Times New Roman" w:cs="Times New Roman" w:eastAsia="Times New Roman" w:hAnsi="Times New Roman"/>
          <w:sz w:val="19"/>
          <w:szCs w:val="19"/>
          <w:color w:val="auto"/>
        </w:rPr>
      </w:pPr>
    </w:p>
    <w:p>
      <w:pPr>
        <w:ind w:left="547" w:firstLine="564"/>
        <w:spacing w:after="0" w:line="234" w:lineRule="auto"/>
        <w:tabs>
          <w:tab w:leader="none" w:pos="1655" w:val="left"/>
        </w:tabs>
        <w:numPr>
          <w:ilvl w:val="2"/>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129" w:lineRule="exact"/>
        <w:rPr>
          <w:rFonts w:ascii="Times New Roman" w:cs="Times New Roman" w:eastAsia="Times New Roman" w:hAnsi="Times New Roman"/>
          <w:sz w:val="19"/>
          <w:szCs w:val="19"/>
          <w:color w:val="auto"/>
        </w:rPr>
      </w:pPr>
    </w:p>
    <w:p>
      <w:pPr>
        <w:jc w:val="both"/>
        <w:ind w:left="547" w:firstLine="564"/>
        <w:spacing w:after="0" w:line="218" w:lineRule="auto"/>
        <w:tabs>
          <w:tab w:leader="none" w:pos="1655" w:val="left"/>
        </w:tabs>
        <w:numPr>
          <w:ilvl w:val="2"/>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service charge shall be made to a Holder of, or a Beneficial Owner of an interest in, a Global Note or Definitive Note for any registration of transfer or exchange, but the Issuer and the Trustee may require payment of a sum sufficient to cover any transfer tax or similar governmental charge payable in connection therewith (other than any such transfer taxes or similar governmental charge payable upon exchange or transfer pursuant to Sections 2.10, 3.06, 4.08 and 9.04 hereof).</w:t>
      </w:r>
    </w:p>
    <w:p>
      <w:pPr>
        <w:spacing w:after="0" w:line="132" w:lineRule="exact"/>
        <w:rPr>
          <w:rFonts w:ascii="Times New Roman" w:cs="Times New Roman" w:eastAsia="Times New Roman" w:hAnsi="Times New Roman"/>
          <w:sz w:val="19"/>
          <w:szCs w:val="19"/>
          <w:color w:val="auto"/>
        </w:rPr>
      </w:pPr>
    </w:p>
    <w:p>
      <w:pPr>
        <w:ind w:left="547" w:firstLine="564"/>
        <w:spacing w:after="0" w:line="234" w:lineRule="auto"/>
        <w:tabs>
          <w:tab w:leader="none" w:pos="1655" w:val="left"/>
        </w:tabs>
        <w:numPr>
          <w:ilvl w:val="2"/>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Registrar shall not be required to register the transfer of or exchange of any Note selected for redemption in whole or in part, except the unredeemed portion of any Note being redeemed in part.</w:t>
      </w:r>
    </w:p>
    <w:p>
      <w:pPr>
        <w:spacing w:after="0" w:line="129" w:lineRule="exact"/>
        <w:rPr>
          <w:rFonts w:ascii="Times New Roman" w:cs="Times New Roman" w:eastAsia="Times New Roman" w:hAnsi="Times New Roman"/>
          <w:sz w:val="19"/>
          <w:szCs w:val="19"/>
          <w:color w:val="auto"/>
        </w:rPr>
      </w:pPr>
    </w:p>
    <w:p>
      <w:pPr>
        <w:jc w:val="both"/>
        <w:ind w:left="547" w:firstLine="564"/>
        <w:spacing w:after="0" w:line="223" w:lineRule="auto"/>
        <w:tabs>
          <w:tab w:leader="none" w:pos="1655" w:val="left"/>
        </w:tabs>
        <w:numPr>
          <w:ilvl w:val="2"/>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67"/>
          </w:cols>
          <w:pgMar w:left="313" w:top="1239" w:right="319" w:bottom="1440" w:gutter="0" w:footer="0" w:header="0"/>
        </w:sectPr>
      </w:pPr>
    </w:p>
    <w:bookmarkStart w:id="34" w:name="page35"/>
    <w:bookmarkEnd w:id="34"/>
    <w:p>
      <w:pPr>
        <w:ind w:left="1660" w:hanging="556"/>
        <w:spacing w:after="0"/>
        <w:tabs>
          <w:tab w:leader="none" w:pos="16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Registrar nor the Issuer shall be required:</w:t>
      </w:r>
    </w:p>
    <w:p>
      <w:pPr>
        <w:spacing w:after="0" w:line="151" w:lineRule="exact"/>
        <w:rPr>
          <w:rFonts w:ascii="Times New Roman" w:cs="Times New Roman" w:eastAsia="Times New Roman" w:hAnsi="Times New Roman"/>
          <w:sz w:val="19"/>
          <w:szCs w:val="19"/>
          <w:color w:val="auto"/>
        </w:rPr>
      </w:pPr>
    </w:p>
    <w:p>
      <w:pPr>
        <w:ind w:left="1100" w:firstLine="559"/>
        <w:spacing w:after="0" w:line="234" w:lineRule="auto"/>
        <w:tabs>
          <w:tab w:leader="none" w:pos="2202"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issue, to register the transfer of or to exchange any Notes during a period beginning at the opening of business 15 days before the delivery of a notice of redemption for Notes under Section 3.03 hereof;</w:t>
      </w:r>
    </w:p>
    <w:p>
      <w:pPr>
        <w:spacing w:after="0" w:line="129" w:lineRule="exact"/>
        <w:rPr>
          <w:rFonts w:ascii="Times New Roman" w:cs="Times New Roman" w:eastAsia="Times New Roman" w:hAnsi="Times New Roman"/>
          <w:sz w:val="19"/>
          <w:szCs w:val="19"/>
          <w:color w:val="auto"/>
        </w:rPr>
      </w:pPr>
    </w:p>
    <w:p>
      <w:pPr>
        <w:ind w:left="1100" w:firstLine="559"/>
        <w:spacing w:after="0" w:line="234" w:lineRule="auto"/>
        <w:tabs>
          <w:tab w:leader="none" w:pos="2203"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register the transfer of or to exchange any Note selected for redemption in whole or in part, except the unredeemed portion of any Note being redeemed in part; or</w:t>
      </w:r>
    </w:p>
    <w:p>
      <w:pPr>
        <w:spacing w:after="0" w:line="129" w:lineRule="exact"/>
        <w:rPr>
          <w:rFonts w:ascii="Times New Roman" w:cs="Times New Roman" w:eastAsia="Times New Roman" w:hAnsi="Times New Roman"/>
          <w:sz w:val="19"/>
          <w:szCs w:val="19"/>
          <w:color w:val="auto"/>
        </w:rPr>
      </w:pPr>
    </w:p>
    <w:p>
      <w:pPr>
        <w:ind w:left="2200" w:hanging="541"/>
        <w:spacing w:after="0"/>
        <w:tabs>
          <w:tab w:leader="none" w:pos="220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register the transfer of or to exchange a Note between a record date and the next succeeding interest payment date.</w:t>
      </w:r>
    </w:p>
    <w:p>
      <w:pPr>
        <w:spacing w:after="0" w:line="151" w:lineRule="exact"/>
        <w:rPr>
          <w:rFonts w:ascii="Times New Roman" w:cs="Times New Roman" w:eastAsia="Times New Roman" w:hAnsi="Times New Roman"/>
          <w:sz w:val="19"/>
          <w:szCs w:val="19"/>
          <w:color w:val="auto"/>
        </w:rPr>
      </w:pPr>
    </w:p>
    <w:p>
      <w:pPr>
        <w:jc w:val="both"/>
        <w:ind w:left="540" w:right="20" w:firstLine="564"/>
        <w:spacing w:after="0" w:line="255" w:lineRule="auto"/>
        <w:tabs>
          <w:tab w:leader="none" w:pos="164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17" w:lineRule="exact"/>
        <w:rPr>
          <w:rFonts w:ascii="Times New Roman" w:cs="Times New Roman" w:eastAsia="Times New Roman" w:hAnsi="Times New Roman"/>
          <w:sz w:val="17"/>
          <w:szCs w:val="17"/>
          <w:color w:val="auto"/>
        </w:rPr>
      </w:pPr>
    </w:p>
    <w:p>
      <w:pPr>
        <w:ind w:left="1660" w:hanging="556"/>
        <w:spacing w:after="0"/>
        <w:tabs>
          <w:tab w:leader="none" w:pos="16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authenticate Global Notes and Definitive Notes in accordance with the provisions of Section 2.02 hereof.</w:t>
      </w:r>
    </w:p>
    <w:p>
      <w:pPr>
        <w:spacing w:after="0" w:line="151"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certifications, certificates and Opinions of Counsel required to be submitted to the Registrar pursuant to this Section 2.06 to effect a registration of transfer or exchange may be submitted by facsimile.</w:t>
      </w:r>
    </w:p>
    <w:p>
      <w:pPr>
        <w:spacing w:after="0" w:line="129" w:lineRule="exact"/>
        <w:rPr>
          <w:rFonts w:ascii="Times New Roman" w:cs="Times New Roman" w:eastAsia="Times New Roman" w:hAnsi="Times New Roman"/>
          <w:sz w:val="19"/>
          <w:szCs w:val="19"/>
          <w:color w:val="auto"/>
        </w:rPr>
      </w:pPr>
    </w:p>
    <w:p>
      <w:pPr>
        <w:jc w:val="both"/>
        <w:ind w:left="540" w:firstLine="564"/>
        <w:spacing w:after="0" w:line="213" w:lineRule="auto"/>
        <w:tabs>
          <w:tab w:leader="none" w:pos="164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have no obligation or duty to monitor, determine or inquire as to compliance with any restrictions on transfer imposed under this Indenture or under applicable law with respect to any transfer of any interest in any Global Notes (including any transfers between or among depositary participants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Agent shall have any responsibility or liability for any actions taken or not taken by such depositary.</w:t>
      </w:r>
    </w:p>
    <w:p>
      <w:pPr>
        <w:spacing w:after="0" w:line="133" w:lineRule="exact"/>
        <w:rPr>
          <w:rFonts w:ascii="Times New Roman" w:cs="Times New Roman" w:eastAsia="Times New Roman" w:hAnsi="Times New Roman"/>
          <w:sz w:val="19"/>
          <w:szCs w:val="19"/>
          <w:color w:val="auto"/>
        </w:rPr>
      </w:pPr>
    </w:p>
    <w:p>
      <w:pPr>
        <w:ind w:right="160" w:firstLine="1104"/>
        <w:spacing w:after="0" w:line="419" w:lineRule="auto"/>
        <w:tabs>
          <w:tab w:leader="none" w:pos="166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Trustee nor any Agent shall have any responsibility or liability for any actions taken or not taken by the Depositary. Section 2.07 </w:t>
      </w:r>
      <w:r>
        <w:rPr>
          <w:rFonts w:ascii="Times New Roman" w:cs="Times New Roman" w:eastAsia="Times New Roman" w:hAnsi="Times New Roman"/>
          <w:sz w:val="19"/>
          <w:szCs w:val="19"/>
          <w:i w:val="1"/>
          <w:iCs w:val="1"/>
          <w:color w:val="auto"/>
        </w:rPr>
        <w:t>Replacement Notes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An indemnity bond must be supplied by the Holder that is sufficient to the Trustee and the Issuer to protect the Issuer, the Trustee, any Agent and any authenticating agent from any loss, liability, cost or expense that any of them may suffer if a Note is replaced. The Issuer may charge for its expenses (including the Trustee’s fees and expenses) in replacing a Note.</w:t>
      </w:r>
    </w:p>
    <w:p>
      <w:pPr>
        <w:spacing w:after="0" w:line="15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Every replacement Note is an additional obligation of the Issuer and shall be entitled to all of the benefits of this Indenture equally and proportionately with all other Notes duly issued hereunder.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1260"/>
          </w:cols>
          <w:pgMar w:left="320" w:top="1216" w:right="319" w:bottom="1440" w:gutter="0" w:footer="0" w:header="0"/>
        </w:sectPr>
      </w:pPr>
    </w:p>
    <w:bookmarkStart w:id="35" w:name="page36"/>
    <w:bookmarkEnd w:id="35"/>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2.08</w:t>
      </w:r>
      <w:r>
        <w:rPr>
          <w:sz w:val="20"/>
          <w:szCs w:val="20"/>
          <w:color w:val="auto"/>
        </w:rPr>
        <w:tab/>
      </w:r>
      <w:r>
        <w:rPr>
          <w:rFonts w:ascii="Times New Roman" w:cs="Times New Roman" w:eastAsia="Times New Roman" w:hAnsi="Times New Roman"/>
          <w:sz w:val="17"/>
          <w:szCs w:val="17"/>
          <w:i w:val="1"/>
          <w:iCs w:val="1"/>
          <w:color w:val="auto"/>
        </w:rPr>
        <w:t>Outstanding Notes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The Notes outstanding at any time are all the Notes authenticated by the Trustee except for those canceled by it, those delivered to it for cancelation,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52"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If a Note is replaced pursuant to Section 2.07 hereof, it ceases to be outstanding unless the Trustee receives proof satisfactory to it that the replaced Note is held by a protected purchaser.</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the principal amount of any Note is considered paid under Section 4.01 hereof, it ceases to be outstanding and interest on it ceases to accrue.</w:t>
      </w:r>
    </w:p>
    <w:p>
      <w:pPr>
        <w:spacing w:after="0" w:line="210" w:lineRule="exact"/>
        <w:rPr>
          <w:sz w:val="20"/>
          <w:szCs w:val="20"/>
          <w:color w:val="auto"/>
        </w:rPr>
      </w:pPr>
    </w:p>
    <w:p>
      <w:pPr>
        <w:jc w:val="both"/>
        <w:ind w:right="20" w:firstLine="556"/>
        <w:spacing w:after="0" w:line="260" w:lineRule="auto"/>
        <w:rPr>
          <w:sz w:val="20"/>
          <w:szCs w:val="20"/>
          <w:color w:val="auto"/>
        </w:rPr>
      </w:pPr>
      <w:r>
        <w:rPr>
          <w:rFonts w:ascii="Times New Roman" w:cs="Times New Roman" w:eastAsia="Times New Roman" w:hAnsi="Times New Roman"/>
          <w:sz w:val="19"/>
          <w:szCs w:val="19"/>
          <w:color w:val="auto"/>
        </w:rPr>
        <w:t>If the Paying Agent (other than the Issuer, a Subsidiary of the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2.09</w:t>
      </w:r>
      <w:r>
        <w:rPr>
          <w:sz w:val="20"/>
          <w:szCs w:val="20"/>
          <w:color w:val="auto"/>
        </w:rPr>
        <w:tab/>
      </w:r>
      <w:r>
        <w:rPr>
          <w:rFonts w:ascii="Times New Roman" w:cs="Times New Roman" w:eastAsia="Times New Roman" w:hAnsi="Times New Roman"/>
          <w:sz w:val="17"/>
          <w:szCs w:val="17"/>
          <w:i w:val="1"/>
          <w:iCs w:val="1"/>
          <w:color w:val="auto"/>
        </w:rPr>
        <w:t>Treasury Notes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97" w:lineRule="auto"/>
        <w:rPr>
          <w:sz w:val="20"/>
          <w:szCs w:val="20"/>
          <w:color w:val="auto"/>
        </w:rPr>
      </w:pPr>
      <w:r>
        <w:rPr>
          <w:rFonts w:ascii="Times New Roman" w:cs="Times New Roman" w:eastAsia="Times New Roman" w:hAnsi="Times New Roman"/>
          <w:sz w:val="17"/>
          <w:szCs w:val="17"/>
          <w:color w:val="auto"/>
        </w:rPr>
        <w:t>In determining whether the Holders of the required principal amount of Notes have concurred in any direction, waiver or consent, Notes owned by the Issuer or any of its Affiliates shall be considered as though not outstanding, except that for the purposes of determining whether the Trustee shall be protected in relying on any such direction, waiver or consent, only Notes that the Trustee actually knows are so owned shall be so disregarded.</w:t>
      </w:r>
    </w:p>
    <w:p>
      <w:pPr>
        <w:spacing w:after="0" w:line="9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2.10</w:t>
      </w:r>
      <w:r>
        <w:rPr>
          <w:sz w:val="20"/>
          <w:szCs w:val="20"/>
          <w:color w:val="auto"/>
        </w:rPr>
        <w:tab/>
      </w:r>
      <w:r>
        <w:rPr>
          <w:rFonts w:ascii="Times New Roman" w:cs="Times New Roman" w:eastAsia="Times New Roman" w:hAnsi="Times New Roman"/>
          <w:sz w:val="17"/>
          <w:szCs w:val="17"/>
          <w:i w:val="1"/>
          <w:iCs w:val="1"/>
          <w:color w:val="auto"/>
        </w:rPr>
        <w:t>Temporary Notes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may be reasonably acceptable to the Trustee. Without unreasonable delay, the Issuer shall prepare and the Trustee shall authenticate Definitive Notes in exchange for temporary Notes.</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Holders of temporary Notes shall be entitled to all of the benefits of this Indenture.</w:t>
      </w:r>
    </w:p>
    <w:p>
      <w:pPr>
        <w:spacing w:after="0" w:line="1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2.11</w:t>
      </w:r>
      <w:r>
        <w:rPr>
          <w:sz w:val="20"/>
          <w:szCs w:val="20"/>
          <w:color w:val="auto"/>
        </w:rPr>
        <w:tab/>
      </w:r>
      <w:r>
        <w:rPr>
          <w:rFonts w:ascii="Times New Roman" w:cs="Times New Roman" w:eastAsia="Times New Roman" w:hAnsi="Times New Roman"/>
          <w:sz w:val="17"/>
          <w:szCs w:val="17"/>
          <w:i w:val="1"/>
          <w:iCs w:val="1"/>
          <w:color w:val="auto"/>
        </w:rPr>
        <w:t>Cancelation.</w:t>
      </w:r>
    </w:p>
    <w:p>
      <w:pPr>
        <w:spacing w:after="0" w:line="179"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The Issuer at any time may deliver Notes to the Trustee for cancelation. The Registrar and Paying Agent shall forward to the Trustee any Notes surrendered to them for registration of transfer, exchange or payment. The Trustee and no one else shall cancel all Notes surrendered for registration of transfer, exchange, payment, replacement or cancelation and shall dispose of such canceled Notes in its customary manner. Upon the written request of the Issuer, the Trustee will provide evidence of the disposal of all canceled Notes to the Issuer. The Issuer may not issue new Notes to replace Notes that it has paid or that have been delivered to the Trustee for cancelation.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60"/>
          </w:cols>
          <w:pgMar w:left="320" w:top="1212" w:right="319" w:bottom="1440" w:gutter="0" w:footer="0" w:header="0"/>
        </w:sectPr>
      </w:pPr>
    </w:p>
    <w:bookmarkStart w:id="36" w:name="page37"/>
    <w:bookmarkEnd w:id="36"/>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2.12</w:t>
      </w:r>
      <w:r>
        <w:rPr>
          <w:sz w:val="20"/>
          <w:szCs w:val="20"/>
          <w:color w:val="auto"/>
        </w:rPr>
        <w:tab/>
      </w:r>
      <w:r>
        <w:rPr>
          <w:rFonts w:ascii="Times New Roman" w:cs="Times New Roman" w:eastAsia="Times New Roman" w:hAnsi="Times New Roman"/>
          <w:sz w:val="17"/>
          <w:szCs w:val="17"/>
          <w:i w:val="1"/>
          <w:iCs w:val="1"/>
          <w:color w:val="auto"/>
        </w:rPr>
        <w:t>Defaulted Interest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 payment. The Issuer shall fix or cause to be fixed each such special record date and payment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special record date may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w:t>
      </w:r>
    </w:p>
    <w:p>
      <w:pPr>
        <w:spacing w:after="0" w:line="13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2.13</w:t>
      </w:r>
      <w:r>
        <w:rPr>
          <w:sz w:val="20"/>
          <w:szCs w:val="20"/>
          <w:color w:val="auto"/>
        </w:rPr>
        <w:tab/>
      </w:r>
      <w:r>
        <w:rPr>
          <w:rFonts w:ascii="Times New Roman" w:cs="Times New Roman" w:eastAsia="Times New Roman" w:hAnsi="Times New Roman"/>
          <w:sz w:val="17"/>
          <w:szCs w:val="17"/>
          <w:i w:val="1"/>
          <w:iCs w:val="1"/>
          <w:color w:val="auto"/>
        </w:rPr>
        <w:t>Issuance of Additional Notes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The Issuer will be entitled, upon delivery of an Officer’s Certificate, Opinion of Counsel and Authentication Order, subject to compliance with Section 2.02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Without the consent of any Holder of Notes, the Issuer will be entitled to make any amendments to this Indenture as it reasonably determines appropriate in good faith to facilitate the issuance of such Additional Notes.</w:t>
      </w:r>
    </w:p>
    <w:p>
      <w:pPr>
        <w:spacing w:after="0" w:line="159"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With respect to any Additional Notes, the Issuer will set forth in a resolution of the Board of Directors of the Issuer and an Officer’s Certificate, a copy of each which shall be delivered to the Trustee, the following information:</w:t>
      </w:r>
    </w:p>
    <w:p>
      <w:pPr>
        <w:spacing w:after="0" w:line="129" w:lineRule="exact"/>
        <w:rPr>
          <w:sz w:val="20"/>
          <w:szCs w:val="20"/>
          <w:color w:val="auto"/>
        </w:rPr>
      </w:pPr>
    </w:p>
    <w:p>
      <w:pPr>
        <w:ind w:left="1100" w:hanging="552"/>
        <w:spacing w:after="0"/>
        <w:tabs>
          <w:tab w:leader="none" w:pos="11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amount of such Additional Notes to be authenticated and delivered pursuant to this Indenture; and</w:t>
      </w:r>
    </w:p>
    <w:p>
      <w:pPr>
        <w:spacing w:after="0" w:line="151" w:lineRule="exact"/>
        <w:rPr>
          <w:rFonts w:ascii="Times New Roman" w:cs="Times New Roman" w:eastAsia="Times New Roman" w:hAnsi="Times New Roman"/>
          <w:sz w:val="19"/>
          <w:szCs w:val="19"/>
          <w:color w:val="auto"/>
        </w:rPr>
      </w:pPr>
    </w:p>
    <w:p>
      <w:pPr>
        <w:ind w:right="20" w:firstLine="548"/>
        <w:spacing w:after="0" w:line="234" w:lineRule="auto"/>
        <w:tabs>
          <w:tab w:leader="none" w:pos="110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53"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In order for any Additional Notes to have the same CUSIP, Common Code or ISIN, as applicable, as the Notes, such Additional Notes must be fungible with the Notes for United States federal income tax purposes.</w:t>
      </w:r>
    </w:p>
    <w:p>
      <w:pPr>
        <w:spacing w:after="0" w:line="11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2.14</w:t>
      </w:r>
      <w:r>
        <w:rPr>
          <w:sz w:val="20"/>
          <w:szCs w:val="20"/>
          <w:color w:val="auto"/>
        </w:rPr>
        <w:tab/>
      </w:r>
      <w:r>
        <w:rPr>
          <w:rFonts w:ascii="Times New Roman" w:cs="Times New Roman" w:eastAsia="Times New Roman" w:hAnsi="Times New Roman"/>
          <w:sz w:val="17"/>
          <w:szCs w:val="17"/>
          <w:i w:val="1"/>
          <w:iCs w:val="1"/>
          <w:color w:val="auto"/>
        </w:rPr>
        <w:t>CUSIP Numbers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87" w:lineRule="auto"/>
        <w:rPr>
          <w:sz w:val="20"/>
          <w:szCs w:val="20"/>
          <w:color w:val="auto"/>
        </w:rPr>
      </w:pPr>
      <w:r>
        <w:rPr>
          <w:rFonts w:ascii="Times New Roman" w:cs="Times New Roman" w:eastAsia="Times New Roman" w:hAnsi="Times New Roman"/>
          <w:sz w:val="17"/>
          <w:szCs w:val="17"/>
          <w:color w:val="auto"/>
        </w:rPr>
        <w:t>The Issuer in issuing the Notes may use “CUSIP” or “ISIN” numbers (if then generally in use), and, if so, the Trustee shall use “CUSIP” or “ISIN” numbers in notices of redemption as a convenience to Holders; provided that the Trustee shall have no liability for any defect in the “CUSIP” or “ISIN” numbers as they appear on any Note, notice or elsewhere, and, provided further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60"/>
          </w:cols>
          <w:pgMar w:left="320" w:top="1212"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color w:val="auto"/>
        </w:rPr>
        <w:t>or omission of such numbers. The Issuer will promptly notify the Trustee in writing of any change in the “CUSIP” or “ISIN” numbers.</w:t>
      </w:r>
    </w:p>
    <w:p>
      <w:pPr>
        <w:spacing w:after="0" w:line="15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3</w:t>
      </w:r>
    </w:p>
    <w:p>
      <w:pPr>
        <w:jc w:val="center"/>
        <w:spacing w:after="0"/>
        <w:rPr>
          <w:sz w:val="20"/>
          <w:szCs w:val="20"/>
          <w:color w:val="auto"/>
        </w:rPr>
      </w:pPr>
      <w:r>
        <w:rPr>
          <w:rFonts w:ascii="Times New Roman" w:cs="Times New Roman" w:eastAsia="Times New Roman" w:hAnsi="Times New Roman"/>
          <w:sz w:val="19"/>
          <w:szCs w:val="19"/>
          <w:color w:val="auto"/>
        </w:rPr>
        <w:t>REDEMPTION AND PREPAYMENT</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3.01</w:t>
      </w:r>
      <w:r>
        <w:rPr>
          <w:sz w:val="20"/>
          <w:szCs w:val="20"/>
          <w:color w:val="auto"/>
        </w:rPr>
        <w:tab/>
      </w:r>
      <w:r>
        <w:rPr>
          <w:rFonts w:ascii="Times New Roman" w:cs="Times New Roman" w:eastAsia="Times New Roman" w:hAnsi="Times New Roman"/>
          <w:sz w:val="17"/>
          <w:szCs w:val="17"/>
          <w:i w:val="1"/>
          <w:iCs w:val="1"/>
          <w:color w:val="auto"/>
        </w:rPr>
        <w:t>Notices to Trustee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60" w:lineRule="auto"/>
        <w:rPr>
          <w:sz w:val="20"/>
          <w:szCs w:val="20"/>
          <w:color w:val="auto"/>
        </w:rPr>
      </w:pPr>
      <w:r>
        <w:rPr>
          <w:rFonts w:ascii="Times New Roman" w:cs="Times New Roman" w:eastAsia="Times New Roman" w:hAnsi="Times New Roman"/>
          <w:sz w:val="19"/>
          <w:szCs w:val="19"/>
          <w:color w:val="auto"/>
        </w:rPr>
        <w:t>If the Issuer elects to redeem Notes pursuant to the redemption provisions of Sections 3.07, 3.09 or 3.10 hereof, it must furnish to the Trustee, at least 10 days (or, in the case of a redemption pursuant to Section 3.09 hereof, as soon as reasonably practicable) but not more than 60 days before a redemption date, an Officer’s Certificate setting forth:</w:t>
      </w:r>
    </w:p>
    <w:p>
      <w:pPr>
        <w:spacing w:after="0" w:line="123" w:lineRule="exact"/>
        <w:rPr>
          <w:sz w:val="20"/>
          <w:szCs w:val="20"/>
          <w:color w:val="auto"/>
        </w:rPr>
      </w:pPr>
    </w:p>
    <w:p>
      <w:pPr>
        <w:ind w:left="1100" w:hanging="552"/>
        <w:spacing w:after="0"/>
        <w:tabs>
          <w:tab w:leader="none" w:pos="11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clause of this Indenture pursuant to which the redemption shall occur;</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date;</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Notes to be redeemed; and</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price.</w:t>
      </w:r>
    </w:p>
    <w:p>
      <w:pPr>
        <w:spacing w:after="0" w:line="14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3.02</w:t>
      </w:r>
      <w:r>
        <w:rPr>
          <w:sz w:val="20"/>
          <w:szCs w:val="20"/>
          <w:color w:val="auto"/>
        </w:rPr>
        <w:tab/>
      </w:r>
      <w:r>
        <w:rPr>
          <w:rFonts w:ascii="Times New Roman" w:cs="Times New Roman" w:eastAsia="Times New Roman" w:hAnsi="Times New Roman"/>
          <w:sz w:val="17"/>
          <w:szCs w:val="17"/>
          <w:i w:val="1"/>
          <w:iCs w:val="1"/>
          <w:color w:val="auto"/>
        </w:rPr>
        <w:t>Selection of Notes to Be Redeemed or Purchased</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less than all of the Notes are to be redeemed (other than pursuant to Section 3.09 hereof) or purchased in an offer to purchase at any time,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Trustee shall select Notes for redemption or purchase as follows:</w:t>
      </w:r>
    </w:p>
    <w:p>
      <w:pPr>
        <w:spacing w:after="0" w:line="144" w:lineRule="exact"/>
        <w:rPr>
          <w:sz w:val="20"/>
          <w:szCs w:val="20"/>
          <w:color w:val="auto"/>
        </w:rPr>
      </w:pPr>
    </w:p>
    <w:p>
      <w:pPr>
        <w:ind w:right="20" w:firstLine="548"/>
        <w:spacing w:after="0" w:line="234" w:lineRule="auto"/>
        <w:tabs>
          <w:tab w:leader="none" w:pos="110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Notes are listed on any internationally recognized securities exchange, in compliance with the requirements of the principal internationally recognized securities exchange on which the Notes are listed; or</w:t>
      </w:r>
    </w:p>
    <w:p>
      <w:pPr>
        <w:spacing w:after="0" w:line="125" w:lineRule="exact"/>
        <w:rPr>
          <w:rFonts w:ascii="Times New Roman" w:cs="Times New Roman" w:eastAsia="Times New Roman" w:hAnsi="Times New Roman"/>
          <w:sz w:val="19"/>
          <w:szCs w:val="19"/>
          <w:color w:val="auto"/>
        </w:rPr>
      </w:pPr>
    </w:p>
    <w:p>
      <w:pPr>
        <w:ind w:right="20" w:firstLine="548"/>
        <w:spacing w:after="0" w:line="236" w:lineRule="auto"/>
        <w:tabs>
          <w:tab w:leader="none" w:pos="110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Notes are not listed on any internationally recognized securities exchange,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by lot or, in the case of Notes issued in global form, in accordance with the applicable procedures of the Depositary.</w:t>
      </w:r>
    </w:p>
    <w:p>
      <w:pPr>
        <w:spacing w:after="0" w:line="153" w:lineRule="exact"/>
        <w:rPr>
          <w:sz w:val="20"/>
          <w:szCs w:val="20"/>
          <w:color w:val="auto"/>
        </w:rPr>
      </w:pPr>
    </w:p>
    <w:p>
      <w:pPr>
        <w:jc w:val="both"/>
        <w:ind w:firstLine="556"/>
        <w:spacing w:after="0" w:line="260" w:lineRule="auto"/>
        <w:rPr>
          <w:sz w:val="20"/>
          <w:szCs w:val="20"/>
          <w:color w:val="auto"/>
        </w:rPr>
      </w:pPr>
      <w:r>
        <w:rPr>
          <w:rFonts w:ascii="Times New Roman" w:cs="Times New Roman" w:eastAsia="Times New Roman" w:hAnsi="Times New Roman"/>
          <w:sz w:val="19"/>
          <w:szCs w:val="19"/>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47"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US$200,000 or integral multiples of US$1,000 in excess of US$200,000; provided, however, that if all of the Notes of a Holder are to be redeemed or purchased, the entire outstanding amount of Notes held by such Holder, even if less than $200,000 or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60"/>
          </w:cols>
          <w:pgMar w:left="320" w:top="1239" w:right="319" w:bottom="1440" w:gutter="0" w:footer="0" w:header="0"/>
        </w:sectPr>
      </w:pPr>
    </w:p>
    <w:bookmarkStart w:id="38" w:name="page39"/>
    <w:bookmarkEnd w:id="38"/>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3.03</w:t>
      </w:r>
      <w:r>
        <w:rPr>
          <w:sz w:val="20"/>
          <w:szCs w:val="20"/>
          <w:color w:val="auto"/>
        </w:rPr>
        <w:tab/>
      </w:r>
      <w:r>
        <w:rPr>
          <w:rFonts w:ascii="Times New Roman" w:cs="Times New Roman" w:eastAsia="Times New Roman" w:hAnsi="Times New Roman"/>
          <w:sz w:val="17"/>
          <w:szCs w:val="17"/>
          <w:i w:val="1"/>
          <w:iCs w:val="1"/>
          <w:color w:val="auto"/>
        </w:rPr>
        <w:t>Notice of Redemption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At least 10 days but not more than 60 days before a redemption date, the Issuer shall deliver or cause to be delivered a notice of redemption to each Holder whose Notes are to be redeemed at its registered address, except that (i) redemption notices may be delivered more than 60 days prior to a redemption date if the notice is issued in connection with a defeasance of the Notes or a satisfaction and discharge of this Indenture pursuant to Articles 8 or 10 of this Indenture and (ii) no minimum notice period is required for a redemption pursuant to Section 3.09 hereof.</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notice shall identify the Notes (including the CUSIP number) to be redeemed and shall state:</w:t>
      </w:r>
    </w:p>
    <w:p>
      <w:pPr>
        <w:spacing w:after="0" w:line="164" w:lineRule="exact"/>
        <w:rPr>
          <w:sz w:val="20"/>
          <w:szCs w:val="20"/>
          <w:color w:val="auto"/>
        </w:rPr>
      </w:pPr>
    </w:p>
    <w:p>
      <w:pPr>
        <w:ind w:left="1100" w:hanging="552"/>
        <w:spacing w:after="0"/>
        <w:tabs>
          <w:tab w:leader="none" w:pos="11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date;</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price;</w:t>
      </w:r>
    </w:p>
    <w:p>
      <w:pPr>
        <w:spacing w:after="0" w:line="15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cancelation of the original Note;</w:t>
      </w:r>
    </w:p>
    <w:p>
      <w:pPr>
        <w:spacing w:after="0" w:line="13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 and address of the Paying Agent;</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Notes called for redemption must be surrendered to the Paying Agent to collect the redemption price;</w:t>
      </w:r>
    </w:p>
    <w:p>
      <w:pPr>
        <w:spacing w:after="0" w:line="151" w:lineRule="exact"/>
        <w:rPr>
          <w:rFonts w:ascii="Times New Roman" w:cs="Times New Roman" w:eastAsia="Times New Roman" w:hAnsi="Times New Roman"/>
          <w:sz w:val="19"/>
          <w:szCs w:val="19"/>
          <w:color w:val="auto"/>
        </w:rPr>
      </w:pPr>
    </w:p>
    <w:p>
      <w:pPr>
        <w:ind w:firstLine="548"/>
        <w:spacing w:after="0" w:line="234" w:lineRule="auto"/>
        <w:tabs>
          <w:tab w:leader="none" w:pos="111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unless the Issuer defaults in making such redemption payment, interest on Notes called for redemption ceases to accrue on and after the redemption date;</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paragraph of the Notes and/or Section of this Indenture pursuant to which the Notes called for redemption are being redeemed; and</w:t>
      </w:r>
    </w:p>
    <w:p>
      <w:pPr>
        <w:spacing w:after="0" w:line="161" w:lineRule="exact"/>
        <w:rPr>
          <w:rFonts w:ascii="Times New Roman" w:cs="Times New Roman" w:eastAsia="Times New Roman" w:hAnsi="Times New Roman"/>
          <w:sz w:val="17"/>
          <w:szCs w:val="17"/>
          <w:color w:val="auto"/>
        </w:rPr>
      </w:pPr>
    </w:p>
    <w:p>
      <w:pPr>
        <w:ind w:left="1100" w:hanging="552"/>
        <w:spacing w:after="0"/>
        <w:tabs>
          <w:tab w:leader="none" w:pos="11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 representation is made as to the correctness or accuracy of the CUSIP number, if any, listed in such notice or printed on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w:t>
      </w:r>
    </w:p>
    <w:p>
      <w:pPr>
        <w:spacing w:after="0" w:line="151" w:lineRule="exact"/>
        <w:rPr>
          <w:sz w:val="20"/>
          <w:szCs w:val="20"/>
          <w:color w:val="auto"/>
        </w:rPr>
      </w:pPr>
    </w:p>
    <w:p>
      <w:pPr>
        <w:jc w:val="both"/>
        <w:ind w:firstLine="556"/>
        <w:spacing w:after="0" w:line="300" w:lineRule="auto"/>
        <w:rPr>
          <w:sz w:val="20"/>
          <w:szCs w:val="20"/>
          <w:color w:val="auto"/>
        </w:rPr>
      </w:pPr>
      <w:r>
        <w:rPr>
          <w:rFonts w:ascii="Times New Roman" w:cs="Times New Roman" w:eastAsia="Times New Roman" w:hAnsi="Times New Roman"/>
          <w:sz w:val="17"/>
          <w:szCs w:val="17"/>
          <w:color w:val="auto"/>
        </w:rPr>
        <w:t xml:space="preserve">At the Issuer’s request, the Trustee shall give the notice of redemption in the Issuer’s name and at its expense;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Issuer has delivered to the Trustee, at least 45 days prior to the redemption date (unless a shorter notice is agreed to by the Trustee), an Officer’s Certificate requesting that the Trustee give such notice and setting forth the information to be stated in such notice as provided in the preceding paragraph.</w:t>
      </w:r>
    </w:p>
    <w:p>
      <w:pPr>
        <w:spacing w:after="0" w:line="1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3.04</w:t>
      </w:r>
      <w:r>
        <w:rPr>
          <w:sz w:val="20"/>
          <w:szCs w:val="20"/>
          <w:color w:val="auto"/>
        </w:rPr>
        <w:tab/>
      </w:r>
      <w:r>
        <w:rPr>
          <w:rFonts w:ascii="Times New Roman" w:cs="Times New Roman" w:eastAsia="Times New Roman" w:hAnsi="Times New Roman"/>
          <w:sz w:val="17"/>
          <w:szCs w:val="17"/>
          <w:i w:val="1"/>
          <w:iCs w:val="1"/>
          <w:color w:val="auto"/>
        </w:rPr>
        <w:t>Effect of Notice of Redemption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Once notice of redemption is mailed in accordance with Section 3.03 hereof, Notes called for redemption become irrevocably due and payable on the redemption date at the redemption price. If mailed in the manner provided in Section 3.03 hereof, the notice of redemption shall be conclusively presumed to have been given whether or not the Holder receives such notice.</w:t>
      </w:r>
    </w:p>
    <w:p>
      <w:pPr>
        <w:spacing w:after="0" w:line="1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3.05</w:t>
      </w:r>
      <w:r>
        <w:rPr>
          <w:sz w:val="20"/>
          <w:szCs w:val="20"/>
          <w:color w:val="auto"/>
        </w:rPr>
        <w:tab/>
      </w:r>
      <w:r>
        <w:rPr>
          <w:rFonts w:ascii="Times New Roman" w:cs="Times New Roman" w:eastAsia="Times New Roman" w:hAnsi="Times New Roman"/>
          <w:sz w:val="17"/>
          <w:szCs w:val="17"/>
          <w:i w:val="1"/>
          <w:iCs w:val="1"/>
          <w:color w:val="auto"/>
        </w:rPr>
        <w:t>Deposit of Redemption or Purchase Price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One Business Day prior to the redemption or purchase date, the Issuer shall deposit with the Trustee or with the Paying Agent money sufficient to pay the redemption or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60"/>
          </w:cols>
          <w:pgMar w:left="320" w:top="1212" w:right="31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9"/>
          <w:szCs w:val="19"/>
          <w:color w:val="auto"/>
        </w:rPr>
        <w:t>purchase price of and accrued interest and premium, if any,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interest and premium, if any, on all Notes to be redeemed or purchased.</w:t>
      </w:r>
    </w:p>
    <w:p>
      <w:pPr>
        <w:spacing w:after="0" w:line="166"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3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3.06</w:t>
      </w:r>
      <w:r>
        <w:rPr>
          <w:sz w:val="20"/>
          <w:szCs w:val="20"/>
          <w:color w:val="auto"/>
        </w:rPr>
        <w:tab/>
      </w:r>
      <w:r>
        <w:rPr>
          <w:rFonts w:ascii="Times New Roman" w:cs="Times New Roman" w:eastAsia="Times New Roman" w:hAnsi="Times New Roman"/>
          <w:sz w:val="17"/>
          <w:szCs w:val="17"/>
          <w:i w:val="1"/>
          <w:iCs w:val="1"/>
          <w:color w:val="auto"/>
        </w:rPr>
        <w:t>Notes Redeemed or Purchased in Part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Upon surrender of a Note that is redeemed or purchased in part, the Issuer shall issue and, upon receipt of an Authentication Order, the Trustee shall authenticate for the Holder at the expense of the Issuer a new Note equal in principal amount to the unredeemed or unpurchased portion of the Note surrendered.</w:t>
      </w:r>
    </w:p>
    <w:p>
      <w:pPr>
        <w:spacing w:after="0" w:line="1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3.07</w:t>
      </w:r>
      <w:r>
        <w:rPr>
          <w:sz w:val="20"/>
          <w:szCs w:val="20"/>
          <w:color w:val="auto"/>
        </w:rPr>
        <w:tab/>
      </w:r>
      <w:r>
        <w:rPr>
          <w:rFonts w:ascii="Times New Roman" w:cs="Times New Roman" w:eastAsia="Times New Roman" w:hAnsi="Times New Roman"/>
          <w:sz w:val="17"/>
          <w:szCs w:val="17"/>
          <w:i w:val="1"/>
          <w:iCs w:val="1"/>
          <w:color w:val="auto"/>
        </w:rPr>
        <w:t>Optional Redemption</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548"/>
        <w:spacing w:after="0" w:line="255" w:lineRule="auto"/>
        <w:tabs>
          <w:tab w:leader="none" w:pos="110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August 15, 2028, the Issuer may, on any one or more occasions, redeem up to 35% of the aggregate principal amount of the Notes issued under this Indenture (including Additional Notes) at a redemption price of 106.750% of the principal amount, plus accrued and unpaid interest, if any, to (but excluding) the redemption date, with the net cash proceeds of one or more Equity Offerings; provided that:</w:t>
      </w:r>
    </w:p>
    <w:p>
      <w:pPr>
        <w:spacing w:after="0" w:line="117" w:lineRule="exact"/>
        <w:rPr>
          <w:rFonts w:ascii="Times New Roman" w:cs="Times New Roman" w:eastAsia="Times New Roman" w:hAnsi="Times New Roman"/>
          <w:sz w:val="17"/>
          <w:szCs w:val="17"/>
          <w:color w:val="auto"/>
        </w:rPr>
      </w:pPr>
    </w:p>
    <w:p>
      <w:pPr>
        <w:ind w:left="540" w:firstLine="564"/>
        <w:spacing w:after="0" w:line="234" w:lineRule="auto"/>
        <w:tabs>
          <w:tab w:leader="none" w:pos="1647"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29"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occurs within 60 days of the date of the closing of such Equity Offering.</w:t>
      </w:r>
    </w:p>
    <w:p>
      <w:pPr>
        <w:spacing w:after="0" w:line="151" w:lineRule="exact"/>
        <w:rPr>
          <w:rFonts w:ascii="Times New Roman" w:cs="Times New Roman" w:eastAsia="Times New Roman" w:hAnsi="Times New Roman"/>
          <w:sz w:val="19"/>
          <w:szCs w:val="19"/>
          <w:color w:val="auto"/>
        </w:rPr>
      </w:pPr>
    </w:p>
    <w:p>
      <w:pPr>
        <w:ind w:right="20" w:firstLine="548"/>
        <w:spacing w:after="0" w:line="234" w:lineRule="auto"/>
        <w:tabs>
          <w:tab w:leader="none" w:pos="110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prior to August 15, 2028, the Issuer may on any one or more occasions redeem all or part of the Notes, upon not less than 10 nor more than 60 days’ notice, at a redemption price equal to the greater of:</w:t>
      </w:r>
    </w:p>
    <w:p>
      <w:pPr>
        <w:spacing w:after="0" w:line="129"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of the principal amount of the Notes to be redeemed; or</w:t>
      </w:r>
    </w:p>
    <w:p>
      <w:pPr>
        <w:spacing w:after="0" w:line="151" w:lineRule="exact"/>
        <w:rPr>
          <w:rFonts w:ascii="Times New Roman" w:cs="Times New Roman" w:eastAsia="Times New Roman" w:hAnsi="Times New Roman"/>
          <w:sz w:val="19"/>
          <w:szCs w:val="19"/>
          <w:color w:val="auto"/>
        </w:rPr>
      </w:pPr>
    </w:p>
    <w:p>
      <w:pPr>
        <w:jc w:val="both"/>
        <w:ind w:left="540" w:firstLine="564"/>
        <w:spacing w:after="0" w:line="218" w:lineRule="auto"/>
        <w:tabs>
          <w:tab w:leader="none" w:pos="1647"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60"/>
          </w:cols>
          <w:pgMar w:left="320" w:top="1239" w:right="319" w:bottom="1440" w:gutter="0" w:footer="0" w:header="0"/>
        </w:sectPr>
      </w:pPr>
    </w:p>
    <w:bookmarkStart w:id="40" w:name="page41"/>
    <w:bookmarkEnd w:id="40"/>
    <w:p>
      <w:pPr>
        <w:ind w:left="540"/>
        <w:spacing w:after="0"/>
        <w:rPr>
          <w:sz w:val="20"/>
          <w:szCs w:val="20"/>
          <w:color w:val="auto"/>
        </w:rPr>
      </w:pPr>
      <w:r>
        <w:rPr>
          <w:rFonts w:ascii="Times New Roman" w:cs="Times New Roman" w:eastAsia="Times New Roman" w:hAnsi="Times New Roman"/>
          <w:sz w:val="19"/>
          <w:szCs w:val="19"/>
          <w:color w:val="auto"/>
        </w:rPr>
        <w:t>plus, in either of the above cases, accrued and unpaid interest to (but excluding) the date of redemption on the Notes to be redeemed.</w:t>
      </w:r>
    </w:p>
    <w:p>
      <w:pPr>
        <w:spacing w:after="0" w:line="164" w:lineRule="exact"/>
        <w:rPr>
          <w:sz w:val="20"/>
          <w:szCs w:val="20"/>
          <w:color w:val="auto"/>
        </w:rPr>
      </w:pPr>
    </w:p>
    <w:p>
      <w:pPr>
        <w:ind w:firstLine="548"/>
        <w:spacing w:after="0" w:line="234" w:lineRule="auto"/>
        <w:tabs>
          <w:tab w:leader="none" w:pos="110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pursuant to Sections 3.07(a), 3.07(b), 3.09, 3.10 and 4.10 hereof, the Notes shall not be redeemable at the Issuer’s option prior to August 15, 2028.</w:t>
      </w:r>
    </w:p>
    <w:p>
      <w:pPr>
        <w:spacing w:after="0" w:line="129" w:lineRule="exact"/>
        <w:rPr>
          <w:rFonts w:ascii="Times New Roman" w:cs="Times New Roman" w:eastAsia="Times New Roman" w:hAnsi="Times New Roman"/>
          <w:sz w:val="19"/>
          <w:szCs w:val="19"/>
          <w:color w:val="auto"/>
        </w:rPr>
      </w:pPr>
    </w:p>
    <w:p>
      <w:pPr>
        <w:jc w:val="both"/>
        <w:ind w:firstLine="548"/>
        <w:spacing w:after="0" w:line="246" w:lineRule="auto"/>
        <w:tabs>
          <w:tab w:leader="none" w:pos="110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August 15, 2028,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August 15 of the years indicated below, subject to the rights of Holders on the relevant record date to receive interest on the relevant interest payment date:</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245"/>
        </w:trPr>
        <w:tc>
          <w:tcPr>
            <w:tcW w:w="3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Year</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Percentage</w:t>
            </w:r>
          </w:p>
        </w:tc>
      </w:tr>
      <w:tr>
        <w:trPr>
          <w:trHeight w:val="255"/>
        </w:trPr>
        <w:tc>
          <w:tcPr>
            <w:tcW w:w="3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2028</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103.375%</w:t>
            </w:r>
          </w:p>
        </w:tc>
      </w:tr>
      <w:tr>
        <w:trPr>
          <w:trHeight w:val="266"/>
        </w:trPr>
        <w:tc>
          <w:tcPr>
            <w:tcW w:w="3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2029</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101.688%</w:t>
            </w:r>
          </w:p>
        </w:tc>
      </w:tr>
      <w:tr>
        <w:trPr>
          <w:trHeight w:val="266"/>
        </w:trPr>
        <w:tc>
          <w:tcPr>
            <w:tcW w:w="3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2030 and thereafter</w:t>
            </w:r>
          </w:p>
        </w:tc>
        <w:tc>
          <w:tcPr>
            <w:tcW w:w="3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r>
    </w:tbl>
    <w:p>
      <w:pPr>
        <w:spacing w:after="0" w:line="2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Unless the Issuer defaults in the payment of the redemption price, interest shall cease to accrue on the Notes or portions thereof called for redemption on the applicable redemption date.</w:t>
      </w:r>
    </w:p>
    <w:p>
      <w:pPr>
        <w:spacing w:after="0" w:line="118" w:lineRule="exact"/>
        <w:rPr>
          <w:sz w:val="20"/>
          <w:szCs w:val="20"/>
          <w:color w:val="auto"/>
        </w:rPr>
      </w:pPr>
    </w:p>
    <w:p>
      <w:pPr>
        <w:jc w:val="both"/>
        <w:ind w:firstLine="548"/>
        <w:spacing w:after="0" w:line="237" w:lineRule="auto"/>
        <w:tabs>
          <w:tab w:leader="none" w:pos="110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set forth under Section 3.07(a), (b) or (d) hereof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2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3.08</w:t>
      </w:r>
      <w:r>
        <w:rPr>
          <w:sz w:val="20"/>
          <w:szCs w:val="20"/>
          <w:color w:val="auto"/>
        </w:rPr>
        <w:tab/>
      </w:r>
      <w:r>
        <w:rPr>
          <w:rFonts w:ascii="Times New Roman" w:cs="Times New Roman" w:eastAsia="Times New Roman" w:hAnsi="Times New Roman"/>
          <w:sz w:val="17"/>
          <w:szCs w:val="17"/>
          <w:i w:val="1"/>
          <w:iCs w:val="1"/>
          <w:color w:val="auto"/>
        </w:rPr>
        <w:t>Mandatory Redemption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Issuer is not required to make mandatory redemption or sinking fund payments with respect to the Notes.</w:t>
      </w:r>
    </w:p>
    <w:p>
      <w:pPr>
        <w:spacing w:after="0" w:line="1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3.09</w:t>
      </w:r>
      <w:r>
        <w:rPr>
          <w:sz w:val="20"/>
          <w:szCs w:val="20"/>
          <w:color w:val="auto"/>
        </w:rPr>
        <w:tab/>
      </w:r>
      <w:r>
        <w:rPr>
          <w:rFonts w:ascii="Times New Roman" w:cs="Times New Roman" w:eastAsia="Times New Roman" w:hAnsi="Times New Roman"/>
          <w:sz w:val="17"/>
          <w:szCs w:val="17"/>
          <w:i w:val="1"/>
          <w:iCs w:val="1"/>
          <w:color w:val="auto"/>
        </w:rPr>
        <w:t>Mandatory Disposition or Redemption Pursuant to Gaming Laws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260"/>
          </w:cols>
          <w:pgMar w:left="320" w:top="1239"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9"/>
          <w:szCs w:val="19"/>
          <w:color w:val="auto"/>
        </w:rPr>
        <w:t>that it shall not be licensed, qualified or found suitable, the Issuer shall have the right, at its option, to:</w:t>
      </w:r>
    </w:p>
    <w:p>
      <w:pPr>
        <w:spacing w:after="0" w:line="164" w:lineRule="exact"/>
        <w:rPr>
          <w:sz w:val="20"/>
          <w:szCs w:val="20"/>
          <w:color w:val="auto"/>
        </w:rPr>
      </w:pPr>
    </w:p>
    <w:p>
      <w:pPr>
        <w:ind w:right="20" w:firstLine="548"/>
        <w:spacing w:after="0" w:line="234" w:lineRule="auto"/>
        <w:tabs>
          <w:tab w:leader="none" w:pos="110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the Holder or Beneficial Owner to dispose of its Notes within 30 days (or such lesser period as required by the Gaming Authority) following the earlier of:</w:t>
      </w:r>
    </w:p>
    <w:p>
      <w:pPr>
        <w:spacing w:after="0" w:line="129"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29"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receipt of the notice from the Gaming Authority that the Holder or Beneficial Owner shall not be licensed, qualified or found suitable by the Gaming Authority; or</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redeem the Notes of the Holder or Beneficial Owner at a redemption price equal to:</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required by applicable law or by order of any Gaming Authority; or</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lesser of:</w:t>
      </w:r>
    </w:p>
    <w:p>
      <w:pPr>
        <w:spacing w:after="0" w:line="151" w:lineRule="exact"/>
        <w:rPr>
          <w:rFonts w:ascii="Times New Roman" w:cs="Times New Roman" w:eastAsia="Times New Roman" w:hAnsi="Times New Roman"/>
          <w:sz w:val="19"/>
          <w:szCs w:val="19"/>
          <w:color w:val="auto"/>
        </w:rPr>
      </w:pPr>
    </w:p>
    <w:p>
      <w:pPr>
        <w:ind w:left="2200" w:hanging="541"/>
        <w:spacing w:after="0"/>
        <w:tabs>
          <w:tab w:leader="none" w:pos="2200" w:val="left"/>
        </w:tabs>
        <w:numPr>
          <w:ilvl w:val="2"/>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the Notes; and</w:t>
      </w:r>
    </w:p>
    <w:p>
      <w:pPr>
        <w:spacing w:after="0" w:line="151" w:lineRule="exact"/>
        <w:rPr>
          <w:rFonts w:ascii="Times New Roman" w:cs="Times New Roman" w:eastAsia="Times New Roman" w:hAnsi="Times New Roman"/>
          <w:sz w:val="19"/>
          <w:szCs w:val="19"/>
          <w:color w:val="auto"/>
        </w:rPr>
      </w:pPr>
    </w:p>
    <w:p>
      <w:pPr>
        <w:ind w:left="2200" w:hanging="541"/>
        <w:spacing w:after="0"/>
        <w:tabs>
          <w:tab w:leader="none" w:pos="2200" w:val="left"/>
        </w:tabs>
        <w:numPr>
          <w:ilvl w:val="2"/>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that the Holder or Beneficial Owner paid for the Notes,</w:t>
      </w:r>
    </w:p>
    <w:p>
      <w:pPr>
        <w:spacing w:after="0" w:line="175" w:lineRule="exact"/>
        <w:rPr>
          <w:sz w:val="20"/>
          <w:szCs w:val="20"/>
          <w:color w:val="auto"/>
        </w:rPr>
      </w:pPr>
    </w:p>
    <w:p>
      <w:pPr>
        <w:jc w:val="both"/>
        <w:ind w:left="1100" w:firstLine="556"/>
        <w:spacing w:after="0" w:line="254" w:lineRule="auto"/>
        <w:rPr>
          <w:sz w:val="20"/>
          <w:szCs w:val="20"/>
          <w:color w:val="auto"/>
        </w:rPr>
      </w:pPr>
      <w:r>
        <w:rPr>
          <w:rFonts w:ascii="Times New Roman" w:cs="Times New Roman" w:eastAsia="Times New Roman" w:hAnsi="Times New Roman"/>
          <w:sz w:val="19"/>
          <w:szCs w:val="19"/>
          <w:color w:val="auto"/>
        </w:rPr>
        <w:t>in either case, together with accrued and unpaid interest, if any, on the Notes to (but excluding) the earlier of (i) the date of redemption or such earlier date as is required by the Gaming Authority or (ii) the date of the finding of unsuitability by the Gaming Authority, which may be less than 30 days following the notice of redemption sent in accordance with subsection (b). The Issuer shall notify the Trustee in writing of any redemption pursuant to this Section 3.09 as soon as reasonably practicable.</w:t>
      </w:r>
    </w:p>
    <w:p>
      <w:pPr>
        <w:spacing w:after="0" w:line="152" w:lineRule="exact"/>
        <w:rPr>
          <w:sz w:val="20"/>
          <w:szCs w:val="20"/>
          <w:color w:val="auto"/>
        </w:rPr>
      </w:pPr>
    </w:p>
    <w:p>
      <w:pPr>
        <w:ind w:right="20" w:firstLine="556"/>
        <w:spacing w:after="0" w:line="266" w:lineRule="auto"/>
        <w:rPr>
          <w:sz w:val="20"/>
          <w:szCs w:val="20"/>
          <w:color w:val="auto"/>
        </w:rPr>
      </w:pPr>
      <w:r>
        <w:rPr>
          <w:rFonts w:ascii="Times New Roman" w:cs="Times New Roman" w:eastAsia="Times New Roman" w:hAnsi="Times New Roman"/>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18" w:lineRule="exact"/>
        <w:rPr>
          <w:sz w:val="20"/>
          <w:szCs w:val="20"/>
          <w:color w:val="auto"/>
        </w:rPr>
      </w:pPr>
    </w:p>
    <w:p>
      <w:pPr>
        <w:ind w:left="1100" w:hanging="552"/>
        <w:spacing w:after="0"/>
        <w:tabs>
          <w:tab w:leader="none" w:pos="11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exercise, directly or indirectly, through any Person, any right conferred by the Notes; or</w:t>
      </w:r>
    </w:p>
    <w:p>
      <w:pPr>
        <w:spacing w:after="0" w:line="151" w:lineRule="exact"/>
        <w:rPr>
          <w:rFonts w:ascii="Times New Roman" w:cs="Times New Roman" w:eastAsia="Times New Roman" w:hAnsi="Times New Roman"/>
          <w:sz w:val="19"/>
          <w:szCs w:val="19"/>
          <w:color w:val="auto"/>
        </w:rPr>
      </w:pPr>
    </w:p>
    <w:p>
      <w:pPr>
        <w:ind w:right="20" w:firstLine="548"/>
        <w:spacing w:after="0" w:line="234" w:lineRule="auto"/>
        <w:tabs>
          <w:tab w:leader="none" w:pos="110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receive any interest or any other distribution or payment with respect to the Notes, or any remuneration in any form from the Issuer for services rendered or otherwise, except the redemption price of the Notes.</w:t>
      </w:r>
    </w:p>
    <w:p>
      <w:pPr>
        <w:spacing w:after="0" w:line="153" w:lineRule="exact"/>
        <w:rPr>
          <w:sz w:val="20"/>
          <w:szCs w:val="20"/>
          <w:color w:val="auto"/>
        </w:rPr>
      </w:pPr>
    </w:p>
    <w:p>
      <w:pPr>
        <w:ind w:firstLine="556"/>
        <w:spacing w:after="0" w:line="279" w:lineRule="auto"/>
        <w:rPr>
          <w:sz w:val="20"/>
          <w:szCs w:val="20"/>
          <w:color w:val="auto"/>
        </w:rPr>
      </w:pPr>
      <w:r>
        <w:rPr>
          <w:rFonts w:ascii="Times New Roman" w:cs="Times New Roman" w:eastAsia="Times New Roman" w:hAnsi="Times New Roman"/>
          <w:sz w:val="19"/>
          <w:szCs w:val="19"/>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260"/>
          </w:cols>
          <w:pgMar w:left="320" w:top="1239" w:right="319" w:bottom="1440" w:gutter="0" w:footer="0" w:header="0"/>
        </w:sectPr>
      </w:pPr>
    </w:p>
    <w:bookmarkStart w:id="42" w:name="page43"/>
    <w:bookmarkEnd w:id="42"/>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3.10</w:t>
      </w:r>
      <w:r>
        <w:rPr>
          <w:sz w:val="20"/>
          <w:szCs w:val="20"/>
          <w:color w:val="auto"/>
        </w:rPr>
        <w:tab/>
      </w:r>
      <w:r>
        <w:rPr>
          <w:rFonts w:ascii="Times New Roman" w:cs="Times New Roman" w:eastAsia="Times New Roman" w:hAnsi="Times New Roman"/>
          <w:sz w:val="17"/>
          <w:szCs w:val="17"/>
          <w:i w:val="1"/>
          <w:iCs w:val="1"/>
          <w:color w:val="auto"/>
        </w:rPr>
        <w:t>Redemption Upon Changes in Withholding Taxes</w:t>
      </w:r>
    </w:p>
    <w:p>
      <w:pPr>
        <w:spacing w:after="0" w:line="156" w:lineRule="exact"/>
        <w:rPr>
          <w:sz w:val="20"/>
          <w:szCs w:val="20"/>
          <w:color w:val="auto"/>
        </w:rPr>
      </w:pPr>
    </w:p>
    <w:p>
      <w:pPr>
        <w:jc w:val="both"/>
        <w:ind w:right="20" w:firstLine="548"/>
        <w:spacing w:after="0" w:line="218" w:lineRule="auto"/>
        <w:tabs>
          <w:tab w:leader="none" w:pos="110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may be redeemed, at the option of the Issuer, as a whole but not in part, upon giving not less than 10 days’ 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32" w:lineRule="exact"/>
        <w:rPr>
          <w:rFonts w:ascii="Times New Roman" w:cs="Times New Roman" w:eastAsia="Times New Roman" w:hAnsi="Times New Roman"/>
          <w:sz w:val="19"/>
          <w:szCs w:val="19"/>
          <w:color w:val="auto"/>
        </w:rPr>
      </w:pPr>
    </w:p>
    <w:p>
      <w:pPr>
        <w:ind w:left="540" w:firstLine="564"/>
        <w:spacing w:after="0" w:line="234" w:lineRule="auto"/>
        <w:tabs>
          <w:tab w:leader="none" w:pos="164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in, or amendment to, the laws (or any regulations or rulings promulgated thereunder) of a Relevant Jurisdiction affecting taxation; or</w:t>
      </w:r>
    </w:p>
    <w:p>
      <w:pPr>
        <w:spacing w:after="0" w:line="129" w:lineRule="exact"/>
        <w:rPr>
          <w:rFonts w:ascii="Times New Roman" w:cs="Times New Roman" w:eastAsia="Times New Roman" w:hAnsi="Times New Roman"/>
          <w:sz w:val="19"/>
          <w:szCs w:val="19"/>
          <w:color w:val="auto"/>
        </w:rPr>
      </w:pPr>
    </w:p>
    <w:p>
      <w:pPr>
        <w:jc w:val="both"/>
        <w:ind w:left="540" w:firstLine="564"/>
        <w:spacing w:after="0" w:line="223" w:lineRule="auto"/>
        <w:tabs>
          <w:tab w:leader="none" w:pos="164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55"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9"/>
          <w:szCs w:val="19"/>
          <w:color w:val="auto"/>
        </w:rPr>
        <w:t>which change, amendment, application or interpretation is proposed and becomes effective or, in the case of an official positions, is announced, on or after (i) with respect to the Issuer, the date of this Indenture or (ii) with respect to any Surviving Person, the date such Surviving Person becomes a Surviving Person with respect to any payment due or to become due under the Notes or this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41" w:lineRule="exact"/>
        <w:rPr>
          <w:sz w:val="20"/>
          <w:szCs w:val="20"/>
          <w:color w:val="auto"/>
        </w:rPr>
      </w:pPr>
    </w:p>
    <w:p>
      <w:pPr>
        <w:ind w:firstLine="548"/>
        <w:spacing w:after="0" w:line="234" w:lineRule="auto"/>
        <w:tabs>
          <w:tab w:leader="none" w:pos="110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delivery of any notice of redemption of the Notes pursuant to the foregoing, the Issuer or the Surviving Person, as the case may be, shall deliver to the Trustee:</w:t>
      </w:r>
    </w:p>
    <w:p>
      <w:pPr>
        <w:spacing w:after="0" w:line="129" w:lineRule="exact"/>
        <w:rPr>
          <w:rFonts w:ascii="Times New Roman" w:cs="Times New Roman" w:eastAsia="Times New Roman" w:hAnsi="Times New Roman"/>
          <w:sz w:val="19"/>
          <w:szCs w:val="19"/>
          <w:color w:val="auto"/>
        </w:rPr>
      </w:pPr>
    </w:p>
    <w:p>
      <w:pPr>
        <w:jc w:val="both"/>
        <w:ind w:left="540" w:right="20" w:firstLine="564"/>
        <w:spacing w:after="0" w:line="223" w:lineRule="auto"/>
        <w:tabs>
          <w:tab w:leader="none" w:pos="164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31"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Counsel of recognized international standing to the effect that the requirement to pay such Additional Amounts results from the circumstances referred to in the prior paragraph.</w:t>
      </w:r>
    </w:p>
    <w:p>
      <w:pPr>
        <w:spacing w:after="0" w:line="129" w:lineRule="exact"/>
        <w:rPr>
          <w:rFonts w:ascii="Times New Roman" w:cs="Times New Roman" w:eastAsia="Times New Roman" w:hAnsi="Times New Roman"/>
          <w:sz w:val="19"/>
          <w:szCs w:val="19"/>
          <w:color w:val="auto"/>
        </w:rPr>
      </w:pPr>
    </w:p>
    <w:p>
      <w:pPr>
        <w:ind w:right="20" w:firstLine="548"/>
        <w:spacing w:after="0" w:line="234" w:lineRule="auto"/>
        <w:tabs>
          <w:tab w:leader="none" w:pos="110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accept such certificate and opinion as sufficient evidence of the satisfaction of the conditions precedent described above, in which event it shall be conclusive and binding on the Holders.</w:t>
      </w:r>
    </w:p>
    <w:p>
      <w:pPr>
        <w:spacing w:after="0" w:line="1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4</w:t>
      </w:r>
    </w:p>
    <w:p>
      <w:pPr>
        <w:ind w:left="5060"/>
        <w:spacing w:after="0"/>
        <w:rPr>
          <w:sz w:val="20"/>
          <w:szCs w:val="20"/>
          <w:color w:val="auto"/>
        </w:rPr>
      </w:pPr>
      <w:r>
        <w:rPr>
          <w:rFonts w:ascii="Times New Roman" w:cs="Times New Roman" w:eastAsia="Times New Roman" w:hAnsi="Times New Roman"/>
          <w:sz w:val="19"/>
          <w:szCs w:val="19"/>
          <w:color w:val="auto"/>
        </w:rPr>
        <w:t>COVENANTS</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4.01</w:t>
      </w:r>
      <w:r>
        <w:rPr>
          <w:sz w:val="20"/>
          <w:szCs w:val="20"/>
          <w:color w:val="auto"/>
        </w:rPr>
        <w:tab/>
      </w:r>
      <w:r>
        <w:rPr>
          <w:rFonts w:ascii="Times New Roman" w:cs="Times New Roman" w:eastAsia="Times New Roman" w:hAnsi="Times New Roman"/>
          <w:sz w:val="17"/>
          <w:szCs w:val="17"/>
          <w:i w:val="1"/>
          <w:iCs w:val="1"/>
          <w:color w:val="auto"/>
        </w:rPr>
        <w:t>Payment of Notes.</w:t>
      </w:r>
    </w:p>
    <w:p>
      <w:pPr>
        <w:spacing w:after="0" w:line="179" w:lineRule="exact"/>
        <w:rPr>
          <w:sz w:val="20"/>
          <w:szCs w:val="20"/>
          <w:color w:val="auto"/>
        </w:rPr>
      </w:pPr>
    </w:p>
    <w:p>
      <w:pPr>
        <w:ind w:firstLine="556"/>
        <w:spacing w:after="0" w:line="266" w:lineRule="auto"/>
        <w:rPr>
          <w:sz w:val="20"/>
          <w:szCs w:val="20"/>
          <w:color w:val="auto"/>
        </w:rPr>
      </w:pPr>
      <w:r>
        <w:rPr>
          <w:rFonts w:ascii="Times New Roman" w:cs="Times New Roman" w:eastAsia="Times New Roman" w:hAnsi="Times New Roman"/>
          <w:sz w:val="19"/>
          <w:szCs w:val="19"/>
          <w:color w:val="auto"/>
        </w:rPr>
        <w:t>The Issuer shall pay or cause to be paid the principal of, premium, if any, and interest on the Notes on the dates and in the manner provided in the Notes. Principal, premium, if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60"/>
          </w:cols>
          <w:pgMar w:left="320" w:top="1212" w:right="319" w:bottom="1440" w:gutter="0" w:footer="0" w:header="0"/>
        </w:sectPr>
      </w:pPr>
    </w:p>
    <w:bookmarkStart w:id="43" w:name="page44"/>
    <w:bookmarkEnd w:id="43"/>
    <w:p>
      <w:pPr>
        <w:jc w:val="both"/>
        <w:ind w:right="20"/>
        <w:spacing w:after="0" w:line="253" w:lineRule="auto"/>
        <w:rPr>
          <w:sz w:val="20"/>
          <w:szCs w:val="20"/>
          <w:color w:val="auto"/>
        </w:rPr>
      </w:pPr>
      <w:r>
        <w:rPr>
          <w:rFonts w:ascii="Times New Roman" w:cs="Times New Roman" w:eastAsia="Times New Roman" w:hAnsi="Times New Roman"/>
          <w:sz w:val="19"/>
          <w:szCs w:val="19"/>
          <w:color w:val="auto"/>
        </w:rPr>
        <w:t>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spacing w:after="0" w:line="166" w:lineRule="exact"/>
        <w:rPr>
          <w:sz w:val="20"/>
          <w:szCs w:val="20"/>
          <w:color w:val="auto"/>
        </w:rPr>
      </w:pPr>
    </w:p>
    <w:p>
      <w:pPr>
        <w:jc w:val="both"/>
        <w:ind w:right="20" w:firstLine="556"/>
        <w:spacing w:after="0" w:line="249" w:lineRule="auto"/>
        <w:rPr>
          <w:sz w:val="20"/>
          <w:szCs w:val="20"/>
          <w:color w:val="auto"/>
        </w:rPr>
      </w:pPr>
      <w:r>
        <w:rPr>
          <w:rFonts w:ascii="Times New Roman" w:cs="Times New Roman" w:eastAsia="Times New Roman" w:hAnsi="Times New Roman"/>
          <w:sz w:val="19"/>
          <w:szCs w:val="19"/>
          <w:color w:val="auto"/>
        </w:rPr>
        <w:t>The Issuer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4.02</w:t>
      </w:r>
      <w:r>
        <w:rPr>
          <w:sz w:val="20"/>
          <w:szCs w:val="20"/>
          <w:color w:val="auto"/>
        </w:rPr>
        <w:tab/>
      </w:r>
      <w:r>
        <w:rPr>
          <w:rFonts w:ascii="Times New Roman" w:cs="Times New Roman" w:eastAsia="Times New Roman" w:hAnsi="Times New Roman"/>
          <w:sz w:val="17"/>
          <w:szCs w:val="17"/>
          <w:i w:val="1"/>
          <w:iCs w:val="1"/>
          <w:color w:val="auto"/>
        </w:rPr>
        <w:t>Maintenance of Office or Agency</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spacing w:after="0" w:line="156"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designation or rescission 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spacing w:after="0" w:line="159" w:lineRule="exact"/>
        <w:rPr>
          <w:sz w:val="20"/>
          <w:szCs w:val="20"/>
          <w:color w:val="auto"/>
        </w:rPr>
      </w:pPr>
    </w:p>
    <w:p>
      <w:pPr>
        <w:jc w:val="both"/>
        <w:ind w:right="20" w:firstLine="556"/>
        <w:spacing w:after="0" w:line="279" w:lineRule="auto"/>
        <w:rPr>
          <w:sz w:val="20"/>
          <w:szCs w:val="20"/>
          <w:color w:val="auto"/>
        </w:rPr>
      </w:pPr>
      <w:r>
        <w:rPr>
          <w:rFonts w:ascii="Times New Roman" w:cs="Times New Roman" w:eastAsia="Times New Roman" w:hAnsi="Times New Roman"/>
          <w:sz w:val="19"/>
          <w:szCs w:val="19"/>
          <w:color w:val="auto"/>
        </w:rPr>
        <w:t>The Issuer hereby designates the Corporate Trust Office of the Trustee as one such office or agency of the Issuer in accordance with Section 2.03 hereof.</w:t>
      </w:r>
    </w:p>
    <w:p>
      <w:pPr>
        <w:spacing w:after="0" w:line="10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4.03</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540" w:firstLine="564"/>
        <w:spacing w:after="0" w:line="218" w:lineRule="auto"/>
        <w:tabs>
          <w:tab w:leader="none" w:pos="164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long as any Notes are outstanding and the ordinary shares of the Issuer are listed on The Stock Exchange of Hong Kong Limited (the “</w:t>
      </w:r>
      <w:r>
        <w:rPr>
          <w:rFonts w:ascii="Times New Roman" w:cs="Times New Roman" w:eastAsia="Times New Roman" w:hAnsi="Times New Roman"/>
          <w:sz w:val="19"/>
          <w:szCs w:val="19"/>
          <w:i w:val="1"/>
          <w:iCs w:val="1"/>
          <w:color w:val="auto"/>
        </w:rPr>
        <w:t>HKSE</w:t>
      </w:r>
      <w:r>
        <w:rPr>
          <w:rFonts w:ascii="Times New Roman" w:cs="Times New Roman" w:eastAsia="Times New Roman" w:hAnsi="Times New Roman"/>
          <w:sz w:val="19"/>
          <w:szCs w:val="19"/>
          <w:color w:val="auto"/>
        </w:rPr>
        <w:t>”) or another internationally recognized stock exchange, the Issuer will file with the Trustee and furnish to the Holders upon request, within 10 days after they are filed with such exchange, true and correct copies of all financial and other reports in the English language filed with such exchange.</w:t>
      </w:r>
    </w:p>
    <w:p>
      <w:pPr>
        <w:spacing w:after="0" w:line="132" w:lineRule="exact"/>
        <w:rPr>
          <w:rFonts w:ascii="Times New Roman" w:cs="Times New Roman" w:eastAsia="Times New Roman" w:hAnsi="Times New Roman"/>
          <w:sz w:val="19"/>
          <w:szCs w:val="19"/>
          <w:color w:val="auto"/>
        </w:rPr>
      </w:pPr>
    </w:p>
    <w:p>
      <w:pPr>
        <w:ind w:left="540" w:firstLine="564"/>
        <w:spacing w:after="0" w:line="234" w:lineRule="auto"/>
        <w:tabs>
          <w:tab w:leader="none" w:pos="164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Notes are outstanding and the ordinary shares of the Issuer are not listed on an internationally recognized stock exchange, the Issuer will file with the Trustee:</w:t>
      </w:r>
    </w:p>
    <w:p>
      <w:pPr>
        <w:spacing w:after="0" w:line="129" w:lineRule="exact"/>
        <w:rPr>
          <w:rFonts w:ascii="Times New Roman" w:cs="Times New Roman" w:eastAsia="Times New Roman" w:hAnsi="Times New Roman"/>
          <w:sz w:val="19"/>
          <w:szCs w:val="19"/>
          <w:color w:val="auto"/>
        </w:rPr>
      </w:pPr>
    </w:p>
    <w:p>
      <w:pPr>
        <w:jc w:val="both"/>
        <w:ind w:left="540" w:right="20" w:firstLine="1119"/>
        <w:spacing w:after="0" w:line="223" w:lineRule="auto"/>
        <w:tabs>
          <w:tab w:leader="none" w:pos="2204"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120 days after the end of each fiscal year, an annual report in a form substantially similar to the Issuer’s annual report for the year ended December 31, 2024 filed with the HKSE, including (A) a “Management Discussion and Analysis” of financial condition and results of operations and (B) consolidated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260"/>
          </w:cols>
          <w:pgMar w:left="320" w:top="1239" w:right="319" w:bottom="1440" w:gutter="0" w:footer="0" w:header="0"/>
        </w:sectPr>
      </w:pPr>
    </w:p>
    <w:bookmarkStart w:id="44" w:name="page45"/>
    <w:bookmarkEnd w:id="44"/>
    <w:p>
      <w:pPr>
        <w:ind w:right="20"/>
        <w:spacing w:after="0" w:line="234" w:lineRule="auto"/>
        <w:rPr>
          <w:sz w:val="20"/>
          <w:szCs w:val="20"/>
          <w:color w:val="auto"/>
        </w:rPr>
      </w:pPr>
      <w:r>
        <w:rPr>
          <w:rFonts w:ascii="Times New Roman" w:cs="Times New Roman" w:eastAsia="Times New Roman" w:hAnsi="Times New Roman"/>
          <w:sz w:val="19"/>
          <w:szCs w:val="19"/>
          <w:color w:val="auto"/>
        </w:rPr>
        <w:t>financial statements (including statements of comprehensive income, financial position, changes in equity and cash flows) prepared in accordance with IFRS and audited by an internationally recognized firm of independent accountants; and</w:t>
      </w:r>
    </w:p>
    <w:p>
      <w:pPr>
        <w:spacing w:after="0" w:line="130" w:lineRule="exact"/>
        <w:rPr>
          <w:sz w:val="20"/>
          <w:szCs w:val="20"/>
          <w:color w:val="auto"/>
        </w:rPr>
      </w:pPr>
    </w:p>
    <w:p>
      <w:pPr>
        <w:jc w:val="both"/>
        <w:ind w:right="20" w:firstLine="1119"/>
        <w:spacing w:after="0" w:line="213" w:lineRule="auto"/>
        <w:tabs>
          <w:tab w:leader="none" w:pos="1663"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90 days after the end of the second quarter of each fiscal year, a semi-annual report in a form substantially similar to the Issuer’s interim report for the six months ended June 30, 2024 filed with the HKSE, including (A) a “Management Discussion and Analysis” of financial condition and results of operations and (B) half-year condensed consolidated financial statements (including statements of comprehensive income, financial position, changes in equity and cash flows) prepared in accordance with IFRS and reviewed pursuant to Hong Kong Standard on Review Engagements 2410 (or any equivalent or successor provision) by an internationally recognized firm of independent accountants.</w:t>
      </w:r>
    </w:p>
    <w:p>
      <w:pPr>
        <w:spacing w:after="0" w:line="133" w:lineRule="exact"/>
        <w:rPr>
          <w:rFonts w:ascii="Times New Roman" w:cs="Times New Roman" w:eastAsia="Times New Roman" w:hAnsi="Times New Roman"/>
          <w:sz w:val="19"/>
          <w:szCs w:val="19"/>
          <w:color w:val="auto"/>
        </w:rPr>
      </w:pPr>
    </w:p>
    <w:p>
      <w:pPr>
        <w:jc w:val="both"/>
        <w:ind w:right="20" w:firstLine="564"/>
        <w:spacing w:after="0" w:line="255" w:lineRule="auto"/>
        <w:tabs>
          <w:tab w:leader="none" w:pos="110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Notes are outstanding and the common stock of Wynn Resorts is not listed on the Nasdaq Global Select Market or another internationally recognized stock exchange, the Issuer will file with the Trustee, within 45 days after the end of the first and third quarters of each fiscal year, an unaudited quarterly condensed consolidated income statement of the Issuer prepared in accordance with IFRS.</w:t>
      </w:r>
    </w:p>
    <w:p>
      <w:pPr>
        <w:spacing w:after="0" w:line="117" w:lineRule="exact"/>
        <w:rPr>
          <w:rFonts w:ascii="Times New Roman" w:cs="Times New Roman" w:eastAsia="Times New Roman" w:hAnsi="Times New Roman"/>
          <w:sz w:val="17"/>
          <w:szCs w:val="17"/>
          <w:color w:val="auto"/>
        </w:rPr>
      </w:pPr>
    </w:p>
    <w:p>
      <w:pPr>
        <w:ind w:left="1120" w:hanging="556"/>
        <w:spacing w:after="0"/>
        <w:tabs>
          <w:tab w:leader="none" w:pos="112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is required to file any reports under Section 4.03(2) or (3) hereof, the Issuer will also:</w:t>
      </w:r>
    </w:p>
    <w:p>
      <w:pPr>
        <w:spacing w:after="0" w:line="151" w:lineRule="exact"/>
        <w:rPr>
          <w:rFonts w:ascii="Times New Roman" w:cs="Times New Roman" w:eastAsia="Times New Roman" w:hAnsi="Times New Roman"/>
          <w:sz w:val="19"/>
          <w:szCs w:val="19"/>
          <w:color w:val="auto"/>
        </w:rPr>
      </w:pPr>
    </w:p>
    <w:p>
      <w:pPr>
        <w:jc w:val="both"/>
        <w:ind w:firstLine="1119"/>
        <w:spacing w:after="0" w:line="255" w:lineRule="auto"/>
        <w:tabs>
          <w:tab w:leader="none" w:pos="1664"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 press release to an internationally recognized wire service no fewer than three Business Days prior to the first public disclosure of each such report, announcing the date on which such report will become publicly available and directing noteholders, prospective investors, broker-dealers and securities analysts to contact the investor relations office of the Issuer to obtain copies of such report;</w:t>
      </w:r>
    </w:p>
    <w:p>
      <w:pPr>
        <w:spacing w:after="0" w:line="117" w:lineRule="exact"/>
        <w:rPr>
          <w:rFonts w:ascii="Times New Roman" w:cs="Times New Roman" w:eastAsia="Times New Roman" w:hAnsi="Times New Roman"/>
          <w:sz w:val="17"/>
          <w:szCs w:val="17"/>
          <w:color w:val="auto"/>
        </w:rPr>
      </w:pPr>
    </w:p>
    <w:p>
      <w:pPr>
        <w:jc w:val="both"/>
        <w:ind w:firstLine="1119"/>
        <w:spacing w:after="0" w:line="237" w:lineRule="auto"/>
        <w:tabs>
          <w:tab w:leader="none" w:pos="1663"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Issuer releases each such report, but in no event later than 10 Business Days after furnishing to the Trustee the relevant reports required by Section 4.03(2) or (3), hold a conference call to discuss such reports and the results of operations for the relevant reporting period (which conference call may, at the option of the Issuer, be the same conference call that the Issuer’s, or Wynn Resorts’, as applicable, shareholders and/or equity research analysts are invited to); and issue a press release to an internationally recognized wire service no fewer than three Business Days prior to the date of the conference call required to be held in accordance with Section 4.03(4)(b) hereof, announcing the time and date of such conference call and either including all information necessary to access the call or directing noteholders, prospective investors, broker-dealers and securities analysts to contact the appropriate person at the Issuer to obtain such information; and</w:t>
      </w:r>
    </w:p>
    <w:p>
      <w:pPr>
        <w:spacing w:after="0" w:line="130" w:lineRule="exact"/>
        <w:rPr>
          <w:rFonts w:ascii="Times New Roman" w:cs="Times New Roman" w:eastAsia="Times New Roman" w:hAnsi="Times New Roman"/>
          <w:sz w:val="17"/>
          <w:szCs w:val="17"/>
          <w:color w:val="auto"/>
        </w:rPr>
      </w:pPr>
    </w:p>
    <w:p>
      <w:pPr>
        <w:jc w:val="both"/>
        <w:ind w:right="20" w:firstLine="1119"/>
        <w:spacing w:after="0" w:line="223" w:lineRule="auto"/>
        <w:tabs>
          <w:tab w:leader="none" w:pos="166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a website to which noteholders, prospective investors, broker-dealers and securities analysts are given access and to which the reports and press releases required by Sections Section 4.03(2), (3), (4)(a) and (4)(b) hereof are posted within the time periods required.</w:t>
      </w:r>
    </w:p>
    <w:p>
      <w:pPr>
        <w:spacing w:after="0" w:line="131" w:lineRule="exact"/>
        <w:rPr>
          <w:rFonts w:ascii="Times New Roman" w:cs="Times New Roman" w:eastAsia="Times New Roman" w:hAnsi="Times New Roman"/>
          <w:sz w:val="19"/>
          <w:szCs w:val="19"/>
          <w:color w:val="auto"/>
        </w:rPr>
      </w:pPr>
    </w:p>
    <w:p>
      <w:pPr>
        <w:jc w:val="both"/>
        <w:ind w:firstLine="564"/>
        <w:spacing w:after="0" w:line="218" w:lineRule="auto"/>
        <w:tabs>
          <w:tab w:leader="none" w:pos="1107"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period in which the Issuer is neither subject to Section 13 or 15(d) of the Exchange Act, nor exempt from reporting pursuant to Rule 12g3-2(b) thereunder, the Issuer shall provide to (i) any Holder or Beneficial Owner of a Note or (ii) a prospective purchaser of a Note or a beneficial interest therein designated by such Holder or Beneficial Owner, the information specified in, and meeting the requirements of, Rule 144A(d)(4) under the Securities Act upon the request of any Holder or Beneficial Owner of a Note.</w:t>
      </w:r>
    </w:p>
    <w:p>
      <w:pPr>
        <w:spacing w:after="0" w:line="132" w:lineRule="exact"/>
        <w:rPr>
          <w:rFonts w:ascii="Times New Roman" w:cs="Times New Roman" w:eastAsia="Times New Roman" w:hAnsi="Times New Roman"/>
          <w:sz w:val="19"/>
          <w:szCs w:val="19"/>
          <w:color w:val="auto"/>
        </w:rPr>
      </w:pPr>
    </w:p>
    <w:p>
      <w:pPr>
        <w:ind w:right="20" w:firstLine="564"/>
        <w:spacing w:after="0" w:line="234" w:lineRule="auto"/>
        <w:tabs>
          <w:tab w:leader="none" w:pos="1107"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of any reports, information and documents described in this Section 4.03 and under the Indenture to the Trustee is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0720"/>
          </w:cols>
          <w:pgMar w:left="860" w:top="1216" w:right="319" w:bottom="1440" w:gutter="0" w:footer="0" w:header="0"/>
        </w:sectPr>
      </w:pPr>
    </w:p>
    <w:bookmarkStart w:id="45" w:name="page46"/>
    <w:bookmarkEnd w:id="45"/>
    <w:p>
      <w:pPr>
        <w:jc w:val="both"/>
        <w:ind w:left="540"/>
        <w:spacing w:after="0" w:line="215" w:lineRule="auto"/>
        <w:rPr>
          <w:sz w:val="20"/>
          <w:szCs w:val="20"/>
          <w:color w:val="auto"/>
        </w:rPr>
      </w:pPr>
      <w:r>
        <w:rPr>
          <w:rFonts w:ascii="Times New Roman" w:cs="Times New Roman" w:eastAsia="Times New Roman" w:hAnsi="Times New Roman"/>
          <w:sz w:val="19"/>
          <w:szCs w:val="19"/>
          <w:color w:val="auto"/>
        </w:rPr>
        <w:t>and the Trustee’s receipt of such shall not constitute constructive notice of any information contained therein or determinable from information contained therein, including the Issuer’s compliance with any of its covenants hereunder (as to which the Trustee is entitled to conclusively rely exclusively on an Officer’s Certificate). The Trustee shall have no duty to review or make independent investigation with respect to any of the foregoing received by the Trustee and shall hold the same solely as repository. The Trustee shall have no responsibility to determine if reports have been provided to Holders or if the Issuer has complied with the obligations set forth in this Section 4.03.</w:t>
      </w:r>
    </w:p>
    <w:p>
      <w:pPr>
        <w:spacing w:after="0" w:line="1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4.04</w:t>
      </w:r>
      <w:r>
        <w:rPr>
          <w:sz w:val="20"/>
          <w:szCs w:val="20"/>
          <w:color w:val="auto"/>
        </w:rPr>
        <w:tab/>
      </w:r>
      <w:r>
        <w:rPr>
          <w:rFonts w:ascii="Times New Roman" w:cs="Times New Roman" w:eastAsia="Times New Roman" w:hAnsi="Times New Roman"/>
          <w:sz w:val="17"/>
          <w:szCs w:val="17"/>
          <w:i w:val="1"/>
          <w:iCs w:val="1"/>
          <w:color w:val="auto"/>
        </w:rPr>
        <w:t>Compliance Certificate</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548"/>
        <w:spacing w:after="0" w:line="210" w:lineRule="auto"/>
        <w:tabs>
          <w:tab w:leader="none" w:pos="110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deliver to the Trustee, within 90 days after the end of each fiscal year,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whether to the best of his or her knowledge the Issuer has kept, observed, performed and fulfilled each and every covenant contained in this Indenture and is not in default in the performance or observance of any of the terms, provisions and conditions of this Indenture (and,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spacing w:after="0" w:line="131" w:lineRule="exact"/>
        <w:rPr>
          <w:rFonts w:ascii="Times New Roman" w:cs="Times New Roman" w:eastAsia="Times New Roman" w:hAnsi="Times New Roman"/>
          <w:sz w:val="19"/>
          <w:szCs w:val="19"/>
          <w:color w:val="auto"/>
        </w:rPr>
      </w:pPr>
    </w:p>
    <w:p>
      <w:pPr>
        <w:jc w:val="both"/>
        <w:ind w:right="20" w:firstLine="548"/>
        <w:spacing w:after="0" w:line="213" w:lineRule="auto"/>
        <w:tabs>
          <w:tab w:leader="none" w:pos="110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not contrary to the then current recommendations of the Hong Kong Institute of Certified Public Accountants, the year-end financial statements filed pursuant to Section 4.03 above shall be accompanied by a written statement of the Issuer’s independent public accountants (who shall be an internationally recognized firm) that in making the examination necessary for certification of such financial statements, nothing has come to their attention that would lead them to believe that the Issuer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33"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any of the Notes are outstanding, the Issuer shall deliver to the Trustee, forthwith upon any Officer becoming aware of any Default or Event of Default, an Officer’s Certificate specifying such Default or Event of Default and what action the Issuer is taking or proposes to take with respect thereto.</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4.05</w:t>
      </w:r>
      <w:r>
        <w:rPr>
          <w:sz w:val="20"/>
          <w:szCs w:val="20"/>
          <w:color w:val="auto"/>
        </w:rPr>
        <w:tab/>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The Issuer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3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4.06</w:t>
      </w:r>
      <w:r>
        <w:rPr>
          <w:sz w:val="20"/>
          <w:szCs w:val="20"/>
          <w:color w:val="auto"/>
        </w:rPr>
        <w:tab/>
      </w:r>
      <w:r>
        <w:rPr>
          <w:rFonts w:ascii="Times New Roman" w:cs="Times New Roman" w:eastAsia="Times New Roman" w:hAnsi="Times New Roman"/>
          <w:sz w:val="17"/>
          <w:szCs w:val="17"/>
          <w:i w:val="1"/>
          <w:iCs w:val="1"/>
          <w:color w:val="auto"/>
        </w:rPr>
        <w:t>Stay, Extension and Usury Laws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The Issuer covenants (to the extent that it may lawfully do so) that it shall not at any time insist upon, plead, or in any manner whatsoever claim or take the benefit or advantage of, any stay, extension or usury law wherever enacted, now or at any time hereafter in force,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11260"/>
          </w:cols>
          <w:pgMar w:left="320" w:top="1216" w:right="31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9"/>
          <w:szCs w:val="19"/>
          <w:color w:val="auto"/>
        </w:rPr>
        <w:t>that may affect the covenants or the performance of this Indenture; and the Issuer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3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4.07</w:t>
      </w:r>
      <w:r>
        <w:rPr>
          <w:sz w:val="20"/>
          <w:szCs w:val="20"/>
          <w:color w:val="auto"/>
        </w:rPr>
        <w:tab/>
      </w:r>
      <w:r>
        <w:rPr>
          <w:rFonts w:ascii="Times New Roman" w:cs="Times New Roman" w:eastAsia="Times New Roman" w:hAnsi="Times New Roman"/>
          <w:sz w:val="17"/>
          <w:szCs w:val="17"/>
          <w:i w:val="1"/>
          <w:iCs w:val="1"/>
          <w:color w:val="auto"/>
        </w:rPr>
        <w:t>Corporate and Organizational Existence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Subject to Article 5 hereof, the Issuer shall do or cause to be done all things necessary to preserve and keep in full force and effect:</w:t>
      </w:r>
    </w:p>
    <w:p>
      <w:pPr>
        <w:spacing w:after="0" w:line="164" w:lineRule="exact"/>
        <w:rPr>
          <w:sz w:val="20"/>
          <w:szCs w:val="20"/>
          <w:color w:val="auto"/>
        </w:rPr>
      </w:pPr>
    </w:p>
    <w:p>
      <w:pPr>
        <w:ind w:firstLine="548"/>
        <w:spacing w:after="0" w:line="234" w:lineRule="auto"/>
        <w:tabs>
          <w:tab w:leader="none" w:pos="110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its corporate or limited liability company existence, and the corporate, partnership or other existence of each of its Significant Subsidiaries, in accordance with their respective organizational documents (as the same may be amended from time to time); and</w:t>
      </w:r>
    </w:p>
    <w:p>
      <w:pPr>
        <w:spacing w:after="0" w:line="125" w:lineRule="exact"/>
        <w:rPr>
          <w:rFonts w:ascii="Times New Roman" w:cs="Times New Roman" w:eastAsia="Times New Roman" w:hAnsi="Times New Roman"/>
          <w:sz w:val="19"/>
          <w:szCs w:val="19"/>
          <w:color w:val="auto"/>
        </w:rPr>
      </w:pPr>
    </w:p>
    <w:p>
      <w:pPr>
        <w:jc w:val="both"/>
        <w:ind w:firstLine="548"/>
        <w:spacing w:after="0" w:line="219" w:lineRule="auto"/>
        <w:tabs>
          <w:tab w:leader="none" w:pos="110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rights (charter and statutory), licenses and franchises of the Issuer and its Subsidiaries;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Issuer shall not be required to preserve any such right, license or franchise, or the corporate, partnership or other existence of any of its Subsidiaries, if the Board of Directors of the Issuer shall determine that the preservation thereof is no longer desirable in the conduct of the business of the Issuer and its Subsidiaries, taken as a whole, and that the loss thereof is not adverse in any material respect to the Holders of the Notes.</w:t>
      </w:r>
    </w:p>
    <w:p>
      <w:pPr>
        <w:spacing w:after="0" w:line="1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4.08</w:t>
      </w:r>
      <w:r>
        <w:rPr>
          <w:sz w:val="20"/>
          <w:szCs w:val="20"/>
          <w:color w:val="auto"/>
        </w:rPr>
        <w:tab/>
      </w:r>
      <w:r>
        <w:rPr>
          <w:rFonts w:ascii="Times New Roman" w:cs="Times New Roman" w:eastAsia="Times New Roman" w:hAnsi="Times New Roman"/>
          <w:sz w:val="17"/>
          <w:szCs w:val="17"/>
          <w:i w:val="1"/>
          <w:iCs w:val="1"/>
          <w:color w:val="auto"/>
        </w:rPr>
        <w:t>Offer to Purchase Upon Change of Control Triggering Event</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firstLine="548"/>
        <w:spacing w:after="0" w:line="237" w:lineRule="auto"/>
        <w:tabs>
          <w:tab w:leader="none" w:pos="110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Change of Control Triggering Event, the Issuer shall make an offer (a “</w:t>
      </w:r>
      <w:r>
        <w:rPr>
          <w:rFonts w:ascii="Times New Roman" w:cs="Times New Roman" w:eastAsia="Times New Roman" w:hAnsi="Times New Roman"/>
          <w:sz w:val="17"/>
          <w:szCs w:val="17"/>
          <w:i w:val="1"/>
          <w:iCs w:val="1"/>
          <w:color w:val="auto"/>
        </w:rPr>
        <w:t>Change of Control Offer</w:t>
      </w:r>
      <w:r>
        <w:rPr>
          <w:rFonts w:ascii="Times New Roman" w:cs="Times New Roman" w:eastAsia="Times New Roman" w:hAnsi="Times New Roman"/>
          <w:sz w:val="17"/>
          <w:szCs w:val="17"/>
          <w:color w:val="auto"/>
        </w:rPr>
        <w:t>”) to each Holder to repurchase all or any part (equal to US$200,000 or an integral multiple of US$1,000 in excess of US$200,000) of each Holder’s Notes at a purchase price equal to 101% of the aggregate principal amount thereof plus accrued and unpaid interest on the Notes purchased, if any, to (but excluding) the date of purchase (subject to the right of holders of record on the relevant record date to receive interest due on the relevant interest payment date), except to the extent the Issuer has previously or concurrently elected to redeem the Notes in full as described in Section 3.07 or Section 3.10 (the “</w:t>
      </w:r>
      <w:r>
        <w:rPr>
          <w:rFonts w:ascii="Times New Roman" w:cs="Times New Roman" w:eastAsia="Times New Roman" w:hAnsi="Times New Roman"/>
          <w:sz w:val="17"/>
          <w:szCs w:val="17"/>
          <w:i w:val="1"/>
          <w:iCs w:val="1"/>
          <w:color w:val="auto"/>
        </w:rPr>
        <w:t>Change of Control Payment</w:t>
      </w:r>
      <w:r>
        <w:rPr>
          <w:rFonts w:ascii="Times New Roman" w:cs="Times New Roman" w:eastAsia="Times New Roman" w:hAnsi="Times New Roman"/>
          <w:sz w:val="17"/>
          <w:szCs w:val="17"/>
          <w:color w:val="auto"/>
        </w:rPr>
        <w:t>”). Within ten days following any Change of Control Triggering Event, the Issuer shall mail a notice to each Holder (with a copy to the Trustee) describing the transaction or transactions that constitute the Change of Control Triggering Event and stating:</w:t>
      </w:r>
    </w:p>
    <w:p>
      <w:pPr>
        <w:spacing w:after="0" w:line="121" w:lineRule="exact"/>
        <w:rPr>
          <w:rFonts w:ascii="Times New Roman" w:cs="Times New Roman" w:eastAsia="Times New Roman" w:hAnsi="Times New Roman"/>
          <w:sz w:val="17"/>
          <w:szCs w:val="17"/>
          <w:color w:val="auto"/>
        </w:rPr>
      </w:pPr>
    </w:p>
    <w:p>
      <w:pPr>
        <w:ind w:left="1660" w:hanging="556"/>
        <w:spacing w:after="0"/>
        <w:tabs>
          <w:tab w:leader="none" w:pos="166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Change of Control Offer is being made pursuant to this Section 4.08 and that all Notes tendered shall be accepted for</w:t>
      </w:r>
    </w:p>
    <w:p>
      <w:pPr>
        <w:ind w:left="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w:t>
      </w:r>
    </w:p>
    <w:p>
      <w:pPr>
        <w:spacing w:after="0" w:line="131"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 price and the purchase date, which shall be no earlier than 10 days and no later than 60 days from the date such notice is delivered (the “</w:t>
      </w:r>
      <w:r>
        <w:rPr>
          <w:rFonts w:ascii="Times New Roman" w:cs="Times New Roman" w:eastAsia="Times New Roman" w:hAnsi="Times New Roman"/>
          <w:sz w:val="19"/>
          <w:szCs w:val="19"/>
          <w:i w:val="1"/>
          <w:iCs w:val="1"/>
          <w:color w:val="auto"/>
        </w:rPr>
        <w:t>Change of Control Payment Date</w:t>
      </w:r>
      <w:r>
        <w:rPr>
          <w:rFonts w:ascii="Times New Roman" w:cs="Times New Roman" w:eastAsia="Times New Roman" w:hAnsi="Times New Roman"/>
          <w:sz w:val="19"/>
          <w:szCs w:val="19"/>
          <w:color w:val="auto"/>
        </w:rPr>
        <w:t>”);</w:t>
      </w:r>
    </w:p>
    <w:p>
      <w:pPr>
        <w:spacing w:after="0" w:line="129"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any Note not tendered shall continue to accrue interest;</w:t>
      </w:r>
    </w:p>
    <w:p>
      <w:pPr>
        <w:spacing w:after="0" w:line="151"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unless the Issuer defaults in the payment of the Change of Control Payment, all Notes accepted for payment pursuant to the Change of Control Offer shall cease to accrue interest after the Change of Control Payment Date;</w:t>
      </w:r>
    </w:p>
    <w:p>
      <w:pPr>
        <w:spacing w:after="0" w:line="129" w:lineRule="exact"/>
        <w:rPr>
          <w:rFonts w:ascii="Times New Roman" w:cs="Times New Roman" w:eastAsia="Times New Roman" w:hAnsi="Times New Roman"/>
          <w:sz w:val="19"/>
          <w:szCs w:val="19"/>
          <w:color w:val="auto"/>
        </w:rPr>
      </w:pPr>
    </w:p>
    <w:p>
      <w:pPr>
        <w:jc w:val="both"/>
        <w:ind w:left="540" w:firstLine="564"/>
        <w:spacing w:after="0" w:line="223" w:lineRule="auto"/>
        <w:tabs>
          <w:tab w:leader="none" w:pos="1647"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11260"/>
          </w:cols>
          <w:pgMar w:left="320" w:top="1239" w:right="319" w:bottom="1440" w:gutter="0" w:footer="0" w:header="0"/>
        </w:sectPr>
      </w:pPr>
    </w:p>
    <w:bookmarkStart w:id="47" w:name="page48"/>
    <w:bookmarkEnd w:id="47"/>
    <w:p>
      <w:pPr>
        <w:ind w:left="547"/>
        <w:spacing w:after="0"/>
        <w:rPr>
          <w:sz w:val="20"/>
          <w:szCs w:val="20"/>
          <w:color w:val="auto"/>
        </w:rPr>
      </w:pPr>
      <w:r>
        <w:rPr>
          <w:rFonts w:ascii="Times New Roman" w:cs="Times New Roman" w:eastAsia="Times New Roman" w:hAnsi="Times New Roman"/>
          <w:sz w:val="19"/>
          <w:szCs w:val="19"/>
          <w:color w:val="auto"/>
        </w:rPr>
        <w:t>notice prior to the close of business on the third Business Day preceding the Change of Control Payment Date;</w:t>
      </w:r>
    </w:p>
    <w:p>
      <w:pPr>
        <w:spacing w:after="0" w:line="152" w:lineRule="exact"/>
        <w:rPr>
          <w:sz w:val="20"/>
          <w:szCs w:val="20"/>
          <w:color w:val="auto"/>
        </w:rPr>
      </w:pPr>
    </w:p>
    <w:p>
      <w:pPr>
        <w:jc w:val="both"/>
        <w:ind w:left="547" w:firstLine="564"/>
        <w:spacing w:after="0" w:line="218" w:lineRule="auto"/>
        <w:tabs>
          <w:tab w:leader="none" w:pos="1655"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shall be entitled to withdraw their election if the Paying Agent receives, not later than the close of business on the second Business Day preceding the Change of Control Payment Date, a telegram, facsimile transmission or letter setting forth the name of the Holder, the principal amount of Notes delivered for purchase, and a statement that such Holder is withdrawing his election to have the Notes purchased; and</w:t>
      </w:r>
    </w:p>
    <w:p>
      <w:pPr>
        <w:spacing w:after="0" w:line="132" w:lineRule="exact"/>
        <w:rPr>
          <w:rFonts w:ascii="Times New Roman" w:cs="Times New Roman" w:eastAsia="Times New Roman" w:hAnsi="Times New Roman"/>
          <w:sz w:val="19"/>
          <w:szCs w:val="19"/>
          <w:color w:val="auto"/>
        </w:rPr>
      </w:pPr>
    </w:p>
    <w:p>
      <w:pPr>
        <w:jc w:val="both"/>
        <w:ind w:left="547" w:right="20" w:firstLine="564"/>
        <w:spacing w:after="0" w:line="223" w:lineRule="auto"/>
        <w:tabs>
          <w:tab w:leader="none" w:pos="1655"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Holders whose Notes are being purchased only in part shall be issued new Notes equal in principal amount to the unpurchased portion of the Notes surrendered, which unpurchased portion must be equal to US$200,000 or in integral multiples of US$1,000 in excess of US$200,000.</w:t>
      </w:r>
    </w:p>
    <w:p>
      <w:pPr>
        <w:spacing w:after="0" w:line="155" w:lineRule="exact"/>
        <w:rPr>
          <w:sz w:val="20"/>
          <w:szCs w:val="20"/>
          <w:color w:val="auto"/>
        </w:rPr>
      </w:pPr>
    </w:p>
    <w:p>
      <w:pPr>
        <w:jc w:val="both"/>
        <w:ind w:left="7" w:firstLine="556"/>
        <w:spacing w:after="0" w:line="325" w:lineRule="auto"/>
        <w:rPr>
          <w:sz w:val="20"/>
          <w:szCs w:val="20"/>
          <w:color w:val="auto"/>
        </w:rPr>
      </w:pPr>
      <w:r>
        <w:rPr>
          <w:rFonts w:ascii="Times New Roman" w:cs="Times New Roman" w:eastAsia="Times New Roman" w:hAnsi="Times New Roman"/>
          <w:sz w:val="17"/>
          <w:szCs w:val="17"/>
          <w:color w:val="auto"/>
        </w:rPr>
        <w:t>To the extent that the provisions of any applicable securities laws or regulations conflict with the provisions of this Section 4.08 and Section 4.10, the Issuer shall not be deemed to have breached its obligations under this Section 4.08 by virtue of its compliance with such laws and regulations.</w:t>
      </w:r>
    </w:p>
    <w:p>
      <w:pPr>
        <w:spacing w:after="0" w:line="72" w:lineRule="exact"/>
        <w:rPr>
          <w:sz w:val="20"/>
          <w:szCs w:val="20"/>
          <w:color w:val="auto"/>
        </w:rPr>
      </w:pPr>
    </w:p>
    <w:p>
      <w:pPr>
        <w:ind w:left="1107" w:hanging="552"/>
        <w:spacing w:after="0"/>
        <w:tabs>
          <w:tab w:leader="none" w:pos="110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Change of Control Payment Date, the Issuer shall, to the extent lawful:</w:t>
      </w:r>
    </w:p>
    <w:p>
      <w:pPr>
        <w:spacing w:after="0" w:line="151" w:lineRule="exact"/>
        <w:rPr>
          <w:rFonts w:ascii="Times New Roman" w:cs="Times New Roman" w:eastAsia="Times New Roman" w:hAnsi="Times New Roman"/>
          <w:sz w:val="19"/>
          <w:szCs w:val="19"/>
          <w:color w:val="auto"/>
        </w:rPr>
      </w:pPr>
    </w:p>
    <w:p>
      <w:pPr>
        <w:ind w:left="1667" w:hanging="556"/>
        <w:spacing w:after="0"/>
        <w:tabs>
          <w:tab w:leader="none" w:pos="1667"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accept for payment all Notes or portions thereof properly tendered pursuant to the Change of Control Offer;</w:t>
      </w:r>
    </w:p>
    <w:p>
      <w:pPr>
        <w:spacing w:after="0" w:line="151" w:lineRule="exact"/>
        <w:rPr>
          <w:rFonts w:ascii="Times New Roman" w:cs="Times New Roman" w:eastAsia="Times New Roman" w:hAnsi="Times New Roman"/>
          <w:sz w:val="19"/>
          <w:szCs w:val="19"/>
          <w:color w:val="auto"/>
        </w:rPr>
      </w:pPr>
    </w:p>
    <w:p>
      <w:pPr>
        <w:ind w:left="547" w:right="20" w:firstLine="564"/>
        <w:spacing w:after="0" w:line="234" w:lineRule="auto"/>
        <w:tabs>
          <w:tab w:leader="none" w:pos="1655"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 with the Paying Agent an amount equal to the Change of Control Payment in respect of all Notes or portions of Notes properly tendered; and</w:t>
      </w:r>
    </w:p>
    <w:p>
      <w:pPr>
        <w:spacing w:after="0" w:line="129" w:lineRule="exact"/>
        <w:rPr>
          <w:rFonts w:ascii="Times New Roman" w:cs="Times New Roman" w:eastAsia="Times New Roman" w:hAnsi="Times New Roman"/>
          <w:sz w:val="19"/>
          <w:szCs w:val="19"/>
          <w:color w:val="auto"/>
        </w:rPr>
      </w:pPr>
    </w:p>
    <w:p>
      <w:pPr>
        <w:ind w:left="547" w:right="20" w:firstLine="564"/>
        <w:spacing w:after="0" w:line="234" w:lineRule="auto"/>
        <w:tabs>
          <w:tab w:leader="none" w:pos="1655"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or cause to be delivered to the Trustee the Notes properly accepted together with an Officer’s Certificate stating the aggregate principal amount of Notes or portions of Notes being purchased by the Issuer.</w:t>
      </w:r>
    </w:p>
    <w:p>
      <w:pPr>
        <w:spacing w:after="0" w:line="153" w:lineRule="exact"/>
        <w:rPr>
          <w:sz w:val="20"/>
          <w:szCs w:val="20"/>
          <w:color w:val="auto"/>
        </w:rPr>
      </w:pPr>
    </w:p>
    <w:p>
      <w:pPr>
        <w:jc w:val="both"/>
        <w:ind w:left="7" w:firstLine="556"/>
        <w:spacing w:after="0" w:line="250" w:lineRule="auto"/>
        <w:rPr>
          <w:sz w:val="20"/>
          <w:szCs w:val="20"/>
          <w:color w:val="auto"/>
        </w:rPr>
      </w:pPr>
      <w:r>
        <w:rPr>
          <w:rFonts w:ascii="Times New Roman" w:cs="Times New Roman" w:eastAsia="Times New Roman" w:hAnsi="Times New Roman"/>
          <w:sz w:val="19"/>
          <w:szCs w:val="19"/>
          <w:color w:val="auto"/>
        </w:rPr>
        <w:t>The Paying Agent shall promptly deliver to each Holder of Notes properly tendered the Change of Control Payment for such Notes, and the Trustee shall promptly authenticate and deliver (or cause to be transferred by book entry) to each Holder a new Note equal in principal amount to any unpurchased portion of the Notes surrendered, if any; provided that each new Note shall be in a principal amount of US$200,000 or in integral multiples of US$1,000 in excess of US$200,000. The Issuer shall publicly announce the results of the Change of Control Offer on or as soon as practicable after the Change of Control Payment Date.</w:t>
      </w:r>
    </w:p>
    <w:p>
      <w:pPr>
        <w:spacing w:after="0" w:line="135" w:lineRule="exact"/>
        <w:rPr>
          <w:sz w:val="20"/>
          <w:szCs w:val="20"/>
          <w:color w:val="auto"/>
        </w:rPr>
      </w:pPr>
    </w:p>
    <w:p>
      <w:pPr>
        <w:jc w:val="both"/>
        <w:ind w:left="7" w:firstLine="548"/>
        <w:spacing w:after="0" w:line="235" w:lineRule="auto"/>
        <w:tabs>
          <w:tab w:leader="none" w:pos="111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Section 4.08, the Issuer shall not be required to make a Change of Control Offer upon a Change of Control Triggering Event if (1) a third party makes the Change of Control Offer in the manner, at the times and otherwise in compliance with the requirements set forth in this Section 4.08 and purchases all Notes validly tendered and not withdrawn under the Change of Control Offer or</w:t>
      </w:r>
    </w:p>
    <w:p>
      <w:pPr>
        <w:spacing w:after="0" w:line="1" w:lineRule="exact"/>
        <w:rPr>
          <w:rFonts w:ascii="Times New Roman" w:cs="Times New Roman" w:eastAsia="Times New Roman" w:hAnsi="Times New Roman"/>
          <w:sz w:val="17"/>
          <w:szCs w:val="17"/>
          <w:color w:val="auto"/>
        </w:rPr>
      </w:pPr>
    </w:p>
    <w:p>
      <w:pPr>
        <w:ind w:left="7" w:hanging="7"/>
        <w:spacing w:after="0" w:line="223" w:lineRule="auto"/>
        <w:tabs>
          <w:tab w:leader="none" w:pos="275"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notice of redemption has been given pursuant to Section 3.07, 3.09 or 3.10 hereof, unless and until there is a default in payment of the applicable redemption price.</w:t>
      </w:r>
    </w:p>
    <w:p>
      <w:pPr>
        <w:spacing w:after="0" w:line="126" w:lineRule="exact"/>
        <w:rPr>
          <w:sz w:val="20"/>
          <w:szCs w:val="20"/>
          <w:color w:val="auto"/>
        </w:rPr>
      </w:pPr>
    </w:p>
    <w:p>
      <w:pPr>
        <w:ind w:left="7"/>
        <w:spacing w:after="0"/>
        <w:tabs>
          <w:tab w:leader="none" w:pos="1087" w:val="left"/>
        </w:tabs>
        <w:rPr>
          <w:sz w:val="20"/>
          <w:szCs w:val="20"/>
          <w:color w:val="auto"/>
        </w:rPr>
      </w:pPr>
      <w:r>
        <w:rPr>
          <w:rFonts w:ascii="Times New Roman" w:cs="Times New Roman" w:eastAsia="Times New Roman" w:hAnsi="Times New Roman"/>
          <w:sz w:val="19"/>
          <w:szCs w:val="19"/>
          <w:color w:val="auto"/>
        </w:rPr>
        <w:t>Section 4.09</w:t>
      </w:r>
      <w:r>
        <w:rPr>
          <w:sz w:val="20"/>
          <w:szCs w:val="20"/>
          <w:color w:val="auto"/>
        </w:rPr>
        <w:tab/>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left="7" w:right="20" w:firstLine="548"/>
        <w:spacing w:after="0" w:line="225" w:lineRule="auto"/>
        <w:tabs>
          <w:tab w:leader="none" w:pos="1116"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by or on behalf of the Issuer or the surviving entity described under Section 5.01 hereof (the “</w:t>
      </w:r>
      <w:r>
        <w:rPr>
          <w:rFonts w:ascii="Times New Roman" w:cs="Times New Roman" w:eastAsia="Times New Roman" w:hAnsi="Times New Roman"/>
          <w:sz w:val="19"/>
          <w:szCs w:val="19"/>
          <w:i w:val="1"/>
          <w:iCs w:val="1"/>
          <w:color w:val="auto"/>
        </w:rPr>
        <w:t>Surviving Person</w:t>
      </w:r>
      <w:r>
        <w:rPr>
          <w:rFonts w:ascii="Times New Roman" w:cs="Times New Roman" w:eastAsia="Times New Roman" w:hAnsi="Times New Roman"/>
          <w:sz w:val="19"/>
          <w:szCs w:val="19"/>
          <w:color w:val="auto"/>
        </w:rPr>
        <w:t>”) under or with respect to (including any principal of, and premium (if any) and interest on) the Notes shall be made without withholding or deduction for, or on account of, any present or future taxes, duties,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11267"/>
          </w:cols>
          <w:pgMar w:left="313" w:top="1216" w:right="319" w:bottom="1440" w:gutter="0" w:footer="0" w:header="0"/>
        </w:sectPr>
      </w:pPr>
    </w:p>
    <w:bookmarkStart w:id="48" w:name="page49"/>
    <w:bookmarkEnd w:id="48"/>
    <w:p>
      <w:pPr>
        <w:jc w:val="both"/>
        <w:spacing w:after="0" w:line="215" w:lineRule="auto"/>
        <w:rPr>
          <w:sz w:val="20"/>
          <w:szCs w:val="20"/>
          <w:color w:val="auto"/>
        </w:rPr>
      </w:pPr>
      <w:r>
        <w:rPr>
          <w:rFonts w:ascii="Times New Roman" w:cs="Times New Roman" w:eastAsia="Times New Roman" w:hAnsi="Times New Roman"/>
          <w:sz w:val="19"/>
          <w:szCs w:val="19"/>
          <w:color w:val="auto"/>
        </w:rPr>
        <w:t>assessments or governmental charges (including, without limitation, penalties, interest and other similar liabilities related thereto) of whatever nature (“</w:t>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 imposed or levied by or within any jurisdiction in which the Issuer or the Surviving Person is organized, resident or doing business for tax purposes or any jurisdiction from or through which payment is made (including the jurisdiction of any Paying Agent), or, in each case, any political subdivision or taxing authority thereof or therein (each, as applicable, a “</w:t>
      </w:r>
      <w:r>
        <w:rPr>
          <w:rFonts w:ascii="Times New Roman" w:cs="Times New Roman" w:eastAsia="Times New Roman" w:hAnsi="Times New Roman"/>
          <w:sz w:val="19"/>
          <w:szCs w:val="19"/>
          <w:i w:val="1"/>
          <w:iCs w:val="1"/>
          <w:color w:val="auto"/>
        </w:rPr>
        <w:t>Relevant Jurisdiction</w:t>
      </w:r>
      <w:r>
        <w:rPr>
          <w:rFonts w:ascii="Times New Roman" w:cs="Times New Roman" w:eastAsia="Times New Roman" w:hAnsi="Times New Roman"/>
          <w:sz w:val="19"/>
          <w:szCs w:val="19"/>
          <w:color w:val="auto"/>
        </w:rPr>
        <w:t>”), unless such withholding or deduction is required by law or by regulation or governmental policy having the force of law.</w:t>
      </w:r>
    </w:p>
    <w:p>
      <w:pPr>
        <w:spacing w:after="0" w:line="133" w:lineRule="exact"/>
        <w:rPr>
          <w:sz w:val="20"/>
          <w:szCs w:val="20"/>
          <w:color w:val="auto"/>
        </w:rPr>
      </w:pPr>
    </w:p>
    <w:p>
      <w:pPr>
        <w:jc w:val="both"/>
        <w:ind w:firstLine="548"/>
        <w:spacing w:after="0" w:line="218" w:lineRule="auto"/>
        <w:tabs>
          <w:tab w:leader="none" w:pos="1107"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such withholding or deduction is so required, the Issuer or the Surviving Person, as the case may be, shall make such withholding or deduction, make payment of the amount so withheld or deducted to the appropriate governmental authority as required by applicable law and pay such additional amounts (“</w:t>
      </w:r>
      <w:r>
        <w:rPr>
          <w:rFonts w:ascii="Times New Roman" w:cs="Times New Roman" w:eastAsia="Times New Roman" w:hAnsi="Times New Roman"/>
          <w:sz w:val="19"/>
          <w:szCs w:val="19"/>
          <w:i w:val="1"/>
          <w:iCs w:val="1"/>
          <w:color w:val="auto"/>
        </w:rPr>
        <w:t>Additional Amounts</w:t>
      </w:r>
      <w:r>
        <w:rPr>
          <w:rFonts w:ascii="Times New Roman" w:cs="Times New Roman" w:eastAsia="Times New Roman" w:hAnsi="Times New Roman"/>
          <w:sz w:val="19"/>
          <w:szCs w:val="19"/>
          <w:color w:val="auto"/>
        </w:rPr>
        <w:t>”) as shall result in receipt of such amounts that would have been received had no such withholding or deduction been required, provided that no Additional Amounts shall be payable with respect to any Note:</w:t>
      </w:r>
    </w:p>
    <w:p>
      <w:pPr>
        <w:spacing w:after="0" w:line="132"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or on account of:</w:t>
      </w:r>
    </w:p>
    <w:p>
      <w:pPr>
        <w:spacing w:after="0" w:line="151" w:lineRule="exact"/>
        <w:rPr>
          <w:rFonts w:ascii="Times New Roman" w:cs="Times New Roman" w:eastAsia="Times New Roman" w:hAnsi="Times New Roman"/>
          <w:sz w:val="19"/>
          <w:szCs w:val="19"/>
          <w:color w:val="auto"/>
        </w:rPr>
      </w:pPr>
    </w:p>
    <w:p>
      <w:pPr>
        <w:ind w:left="2200" w:hanging="541"/>
        <w:spacing w:after="0"/>
        <w:tabs>
          <w:tab w:leader="none" w:pos="2200"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Taxes that would not have been imposed but for:</w:t>
      </w:r>
    </w:p>
    <w:p>
      <w:pPr>
        <w:spacing w:after="0" w:line="151" w:lineRule="exact"/>
        <w:rPr>
          <w:rFonts w:ascii="Times New Roman" w:cs="Times New Roman" w:eastAsia="Times New Roman" w:hAnsi="Times New Roman"/>
          <w:sz w:val="19"/>
          <w:szCs w:val="19"/>
          <w:color w:val="auto"/>
        </w:rPr>
      </w:pPr>
    </w:p>
    <w:p>
      <w:pPr>
        <w:jc w:val="both"/>
        <w:ind w:left="1660" w:firstLine="555"/>
        <w:spacing w:after="0" w:line="210" w:lineRule="auto"/>
        <w:tabs>
          <w:tab w:leader="none" w:pos="2761" w:val="left"/>
        </w:tabs>
        <w:numPr>
          <w:ilvl w:val="3"/>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present or former connection between the Holder or Beneficial Owner (or between a fiduciary, settlor, beneficiary, member or shareholder of, or possession of power over, such Holder or Beneficial Owner, if such Holder or Beneficial Owner is an estate, a trust, a partnership, or a corporation) of such Note, as the case may be, and the Relevant Jurisdiction, including without limitation, such Holder or Beneficial Owner being or having been a citizen, domiciliary or resident of such Relevant Jurisdiction, being or having been treated as a resident of such Relevant Jurisdiction, being or having been present or engaged in a trade or business in such Relevant Jurisdiction or having or having had a permanent establishment in such Relevant Jurisdiction, other than any connection arising from the mere receipt, ownership, holding or disposition of such Note or the receipt of payments thereunder or merely by reason of the exercise or enforcement of rights under such Note;</w:t>
      </w:r>
    </w:p>
    <w:p>
      <w:pPr>
        <w:spacing w:after="0" w:line="131" w:lineRule="exact"/>
        <w:rPr>
          <w:rFonts w:ascii="Times New Roman" w:cs="Times New Roman" w:eastAsia="Times New Roman" w:hAnsi="Times New Roman"/>
          <w:sz w:val="19"/>
          <w:szCs w:val="19"/>
          <w:color w:val="auto"/>
        </w:rPr>
      </w:pPr>
    </w:p>
    <w:p>
      <w:pPr>
        <w:jc w:val="both"/>
        <w:ind w:left="1660" w:right="20" w:firstLine="555"/>
        <w:spacing w:after="0" w:line="218" w:lineRule="auto"/>
        <w:tabs>
          <w:tab w:leader="none" w:pos="2766" w:val="left"/>
        </w:tabs>
        <w:numPr>
          <w:ilvl w:val="3"/>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presentation of such Note (where presentation is required) more than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32" w:lineRule="exact"/>
        <w:rPr>
          <w:rFonts w:ascii="Times New Roman" w:cs="Times New Roman" w:eastAsia="Times New Roman" w:hAnsi="Times New Roman"/>
          <w:sz w:val="19"/>
          <w:szCs w:val="19"/>
          <w:color w:val="auto"/>
        </w:rPr>
      </w:pPr>
    </w:p>
    <w:p>
      <w:pPr>
        <w:jc w:val="both"/>
        <w:ind w:left="1660" w:firstLine="555"/>
        <w:spacing w:after="0" w:line="223" w:lineRule="auto"/>
        <w:tabs>
          <w:tab w:leader="none" w:pos="2771" w:val="left"/>
        </w:tabs>
        <w:numPr>
          <w:ilvl w:val="3"/>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the Holder or Beneficial Owner of such Note to comply with a timely request of the Issuer or the Surviving Person addressed to such Holder or Beneficial Owner to provide information or other evidence concerning such Holder’s or Beneficial Owner’s nationality, residence, identity or connection with the Relevant Jurisdiction; or</w:t>
      </w:r>
    </w:p>
    <w:p>
      <w:pPr>
        <w:spacing w:after="0" w:line="131" w:lineRule="exact"/>
        <w:rPr>
          <w:rFonts w:ascii="Times New Roman" w:cs="Times New Roman" w:eastAsia="Times New Roman" w:hAnsi="Times New Roman"/>
          <w:sz w:val="19"/>
          <w:szCs w:val="19"/>
          <w:color w:val="auto"/>
        </w:rPr>
      </w:pPr>
    </w:p>
    <w:p>
      <w:pPr>
        <w:ind w:left="1660" w:right="20" w:firstLine="555"/>
        <w:spacing w:after="0" w:line="234" w:lineRule="auto"/>
        <w:tabs>
          <w:tab w:leader="none" w:pos="2761" w:val="left"/>
        </w:tabs>
        <w:numPr>
          <w:ilvl w:val="3"/>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presentation of such Note for payment by or on behalf of a Holder of such Note who would have been able to avoid such withholding or deduction by presenting such Note to another Paying Agent;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11260"/>
          </w:cols>
          <w:pgMar w:left="320" w:top="1216" w:right="319" w:bottom="1440" w:gutter="0" w:footer="0" w:header="0"/>
        </w:sectPr>
      </w:pPr>
    </w:p>
    <w:bookmarkStart w:id="49" w:name="page50"/>
    <w:bookmarkEnd w:id="49"/>
    <w:p>
      <w:pPr>
        <w:ind w:left="1100" w:right="20" w:firstLine="559"/>
        <w:spacing w:after="0" w:line="234" w:lineRule="auto"/>
        <w:tabs>
          <w:tab w:leader="none" w:pos="2203"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estate, inheritance, gift, sales, transfer, capital gains, personal property or similar Tax or any excise Tax imposed on the transfer of Notes;</w:t>
      </w:r>
    </w:p>
    <w:p>
      <w:pPr>
        <w:spacing w:after="0" w:line="129" w:lineRule="exact"/>
        <w:rPr>
          <w:rFonts w:ascii="Times New Roman" w:cs="Times New Roman" w:eastAsia="Times New Roman" w:hAnsi="Times New Roman"/>
          <w:sz w:val="19"/>
          <w:szCs w:val="19"/>
          <w:color w:val="auto"/>
        </w:rPr>
      </w:pPr>
    </w:p>
    <w:p>
      <w:pPr>
        <w:ind w:left="1100" w:firstLine="559"/>
        <w:spacing w:after="0" w:line="234" w:lineRule="auto"/>
        <w:tabs>
          <w:tab w:leader="none" w:pos="2203"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Taxes that are payable other than by withholding or deduction from payments of principal of, or premium (if any) or interest on the Note;</w:t>
      </w:r>
    </w:p>
    <w:p>
      <w:pPr>
        <w:spacing w:after="0" w:line="129" w:lineRule="exact"/>
        <w:rPr>
          <w:rFonts w:ascii="Times New Roman" w:cs="Times New Roman" w:eastAsia="Times New Roman" w:hAnsi="Times New Roman"/>
          <w:sz w:val="19"/>
          <w:szCs w:val="19"/>
          <w:color w:val="auto"/>
        </w:rPr>
      </w:pPr>
    </w:p>
    <w:p>
      <w:pPr>
        <w:jc w:val="both"/>
        <w:ind w:left="1100" w:firstLine="559"/>
        <w:spacing w:after="0" w:line="215" w:lineRule="auto"/>
        <w:tabs>
          <w:tab w:leader="none" w:pos="2202"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tax, duty, assessment or other governmental charge which is required to be deducted or withheld under Sections 1471 through 1474 of the U.S. Internal Revenue Code of 1986, as amended, or any amended or successor versions of such Sections (“</w:t>
      </w:r>
      <w:r>
        <w:rPr>
          <w:rFonts w:ascii="Times New Roman" w:cs="Times New Roman" w:eastAsia="Times New Roman" w:hAnsi="Times New Roman"/>
          <w:sz w:val="19"/>
          <w:szCs w:val="19"/>
          <w:i w:val="1"/>
          <w:iCs w:val="1"/>
          <w:color w:val="auto"/>
        </w:rPr>
        <w:t>FATCA</w:t>
      </w:r>
      <w:r>
        <w:rPr>
          <w:rFonts w:ascii="Times New Roman" w:cs="Times New Roman" w:eastAsia="Times New Roman" w:hAnsi="Times New Roman"/>
          <w:sz w:val="19"/>
          <w:szCs w:val="19"/>
          <w:color w:val="auto"/>
        </w:rPr>
        <w:t>”),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32" w:lineRule="exact"/>
        <w:rPr>
          <w:rFonts w:ascii="Times New Roman" w:cs="Times New Roman" w:eastAsia="Times New Roman" w:hAnsi="Times New Roman"/>
          <w:sz w:val="19"/>
          <w:szCs w:val="19"/>
          <w:color w:val="auto"/>
        </w:rPr>
      </w:pPr>
    </w:p>
    <w:p>
      <w:pPr>
        <w:ind w:left="2200" w:hanging="541"/>
        <w:spacing w:after="0"/>
        <w:tabs>
          <w:tab w:leader="none" w:pos="2200"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combination of Taxes referred to in the preceding clauses (A), (B), (C) and (D); or</w:t>
      </w:r>
    </w:p>
    <w:p>
      <w:pPr>
        <w:spacing w:after="0" w:line="151" w:lineRule="exact"/>
        <w:rPr>
          <w:rFonts w:ascii="Times New Roman" w:cs="Times New Roman" w:eastAsia="Times New Roman" w:hAnsi="Times New Roman"/>
          <w:sz w:val="19"/>
          <w:szCs w:val="19"/>
          <w:color w:val="auto"/>
        </w:rPr>
      </w:pPr>
    </w:p>
    <w:p>
      <w:pPr>
        <w:jc w:val="both"/>
        <w:ind w:left="540" w:firstLine="564"/>
        <w:spacing w:after="0" w:line="213" w:lineRule="auto"/>
        <w:tabs>
          <w:tab w:leader="none" w:pos="1647"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payment of the principal of, or premium (if any) or interest on, such Note to or for the account of a fiduciary, partnership, limited liability company or other fiscally transparent entity or any other person (other than the sole Beneficial Owner of such payment) to the extent that a beneficiary or settlor with respect to that fiduciary, or a partner or member of that partnership or an interest Holder in that limited liability company or fiscally transparent entity or a Beneficial Owner with respect to such other person, as the case may be, would not have been entitled to such Additional Amounts had such beneficiary, settlor, partner, member, interest Holder or Beneficial Owner held directly the Note with respect to which such payment was made.</w:t>
      </w:r>
    </w:p>
    <w:p>
      <w:pPr>
        <w:spacing w:after="0" w:line="133" w:lineRule="exact"/>
        <w:rPr>
          <w:rFonts w:ascii="Times New Roman" w:cs="Times New Roman" w:eastAsia="Times New Roman" w:hAnsi="Times New Roman"/>
          <w:sz w:val="19"/>
          <w:szCs w:val="19"/>
          <w:color w:val="auto"/>
        </w:rPr>
      </w:pPr>
    </w:p>
    <w:p>
      <w:pPr>
        <w:jc w:val="both"/>
        <w:ind w:firstLine="548"/>
        <w:spacing w:after="0" w:line="212" w:lineRule="auto"/>
        <w:tabs>
          <w:tab w:leader="none" w:pos="110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the Issuer and the Surviving Person shall pay and indemnify the Holder for any present or future stamp, issue, registration, court, property or documentary taxes, or any other excise or property taxes, charges or similar levies or taxes (including without limitation, interest and penalties with respect thereto) levied by any Relevant Jurisdiction on the execution, delivery, registration or enforcement of any of the Notes, this Indenture or any other document or instrument referred to therein or on the receipt of any payments with respect thereto (limited, solely in the case of taxes attributable to the receipt of any payments with respect thereto, to any such taxes imposed in a Relevant Jurisdiction that are not excluded under Sections 4.09(b)(1)(A) thorough (C) hereof (or any combination thereof) or Section 4.09(b)(2) hereof and excluding, for the avoidance of doubt, any net income taxes imposed on the receipt of any payments with respect thereto).</w:t>
      </w:r>
    </w:p>
    <w:p>
      <w:pPr>
        <w:spacing w:after="0" w:line="130" w:lineRule="exact"/>
        <w:rPr>
          <w:rFonts w:ascii="Times New Roman" w:cs="Times New Roman" w:eastAsia="Times New Roman" w:hAnsi="Times New Roman"/>
          <w:sz w:val="19"/>
          <w:szCs w:val="19"/>
          <w:color w:val="auto"/>
        </w:rPr>
      </w:pPr>
    </w:p>
    <w:p>
      <w:pPr>
        <w:jc w:val="both"/>
        <w:ind w:firstLine="548"/>
        <w:spacing w:after="0" w:line="209" w:lineRule="auto"/>
        <w:tabs>
          <w:tab w:leader="none" w:pos="1107"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Issuer or the Surviving Person, as the case may be, becomes aware that it shall be obligated to pay Additional Amounts with respect to any payment under or with respect to the Notes, the Issuer or the Surviving Person, as the case may be, shall deliver to the Trustee on a date that is at least 30 days prior to the date of that payment (unless the obligation to pay Additional Amounts arises, or the Issuer or the Surviving Person becomes aware of such obligation, after the 30th day prior to that payment date, in which case the Issuer or the Surviving Person, as the case may be, shall notify the Trustee in writing promptly thereafter) an Officer’s Certificate stating the fact that Additional Amounts shall be payable and the amount estimated to be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and shall not be responsible for the calculation of any Additional Amounts. Upon request of the Trustee, the Issuer or the Surviving Person shall provide the Trustee with documentation reasonably satisfactory to the Trustee evidencing the payment of Additional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11260"/>
          </w:cols>
          <w:pgMar w:left="320" w:top="1216" w:right="319" w:bottom="1440" w:gutter="0" w:footer="0" w:header="0"/>
        </w:sectPr>
      </w:pPr>
    </w:p>
    <w:bookmarkStart w:id="50" w:name="page51"/>
    <w:bookmarkEnd w:id="50"/>
    <w:p>
      <w:pPr>
        <w:jc w:val="both"/>
        <w:ind w:firstLine="548"/>
        <w:spacing w:after="0" w:line="213" w:lineRule="auto"/>
        <w:tabs>
          <w:tab w:leader="none" w:pos="1108"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or the Surviving Person shall make all withholdings and deductions required by law and shall remit the full amount deducted or withheld to the relevant tax authority in accordance with applicable law. The Issuer or the Surviving Person shall provide to the Trustee an official receipt or, if official receipts are not obtainable, other documentation reasonably satisfactory to the Trustee evidencing the payment of any Taxes so deducted or withheld. Upon written request, the Trustee shall make available to Holders copies of those receipts or other documentation, as the case may be. The Trustee shall not be responsible for ensuring that the withholding and deduction of any amount has been properly made and shall incur no liability in connection therewith.</w:t>
      </w:r>
    </w:p>
    <w:p>
      <w:pPr>
        <w:spacing w:after="0" w:line="133" w:lineRule="exact"/>
        <w:rPr>
          <w:rFonts w:ascii="Times New Roman" w:cs="Times New Roman" w:eastAsia="Times New Roman" w:hAnsi="Times New Roman"/>
          <w:sz w:val="19"/>
          <w:szCs w:val="19"/>
          <w:color w:val="auto"/>
        </w:rPr>
      </w:pPr>
    </w:p>
    <w:p>
      <w:pPr>
        <w:jc w:val="both"/>
        <w:ind w:firstLine="548"/>
        <w:spacing w:after="0" w:line="223" w:lineRule="auto"/>
        <w:tabs>
          <w:tab w:leader="none" w:pos="1111"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there is mentioned in any context the payment of principal of, and any premium or interest on, any Note, such mention shall be deemed to include payment of Additional Amounts provided for in this Indenture to the extent that, in such context, Additional Amounts are, were or would be payable in respect thereof.</w:t>
      </w:r>
    </w:p>
    <w:p>
      <w:pPr>
        <w:spacing w:after="0" w:line="13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7"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set forth in this Section 4.09 shall survive any termination, defeasance or discharge of this Indenture, any transfer by a Holder or Beneficial Owner of its Notes, and shall apply, mutatis mutandis, to any jurisdiction in which any successor Person to the Issuer is organized, resident or doing business for tax purposes or any jurisdiction from or through which payment is made.</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4.10</w:t>
      </w:r>
      <w:r>
        <w:rPr>
          <w:sz w:val="20"/>
          <w:szCs w:val="20"/>
          <w:color w:val="auto"/>
        </w:rPr>
        <w:tab/>
      </w:r>
      <w:r>
        <w:rPr>
          <w:rFonts w:ascii="Times New Roman" w:cs="Times New Roman" w:eastAsia="Times New Roman" w:hAnsi="Times New Roman"/>
          <w:sz w:val="17"/>
          <w:szCs w:val="17"/>
          <w:i w:val="1"/>
          <w:iCs w:val="1"/>
          <w:color w:val="auto"/>
        </w:rPr>
        <w:t>Special Put Option</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548"/>
        <w:spacing w:after="0" w:line="235" w:lineRule="auto"/>
        <w:tabs>
          <w:tab w:leader="none" w:pos="11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Special Put Option Triggering Event, each Holder shall have the right to require the Issuer to repurchase all or any part of such Holder’s Notes pursuant to a Special Put Option Offer (as defined below) as set forth below. In the Special Put Option Offer, the Issuer shall offer to purchase the Notes at a purchase price in cash equal to 100% of the principal amount thereof, plus accrued and unpaid interest, if any, and Additional Amounts, if any, to (but excluding) the date of repurchase (subject to the right of Holders on the relevant record date to receive interest due on the relevant interest payment date), except to the extent the Issuer has exercised its right to redeem the Notes in full by delivery of a notice of redemption pursuant to Section 3.03 hereof. Within ten (10) days following the occurrence of a Special Put Option Triggering Event, except to the extent that the Issuer has exercised its right to redeem the Notes in full by delivery of a notice of redemption pursuant to Section 3.03 or Section 3.09 hereof, the Issuer shall deliver a notice (a “</w:t>
      </w:r>
      <w:r>
        <w:rPr>
          <w:rFonts w:ascii="Times New Roman" w:cs="Times New Roman" w:eastAsia="Times New Roman" w:hAnsi="Times New Roman"/>
          <w:sz w:val="17"/>
          <w:szCs w:val="17"/>
          <w:i w:val="1"/>
          <w:iCs w:val="1"/>
          <w:color w:val="auto"/>
        </w:rPr>
        <w:t>Special Put Option Offer</w:t>
      </w:r>
      <w:r>
        <w:rPr>
          <w:rFonts w:ascii="Times New Roman" w:cs="Times New Roman" w:eastAsia="Times New Roman" w:hAnsi="Times New Roman"/>
          <w:sz w:val="17"/>
          <w:szCs w:val="17"/>
          <w:color w:val="auto"/>
        </w:rPr>
        <w:t>”) to each Holder with a copy to the Trustee and the Paying Agent stating:</w:t>
      </w:r>
    </w:p>
    <w:p>
      <w:pPr>
        <w:spacing w:after="0" w:line="135" w:lineRule="exact"/>
        <w:rPr>
          <w:rFonts w:ascii="Times New Roman" w:cs="Times New Roman" w:eastAsia="Times New Roman" w:hAnsi="Times New Roman"/>
          <w:sz w:val="17"/>
          <w:szCs w:val="17"/>
          <w:color w:val="auto"/>
        </w:rPr>
      </w:pPr>
    </w:p>
    <w:p>
      <w:pPr>
        <w:jc w:val="both"/>
        <w:ind w:left="540" w:firstLine="564"/>
        <w:spacing w:after="0" w:line="218" w:lineRule="auto"/>
        <w:tabs>
          <w:tab w:leader="none" w:pos="1647"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a Special Put Option Triggering Event has occurred and that such Holder has the right to require the Issuer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132"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repurchase date (which shall be no earlier than 10 days nor later than 60 days from the date such notice is delivered); and</w:t>
      </w:r>
    </w:p>
    <w:p>
      <w:pPr>
        <w:spacing w:after="0" w:line="138"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instructions determined by the Issuer, consistent with this covenant, that a Holder must follow in order to have its Notes</w:t>
      </w:r>
    </w:p>
    <w:p>
      <w:pPr>
        <w:ind w:left="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repurchased.</w:t>
      </w:r>
    </w:p>
    <w:p>
      <w:pPr>
        <w:spacing w:after="0" w:line="13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date of repurchase pursuant to a Special Put Option Offer, the Issuer shall, to the extent lawful:</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accept for payment all Notes or portions of Notes properly tendered pursuant to the Special Put Option Offer;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11260"/>
          </w:cols>
          <w:pgMar w:left="320" w:top="1216" w:right="319" w:bottom="1440" w:gutter="0" w:footer="0" w:header="0"/>
        </w:sectPr>
      </w:pPr>
    </w:p>
    <w:bookmarkStart w:id="51" w:name="page52"/>
    <w:bookmarkEnd w:id="51"/>
    <w:p>
      <w:pPr>
        <w:jc w:val="both"/>
        <w:ind w:left="540" w:firstLine="564"/>
        <w:spacing w:after="0" w:line="223" w:lineRule="auto"/>
        <w:tabs>
          <w:tab w:leader="none" w:pos="1647"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 with the Paying Agent an amount equal to the repurchase price, plus accrued and unpaid interest, if any, and Additional Amounts, if any, to but excluding the date of repurchase (the “</w:t>
      </w:r>
      <w:r>
        <w:rPr>
          <w:rFonts w:ascii="Times New Roman" w:cs="Times New Roman" w:eastAsia="Times New Roman" w:hAnsi="Times New Roman"/>
          <w:sz w:val="19"/>
          <w:szCs w:val="19"/>
          <w:i w:val="1"/>
          <w:iCs w:val="1"/>
          <w:color w:val="auto"/>
        </w:rPr>
        <w:t>Special Put Option Payment</w:t>
      </w:r>
      <w:r>
        <w:rPr>
          <w:rFonts w:ascii="Times New Roman" w:cs="Times New Roman" w:eastAsia="Times New Roman" w:hAnsi="Times New Roman"/>
          <w:sz w:val="19"/>
          <w:szCs w:val="19"/>
          <w:color w:val="auto"/>
        </w:rPr>
        <w:t>”), in respect of all Notes or portions of Notes properly tendered; and</w:t>
      </w:r>
    </w:p>
    <w:p>
      <w:pPr>
        <w:spacing w:after="0" w:line="131"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or cause to be delivered to the Trustee, the Notes properly accepted together with an Officer’s Certificate stating the aggregate principal amount of Notes or portions of Notes being purchased by the Issuer.</w:t>
      </w:r>
    </w:p>
    <w:p>
      <w:pPr>
        <w:spacing w:after="0" w:line="153" w:lineRule="exact"/>
        <w:rPr>
          <w:sz w:val="20"/>
          <w:szCs w:val="20"/>
          <w:color w:val="auto"/>
        </w:rPr>
      </w:pPr>
    </w:p>
    <w:p>
      <w:pPr>
        <w:jc w:val="both"/>
        <w:ind w:firstLine="1111"/>
        <w:spacing w:after="0" w:line="253" w:lineRule="auto"/>
        <w:rPr>
          <w:sz w:val="20"/>
          <w:szCs w:val="20"/>
          <w:color w:val="auto"/>
        </w:rPr>
      </w:pPr>
      <w:r>
        <w:rPr>
          <w:rFonts w:ascii="Times New Roman" w:cs="Times New Roman" w:eastAsia="Times New Roman" w:hAnsi="Times New Roman"/>
          <w:sz w:val="19"/>
          <w:szCs w:val="19"/>
          <w:color w:val="auto"/>
        </w:rPr>
        <w:t>The Paying Agent shall promptly deliver to each Holder of Notes properly tendered the Special Put Option Payment for such Notes, and upon receipt of an Authentication Order, the Trustee shall promptly authenticate and deliver (or cause to be transferred by book-entry) to each Holder a new Note equal in principal amount to any unpurchased portion of the Notes surrendered, if any.</w:t>
      </w:r>
    </w:p>
    <w:p>
      <w:pPr>
        <w:spacing w:after="0" w:line="142" w:lineRule="exact"/>
        <w:rPr>
          <w:sz w:val="20"/>
          <w:szCs w:val="20"/>
          <w:color w:val="auto"/>
        </w:rPr>
      </w:pPr>
    </w:p>
    <w:p>
      <w:pPr>
        <w:jc w:val="both"/>
        <w:ind w:firstLine="548"/>
        <w:spacing w:after="0" w:line="213" w:lineRule="auto"/>
        <w:tabs>
          <w:tab w:leader="none" w:pos="110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4.10, the Issuer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Issuer and purchases all Notes properly tendered and not withdrawn under the Special Put Option Offer, or (2) notice of redemption has been given in accordance with the terms of the Indenture, as described above under Section 3.07 hereof or Section 3.09 hereof pursuant to which the Issuer has exercised its right to redeem the Notes in full, unless and until there is a default in payment of the applicable redemption price.</w:t>
      </w:r>
    </w:p>
    <w:p>
      <w:pPr>
        <w:spacing w:after="0" w:line="133"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7"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repurchased by the Issuer pursuant to a Special Put Option Offer will have the status of Notes issued but not outstanding or will be retired and canceled at the option of the Issuer. Subject to Section 2.09 hereof, Notes purchased by a third party pursuant to the preceding paragraph will have the status of Notes issued and outstanding.</w:t>
      </w:r>
    </w:p>
    <w:p>
      <w:pPr>
        <w:spacing w:after="0" w:line="131" w:lineRule="exact"/>
        <w:rPr>
          <w:rFonts w:ascii="Times New Roman" w:cs="Times New Roman" w:eastAsia="Times New Roman" w:hAnsi="Times New Roman"/>
          <w:sz w:val="19"/>
          <w:szCs w:val="19"/>
          <w:color w:val="auto"/>
        </w:rPr>
      </w:pPr>
    </w:p>
    <w:p>
      <w:pPr>
        <w:ind w:right="20" w:firstLine="548"/>
        <w:spacing w:after="0" w:line="234" w:lineRule="auto"/>
        <w:tabs>
          <w:tab w:leader="none" w:pos="110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described above that require the Issuer to make a Special Put Option Offer following a Special Put Option Triggering Event will be applicable whether or not any other provisions of this Indenture are applicable.</w:t>
      </w:r>
    </w:p>
    <w:p>
      <w:pPr>
        <w:spacing w:after="0" w:line="129" w:lineRule="exact"/>
        <w:rPr>
          <w:rFonts w:ascii="Times New Roman" w:cs="Times New Roman" w:eastAsia="Times New Roman" w:hAnsi="Times New Roman"/>
          <w:sz w:val="19"/>
          <w:szCs w:val="19"/>
          <w:color w:val="auto"/>
        </w:rPr>
      </w:pPr>
    </w:p>
    <w:p>
      <w:pPr>
        <w:jc w:val="both"/>
        <w:ind w:firstLine="548"/>
        <w:spacing w:after="0" w:line="223" w:lineRule="auto"/>
        <w:tabs>
          <w:tab w:leader="none" w:pos="111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following the repurchase date applicable to a Special Put Option Offer, holders of Notes who did not properly tender their Notes in the Special Put Option Offer will not have the further right to require the Issuer to repurchase such holders’ Notes with respect to that Special Put Option Triggering Event.</w:t>
      </w:r>
    </w:p>
    <w:p>
      <w:pPr>
        <w:spacing w:after="0" w:line="1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5</w:t>
      </w:r>
    </w:p>
    <w:p>
      <w:pPr>
        <w:ind w:left="5040"/>
        <w:spacing w:after="0"/>
        <w:rPr>
          <w:sz w:val="20"/>
          <w:szCs w:val="20"/>
          <w:color w:val="auto"/>
        </w:rPr>
      </w:pPr>
      <w:r>
        <w:rPr>
          <w:rFonts w:ascii="Times New Roman" w:cs="Times New Roman" w:eastAsia="Times New Roman" w:hAnsi="Times New Roman"/>
          <w:sz w:val="19"/>
          <w:szCs w:val="19"/>
          <w:color w:val="auto"/>
        </w:rPr>
        <w:t>SUCCESSORS</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5.01</w:t>
      </w:r>
      <w:r>
        <w:rPr>
          <w:sz w:val="20"/>
          <w:szCs w:val="20"/>
          <w:color w:val="auto"/>
        </w:rPr>
        <w:tab/>
      </w:r>
      <w:r>
        <w:rPr>
          <w:rFonts w:ascii="Times New Roman" w:cs="Times New Roman" w:eastAsia="Times New Roman" w:hAnsi="Times New Roman"/>
          <w:sz w:val="17"/>
          <w:szCs w:val="17"/>
          <w:i w:val="1"/>
          <w:iCs w:val="1"/>
          <w:color w:val="auto"/>
        </w:rPr>
        <w:t>Merger, Consolidation or Sale of Assets.</w:t>
      </w:r>
    </w:p>
    <w:p>
      <w:pPr>
        <w:spacing w:after="0" w:line="179"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The Issuer shall not, directly or indirectly, (1) consolidate or merge with or into another Person (whether or not the Issuer is the surviving entity) or (2) sell, assign, transfer, convey or otherwise dispose of all or substantially all of the properties or assets of the Issuer and its Subsidiaries, taken as a whole, in one or more related transactions, to another Person, unless:</w:t>
      </w:r>
    </w:p>
    <w:p>
      <w:pPr>
        <w:spacing w:after="0" w:line="131" w:lineRule="exact"/>
        <w:rPr>
          <w:sz w:val="20"/>
          <w:szCs w:val="20"/>
          <w:color w:val="auto"/>
        </w:rPr>
      </w:pPr>
    </w:p>
    <w:p>
      <w:pPr>
        <w:jc w:val="both"/>
        <w:ind w:left="540" w:firstLine="564"/>
        <w:spacing w:after="0" w:line="218" w:lineRule="auto"/>
        <w:tabs>
          <w:tab w:leader="none" w:pos="1647"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(a) the Issuer is the surviving entity or (b) the Person formed by or surviving any such consolidation or merger (if other than the Issuer) or to which such sale, assignment, transfer, conveyance or other disposition shall have been made is a corporation organized or existing under the laws of Hong Kong, Macau, Singapore, the Cayman Islands, the British Virgin Islands, Bermuda, the Isle of Man, the United States, any state of the United States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11260"/>
          </w:cols>
          <w:pgMar w:left="320" w:top="1216" w:right="319" w:bottom="1440" w:gutter="0" w:footer="0" w:header="0"/>
        </w:sectPr>
      </w:pPr>
    </w:p>
    <w:bookmarkStart w:id="52" w:name="page53"/>
    <w:bookmarkEnd w:id="52"/>
    <w:p>
      <w:pPr>
        <w:jc w:val="both"/>
        <w:ind w:left="540" w:right="20" w:firstLine="564"/>
        <w:spacing w:after="0" w:line="223" w:lineRule="auto"/>
        <w:tabs>
          <w:tab w:leader="none" w:pos="1647"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formed by or surviving any such consolidation or merger (if other than the Issuer) or the Person to which such sale, assignment, transfer, conveyance or other disposition shall have been made assumes all the obligations of the Issuer under the Notes and this Indenture pursuant to a supplemental indenture; and</w:t>
      </w:r>
    </w:p>
    <w:p>
      <w:pPr>
        <w:spacing w:after="0" w:line="13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such transaction, no Default or Event of Default shall have occurred and is continuing.</w:t>
      </w:r>
    </w:p>
    <w:p>
      <w:pPr>
        <w:spacing w:after="0" w:line="175"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For the avoidance of doubt, a pledge, mortgage, charge, lien, encumbrance, hypothecation or grant of any other security interest on an asset or property shall not be considered as a sale, assignment, transfer, conveyance or disposal of such asset or property.</w:t>
      </w:r>
    </w:p>
    <w:p>
      <w:pPr>
        <w:spacing w:after="0" w:line="11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5.02</w:t>
      </w:r>
      <w:r>
        <w:rPr>
          <w:sz w:val="20"/>
          <w:szCs w:val="20"/>
          <w:color w:val="auto"/>
        </w:rPr>
        <w:tab/>
      </w:r>
      <w:r>
        <w:rPr>
          <w:rFonts w:ascii="Times New Roman" w:cs="Times New Roman" w:eastAsia="Times New Roman" w:hAnsi="Times New Roman"/>
          <w:sz w:val="17"/>
          <w:szCs w:val="17"/>
          <w:i w:val="1"/>
          <w:iCs w:val="1"/>
          <w:color w:val="auto"/>
        </w:rPr>
        <w:t>Successor Corporation Substituted</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82" w:lineRule="auto"/>
        <w:rPr>
          <w:sz w:val="20"/>
          <w:szCs w:val="20"/>
          <w:color w:val="auto"/>
        </w:rPr>
      </w:pPr>
      <w:r>
        <w:rPr>
          <w:rFonts w:ascii="Times New Roman" w:cs="Times New Roman" w:eastAsia="Times New Roman" w:hAnsi="Times New Roman"/>
          <w:sz w:val="17"/>
          <w:szCs w:val="17"/>
          <w:color w:val="auto"/>
        </w:rPr>
        <w:t xml:space="preserve">Upon any consolidation or merger, or any sale, assignment, transfer, lease, conveyance or other disposition of all or substantially all of the assets of the Issuer in a transaction that is subject to, and that complies with the provisions of, Section 5.01 hereof, the successor Person formed by such consolidation or into or with which the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shall refer instead to the successor Person and not to the Issuer), and may exercise every right and power of, the Issuer under this Indenture with the same effect as if such successor Person had been named as the Issuer herein;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predecessor Issuer shall not be relieved from the obligation to pay the principal of and interest and premium, if any, on the Notes, except in the case of a sale of all of the Issuer’s assets in a transaction that is subject to, and that complies with the provisions of Section 5.01 hereof.</w:t>
      </w:r>
    </w:p>
    <w:p>
      <w:pPr>
        <w:spacing w:after="0" w:line="9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6</w:t>
      </w:r>
    </w:p>
    <w:p>
      <w:pPr>
        <w:ind w:left="4460"/>
        <w:spacing w:after="0"/>
        <w:rPr>
          <w:sz w:val="20"/>
          <w:szCs w:val="20"/>
          <w:color w:val="auto"/>
        </w:rPr>
      </w:pPr>
      <w:r>
        <w:rPr>
          <w:rFonts w:ascii="Times New Roman" w:cs="Times New Roman" w:eastAsia="Times New Roman" w:hAnsi="Times New Roman"/>
          <w:sz w:val="19"/>
          <w:szCs w:val="19"/>
          <w:color w:val="auto"/>
        </w:rPr>
        <w:t>DEFAULTS AND REMEDIES</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6.01</w:t>
      </w:r>
      <w:r>
        <w:rPr>
          <w:sz w:val="20"/>
          <w:szCs w:val="20"/>
          <w:color w:val="auto"/>
        </w:rPr>
        <w:tab/>
      </w:r>
      <w:r>
        <w:rPr>
          <w:rFonts w:ascii="Times New Roman" w:cs="Times New Roman" w:eastAsia="Times New Roman" w:hAnsi="Times New Roman"/>
          <w:sz w:val="17"/>
          <w:szCs w:val="17"/>
          <w:i w:val="1"/>
          <w:iCs w:val="1"/>
          <w:color w:val="auto"/>
        </w:rPr>
        <w:t>Events of Default.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Each of the following is an “Event of Default”:</w:t>
      </w:r>
    </w:p>
    <w:p>
      <w:pPr>
        <w:spacing w:after="0" w:line="164" w:lineRule="exact"/>
        <w:rPr>
          <w:sz w:val="20"/>
          <w:szCs w:val="20"/>
          <w:color w:val="auto"/>
        </w:rPr>
      </w:pPr>
    </w:p>
    <w:p>
      <w:pPr>
        <w:ind w:left="1100" w:hanging="552"/>
        <w:spacing w:after="0"/>
        <w:tabs>
          <w:tab w:leader="none" w:pos="11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for 30 days in the payment when due of interest on the Notes;</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when due (at maturity, upon redemption, repurchase or otherwise) of the principal of, or premium, if any, on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Notes;</w:t>
      </w:r>
    </w:p>
    <w:p>
      <w:pPr>
        <w:spacing w:after="0" w:line="132" w:lineRule="exact"/>
        <w:rPr>
          <w:sz w:val="20"/>
          <w:szCs w:val="20"/>
          <w:color w:val="auto"/>
        </w:rPr>
      </w:pPr>
    </w:p>
    <w:p>
      <w:pPr>
        <w:ind w:left="1100" w:hanging="552"/>
        <w:spacing w:after="0"/>
        <w:tabs>
          <w:tab w:leader="none" w:pos="11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w:t>
      </w:r>
    </w:p>
    <w:p>
      <w:pPr>
        <w:spacing w:after="0" w:line="151" w:lineRule="exact"/>
        <w:rPr>
          <w:rFonts w:ascii="Times New Roman" w:cs="Times New Roman" w:eastAsia="Times New Roman" w:hAnsi="Times New Roman"/>
          <w:sz w:val="19"/>
          <w:szCs w:val="19"/>
          <w:color w:val="auto"/>
        </w:rPr>
      </w:pPr>
    </w:p>
    <w:p>
      <w:pPr>
        <w:ind w:left="540" w:firstLine="564"/>
        <w:spacing w:after="0" w:line="234" w:lineRule="auto"/>
        <w:tabs>
          <w:tab w:leader="none" w:pos="1647"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comply with any payment obligations (including, without limitation, obligations as to the timing or amount of such payments) described under Section 4.08 and Section 4.10 hereof; or</w:t>
      </w:r>
    </w:p>
    <w:p>
      <w:pPr>
        <w:spacing w:after="0" w:line="129"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comply with Section 5.01 hereof;</w:t>
      </w:r>
    </w:p>
    <w:p>
      <w:pPr>
        <w:spacing w:after="0" w:line="15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7"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for 60 days after receipt of written notice from the Trustee or the Holders of at least 25% in aggregate principal amount of the Notes then outstanding voting as a single class to comply with any of the other agreements in this Indenture not identified in Sections 6.01(a), (b) or (c) hereof;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11260"/>
          </w:cols>
          <w:pgMar w:left="320" w:top="1216" w:right="319" w:bottom="1440" w:gutter="0" w:footer="0" w:header="0"/>
        </w:sectPr>
      </w:pPr>
    </w:p>
    <w:bookmarkStart w:id="53" w:name="page54"/>
    <w:bookmarkEnd w:id="53"/>
    <w:p>
      <w:pPr>
        <w:jc w:val="both"/>
        <w:ind w:firstLine="548"/>
        <w:spacing w:after="0" w:line="238" w:lineRule="auto"/>
        <w:tabs>
          <w:tab w:leader="none" w:pos="110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under any mortgage, indenture or instrument under which there may be issued or by which there may be secured or evidenced any Indebtedness for money borrowed by the Issuer or any of its Subsidiaries (or the payment of which is guaranteed by the Issuer or any of its Subsidiaries), whether such Indebtedness or guarantee exists on the date of this Indenture,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this Indenture;</w:t>
      </w:r>
    </w:p>
    <w:p>
      <w:pPr>
        <w:spacing w:after="0" w:line="133" w:lineRule="exact"/>
        <w:rPr>
          <w:rFonts w:ascii="Times New Roman" w:cs="Times New Roman" w:eastAsia="Times New Roman" w:hAnsi="Times New Roman"/>
          <w:sz w:val="17"/>
          <w:szCs w:val="17"/>
          <w:color w:val="auto"/>
        </w:rPr>
      </w:pPr>
    </w:p>
    <w:p>
      <w:pPr>
        <w:jc w:val="both"/>
        <w:ind w:right="20" w:firstLine="548"/>
        <w:spacing w:after="0" w:line="223" w:lineRule="auto"/>
        <w:tabs>
          <w:tab w:leader="none" w:pos="111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by the Issuer or any of its Significant Subsidiaries to pay final non-appealable judgments (not paid or covered by insurance as to which the relevant insurance company has not denied responsibility) rendered against the Issuer or any Significant Subsidiary aggregating in excess of US$50.0 million (or the Dollar Equivalent thereof), which judgments are not paid, bonded, discharged or stayed for a period of 60 days;</w:t>
      </w:r>
    </w:p>
    <w:p>
      <w:pPr>
        <w:spacing w:after="0" w:line="131"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or any of its Subsidiaries that is a Significant Subsidiary or any group of Subsidiaries of the Issuer that, taken together, would constitute a Significant Subsidiary pursuant to or within the meaning of Bankruptcy Law:</w:t>
      </w:r>
    </w:p>
    <w:p>
      <w:pPr>
        <w:spacing w:after="0" w:line="129"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commences a voluntary case;</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to the entry of an order for relief against it in an involuntary case;</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to the appointment of a custodian of it or for all or substantially all of its property;</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makes a general assignment for the benefit of its creditors; or</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generally is not paying its debts as they become due; or</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court of competent jurisdiction enters an order or decree under any Bankruptcy Law that:</w:t>
      </w:r>
    </w:p>
    <w:p>
      <w:pPr>
        <w:spacing w:after="0" w:line="151" w:lineRule="exact"/>
        <w:rPr>
          <w:rFonts w:ascii="Times New Roman" w:cs="Times New Roman" w:eastAsia="Times New Roman" w:hAnsi="Times New Roman"/>
          <w:sz w:val="19"/>
          <w:szCs w:val="19"/>
          <w:color w:val="auto"/>
        </w:rPr>
      </w:pPr>
    </w:p>
    <w:p>
      <w:pPr>
        <w:ind w:left="540" w:firstLine="564"/>
        <w:spacing w:after="0" w:line="234" w:lineRule="auto"/>
        <w:tabs>
          <w:tab w:leader="none" w:pos="1647"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for relief against the Issuer or any of its Subsidiaries that is a Significant Subsidiary or any group of Subsidiaries of the Issuer that, taken together, would constitute a Significant Subsidiary in an involuntary case;</w:t>
      </w:r>
    </w:p>
    <w:p>
      <w:pPr>
        <w:spacing w:after="0" w:line="129" w:lineRule="exact"/>
        <w:rPr>
          <w:rFonts w:ascii="Times New Roman" w:cs="Times New Roman" w:eastAsia="Times New Roman" w:hAnsi="Times New Roman"/>
          <w:sz w:val="19"/>
          <w:szCs w:val="19"/>
          <w:color w:val="auto"/>
        </w:rPr>
      </w:pPr>
    </w:p>
    <w:p>
      <w:pPr>
        <w:jc w:val="both"/>
        <w:ind w:left="540" w:firstLine="564"/>
        <w:spacing w:after="0" w:line="218" w:lineRule="auto"/>
        <w:tabs>
          <w:tab w:leader="none" w:pos="1647"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appoints a custodian of the Issuer or any of its Subsidiaries that is a Significant Subsidiary or any group of Subsidiaries of the Issuer that, taken together, would constitute a Significant Subsidiary or for all or substantially all of the property of the Issuer or any of its Subsidiaries that is a Significant Subsidiary or any group of Subsidiaries of the Issuer that, taken together, would constitute a Significant Subsidiary; or</w:t>
      </w:r>
    </w:p>
    <w:p>
      <w:pPr>
        <w:spacing w:after="0" w:line="132"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orders the liquidation of the Issuer or any of its Subsidiaries that is a Significant Subsidiary or any group of Subsidiaries of the Issuer that, taken together, would constitute a Significant Subsidiary;</w:t>
      </w:r>
    </w:p>
    <w:p>
      <w:pPr>
        <w:spacing w:after="0" w:line="1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color w:val="auto"/>
        </w:rPr>
        <w:t>and the order or decree remains unstayed and in effect for 60 consecutive days.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1260"/>
          </w:cols>
          <w:pgMar w:left="320" w:top="1216" w:right="319" w:bottom="1440" w:gutter="0" w:footer="0" w:header="0"/>
        </w:sectPr>
      </w:pPr>
    </w:p>
    <w:bookmarkStart w:id="54" w:name="page55"/>
    <w:bookmarkEnd w:id="54"/>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6.02</w:t>
      </w:r>
      <w:r>
        <w:rPr>
          <w:sz w:val="20"/>
          <w:szCs w:val="20"/>
          <w:color w:val="auto"/>
        </w:rPr>
        <w:tab/>
      </w:r>
      <w:r>
        <w:rPr>
          <w:rFonts w:ascii="Times New Roman" w:cs="Times New Roman" w:eastAsia="Times New Roman" w:hAnsi="Times New Roman"/>
          <w:sz w:val="17"/>
          <w:szCs w:val="17"/>
          <w:i w:val="1"/>
          <w:iCs w:val="1"/>
          <w:color w:val="auto"/>
        </w:rPr>
        <w:t>Acceleration.</w:t>
      </w:r>
    </w:p>
    <w:p>
      <w:pPr>
        <w:spacing w:after="0" w:line="179"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In the case of an Event of Default specified in clause (g) or (h) of Section 6.01 hereof,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Upon any such declaration, the Notes shall become due and payable immediately.</w:t>
      </w:r>
    </w:p>
    <w:p>
      <w:pPr>
        <w:spacing w:after="0" w:line="187" w:lineRule="exact"/>
        <w:rPr>
          <w:sz w:val="20"/>
          <w:szCs w:val="20"/>
          <w:color w:val="auto"/>
        </w:rPr>
      </w:pPr>
    </w:p>
    <w:p>
      <w:pPr>
        <w:jc w:val="both"/>
        <w:ind w:firstLine="556"/>
        <w:spacing w:after="0" w:line="287" w:lineRule="auto"/>
        <w:rPr>
          <w:sz w:val="20"/>
          <w:szCs w:val="20"/>
          <w:color w:val="auto"/>
        </w:rPr>
      </w:pPr>
      <w:r>
        <w:rPr>
          <w:rFonts w:ascii="Times New Roman" w:cs="Times New Roman" w:eastAsia="Times New Roman" w:hAnsi="Times New Roman"/>
          <w:sz w:val="17"/>
          <w:szCs w:val="17"/>
          <w:color w:val="auto"/>
        </w:rPr>
        <w:t>The Holders of a majority in aggregate principal amount of the then outstanding Notes by written notice to the Trustee may on behalf of all of the Holders rescind an acceleration and its consequences if (i) the rescission would not conflict with any judgment or decree, (ii) all existing Events of Default (except nonpayment of principal, interest or premium, if any, that has become due solely because of the acceleration) have been cured or waived and (iii) there has been paid to or deposited with the Trustee a sum sufficient to pay all amounts due to the Trustee and to reimburse the Trustee for any and all fees, expenses and disbursements advanced by the Trustee, its agents and its counsel incurred in connection with such Default.</w:t>
      </w:r>
    </w:p>
    <w:p>
      <w:pPr>
        <w:spacing w:after="0" w:line="1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6.03</w:t>
      </w:r>
      <w:r>
        <w:rPr>
          <w:sz w:val="20"/>
          <w:szCs w:val="20"/>
          <w:color w:val="auto"/>
        </w:rPr>
        <w:tab/>
      </w:r>
      <w:r>
        <w:rPr>
          <w:rFonts w:ascii="Times New Roman" w:cs="Times New Roman" w:eastAsia="Times New Roman" w:hAnsi="Times New Roman"/>
          <w:sz w:val="17"/>
          <w:szCs w:val="17"/>
          <w:i w:val="1"/>
          <w:iCs w:val="1"/>
          <w:color w:val="auto"/>
        </w:rPr>
        <w:t>Other Remedies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41"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3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6.04</w:t>
      </w:r>
      <w:r>
        <w:rPr>
          <w:sz w:val="20"/>
          <w:szCs w:val="20"/>
          <w:color w:val="auto"/>
        </w:rPr>
        <w:tab/>
      </w:r>
      <w:r>
        <w:rPr>
          <w:rFonts w:ascii="Times New Roman" w:cs="Times New Roman" w:eastAsia="Times New Roman" w:hAnsi="Times New Roman"/>
          <w:sz w:val="17"/>
          <w:szCs w:val="17"/>
          <w:i w:val="1"/>
          <w:iCs w:val="1"/>
          <w:color w:val="auto"/>
        </w:rPr>
        <w:t>Waiver of Defaults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 xml:space="preserve">Subject to Section 6.02 hereof, 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3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6.05</w:t>
      </w:r>
      <w:r>
        <w:rPr>
          <w:sz w:val="20"/>
          <w:szCs w:val="20"/>
          <w:color w:val="auto"/>
        </w:rPr>
        <w:tab/>
      </w:r>
      <w:r>
        <w:rPr>
          <w:rFonts w:ascii="Times New Roman" w:cs="Times New Roman" w:eastAsia="Times New Roman" w:hAnsi="Times New Roman"/>
          <w:sz w:val="17"/>
          <w:szCs w:val="17"/>
          <w:i w:val="1"/>
          <w:iCs w:val="1"/>
          <w:color w:val="auto"/>
        </w:rPr>
        <w:t>Control by Majority</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11260"/>
          </w:cols>
          <w:pgMar w:left="320" w:top="1212" w:right="319" w:bottom="1440" w:gutter="0" w:footer="0" w:header="0"/>
        </w:sectPr>
      </w:pPr>
    </w:p>
    <w:bookmarkStart w:id="55" w:name="page56"/>
    <w:bookmarkEnd w:id="55"/>
    <w:p>
      <w:pPr>
        <w:ind w:right="20"/>
        <w:spacing w:after="0" w:line="266" w:lineRule="auto"/>
        <w:rPr>
          <w:sz w:val="20"/>
          <w:szCs w:val="20"/>
          <w:color w:val="auto"/>
        </w:rPr>
      </w:pPr>
      <w:r>
        <w:rPr>
          <w:rFonts w:ascii="Times New Roman" w:cs="Times New Roman" w:eastAsia="Times New Roman" w:hAnsi="Times New Roman"/>
          <w:sz w:val="19"/>
          <w:szCs w:val="19"/>
          <w:color w:val="auto"/>
        </w:rPr>
        <w:t>refuse to follow any direction that conflicts with law or this Indenture that the Trustee determines in good faith may be unduly prejudicial to the rights of other Holders of Notes not joining in the giving of such direction or that may involve the Trustee in personal liability.</w:t>
      </w:r>
    </w:p>
    <w:p>
      <w:pPr>
        <w:spacing w:after="0" w:line="11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6.06</w:t>
      </w:r>
      <w:r>
        <w:rPr>
          <w:sz w:val="20"/>
          <w:szCs w:val="20"/>
          <w:color w:val="auto"/>
        </w:rPr>
        <w:tab/>
      </w:r>
      <w:r>
        <w:rPr>
          <w:rFonts w:ascii="Times New Roman" w:cs="Times New Roman" w:eastAsia="Times New Roman" w:hAnsi="Times New Roman"/>
          <w:sz w:val="17"/>
          <w:szCs w:val="17"/>
          <w:i w:val="1"/>
          <w:iCs w:val="1"/>
          <w:color w:val="auto"/>
        </w:rPr>
        <w:t>Limitation on Suits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right="20" w:firstLine="556"/>
        <w:spacing w:after="0" w:line="279" w:lineRule="auto"/>
        <w:rPr>
          <w:sz w:val="20"/>
          <w:szCs w:val="20"/>
          <w:color w:val="auto"/>
        </w:rPr>
      </w:pPr>
      <w:r>
        <w:rPr>
          <w:rFonts w:ascii="Times New Roman" w:cs="Times New Roman" w:eastAsia="Times New Roman" w:hAnsi="Times New Roman"/>
          <w:sz w:val="19"/>
          <w:szCs w:val="19"/>
          <w:color w:val="auto"/>
        </w:rPr>
        <w:t>Except to enforce the right to receive payment of principal, interest or premium, if any, when due, a Holder of a Note may pursue a remedy with respect to this Indenture or the Notes only if:</w:t>
      </w:r>
    </w:p>
    <w:p>
      <w:pPr>
        <w:spacing w:after="0" w:line="106" w:lineRule="exact"/>
        <w:rPr>
          <w:sz w:val="20"/>
          <w:szCs w:val="20"/>
          <w:color w:val="auto"/>
        </w:rPr>
      </w:pPr>
    </w:p>
    <w:p>
      <w:pPr>
        <w:ind w:left="1100" w:hanging="552"/>
        <w:spacing w:after="0"/>
        <w:tabs>
          <w:tab w:leader="none" w:pos="11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 of a Note gives to the Trustee written notice that an Event of Default is continuing;</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aggregate principal amount of the then outstanding Notes make a written request to the Trustee to pursue</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remedy;</w:t>
      </w:r>
    </w:p>
    <w:p>
      <w:pPr>
        <w:spacing w:after="0" w:line="131" w:lineRule="exact"/>
        <w:rPr>
          <w:rFonts w:ascii="Times New Roman" w:cs="Times New Roman" w:eastAsia="Times New Roman" w:hAnsi="Times New Roman"/>
          <w:sz w:val="17"/>
          <w:szCs w:val="17"/>
          <w:color w:val="auto"/>
        </w:rPr>
      </w:pPr>
    </w:p>
    <w:p>
      <w:pPr>
        <w:ind w:right="20" w:firstLine="548"/>
        <w:spacing w:after="0" w:line="234" w:lineRule="auto"/>
        <w:tabs>
          <w:tab w:leader="none" w:pos="110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 or Holders offer and, if requested, provide to the Trustee security or indemnity reasonably satisfactory to the Trustee against any loss, liability, claim or expense;</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does not comply with the request within 60 days after receipt of the request and the offer of security or indemnity; and</w:t>
      </w:r>
    </w:p>
    <w:p>
      <w:pPr>
        <w:spacing w:after="0" w:line="151" w:lineRule="exact"/>
        <w:rPr>
          <w:rFonts w:ascii="Times New Roman" w:cs="Times New Roman" w:eastAsia="Times New Roman" w:hAnsi="Times New Roman"/>
          <w:sz w:val="19"/>
          <w:szCs w:val="19"/>
          <w:color w:val="auto"/>
        </w:rPr>
      </w:pPr>
    </w:p>
    <w:p>
      <w:pPr>
        <w:ind w:firstLine="548"/>
        <w:spacing w:after="0" w:line="234" w:lineRule="auto"/>
        <w:tabs>
          <w:tab w:leader="none" w:pos="110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such 60-day period, the Holders of a majority in aggregate principal amount of the then outstanding Notes do not give the Trustee a direction inconsistent with such request within such 60-day period.</w:t>
      </w:r>
    </w:p>
    <w:p>
      <w:pPr>
        <w:spacing w:after="0" w:line="153"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spacing w:after="0" w:line="1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6.07</w:t>
      </w:r>
      <w:r>
        <w:rPr>
          <w:sz w:val="20"/>
          <w:szCs w:val="20"/>
          <w:color w:val="auto"/>
        </w:rPr>
        <w:tab/>
      </w:r>
      <w:r>
        <w:rPr>
          <w:rFonts w:ascii="Times New Roman" w:cs="Times New Roman" w:eastAsia="Times New Roman" w:hAnsi="Times New Roman"/>
          <w:sz w:val="17"/>
          <w:szCs w:val="17"/>
          <w:i w:val="1"/>
          <w:iCs w:val="1"/>
          <w:color w:val="auto"/>
        </w:rPr>
        <w:t>Rights of Holders of Notes to Receive Payment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Notwithstanding any other provision of this Indenture, but except as provided in Section 9.02,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2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6.08</w:t>
      </w:r>
      <w:r>
        <w:rPr>
          <w:sz w:val="20"/>
          <w:szCs w:val="20"/>
          <w:color w:val="auto"/>
        </w:rPr>
        <w:tab/>
      </w:r>
      <w:r>
        <w:rPr>
          <w:rFonts w:ascii="Times New Roman" w:cs="Times New Roman" w:eastAsia="Times New Roman" w:hAnsi="Times New Roman"/>
          <w:sz w:val="17"/>
          <w:szCs w:val="17"/>
          <w:i w:val="1"/>
          <w:iCs w:val="1"/>
          <w:color w:val="auto"/>
        </w:rPr>
        <w:t>Collection Suit by Trustee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93" w:lineRule="auto"/>
        <w:rPr>
          <w:sz w:val="20"/>
          <w:szCs w:val="20"/>
          <w:color w:val="auto"/>
        </w:rPr>
      </w:pPr>
      <w:r>
        <w:rPr>
          <w:rFonts w:ascii="Times New Roman" w:cs="Times New Roman" w:eastAsia="Times New Roman" w:hAnsi="Times New Roman"/>
          <w:sz w:val="17"/>
          <w:szCs w:val="17"/>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fees, expenses, disbursements and advances of the Trustee, its agents and counsel.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900" w:h="16838" w:orient="portrait"/>
          <w:cols w:equalWidth="0" w:num="1">
            <w:col w:w="11260"/>
          </w:cols>
          <w:pgMar w:left="320" w:top="1239" w:right="319" w:bottom="1440" w:gutter="0" w:footer="0" w:header="0"/>
        </w:sectPr>
      </w:pPr>
    </w:p>
    <w:bookmarkStart w:id="56" w:name="page57"/>
    <w:bookmarkEnd w:id="56"/>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6.09</w:t>
      </w:r>
      <w:r>
        <w:rPr>
          <w:sz w:val="20"/>
          <w:szCs w:val="20"/>
          <w:color w:val="auto"/>
        </w:rPr>
        <w:tab/>
      </w:r>
      <w:r>
        <w:rPr>
          <w:rFonts w:ascii="Times New Roman" w:cs="Times New Roman" w:eastAsia="Times New Roman" w:hAnsi="Times New Roman"/>
          <w:sz w:val="17"/>
          <w:szCs w:val="17"/>
          <w:i w:val="1"/>
          <w:iCs w:val="1"/>
          <w:color w:val="auto"/>
        </w:rPr>
        <w:t>Trustee May File Proofs of Claim</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5" w:lineRule="auto"/>
        <w:rPr>
          <w:sz w:val="20"/>
          <w:szCs w:val="20"/>
          <w:color w:val="auto"/>
        </w:rPr>
      </w:pPr>
      <w:r>
        <w:rPr>
          <w:rFonts w:ascii="Times New Roman" w:cs="Times New Roman" w:eastAsia="Times New Roman" w:hAnsi="Times New Roman"/>
          <w:sz w:val="19"/>
          <w:szCs w:val="19"/>
          <w:color w:val="auto"/>
        </w:rPr>
        <w:t>The Trustee is authorized to file such proofs of claim and other papers or documents as may be necessary or advisable in order to have the claims of the Trustee (including any claim for the reasonable compensation, fees,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fees, expenses, disbursements and advances of the Trustee, its agents and counsel, and any other amounts due the Trustee under Section 7.06 hereof. To the extent that the payment of any such compensation, fees,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4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6.10</w:t>
      </w:r>
      <w:r>
        <w:rPr>
          <w:sz w:val="20"/>
          <w:szCs w:val="20"/>
          <w:color w:val="auto"/>
        </w:rPr>
        <w:tab/>
      </w:r>
      <w:r>
        <w:rPr>
          <w:rFonts w:ascii="Times New Roman" w:cs="Times New Roman" w:eastAsia="Times New Roman" w:hAnsi="Times New Roman"/>
          <w:sz w:val="17"/>
          <w:szCs w:val="17"/>
          <w:i w:val="1"/>
          <w:iCs w:val="1"/>
          <w:color w:val="auto"/>
        </w:rPr>
        <w:t>Priorities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If the Trustee collects any money pursuant to this Article 6, it shall pay out the money in the following order:</w:t>
      </w:r>
    </w:p>
    <w:p>
      <w:pPr>
        <w:spacing w:after="0" w:line="183" w:lineRule="exact"/>
        <w:rPr>
          <w:sz w:val="20"/>
          <w:szCs w:val="20"/>
          <w:color w:val="auto"/>
        </w:rPr>
      </w:pPr>
    </w:p>
    <w:p>
      <w:pPr>
        <w:jc w:val="both"/>
        <w:ind w:left="540" w:firstLine="556"/>
        <w:spacing w:after="0" w:line="270" w:lineRule="auto"/>
        <w:rPr>
          <w:sz w:val="20"/>
          <w:szCs w:val="20"/>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Trustee, for amounts due under this Indenture, including payment of all compensation, fees, expenses and liabilities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incurred, and all advances made, by the Trustee (including those of its agents and counsel) and the costs, fees and expenses of collection;</w:t>
      </w:r>
    </w:p>
    <w:p>
      <w:pPr>
        <w:spacing w:after="0" w:line="133" w:lineRule="exact"/>
        <w:rPr>
          <w:sz w:val="20"/>
          <w:szCs w:val="20"/>
          <w:color w:val="auto"/>
        </w:rPr>
      </w:pPr>
    </w:p>
    <w:p>
      <w:pPr>
        <w:jc w:val="both"/>
        <w:ind w:left="540" w:right="20" w:firstLine="556"/>
        <w:spacing w:after="0" w:line="262" w:lineRule="auto"/>
        <w:rPr>
          <w:sz w:val="20"/>
          <w:szCs w:val="20"/>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Holders of Notes for amounts due and unpaid on the Notes for principal, premium, if any, and interest, ratably,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preference or priority of any kind, according to the amounts due and payable on the Notes for principal, premium, if any and interest, respectively; and</w:t>
      </w:r>
    </w:p>
    <w:p>
      <w:pPr>
        <w:spacing w:after="0" w:line="14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the Issuer or to such party as a court of competent jurisdiction shall direct.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Trustee may fix a record date and payment date for any payment to Holders of Notes pursuant to this Section 6.10.</w:t>
      </w:r>
    </w:p>
    <w:p>
      <w:pPr>
        <w:spacing w:after="0" w:line="1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6.11</w:t>
      </w:r>
      <w:r>
        <w:rPr>
          <w:sz w:val="20"/>
          <w:szCs w:val="20"/>
          <w:color w:val="auto"/>
        </w:rPr>
        <w:tab/>
      </w:r>
      <w:r>
        <w:rPr>
          <w:rFonts w:ascii="Times New Roman" w:cs="Times New Roman" w:eastAsia="Times New Roman" w:hAnsi="Times New Roman"/>
          <w:sz w:val="17"/>
          <w:szCs w:val="17"/>
          <w:i w:val="1"/>
          <w:iCs w:val="1"/>
          <w:color w:val="auto"/>
        </w:rPr>
        <w:t>Undertaking for Costs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right="20" w:firstLine="556"/>
        <w:spacing w:after="0" w:line="266" w:lineRule="auto"/>
        <w:rPr>
          <w:sz w:val="20"/>
          <w:szCs w:val="20"/>
          <w:color w:val="auto"/>
        </w:rPr>
      </w:pPr>
      <w:r>
        <w:rPr>
          <w:rFonts w:ascii="Times New Roman" w:cs="Times New Roman" w:eastAsia="Times New Roman" w:hAnsi="Times New Roman"/>
          <w:sz w:val="19"/>
          <w:szCs w:val="19"/>
          <w:color w:val="auto"/>
        </w:rPr>
        <w:t>In any suit for the enforcement of any right or remedy under this Indenture or in any suit against the Trustee for any action taken or omitted by it as a Trustee, a court in its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900" w:h="16838" w:orient="portrait"/>
          <w:cols w:equalWidth="0" w:num="1">
            <w:col w:w="11260"/>
          </w:cols>
          <w:pgMar w:left="320" w:top="1212" w:right="319" w:bottom="1440" w:gutter="0" w:footer="0" w:header="0"/>
        </w:sectPr>
      </w:pPr>
    </w:p>
    <w:bookmarkStart w:id="57" w:name="page58"/>
    <w:bookmarkEnd w:id="57"/>
    <w:p>
      <w:pPr>
        <w:jc w:val="both"/>
        <w:ind w:right="20"/>
        <w:spacing w:after="0" w:line="254" w:lineRule="auto"/>
        <w:rPr>
          <w:sz w:val="20"/>
          <w:szCs w:val="20"/>
          <w:color w:val="auto"/>
        </w:rPr>
      </w:pPr>
      <w:r>
        <w:rPr>
          <w:rFonts w:ascii="Times New Roman" w:cs="Times New Roman" w:eastAsia="Times New Roman" w:hAnsi="Times New Roman"/>
          <w:sz w:val="19"/>
          <w:szCs w:val="19"/>
          <w:color w:val="auto"/>
        </w:rPr>
        <w:t>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15"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9"/>
          <w:szCs w:val="19"/>
          <w:color w:val="auto"/>
        </w:rPr>
        <w:t>ARTICLE 7</w:t>
      </w:r>
    </w:p>
    <w:p>
      <w:pPr>
        <w:jc w:val="right"/>
        <w:ind w:right="5220"/>
        <w:spacing w:after="0"/>
        <w:rPr>
          <w:sz w:val="20"/>
          <w:szCs w:val="20"/>
          <w:color w:val="auto"/>
        </w:rPr>
      </w:pPr>
      <w:r>
        <w:rPr>
          <w:rFonts w:ascii="Times New Roman" w:cs="Times New Roman" w:eastAsia="Times New Roman" w:hAnsi="Times New Roman"/>
          <w:sz w:val="19"/>
          <w:szCs w:val="19"/>
          <w:color w:val="auto"/>
        </w:rPr>
        <w:t>TRUSTEE</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7.01</w:t>
      </w:r>
      <w:r>
        <w:rPr>
          <w:sz w:val="20"/>
          <w:szCs w:val="20"/>
          <w:color w:val="auto"/>
        </w:rPr>
        <w:tab/>
      </w:r>
      <w:r>
        <w:rPr>
          <w:rFonts w:ascii="Times New Roman" w:cs="Times New Roman" w:eastAsia="Times New Roman" w:hAnsi="Times New Roman"/>
          <w:sz w:val="17"/>
          <w:szCs w:val="17"/>
          <w:i w:val="1"/>
          <w:iCs w:val="1"/>
          <w:color w:val="auto"/>
        </w:rPr>
        <w:t>Duties of Trustee</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548"/>
        <w:spacing w:after="0" w:line="223" w:lineRule="auto"/>
        <w:tabs>
          <w:tab w:leader="none" w:pos="1108"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3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during the continuance of an Event of Default:</w:t>
      </w:r>
    </w:p>
    <w:p>
      <w:pPr>
        <w:spacing w:after="0" w:line="151" w:lineRule="exact"/>
        <w:rPr>
          <w:rFonts w:ascii="Times New Roman" w:cs="Times New Roman" w:eastAsia="Times New Roman" w:hAnsi="Times New Roman"/>
          <w:sz w:val="19"/>
          <w:szCs w:val="19"/>
          <w:color w:val="auto"/>
        </w:rPr>
      </w:pPr>
    </w:p>
    <w:p>
      <w:pPr>
        <w:jc w:val="both"/>
        <w:ind w:left="540" w:right="20" w:firstLine="564"/>
        <w:spacing w:after="0" w:line="223" w:lineRule="auto"/>
        <w:tabs>
          <w:tab w:leader="none" w:pos="1647"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31" w:lineRule="exact"/>
        <w:rPr>
          <w:rFonts w:ascii="Times New Roman" w:cs="Times New Roman" w:eastAsia="Times New Roman" w:hAnsi="Times New Roman"/>
          <w:sz w:val="19"/>
          <w:szCs w:val="19"/>
          <w:color w:val="auto"/>
        </w:rPr>
      </w:pPr>
    </w:p>
    <w:p>
      <w:pPr>
        <w:jc w:val="both"/>
        <w:ind w:left="540" w:firstLine="564"/>
        <w:spacing w:after="0" w:line="218" w:lineRule="auto"/>
        <w:tabs>
          <w:tab w:leader="none" w:pos="1647"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absence of gross negligence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only whether or not they conform to the requirements of this Indenture (but need not confirm the accuracy of mathematical calculations or other facts set forth therein).</w:t>
      </w:r>
    </w:p>
    <w:p>
      <w:pPr>
        <w:spacing w:after="0" w:line="132" w:lineRule="exact"/>
        <w:rPr>
          <w:rFonts w:ascii="Times New Roman" w:cs="Times New Roman" w:eastAsia="Times New Roman" w:hAnsi="Times New Roman"/>
          <w:sz w:val="19"/>
          <w:szCs w:val="19"/>
          <w:color w:val="auto"/>
        </w:rPr>
      </w:pPr>
    </w:p>
    <w:p>
      <w:pPr>
        <w:ind w:firstLine="548"/>
        <w:spacing w:after="0" w:line="234" w:lineRule="auto"/>
        <w:tabs>
          <w:tab w:leader="none" w:pos="1108"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not be relieved from liabilities for its own negligent action, its own negligent failure to act, or its own willful misconduct, except that:</w:t>
      </w:r>
    </w:p>
    <w:p>
      <w:pPr>
        <w:spacing w:after="0" w:line="129"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7.01(c) does not limit the effect of paragraph (b) of this Section 7.01;</w:t>
      </w:r>
    </w:p>
    <w:p>
      <w:pPr>
        <w:spacing w:after="0" w:line="151"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for any error of judgment made in good faith by a Responsible Officer, unless it is proved that the Trustee was negligent in ascertaining the pertinent facts; and</w:t>
      </w:r>
    </w:p>
    <w:p>
      <w:pPr>
        <w:spacing w:after="0" w:line="129" w:lineRule="exact"/>
        <w:rPr>
          <w:rFonts w:ascii="Times New Roman" w:cs="Times New Roman" w:eastAsia="Times New Roman" w:hAnsi="Times New Roman"/>
          <w:sz w:val="19"/>
          <w:szCs w:val="19"/>
          <w:color w:val="auto"/>
        </w:rPr>
      </w:pPr>
    </w:p>
    <w:p>
      <w:pPr>
        <w:jc w:val="both"/>
        <w:ind w:left="540" w:right="20" w:firstLine="564"/>
        <w:spacing w:after="0" w:line="223" w:lineRule="auto"/>
        <w:tabs>
          <w:tab w:leader="none" w:pos="1647"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with respect to any action it takes, suffers or omits to take in good faith in accordance with the direction of the Holders of a majority in principal amount of the Outstanding Notes relating to the time, method and place of conducting any proceeding for any remedy available to the Trustee, or exercising any trust or power conferred upon the Trustee, under this Indenture.</w:t>
      </w:r>
    </w:p>
    <w:p>
      <w:pPr>
        <w:spacing w:after="0" w:line="131"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or not therein expressly so provided, every provision of this Indenture that in any way relates to the Trustee is subject to paragraphs (a), (b), and (c) of this Section 7.01.</w:t>
      </w:r>
    </w:p>
    <w:p>
      <w:pPr>
        <w:spacing w:after="0" w:line="129" w:lineRule="exact"/>
        <w:rPr>
          <w:rFonts w:ascii="Times New Roman" w:cs="Times New Roman" w:eastAsia="Times New Roman" w:hAnsi="Times New Roman"/>
          <w:sz w:val="19"/>
          <w:szCs w:val="19"/>
          <w:color w:val="auto"/>
        </w:rPr>
      </w:pPr>
    </w:p>
    <w:p>
      <w:pPr>
        <w:ind w:firstLine="548"/>
        <w:spacing w:after="0" w:line="234" w:lineRule="auto"/>
        <w:tabs>
          <w:tab w:leader="none" w:pos="1108"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this Indenture shall require the Trustee to expend or risk its own funds or incur any liability hereunder. The Trustee shall be under no obligation to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11260"/>
          </w:cols>
          <w:pgMar w:left="320" w:top="1239" w:right="319" w:bottom="1440" w:gutter="0" w:footer="0" w:header="0"/>
        </w:sectPr>
      </w:pPr>
    </w:p>
    <w:bookmarkStart w:id="58" w:name="page59"/>
    <w:bookmarkEnd w:id="58"/>
    <w:p>
      <w:pPr>
        <w:ind w:right="20"/>
        <w:spacing w:after="0" w:line="234" w:lineRule="auto"/>
        <w:rPr>
          <w:sz w:val="20"/>
          <w:szCs w:val="20"/>
          <w:color w:val="auto"/>
        </w:rPr>
      </w:pPr>
      <w:r>
        <w:rPr>
          <w:rFonts w:ascii="Times New Roman" w:cs="Times New Roman" w:eastAsia="Times New Roman" w:hAnsi="Times New Roman"/>
          <w:sz w:val="19"/>
          <w:szCs w:val="19"/>
          <w:color w:val="auto"/>
        </w:rPr>
        <w:t>exercise any of its rights and powers under this Indenture at the request of any Holders, unless such Holder shall have offered to the Trustee security and indemnity reasonably satisfactory to it against any loss, liability, claim or expense.</w:t>
      </w:r>
    </w:p>
    <w:p>
      <w:pPr>
        <w:spacing w:after="0" w:line="130" w:lineRule="exact"/>
        <w:rPr>
          <w:sz w:val="20"/>
          <w:szCs w:val="20"/>
          <w:color w:val="auto"/>
        </w:rPr>
      </w:pPr>
    </w:p>
    <w:p>
      <w:pPr>
        <w:ind w:right="20" w:firstLine="548"/>
        <w:spacing w:after="0" w:line="234" w:lineRule="auto"/>
        <w:tabs>
          <w:tab w:leader="none" w:pos="111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2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7.02</w:t>
      </w:r>
      <w:r>
        <w:rPr>
          <w:sz w:val="20"/>
          <w:szCs w:val="20"/>
          <w:color w:val="auto"/>
        </w:rPr>
        <w:tab/>
      </w:r>
      <w:r>
        <w:rPr>
          <w:rFonts w:ascii="Times New Roman" w:cs="Times New Roman" w:eastAsia="Times New Roman" w:hAnsi="Times New Roman"/>
          <w:sz w:val="17"/>
          <w:szCs w:val="17"/>
          <w:i w:val="1"/>
          <w:iCs w:val="1"/>
          <w:color w:val="auto"/>
        </w:rPr>
        <w:t>Rights of Trustee</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548"/>
        <w:spacing w:after="0" w:line="218" w:lineRule="auto"/>
        <w:tabs>
          <w:tab w:leader="none" w:pos="1108"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w:t>
      </w:r>
    </w:p>
    <w:p>
      <w:pPr>
        <w:spacing w:after="0" w:line="132" w:lineRule="exact"/>
        <w:rPr>
          <w:rFonts w:ascii="Times New Roman" w:cs="Times New Roman" w:eastAsia="Times New Roman" w:hAnsi="Times New Roman"/>
          <w:sz w:val="19"/>
          <w:szCs w:val="19"/>
          <w:color w:val="auto"/>
        </w:rPr>
      </w:pPr>
    </w:p>
    <w:p>
      <w:pPr>
        <w:jc w:val="both"/>
        <w:ind w:firstLine="548"/>
        <w:spacing w:after="0" w:line="218" w:lineRule="auto"/>
        <w:tabs>
          <w:tab w:leader="none" w:pos="110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the Trustee acts, suffers or refrains from acting, it may require an Officer’s Certificate or an Opinion of Counsel or both. The Trustee shall not be liable for any action it takes, suffers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32" w:lineRule="exact"/>
        <w:rPr>
          <w:rFonts w:ascii="Times New Roman" w:cs="Times New Roman" w:eastAsia="Times New Roman" w:hAnsi="Times New Roman"/>
          <w:sz w:val="19"/>
          <w:szCs w:val="19"/>
          <w:color w:val="auto"/>
        </w:rPr>
      </w:pPr>
    </w:p>
    <w:p>
      <w:pPr>
        <w:ind w:right="20" w:firstLine="548"/>
        <w:spacing w:after="0" w:line="234" w:lineRule="auto"/>
        <w:tabs>
          <w:tab w:leader="none" w:pos="1108"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act through its attorneys and agents and shall not be responsible for the acts, omissions, misconduct or negligence of any agent appointed with due care.</w:t>
      </w:r>
    </w:p>
    <w:p>
      <w:pPr>
        <w:spacing w:after="0" w:line="129"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liable for any action it takes, suffers or omits to take in good faith that it believes to be authorized or within the rights or powers conferred upon it by this Indenture.</w:t>
      </w:r>
    </w:p>
    <w:p>
      <w:pPr>
        <w:spacing w:after="0" w:line="129" w:lineRule="exact"/>
        <w:rPr>
          <w:rFonts w:ascii="Times New Roman" w:cs="Times New Roman" w:eastAsia="Times New Roman" w:hAnsi="Times New Roman"/>
          <w:sz w:val="19"/>
          <w:szCs w:val="19"/>
          <w:color w:val="auto"/>
        </w:rPr>
      </w:pPr>
    </w:p>
    <w:p>
      <w:pPr>
        <w:ind w:right="20" w:firstLine="548"/>
        <w:spacing w:after="0" w:line="234" w:lineRule="auto"/>
        <w:tabs>
          <w:tab w:leader="none" w:pos="1108"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specifically provided in this Indenture, any demand, request, direction or notice from the Issuer shall be sufficient if signed by an Officer of the Issuer.</w:t>
      </w:r>
    </w:p>
    <w:p>
      <w:pPr>
        <w:spacing w:after="0" w:line="129" w:lineRule="exact"/>
        <w:rPr>
          <w:rFonts w:ascii="Times New Roman" w:cs="Times New Roman" w:eastAsia="Times New Roman" w:hAnsi="Times New Roman"/>
          <w:sz w:val="19"/>
          <w:szCs w:val="19"/>
          <w:color w:val="auto"/>
        </w:rPr>
      </w:pPr>
    </w:p>
    <w:p>
      <w:pPr>
        <w:jc w:val="both"/>
        <w:ind w:firstLine="548"/>
        <w:spacing w:after="0" w:line="223" w:lineRule="auto"/>
        <w:tabs>
          <w:tab w:leader="none" w:pos="111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be under no obligation to exercise any of the rights or powers vested in it by this Indenture at the request or direction of any of the Holders unless such Holders have offered to the Trustee security or indemnity reasonably satisfactory to the Trustee against the costs, expenses and liabilities that might be incurred by it in compliance with such request or direction.</w:t>
      </w:r>
    </w:p>
    <w:p>
      <w:pPr>
        <w:spacing w:after="0" w:line="131" w:lineRule="exact"/>
        <w:rPr>
          <w:rFonts w:ascii="Times New Roman" w:cs="Times New Roman" w:eastAsia="Times New Roman" w:hAnsi="Times New Roman"/>
          <w:sz w:val="19"/>
          <w:szCs w:val="19"/>
          <w:color w:val="auto"/>
        </w:rPr>
      </w:pPr>
    </w:p>
    <w:p>
      <w:pPr>
        <w:jc w:val="both"/>
        <w:ind w:right="20" w:firstLine="548"/>
        <w:spacing w:after="0" w:line="223" w:lineRule="auto"/>
        <w:tabs>
          <w:tab w:leader="none" w:pos="110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provided herein, the Trustee shall have no duty to inquire as to the performance of the Issuer with respect to the covenants contained in Articles 4 and 5 hereof, and the Trustee shall not be liable or responsible for the failure of the Issuer or any other persons to perform any act required of them by this Indenture.</w:t>
      </w:r>
    </w:p>
    <w:p>
      <w:pPr>
        <w:spacing w:after="0" w:line="13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thereof in accordance with Section 11.01.</w:t>
      </w:r>
    </w:p>
    <w:p>
      <w:pPr>
        <w:spacing w:after="0" w:line="131" w:lineRule="exact"/>
        <w:rPr>
          <w:rFonts w:ascii="Times New Roman" w:cs="Times New Roman" w:eastAsia="Times New Roman" w:hAnsi="Times New Roman"/>
          <w:sz w:val="19"/>
          <w:szCs w:val="19"/>
          <w:color w:val="auto"/>
        </w:rPr>
      </w:pPr>
    </w:p>
    <w:p>
      <w:pPr>
        <w:jc w:val="both"/>
        <w:ind w:firstLine="548"/>
        <w:spacing w:after="0" w:line="218" w:lineRule="auto"/>
        <w:tabs>
          <w:tab w:leader="none" w:pos="110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request that the Issuer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900" w:h="16838" w:orient="portrait"/>
          <w:cols w:equalWidth="0" w:num="1">
            <w:col w:w="11260"/>
          </w:cols>
          <w:pgMar w:left="320" w:top="1216" w:right="319" w:bottom="1440" w:gutter="0" w:footer="0" w:header="0"/>
        </w:sectPr>
      </w:pPr>
    </w:p>
    <w:bookmarkStart w:id="59" w:name="page60"/>
    <w:bookmarkEnd w:id="59"/>
    <w:p>
      <w:pPr>
        <w:ind w:left="1100" w:hanging="552"/>
        <w:spacing w:after="0"/>
        <w:tabs>
          <w:tab w:leader="none" w:pos="11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permissive right granted to the Trustee shall not be construed as a mandatory duty.</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required to give any bond or surety in respect of the performance of its powers and duties hereunder.</w:t>
      </w:r>
    </w:p>
    <w:p>
      <w:pPr>
        <w:spacing w:after="0" w:line="151" w:lineRule="exact"/>
        <w:rPr>
          <w:rFonts w:ascii="Times New Roman" w:cs="Times New Roman" w:eastAsia="Times New Roman" w:hAnsi="Times New Roman"/>
          <w:sz w:val="19"/>
          <w:szCs w:val="19"/>
          <w:color w:val="auto"/>
        </w:rPr>
      </w:pPr>
    </w:p>
    <w:p>
      <w:pPr>
        <w:jc w:val="both"/>
        <w:ind w:firstLine="548"/>
        <w:spacing w:after="0" w:line="212" w:lineRule="auto"/>
        <w:tabs>
          <w:tab w:leader="none" w:pos="110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epidemics, pandemics, recognized public emergencies, quarantine restrictions, acts of God, and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which are consistent with accepted practices in the banking industry to resume performance as soon as practicable under the circumstances.</w:t>
      </w:r>
    </w:p>
    <w:p>
      <w:pPr>
        <w:spacing w:after="0" w:line="130"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Trustee be responsible or liable for special, punitive, indirect, incidental or consequential losses or damages of any kind whatsoever (including, but not limited to, loss of profit) irrespective of whether the Trustee has been advised of the likelihood of such loss or damage and regardless of the form of action.</w:t>
      </w:r>
    </w:p>
    <w:p>
      <w:pPr>
        <w:spacing w:after="0" w:line="13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7"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privileges, protections, immunities and benefits given to the Trustee hereunder, including, without limitation, its right to be indemnified, are extended to, and shall be enforceable by, the Trustee in each of its capacities hereunder and each agent, custodian and other Person employed to act hereunder.</w:t>
      </w:r>
    </w:p>
    <w:p>
      <w:pPr>
        <w:spacing w:after="0" w:line="131" w:lineRule="exact"/>
        <w:rPr>
          <w:rFonts w:ascii="Times New Roman" w:cs="Times New Roman" w:eastAsia="Times New Roman" w:hAnsi="Times New Roman"/>
          <w:sz w:val="19"/>
          <w:szCs w:val="19"/>
          <w:color w:val="auto"/>
        </w:rPr>
      </w:pPr>
    </w:p>
    <w:p>
      <w:pPr>
        <w:jc w:val="both"/>
        <w:ind w:firstLine="548"/>
        <w:spacing w:after="0" w:line="241" w:lineRule="auto"/>
        <w:tabs>
          <w:tab w:leader="none" w:pos="110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2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7.03</w:t>
      </w:r>
      <w:r>
        <w:rPr>
          <w:sz w:val="20"/>
          <w:szCs w:val="20"/>
          <w:color w:val="auto"/>
        </w:rPr>
        <w:tab/>
      </w:r>
      <w:r>
        <w:rPr>
          <w:rFonts w:ascii="Times New Roman" w:cs="Times New Roman" w:eastAsia="Times New Roman" w:hAnsi="Times New Roman"/>
          <w:sz w:val="17"/>
          <w:szCs w:val="17"/>
          <w:i w:val="1"/>
          <w:iCs w:val="1"/>
          <w:color w:val="auto"/>
        </w:rPr>
        <w:t>Individual Rights of Trustee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12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7.04</w:t>
      </w:r>
      <w:r>
        <w:rPr>
          <w:sz w:val="20"/>
          <w:szCs w:val="20"/>
          <w:color w:val="auto"/>
        </w:rPr>
        <w:tab/>
      </w:r>
      <w:r>
        <w:rPr>
          <w:rFonts w:ascii="Times New Roman" w:cs="Times New Roman" w:eastAsia="Times New Roman" w:hAnsi="Times New Roman"/>
          <w:sz w:val="17"/>
          <w:szCs w:val="17"/>
          <w:i w:val="1"/>
          <w:iCs w:val="1"/>
          <w:color w:val="auto"/>
        </w:rPr>
        <w:t>Trustee’s Disclaimer</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1900" w:h="16838" w:orient="portrait"/>
          <w:cols w:equalWidth="0" w:num="1">
            <w:col w:w="11260"/>
          </w:cols>
          <w:pgMar w:left="320" w:top="1216"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9"/>
          <w:szCs w:val="19"/>
          <w:color w:val="auto"/>
        </w:rPr>
        <w:t>document in connection with the sale of the Notes or pursuant to this Indenture other than its certificate of authentication.</w:t>
      </w:r>
    </w:p>
    <w:p>
      <w:pPr>
        <w:spacing w:after="0" w:line="1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7.05</w:t>
      </w:r>
      <w:r>
        <w:rPr>
          <w:sz w:val="20"/>
          <w:szCs w:val="20"/>
          <w:color w:val="auto"/>
        </w:rPr>
        <w:tab/>
      </w:r>
      <w:r>
        <w:rPr>
          <w:rFonts w:ascii="Times New Roman" w:cs="Times New Roman" w:eastAsia="Times New Roman" w:hAnsi="Times New Roman"/>
          <w:sz w:val="17"/>
          <w:szCs w:val="17"/>
          <w:i w:val="1"/>
          <w:iCs w:val="1"/>
          <w:color w:val="auto"/>
        </w:rPr>
        <w:t>Notice of Defaults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81" w:lineRule="auto"/>
        <w:rPr>
          <w:sz w:val="20"/>
          <w:szCs w:val="20"/>
          <w:color w:val="auto"/>
        </w:rPr>
      </w:pPr>
      <w:r>
        <w:rPr>
          <w:rFonts w:ascii="Times New Roman" w:cs="Times New Roman" w:eastAsia="Times New Roman" w:hAnsi="Times New Roman"/>
          <w:sz w:val="17"/>
          <w:szCs w:val="17"/>
          <w:color w:val="auto"/>
        </w:rPr>
        <w:t>If a Default or Event of Default occurs and is continuing and if it is actually known to a Responsible Officer of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 The Trustee shall not be deemed to have knowledge of a Default or Event of Default unless and until it obtains actual knowledge of such Default or Event of Default through written notification made in accordance with Section 11.01 describing the circumstances of such, and identifying the circumstances constituting such Default or Event of Default. In the absence of receipt of such notice, the Trustee may conclusively assume that there is no Default or Event of Default.</w:t>
      </w:r>
    </w:p>
    <w:p>
      <w:pPr>
        <w:spacing w:after="0" w:line="11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7.06</w:t>
      </w:r>
      <w:r>
        <w:rPr>
          <w:sz w:val="20"/>
          <w:szCs w:val="20"/>
          <w:color w:val="auto"/>
        </w:rPr>
        <w:tab/>
      </w:r>
      <w:r>
        <w:rPr>
          <w:rFonts w:ascii="Times New Roman" w:cs="Times New Roman" w:eastAsia="Times New Roman" w:hAnsi="Times New Roman"/>
          <w:sz w:val="17"/>
          <w:szCs w:val="17"/>
          <w:i w:val="1"/>
          <w:iCs w:val="1"/>
          <w:color w:val="auto"/>
        </w:rPr>
        <w:t>Compensation and Indemnity</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548"/>
        <w:spacing w:after="0" w:line="215" w:lineRule="auto"/>
        <w:tabs>
          <w:tab w:leader="none" w:pos="1108"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pay to the Trustee compensation as agreed upon in writing from time to time for its acceptance of this Indenture and services hereunder.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Such expenses shall include the reasonable compensation, disbursements, fees and expenses of the Trustee’s agents and counsel.</w:t>
      </w:r>
    </w:p>
    <w:p>
      <w:pPr>
        <w:spacing w:after="0" w:line="132" w:lineRule="exact"/>
        <w:rPr>
          <w:rFonts w:ascii="Times New Roman" w:cs="Times New Roman" w:eastAsia="Times New Roman" w:hAnsi="Times New Roman"/>
          <w:sz w:val="19"/>
          <w:szCs w:val="19"/>
          <w:color w:val="auto"/>
        </w:rPr>
      </w:pPr>
    </w:p>
    <w:p>
      <w:pPr>
        <w:jc w:val="both"/>
        <w:ind w:firstLine="548"/>
        <w:spacing w:after="0" w:line="211" w:lineRule="auto"/>
        <w:tabs>
          <w:tab w:leader="none" w:pos="110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indemnify the Trustee against any and all losses, liabilities, damages, claims or expenses incurred by it in any of its capacities hereunder arising out of or in connection with the acceptance or administration of its duties under this Indenture, including the costs and expenses of enforcing this Indenture against the Issuer (including this Section 7.06) and defending itself against any claim (whether asserted by the Issuer, any Holder or any other Person) or liability in connection with the exercise or performance of any of its powers or duties hereunder, except to the extent any such loss, liability, claim or expense may be attributable to its negligence or willful misconduct. The Trustee shall notify the Issuer promptly of any claim for which it may seek indemnity.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w:t>
      </w:r>
    </w:p>
    <w:p>
      <w:pPr>
        <w:spacing w:after="0" w:line="130" w:lineRule="exact"/>
        <w:rPr>
          <w:rFonts w:ascii="Times New Roman" w:cs="Times New Roman" w:eastAsia="Times New Roman" w:hAnsi="Times New Roman"/>
          <w:sz w:val="19"/>
          <w:szCs w:val="19"/>
          <w:color w:val="auto"/>
        </w:rPr>
      </w:pPr>
    </w:p>
    <w:p>
      <w:pPr>
        <w:ind w:right="20" w:firstLine="548"/>
        <w:spacing w:after="0" w:line="234" w:lineRule="auto"/>
        <w:tabs>
          <w:tab w:leader="none" w:pos="1108"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the Issuer under this Section 7.06 shall survive the satisfaction and discharge of this Indenture and the resignation or removal of the Trustee.</w:t>
      </w:r>
    </w:p>
    <w:p>
      <w:pPr>
        <w:spacing w:after="0" w:line="129" w:lineRule="exact"/>
        <w:rPr>
          <w:rFonts w:ascii="Times New Roman" w:cs="Times New Roman" w:eastAsia="Times New Roman" w:hAnsi="Times New Roman"/>
          <w:sz w:val="19"/>
          <w:szCs w:val="19"/>
          <w:color w:val="auto"/>
        </w:rPr>
      </w:pPr>
    </w:p>
    <w:p>
      <w:pPr>
        <w:jc w:val="both"/>
        <w:ind w:right="20" w:firstLine="548"/>
        <w:spacing w:after="0" w:line="223" w:lineRule="auto"/>
        <w:tabs>
          <w:tab w:leader="none" w:pos="110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secure the Issuer’s payment obligations in this Section 7.06, the Trustee shall have a Lien prior to the Notes on all money or property held or collected by the Trustee, except money or property held in trust to pay principal and interest on particular Notes. Such Lien shall survive the satisfaction and discharge of this Indenture.</w:t>
      </w:r>
    </w:p>
    <w:p>
      <w:pPr>
        <w:spacing w:after="0" w:line="13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8"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11260"/>
          </w:cols>
          <w:pgMar w:left="320" w:top="1239" w:right="319" w:bottom="1440" w:gutter="0" w:footer="0" w:header="0"/>
        </w:sectPr>
      </w:pPr>
    </w:p>
    <w:bookmarkStart w:id="61" w:name="page62"/>
    <w:bookmarkEnd w:id="61"/>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7.07</w:t>
      </w:r>
      <w:r>
        <w:rPr>
          <w:sz w:val="20"/>
          <w:szCs w:val="20"/>
          <w:color w:val="auto"/>
        </w:rPr>
        <w:tab/>
      </w:r>
      <w:r>
        <w:rPr>
          <w:rFonts w:ascii="Times New Roman" w:cs="Times New Roman" w:eastAsia="Times New Roman" w:hAnsi="Times New Roman"/>
          <w:sz w:val="17"/>
          <w:szCs w:val="17"/>
          <w:i w:val="1"/>
          <w:iCs w:val="1"/>
          <w:color w:val="auto"/>
        </w:rPr>
        <w:t>Replacement of Trustee</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firstLine="548"/>
        <w:spacing w:after="0" w:line="234" w:lineRule="auto"/>
        <w:tabs>
          <w:tab w:leader="none" w:pos="1108"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resignation or removal of the Trustee and appointment of a successor Trustee shall become effective only upon the successor Trustee’s acceptance of appointment as provided in this Section 7.07.</w:t>
      </w:r>
    </w:p>
    <w:p>
      <w:pPr>
        <w:spacing w:after="0" w:line="129"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7"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may resign in writing at any time and be discharged from the trust hereby created by so notifying the Issuer in writing. The Holders of a majority in principal amount of the then outstanding Notes may remove the Trustee by so notifying the Trustee and the Issuer in writing. The Issuer may remove the Trustee if:</w:t>
      </w:r>
    </w:p>
    <w:p>
      <w:pPr>
        <w:spacing w:after="0" w:line="13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fails to comply with Section 7.09 hereof;</w:t>
      </w:r>
    </w:p>
    <w:p>
      <w:pPr>
        <w:spacing w:after="0" w:line="151" w:lineRule="exact"/>
        <w:rPr>
          <w:rFonts w:ascii="Times New Roman" w:cs="Times New Roman" w:eastAsia="Times New Roman" w:hAnsi="Times New Roman"/>
          <w:sz w:val="19"/>
          <w:szCs w:val="19"/>
          <w:color w:val="auto"/>
        </w:rPr>
      </w:pPr>
    </w:p>
    <w:p>
      <w:pPr>
        <w:ind w:left="540" w:right="20" w:firstLine="564"/>
        <w:spacing w:after="0" w:line="234" w:lineRule="auto"/>
        <w:tabs>
          <w:tab w:leader="none" w:pos="1647"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is adjudged a bankrupt or an insolvent or an order for relief is entered with respect to the Trustee under any Bankruptcy Law;</w:t>
      </w:r>
    </w:p>
    <w:p>
      <w:pPr>
        <w:spacing w:after="0" w:line="129"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custodian or public officer takes charge of the Trustee or its property; or</w:t>
      </w:r>
    </w:p>
    <w:p>
      <w:pPr>
        <w:spacing w:after="0" w:line="151" w:lineRule="exact"/>
        <w:rPr>
          <w:rFonts w:ascii="Times New Roman" w:cs="Times New Roman" w:eastAsia="Times New Roman" w:hAnsi="Times New Roman"/>
          <w:sz w:val="19"/>
          <w:szCs w:val="19"/>
          <w:color w:val="auto"/>
        </w:rPr>
      </w:pPr>
    </w:p>
    <w:p>
      <w:pPr>
        <w:ind w:left="1660" w:hanging="556"/>
        <w:spacing w:after="0"/>
        <w:tabs>
          <w:tab w:leader="none" w:pos="1660"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becomes incapable of acting.</w:t>
      </w:r>
    </w:p>
    <w:p>
      <w:pPr>
        <w:spacing w:after="0" w:line="15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8"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3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7"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successor Trustee does not take office within 60 days after the retiring Trustee resigns or is removed, the retiring Trustee, the Issuer or the Holders of at least 10% in principal amount of the then outstanding Notes may petition any court of competent jurisdiction, at the expense of the Issuer, for the appointment of a successor Trustee.</w:t>
      </w:r>
    </w:p>
    <w:p>
      <w:pPr>
        <w:spacing w:after="0" w:line="131" w:lineRule="exact"/>
        <w:rPr>
          <w:rFonts w:ascii="Times New Roman" w:cs="Times New Roman" w:eastAsia="Times New Roman" w:hAnsi="Times New Roman"/>
          <w:sz w:val="19"/>
          <w:szCs w:val="19"/>
          <w:color w:val="auto"/>
        </w:rPr>
      </w:pPr>
    </w:p>
    <w:p>
      <w:pPr>
        <w:jc w:val="both"/>
        <w:ind w:firstLine="548"/>
        <w:spacing w:after="0" w:line="223" w:lineRule="auto"/>
        <w:tabs>
          <w:tab w:leader="none" w:pos="1108"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Trustee, after written request by any Holder who has been a Holder for at least six months, fails to comply with Section 7.09 hereof, such Holder may petition any court of competent jurisdiction, at the expense of the Issuer, for the removal of the Trustee and the appointment of a successor Trustee.</w:t>
      </w:r>
    </w:p>
    <w:p>
      <w:pPr>
        <w:spacing w:after="0" w:line="131" w:lineRule="exact"/>
        <w:rPr>
          <w:rFonts w:ascii="Times New Roman" w:cs="Times New Roman" w:eastAsia="Times New Roman" w:hAnsi="Times New Roman"/>
          <w:sz w:val="19"/>
          <w:szCs w:val="19"/>
          <w:color w:val="auto"/>
        </w:rPr>
      </w:pPr>
    </w:p>
    <w:p>
      <w:pPr>
        <w:jc w:val="both"/>
        <w:ind w:firstLine="548"/>
        <w:spacing w:after="0" w:line="213" w:lineRule="auto"/>
        <w:tabs>
          <w:tab w:leader="none" w:pos="1111"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7.08</w:t>
      </w:r>
      <w:r>
        <w:rPr>
          <w:sz w:val="20"/>
          <w:szCs w:val="20"/>
          <w:color w:val="auto"/>
        </w:rPr>
        <w:tab/>
      </w:r>
      <w:r>
        <w:rPr>
          <w:rFonts w:ascii="Times New Roman" w:cs="Times New Roman" w:eastAsia="Times New Roman" w:hAnsi="Times New Roman"/>
          <w:sz w:val="17"/>
          <w:szCs w:val="17"/>
          <w:i w:val="1"/>
          <w:iCs w:val="1"/>
          <w:color w:val="auto"/>
        </w:rPr>
        <w:t>Successor Trustee by Merger, etc.</w:t>
      </w:r>
    </w:p>
    <w:p>
      <w:pPr>
        <w:spacing w:after="0" w:line="179"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If the Trustee consolidates, merges or converts into, or transfers all or substantially all of its corporate trust business to, another Person, the successor Person without the execution or filing of any instrument or paper or any further act shall be the successor Trustee with the same effect as if the successor Trustee had been named as the Trustee in this Indenture.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900" w:h="16838" w:orient="portrait"/>
          <w:cols w:equalWidth="0" w:num="1">
            <w:col w:w="11260"/>
          </w:cols>
          <w:pgMar w:left="320" w:top="1212" w:right="319" w:bottom="1440" w:gutter="0" w:footer="0" w:header="0"/>
        </w:sectPr>
      </w:pPr>
    </w:p>
    <w:bookmarkStart w:id="62" w:name="page63"/>
    <w:bookmarkEnd w:id="62"/>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7.09</w:t>
      </w:r>
      <w:r>
        <w:rPr>
          <w:sz w:val="20"/>
          <w:szCs w:val="20"/>
          <w:color w:val="auto"/>
        </w:rPr>
        <w:tab/>
      </w:r>
      <w:r>
        <w:rPr>
          <w:rFonts w:ascii="Times New Roman" w:cs="Times New Roman" w:eastAsia="Times New Roman" w:hAnsi="Times New Roman"/>
          <w:sz w:val="17"/>
          <w:szCs w:val="17"/>
          <w:i w:val="1"/>
          <w:iCs w:val="1"/>
          <w:color w:val="auto"/>
        </w:rPr>
        <w:t>Eligibility; Disqualification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9"/>
          <w:szCs w:val="19"/>
          <w:color w:val="auto"/>
        </w:rPr>
        <w:t>There shall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US$50 million as set forth in its most recent published annual report of condition.</w:t>
      </w:r>
    </w:p>
    <w:p>
      <w:pPr>
        <w:spacing w:after="0" w:line="11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ARTICLE 8</w:t>
      </w:r>
    </w:p>
    <w:p>
      <w:pPr>
        <w:jc w:val="center"/>
        <w:spacing w:after="0"/>
        <w:rPr>
          <w:sz w:val="20"/>
          <w:szCs w:val="20"/>
          <w:color w:val="auto"/>
        </w:rPr>
      </w:pPr>
      <w:r>
        <w:rPr>
          <w:rFonts w:ascii="Times New Roman" w:cs="Times New Roman" w:eastAsia="Times New Roman" w:hAnsi="Times New Roman"/>
          <w:sz w:val="19"/>
          <w:szCs w:val="19"/>
          <w:color w:val="auto"/>
        </w:rPr>
        <w:t>LEGAL DEFEASANCE AND COVENANT DEFEASANCE</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8.01</w:t>
      </w:r>
      <w:r>
        <w:rPr>
          <w:sz w:val="20"/>
          <w:szCs w:val="20"/>
          <w:color w:val="auto"/>
        </w:rPr>
        <w:tab/>
      </w:r>
      <w:r>
        <w:rPr>
          <w:rFonts w:ascii="Times New Roman" w:cs="Times New Roman" w:eastAsia="Times New Roman" w:hAnsi="Times New Roman"/>
          <w:sz w:val="17"/>
          <w:szCs w:val="17"/>
          <w:i w:val="1"/>
          <w:iCs w:val="1"/>
          <w:color w:val="auto"/>
        </w:rPr>
        <w:t>Option to Effect Legal Defeasance or Covenant Defeasance.</w:t>
      </w:r>
    </w:p>
    <w:p>
      <w:pPr>
        <w:spacing w:after="0" w:line="179" w:lineRule="exact"/>
        <w:rPr>
          <w:sz w:val="20"/>
          <w:szCs w:val="20"/>
          <w:color w:val="auto"/>
        </w:rPr>
      </w:pPr>
    </w:p>
    <w:p>
      <w:pPr>
        <w:jc w:val="both"/>
        <w:ind w:firstLine="556"/>
        <w:spacing w:after="0" w:line="253" w:lineRule="auto"/>
        <w:rPr>
          <w:sz w:val="20"/>
          <w:szCs w:val="20"/>
          <w:color w:val="auto"/>
        </w:rPr>
      </w:pPr>
      <w:r>
        <w:rPr>
          <w:rFonts w:ascii="Times New Roman" w:cs="Times New Roman" w:eastAsia="Times New Roman" w:hAnsi="Times New Roman"/>
          <w:sz w:val="19"/>
          <w:szCs w:val="19"/>
          <w:color w:val="auto"/>
        </w:rPr>
        <w:t>The Issuer may, at the option of its Board of Directors evidenced by a resolution set forth in an Officer’s Certificate of the Issuer, at any time, elect to have either Section 8.02 or 8.03 hereof be applied to all outstanding Notes upon compliance with the conditions set forth below in this Article 8.</w:t>
      </w:r>
    </w:p>
    <w:p>
      <w:pPr>
        <w:spacing w:after="0" w:line="1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8.02</w:t>
      </w:r>
      <w:r>
        <w:rPr>
          <w:sz w:val="20"/>
          <w:szCs w:val="20"/>
          <w:color w:val="auto"/>
        </w:rPr>
        <w:tab/>
      </w:r>
      <w:r>
        <w:rPr>
          <w:rFonts w:ascii="Times New Roman" w:cs="Times New Roman" w:eastAsia="Times New Roman" w:hAnsi="Times New Roman"/>
          <w:sz w:val="17"/>
          <w:szCs w:val="17"/>
          <w:i w:val="1"/>
          <w:iCs w:val="1"/>
          <w:color w:val="auto"/>
        </w:rPr>
        <w:t>Legal Defeasance and Discharge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81" w:lineRule="auto"/>
        <w:rPr>
          <w:sz w:val="20"/>
          <w:szCs w:val="20"/>
          <w:color w:val="auto"/>
        </w:rPr>
      </w:pPr>
      <w:r>
        <w:rPr>
          <w:rFonts w:ascii="Times New Roman" w:cs="Times New Roman" w:eastAsia="Times New Roman" w:hAnsi="Times New Roman"/>
          <w:sz w:val="17"/>
          <w:szCs w:val="17"/>
          <w:color w:val="auto"/>
        </w:rPr>
        <w:t>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17"/>
          <w:szCs w:val="17"/>
          <w:i w:val="1"/>
          <w:iCs w:val="1"/>
          <w:color w:val="auto"/>
        </w:rPr>
        <w:t>Legal Defeasance</w:t>
      </w:r>
      <w:r>
        <w:rPr>
          <w:rFonts w:ascii="Times New Roman" w:cs="Times New Roman" w:eastAsia="Times New Roman" w:hAnsi="Times New Roman"/>
          <w:sz w:val="17"/>
          <w:szCs w:val="17"/>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Sections 8.02(a) and (b) below, and to have satisfied all its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spacing w:after="0" w:line="123" w:lineRule="exact"/>
        <w:rPr>
          <w:sz w:val="20"/>
          <w:szCs w:val="20"/>
          <w:color w:val="auto"/>
        </w:rPr>
      </w:pPr>
    </w:p>
    <w:p>
      <w:pPr>
        <w:ind w:left="540" w:right="20" w:firstLine="1119"/>
        <w:spacing w:after="0" w:line="234" w:lineRule="auto"/>
        <w:tabs>
          <w:tab w:leader="none" w:pos="220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Holders of outstanding Notes to receive payments in respect of the principal of, or interest or premium, if any, on such Notes when such payments are due from the trust referred to in Section 8.04 hereof;</w:t>
      </w:r>
    </w:p>
    <w:p>
      <w:pPr>
        <w:spacing w:after="0" w:line="129" w:lineRule="exact"/>
        <w:rPr>
          <w:rFonts w:ascii="Times New Roman" w:cs="Times New Roman" w:eastAsia="Times New Roman" w:hAnsi="Times New Roman"/>
          <w:sz w:val="19"/>
          <w:szCs w:val="19"/>
          <w:color w:val="auto"/>
        </w:rPr>
      </w:pPr>
    </w:p>
    <w:p>
      <w:pPr>
        <w:ind w:left="2220" w:hanging="561"/>
        <w:spacing w:after="0"/>
        <w:tabs>
          <w:tab w:leader="none" w:pos="22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Issuer’s obligations with respect to such Notes under Article 2 and Section 4.02 hereof;</w:t>
      </w:r>
    </w:p>
    <w:p>
      <w:pPr>
        <w:spacing w:after="0" w:line="138" w:lineRule="exact"/>
        <w:rPr>
          <w:rFonts w:ascii="Times New Roman" w:cs="Times New Roman" w:eastAsia="Times New Roman" w:hAnsi="Times New Roman"/>
          <w:sz w:val="19"/>
          <w:szCs w:val="19"/>
          <w:color w:val="auto"/>
        </w:rPr>
      </w:pPr>
    </w:p>
    <w:p>
      <w:pPr>
        <w:ind w:left="2220" w:hanging="561"/>
        <w:spacing w:after="0"/>
        <w:tabs>
          <w:tab w:leader="none" w:pos="22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powers, trusts, duties and immunities of the Trustee hereunder and the Issuer’s obligations in connection</w:t>
      </w:r>
    </w:p>
    <w:p>
      <w:pPr>
        <w:ind w:left="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therewith; and</w:t>
      </w:r>
    </w:p>
    <w:p>
      <w:pPr>
        <w:spacing w:after="0" w:line="131" w:lineRule="exact"/>
        <w:rPr>
          <w:rFonts w:ascii="Times New Roman" w:cs="Times New Roman" w:eastAsia="Times New Roman" w:hAnsi="Times New Roman"/>
          <w:sz w:val="19"/>
          <w:szCs w:val="19"/>
          <w:color w:val="auto"/>
        </w:rPr>
      </w:pPr>
    </w:p>
    <w:p>
      <w:pPr>
        <w:ind w:left="2220" w:hanging="561"/>
        <w:spacing w:after="0"/>
        <w:tabs>
          <w:tab w:leader="none" w:pos="22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Article 8.</w:t>
      </w:r>
    </w:p>
    <w:p>
      <w:pPr>
        <w:spacing w:after="0" w:line="175" w:lineRule="exact"/>
        <w:rPr>
          <w:sz w:val="20"/>
          <w:szCs w:val="20"/>
          <w:color w:val="auto"/>
        </w:rPr>
      </w:pPr>
    </w:p>
    <w:p>
      <w:pPr>
        <w:ind w:right="20" w:firstLine="556"/>
        <w:spacing w:after="0" w:line="266" w:lineRule="auto"/>
        <w:rPr>
          <w:sz w:val="20"/>
          <w:szCs w:val="20"/>
          <w:color w:val="auto"/>
        </w:rPr>
      </w:pPr>
      <w:r>
        <w:rPr>
          <w:rFonts w:ascii="Times New Roman" w:cs="Times New Roman" w:eastAsia="Times New Roman" w:hAnsi="Times New Roman"/>
          <w:sz w:val="19"/>
          <w:szCs w:val="19"/>
          <w:color w:val="auto"/>
        </w:rPr>
        <w:t>Subject to compliance with this Article 8, the Issuer may exercise its option under this Section 8.02 notwithstanding the prior exercise of its option under Section 8.03 hereof.</w:t>
      </w:r>
    </w:p>
    <w:p>
      <w:pPr>
        <w:spacing w:after="0" w:line="11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8.03</w:t>
      </w:r>
      <w:r>
        <w:rPr>
          <w:sz w:val="20"/>
          <w:szCs w:val="20"/>
          <w:color w:val="auto"/>
        </w:rPr>
        <w:tab/>
      </w:r>
      <w:r>
        <w:rPr>
          <w:rFonts w:ascii="Times New Roman" w:cs="Times New Roman" w:eastAsia="Times New Roman" w:hAnsi="Times New Roman"/>
          <w:sz w:val="17"/>
          <w:szCs w:val="17"/>
          <w:i w:val="1"/>
          <w:iCs w:val="1"/>
          <w:color w:val="auto"/>
        </w:rPr>
        <w:t>Covenant Defeasance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firstLine="556"/>
        <w:spacing w:after="0" w:line="266" w:lineRule="auto"/>
        <w:rPr>
          <w:sz w:val="20"/>
          <w:szCs w:val="20"/>
          <w:color w:val="auto"/>
        </w:rPr>
      </w:pPr>
      <w:r>
        <w:rPr>
          <w:rFonts w:ascii="Times New Roman" w:cs="Times New Roman" w:eastAsia="Times New Roman" w:hAnsi="Times New Roman"/>
          <w:sz w:val="19"/>
          <w:szCs w:val="19"/>
          <w:color w:val="auto"/>
        </w:rPr>
        <w:t>Upon the Issuer’s exercise under Section 8.01 hereof of the option applicable to this Section 8.03, the Issuer shall, subject to the satisfaction of the conditions set forth in Section 8.04 hereof, be released from its obligations under the covenants contained in Sections 4.07</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900" w:h="16838" w:orient="portrait"/>
          <w:cols w:equalWidth="0" w:num="1">
            <w:col w:w="11260"/>
          </w:cols>
          <w:pgMar w:left="320" w:top="1212" w:right="319" w:bottom="1440" w:gutter="0" w:footer="0" w:header="0"/>
        </w:sectPr>
      </w:pPr>
    </w:p>
    <w:bookmarkStart w:id="63" w:name="page64"/>
    <w:bookmarkEnd w:id="63"/>
    <w:p>
      <w:pPr>
        <w:jc w:val="both"/>
        <w:spacing w:after="0" w:line="246" w:lineRule="auto"/>
        <w:rPr>
          <w:sz w:val="20"/>
          <w:szCs w:val="20"/>
          <w:color w:val="auto"/>
        </w:rPr>
      </w:pPr>
      <w:r>
        <w:rPr>
          <w:rFonts w:ascii="Times New Roman" w:cs="Times New Roman" w:eastAsia="Times New Roman" w:hAnsi="Times New Roman"/>
          <w:sz w:val="19"/>
          <w:szCs w:val="19"/>
          <w:color w:val="auto"/>
        </w:rPr>
        <w:t>and 4.08 hereof with respect to the outstanding Notes on and after the date the conditions set forth in Section 8.04 hereof are satisfied (hereinafter, “</w:t>
      </w:r>
      <w:r>
        <w:rPr>
          <w:rFonts w:ascii="Times New Roman" w:cs="Times New Roman" w:eastAsia="Times New Roman" w:hAnsi="Times New Roman"/>
          <w:sz w:val="19"/>
          <w:szCs w:val="19"/>
          <w:i w:val="1"/>
          <w:iCs w:val="1"/>
          <w:color w:val="auto"/>
        </w:rPr>
        <w:t>Covenant Defeasance</w:t>
      </w:r>
      <w:r>
        <w:rPr>
          <w:rFonts w:ascii="Times New Roman" w:cs="Times New Roman" w:eastAsia="Times New Roman" w:hAnsi="Times New Roman"/>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6.01(c) through 6.01(f) hereof shall not constitute Events of Default.</w:t>
      </w:r>
    </w:p>
    <w:p>
      <w:pPr>
        <w:spacing w:after="0" w:line="13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8.04</w:t>
      </w:r>
      <w:r>
        <w:rPr>
          <w:sz w:val="20"/>
          <w:szCs w:val="20"/>
          <w:color w:val="auto"/>
        </w:rPr>
        <w:tab/>
      </w:r>
      <w:r>
        <w:rPr>
          <w:rFonts w:ascii="Times New Roman" w:cs="Times New Roman" w:eastAsia="Times New Roman" w:hAnsi="Times New Roman"/>
          <w:sz w:val="17"/>
          <w:szCs w:val="17"/>
          <w:i w:val="1"/>
          <w:iCs w:val="1"/>
          <w:color w:val="auto"/>
        </w:rPr>
        <w:t>Conditions to Legal or Covenant Defeasance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In order to exercise either Legal Defeasance or Covenant Defeasance under either Section 8.02 or 8.03 hereof:</w:t>
      </w:r>
    </w:p>
    <w:p>
      <w:pPr>
        <w:spacing w:after="0" w:line="164" w:lineRule="exact"/>
        <w:rPr>
          <w:sz w:val="20"/>
          <w:szCs w:val="20"/>
          <w:color w:val="auto"/>
        </w:rPr>
      </w:pPr>
    </w:p>
    <w:p>
      <w:pPr>
        <w:jc w:val="both"/>
        <w:ind w:firstLine="548"/>
        <w:spacing w:after="0" w:line="215" w:lineRule="auto"/>
        <w:tabs>
          <w:tab w:leader="none" w:pos="1108"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irrevocably deposit with the Trustee or its designee, in trust, for the benefit of the Holders, cash in U.S. dollars, non-callable Government Securities, or a combination of cash in U.S. dollars and non-callable Government Securities, in amounts as shall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Issuer must specify whether the Notes are being defeased to such stated date for payment or to a particular redemption date;</w:t>
      </w:r>
    </w:p>
    <w:p>
      <w:pPr>
        <w:spacing w:after="0" w:line="132" w:lineRule="exact"/>
        <w:rPr>
          <w:rFonts w:ascii="Times New Roman" w:cs="Times New Roman" w:eastAsia="Times New Roman" w:hAnsi="Times New Roman"/>
          <w:sz w:val="19"/>
          <w:szCs w:val="19"/>
          <w:color w:val="auto"/>
        </w:rPr>
      </w:pPr>
    </w:p>
    <w:p>
      <w:pPr>
        <w:jc w:val="both"/>
        <w:ind w:firstLine="548"/>
        <w:spacing w:after="0" w:line="213" w:lineRule="auto"/>
        <w:tabs>
          <w:tab w:leader="none" w:pos="1107"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election under Section 8.02 hereof, the Issuer must deliver to the Trustee an Opinion of Counsel reasonably acceptable to the Trustee confirming that (1) the Issuer has received from, or there has been published by, the Internal Revenue Service a ruling or (2) since the date of this Indenture,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133" w:lineRule="exact"/>
        <w:rPr>
          <w:rFonts w:ascii="Times New Roman" w:cs="Times New Roman" w:eastAsia="Times New Roman" w:hAnsi="Times New Roman"/>
          <w:sz w:val="19"/>
          <w:szCs w:val="19"/>
          <w:color w:val="auto"/>
        </w:rPr>
      </w:pPr>
    </w:p>
    <w:p>
      <w:pPr>
        <w:jc w:val="both"/>
        <w:ind w:firstLine="548"/>
        <w:spacing w:after="0" w:line="218" w:lineRule="auto"/>
        <w:tabs>
          <w:tab w:leader="none" w:pos="1108"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election under Section 8.03 hereof, the Issuer has delivered to the Trustee an Opinion of Counsel reasonably acceptable to the Trustee confirming that the Holders of the outstanding Notes shall not recognize income, gain or loss for United States federal income tax purposes as a result of such Covenant Defeasance and shall be subject to United States federal income tax on the same amounts, in the same manner and at the same times as would have been the case if such Covenant Defeasance had not occurred;</w:t>
      </w:r>
    </w:p>
    <w:p>
      <w:pPr>
        <w:spacing w:after="0" w:line="132"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900" w:h="16838" w:orient="portrait"/>
          <w:cols w:equalWidth="0" w:num="1">
            <w:col w:w="11260"/>
          </w:cols>
          <w:pgMar w:left="320" w:top="1239"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color w:val="auto"/>
        </w:rPr>
        <w:t>constitute a default under, any other instrument to which the Issuer is a party or by which the Issuer is bound;</w:t>
      </w:r>
    </w:p>
    <w:p>
      <w:pPr>
        <w:spacing w:after="0" w:line="152" w:lineRule="exact"/>
        <w:rPr>
          <w:sz w:val="20"/>
          <w:szCs w:val="20"/>
          <w:color w:val="auto"/>
        </w:rPr>
      </w:pPr>
    </w:p>
    <w:p>
      <w:pPr>
        <w:ind w:firstLine="548"/>
        <w:spacing w:after="0" w:line="234" w:lineRule="auto"/>
        <w:tabs>
          <w:tab w:leader="none" w:pos="1108"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Legal Defeasance or Covenant Defeasance shall not result in a breach or violation of, or constitute a default under, any material agreement or instrument (other than this Indenture) to which the Issuer is a party or by which any such Person is bound;</w:t>
      </w:r>
    </w:p>
    <w:p>
      <w:pPr>
        <w:spacing w:after="0" w:line="129" w:lineRule="exact"/>
        <w:rPr>
          <w:rFonts w:ascii="Times New Roman" w:cs="Times New Roman" w:eastAsia="Times New Roman" w:hAnsi="Times New Roman"/>
          <w:sz w:val="19"/>
          <w:szCs w:val="19"/>
          <w:color w:val="auto"/>
        </w:rPr>
      </w:pPr>
    </w:p>
    <w:p>
      <w:pPr>
        <w:jc w:val="both"/>
        <w:ind w:firstLine="548"/>
        <w:spacing w:after="0" w:line="218" w:lineRule="auto"/>
        <w:tabs>
          <w:tab w:leader="none" w:pos="1111"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election under Section 8.02 hereof, the Issuer must deliver to the Trustee an Opinion of Counsel to the effect that, assuming no intervening bankruptcy of the Issuer between the date of deposit and the 183rd day following the deposit and assuming that no Holder of Notes is an “insider” of the Issuer under applicable bankruptcy law, after the 183rd day following the deposit, the trust funds shall not be subject to the effect of any applicable bankruptcy, insolvency, reorganization or similar laws affecting creditors’ rights generally;</w:t>
      </w:r>
    </w:p>
    <w:p>
      <w:pPr>
        <w:spacing w:after="0" w:line="132" w:lineRule="exact"/>
        <w:rPr>
          <w:rFonts w:ascii="Times New Roman" w:cs="Times New Roman" w:eastAsia="Times New Roman" w:hAnsi="Times New Roman"/>
          <w:sz w:val="19"/>
          <w:szCs w:val="19"/>
          <w:color w:val="auto"/>
        </w:rPr>
      </w:pPr>
    </w:p>
    <w:p>
      <w:pPr>
        <w:jc w:val="both"/>
        <w:ind w:right="20" w:firstLine="548"/>
        <w:spacing w:after="0" w:line="223" w:lineRule="auto"/>
        <w:tabs>
          <w:tab w:leader="none" w:pos="1107"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spacing w:after="0" w:line="131" w:lineRule="exact"/>
        <w:rPr>
          <w:rFonts w:ascii="Times New Roman" w:cs="Times New Roman" w:eastAsia="Times New Roman" w:hAnsi="Times New Roman"/>
          <w:sz w:val="19"/>
          <w:szCs w:val="19"/>
          <w:color w:val="auto"/>
        </w:rPr>
      </w:pPr>
    </w:p>
    <w:p>
      <w:pPr>
        <w:ind w:right="20" w:firstLine="548"/>
        <w:spacing w:after="0" w:line="234" w:lineRule="auto"/>
        <w:tabs>
          <w:tab w:leader="none" w:pos="1107"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deliver to the Trustee an Officer’s Certificate and an Opinion of Counsel, each stating that all conditions precedent relating to the Legal Defeasance or the Covenant Defeasance have been complied with.</w:t>
      </w:r>
    </w:p>
    <w:p>
      <w:pPr>
        <w:spacing w:after="0" w:line="12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8.05</w:t>
      </w:r>
      <w:r>
        <w:rPr>
          <w:sz w:val="20"/>
          <w:szCs w:val="20"/>
          <w:color w:val="auto"/>
        </w:rPr>
        <w:tab/>
      </w:r>
      <w:r>
        <w:rPr>
          <w:rFonts w:ascii="Times New Roman" w:cs="Times New Roman" w:eastAsia="Times New Roman" w:hAnsi="Times New Roman"/>
          <w:sz w:val="17"/>
          <w:szCs w:val="17"/>
          <w:i w:val="1"/>
          <w:iCs w:val="1"/>
          <w:color w:val="auto"/>
        </w:rPr>
        <w:t>Deposited Money and Government Securities to be Held in Trust; Other Miscellaneous Provisions.</w:t>
      </w:r>
    </w:p>
    <w:p>
      <w:pPr>
        <w:spacing w:after="0" w:line="179"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Subject to Section 8.06 hereof, all money and Government Securities (including the proceeds thereof) deposited with the Trustee (or other qualifying trustee, collectively for purposes of this Section 8.05, the “</w:t>
      </w:r>
      <w:r>
        <w:rPr>
          <w:rFonts w:ascii="Times New Roman" w:cs="Times New Roman" w:eastAsia="Times New Roman" w:hAnsi="Times New Roman"/>
          <w:sz w:val="19"/>
          <w:szCs w:val="19"/>
          <w:i w:val="1"/>
          <w:iCs w:val="1"/>
          <w:color w:val="auto"/>
        </w:rPr>
        <w:t>Trustee</w:t>
      </w:r>
      <w:r>
        <w:rPr>
          <w:rFonts w:ascii="Times New Roman" w:cs="Times New Roman" w:eastAsia="Times New Roman" w:hAnsi="Times New Roman"/>
          <w:sz w:val="19"/>
          <w:szCs w:val="19"/>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6" w:lineRule="exact"/>
        <w:rPr>
          <w:sz w:val="20"/>
          <w:szCs w:val="20"/>
          <w:color w:val="auto"/>
        </w:rPr>
      </w:pPr>
    </w:p>
    <w:p>
      <w:pPr>
        <w:jc w:val="both"/>
        <w:ind w:firstLine="556"/>
        <w:spacing w:after="0" w:line="260" w:lineRule="auto"/>
        <w:rPr>
          <w:sz w:val="20"/>
          <w:szCs w:val="20"/>
          <w:color w:val="auto"/>
        </w:rPr>
      </w:pPr>
      <w:r>
        <w:rPr>
          <w:rFonts w:ascii="Times New Roman" w:cs="Times New Roman" w:eastAsia="Times New Roman" w:hAnsi="Times New Roman"/>
          <w:sz w:val="19"/>
          <w:szCs w:val="19"/>
          <w:color w:val="auto"/>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147"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Notwithstanding anything in this Article 8 to the contrary, the Trustee shall deliver or pay to the Issuer from time to time upon the request of the Issuer any money or Government Securities held by it as provided in Section 8.04 hereof which, in the opinion of an internationally recognized firm of independent public accountants expressed in a written certification thereof delivered to the Trustee (which may be in the opinion delivered under Section 8.04(b) hereof), are in excess of the amount thereof that would then be required to be deposited to effect an equivalent Legal Defeasance or Covenant Defeasance.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1260"/>
          </w:cols>
          <w:pgMar w:left="320" w:top="1216" w:right="319" w:bottom="1440" w:gutter="0" w:footer="0" w:header="0"/>
        </w:sectPr>
      </w:pPr>
    </w:p>
    <w:bookmarkStart w:id="65" w:name="page66"/>
    <w:bookmarkEnd w:id="65"/>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8.06</w:t>
      </w:r>
      <w:r>
        <w:rPr>
          <w:sz w:val="20"/>
          <w:szCs w:val="20"/>
          <w:color w:val="auto"/>
        </w:rPr>
        <w:tab/>
      </w:r>
      <w:r>
        <w:rPr>
          <w:rFonts w:ascii="Times New Roman" w:cs="Times New Roman" w:eastAsia="Times New Roman" w:hAnsi="Times New Roman"/>
          <w:sz w:val="17"/>
          <w:szCs w:val="17"/>
          <w:i w:val="1"/>
          <w:iCs w:val="1"/>
          <w:color w:val="auto"/>
        </w:rPr>
        <w:t>Repayment to Issuer</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 xml:space="preserve">Any money deposited with the Trustee or any Paying Agent, or then held by the Issuer, in trust for the payment of the principal of, premium, if any, or interest on any Note and remaining unclaimed for two years after such principal, premium, if any, or interest has become due and payable shall be paid to the Issuer on its request or (if then held by the Issuer) shall be discharged from such trust; and the Holder of such Note shall thereafter be permitted to look only to the Issuer for payment thereof, and all liability of the Trustee or such Paying Agent with respect to such trust money, and all liability of the Issuer as trustee thereof, shall thereupon cease;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Trustee or such Paying Agent, before being required to make any such repayment, may at the expense of the Issuer cause to be published once, in the New York Times (United States national edition) and The Wall Street Journal (United States national edition and The Wall Street Journal Asia),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3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8.07</w:t>
      </w:r>
      <w:r>
        <w:rPr>
          <w:sz w:val="20"/>
          <w:szCs w:val="20"/>
          <w:color w:val="auto"/>
        </w:rPr>
        <w:tab/>
      </w:r>
      <w:r>
        <w:rPr>
          <w:rFonts w:ascii="Times New Roman" w:cs="Times New Roman" w:eastAsia="Times New Roman" w:hAnsi="Times New Roman"/>
          <w:sz w:val="17"/>
          <w:szCs w:val="17"/>
          <w:i w:val="1"/>
          <w:iCs w:val="1"/>
          <w:color w:val="auto"/>
        </w:rPr>
        <w:t>Reinstatement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9</w:t>
      </w:r>
    </w:p>
    <w:p>
      <w:pPr>
        <w:ind w:left="3780"/>
        <w:spacing w:after="0"/>
        <w:rPr>
          <w:sz w:val="20"/>
          <w:szCs w:val="20"/>
          <w:color w:val="auto"/>
        </w:rPr>
      </w:pPr>
      <w:r>
        <w:rPr>
          <w:rFonts w:ascii="Times New Roman" w:cs="Times New Roman" w:eastAsia="Times New Roman" w:hAnsi="Times New Roman"/>
          <w:sz w:val="19"/>
          <w:szCs w:val="19"/>
          <w:color w:val="auto"/>
        </w:rPr>
        <w:t>AMENDMENT, SUPPLEMENT AND WAIVER</w:t>
      </w:r>
    </w:p>
    <w:p>
      <w:pPr>
        <w:spacing w:after="0" w:line="1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9.01</w:t>
      </w:r>
      <w:r>
        <w:rPr>
          <w:sz w:val="20"/>
          <w:szCs w:val="20"/>
          <w:color w:val="auto"/>
        </w:rPr>
        <w:tab/>
      </w:r>
      <w:r>
        <w:rPr>
          <w:rFonts w:ascii="Times New Roman" w:cs="Times New Roman" w:eastAsia="Times New Roman" w:hAnsi="Times New Roman"/>
          <w:sz w:val="17"/>
          <w:szCs w:val="17"/>
          <w:i w:val="1"/>
          <w:iCs w:val="1"/>
          <w:color w:val="auto"/>
        </w:rPr>
        <w:t>Without Consent of Holders of Notes.</w:t>
      </w:r>
    </w:p>
    <w:p>
      <w:pPr>
        <w:spacing w:after="0" w:line="179"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Notwithstanding Section 9.02 hereof, without the consent of any Holder, the Issuer and the Trustee may amend or supplement this Indenture or the Notes to:</w:t>
      </w:r>
    </w:p>
    <w:p>
      <w:pPr>
        <w:spacing w:after="0" w:line="118" w:lineRule="exact"/>
        <w:rPr>
          <w:sz w:val="20"/>
          <w:szCs w:val="20"/>
          <w:color w:val="auto"/>
        </w:rPr>
      </w:pPr>
    </w:p>
    <w:p>
      <w:pPr>
        <w:ind w:left="1100" w:hanging="552"/>
        <w:spacing w:after="0"/>
        <w:tabs>
          <w:tab w:leader="none" w:pos="110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cure any ambiguity, defect or inconsistency;</w:t>
      </w:r>
    </w:p>
    <w:p>
      <w:pPr>
        <w:spacing w:after="0" w:line="151"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for uncertificated Notes in addition to or in place of Definitive Notes (provided that the uncertificated Notes are issued in registered form for purposes of Section 163(f) of the U.S. Internal Revenue Code of 1986, as amended);</w:t>
      </w:r>
    </w:p>
    <w:p>
      <w:pPr>
        <w:spacing w:after="0" w:line="129" w:lineRule="exact"/>
        <w:rPr>
          <w:rFonts w:ascii="Times New Roman" w:cs="Times New Roman" w:eastAsia="Times New Roman" w:hAnsi="Times New Roman"/>
          <w:sz w:val="19"/>
          <w:szCs w:val="19"/>
          <w:color w:val="auto"/>
        </w:rPr>
      </w:pPr>
    </w:p>
    <w:p>
      <w:pPr>
        <w:ind w:firstLine="548"/>
        <w:spacing w:after="0" w:line="234" w:lineRule="auto"/>
        <w:tabs>
          <w:tab w:leader="none" w:pos="1108"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for the assumption of the Issuer’s obligations to the Holders of the Notes by a successor to the Issuer in the case of a merger or consolidation or sale of all or substantially all of the Issuer’s assets pursuant to Article 5 hereof;</w:t>
      </w:r>
    </w:p>
    <w:p>
      <w:pPr>
        <w:spacing w:after="0" w:line="129"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that would provide any additional rights or benefits to the Holders of the Notes or that does not adversely affect the legal rights hereunder of any such Holder;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900" w:h="16838" w:orient="portrait"/>
          <w:cols w:equalWidth="0" w:num="1">
            <w:col w:w="11260"/>
          </w:cols>
          <w:pgMar w:left="320" w:top="1212" w:right="319" w:bottom="1440" w:gutter="0" w:footer="0" w:header="0"/>
        </w:sectPr>
      </w:pPr>
    </w:p>
    <w:bookmarkStart w:id="66" w:name="page67"/>
    <w:bookmarkEnd w:id="66"/>
    <w:p>
      <w:pPr>
        <w:jc w:val="both"/>
        <w:ind w:firstLine="548"/>
        <w:spacing w:after="0" w:line="223" w:lineRule="auto"/>
        <w:tabs>
          <w:tab w:leader="none" w:pos="110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conform the text of this Indenture or the Notes to any provision of the “Description of the Notes” in the Issuer’s offering memorandum dated as of August 12, 2025, relating to the offering of the Initial Notes, to the extent that such provision in the “Description of the Notes” was intended to be a verbatim recitation of a provision of this Indenture or the Notes;</w:t>
      </w:r>
    </w:p>
    <w:p>
      <w:pPr>
        <w:spacing w:after="0" w:line="13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issuance of Additional Notes in accordance with the limitations set forth in this Indenture as of the date of this Indenture;</w:t>
      </w:r>
    </w:p>
    <w:p>
      <w:pPr>
        <w:spacing w:after="0" w:line="174" w:lineRule="exact"/>
        <w:rPr>
          <w:rFonts w:ascii="Times New Roman" w:cs="Times New Roman" w:eastAsia="Times New Roman" w:hAnsi="Times New Roman"/>
          <w:sz w:val="17"/>
          <w:szCs w:val="17"/>
          <w:color w:val="auto"/>
        </w:rPr>
      </w:pPr>
    </w:p>
    <w:p>
      <w:pPr>
        <w:ind w:left="1100" w:hanging="552"/>
        <w:spacing w:after="0"/>
        <w:tabs>
          <w:tab w:leader="none" w:pos="11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and provide for the acceptance of appointment by a successor Trustee;</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comply with the procedures of DTC, Euroclear or Clearstream;</w:t>
      </w:r>
    </w:p>
    <w:p>
      <w:pPr>
        <w:spacing w:after="0" w:line="151" w:lineRule="exact"/>
        <w:rPr>
          <w:rFonts w:ascii="Times New Roman" w:cs="Times New Roman" w:eastAsia="Times New Roman" w:hAnsi="Times New Roman"/>
          <w:sz w:val="19"/>
          <w:szCs w:val="19"/>
          <w:color w:val="auto"/>
        </w:rPr>
      </w:pPr>
    </w:p>
    <w:p>
      <w:pPr>
        <w:ind w:firstLine="548"/>
        <w:spacing w:after="0" w:line="283" w:lineRule="auto"/>
        <w:tabs>
          <w:tab w:leader="none" w:pos="110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a Person to Guarantee the Issuer’s obligations under this Indenture and the Notes by executing a supplemental indenture with respect to the Notes (or to release any such Person from such a Guarantee as provided or permitted by the terms of this Indenture and such Guarantee);</w:t>
      </w:r>
    </w:p>
    <w:p>
      <w:pPr>
        <w:spacing w:after="0" w:line="94" w:lineRule="exact"/>
        <w:rPr>
          <w:rFonts w:ascii="Times New Roman" w:cs="Times New Roman" w:eastAsia="Times New Roman" w:hAnsi="Times New Roman"/>
          <w:sz w:val="17"/>
          <w:szCs w:val="17"/>
          <w:color w:val="auto"/>
        </w:rPr>
      </w:pPr>
    </w:p>
    <w:p>
      <w:pPr>
        <w:ind w:left="1100" w:hanging="552"/>
        <w:spacing w:after="0"/>
        <w:tabs>
          <w:tab w:leader="none" w:pos="11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comply with requirements of applicable Gaming Laws or to provide for requirements imposed by applicable Gaming Authorities; or</w:t>
      </w:r>
    </w:p>
    <w:p>
      <w:pPr>
        <w:spacing w:after="0" w:line="138"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for the Notes to become secured (or to release such security as permitted by this Indenture and the applicable security</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documents).</w:t>
      </w:r>
    </w:p>
    <w:p>
      <w:pPr>
        <w:spacing w:after="0" w:line="155"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Upon the request of the Issuer accompanied by a resolution of its Board of Directors authorizing the execution of any such amended or supplemental indenture, and upon receipt by the Trustee of the documents described in Sections 7.02 and 11.02 hereof, the Trustee may join with the Issuer in the execution of any amended or supplemental indenture authorized or permitted by the terms of this Indenture and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9.02</w:t>
      </w:r>
      <w:r>
        <w:rPr>
          <w:sz w:val="20"/>
          <w:szCs w:val="20"/>
          <w:color w:val="auto"/>
        </w:rPr>
        <w:tab/>
      </w:r>
      <w:r>
        <w:rPr>
          <w:rFonts w:ascii="Times New Roman" w:cs="Times New Roman" w:eastAsia="Times New Roman" w:hAnsi="Times New Roman"/>
          <w:sz w:val="17"/>
          <w:szCs w:val="17"/>
          <w:i w:val="1"/>
          <w:iCs w:val="1"/>
          <w:color w:val="auto"/>
        </w:rPr>
        <w:t>With Consent of Holders of Notes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56"/>
        <w:spacing w:after="0" w:line="278" w:lineRule="auto"/>
        <w:rPr>
          <w:sz w:val="20"/>
          <w:szCs w:val="20"/>
          <w:color w:val="auto"/>
        </w:rPr>
      </w:pPr>
      <w:r>
        <w:rPr>
          <w:rFonts w:ascii="Times New Roman" w:cs="Times New Roman" w:eastAsia="Times New Roman" w:hAnsi="Times New Roman"/>
          <w:sz w:val="17"/>
          <w:szCs w:val="17"/>
          <w:color w:val="auto"/>
        </w:rPr>
        <w:t>Except as provided below in this Section 9.02, the Issuer and the Trustee may amend or supplement this Indenture (including, without limitation, Section 4.08 hereof) and the Notes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 Section 2.08 hereof shall determine which Notes are considered to be “outstanding” for purposes of this Section 9.02.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900" w:h="16838" w:orient="portrait"/>
          <w:cols w:equalWidth="0" w:num="1">
            <w:col w:w="11260"/>
          </w:cols>
          <w:pgMar w:left="320" w:top="1216" w:right="319" w:bottom="1440" w:gutter="0" w:footer="0" w:header="0"/>
        </w:sectPr>
      </w:pPr>
    </w:p>
    <w:bookmarkStart w:id="67" w:name="page68"/>
    <w:bookmarkEnd w:id="67"/>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may join with the Issuer in the execution of such amended or supplemental Indenture unless such amended or supplemental Indenture affects the Trustee’s own rights, duties or immunities under this Indenture or otherwise, in which case the Trustee may in its discretion, but shall not be obligated to, enter into such amended or supplemental Indenture.</w:t>
      </w:r>
    </w:p>
    <w:p>
      <w:pPr>
        <w:spacing w:after="0" w:line="156"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52" w:lineRule="exact"/>
        <w:rPr>
          <w:sz w:val="20"/>
          <w:szCs w:val="20"/>
          <w:color w:val="auto"/>
        </w:rPr>
      </w:pPr>
    </w:p>
    <w:p>
      <w:pPr>
        <w:jc w:val="both"/>
        <w:ind w:firstLine="556"/>
        <w:spacing w:after="0" w:line="246" w:lineRule="auto"/>
        <w:rPr>
          <w:sz w:val="20"/>
          <w:szCs w:val="20"/>
          <w:color w:val="auto"/>
        </w:rPr>
      </w:pPr>
      <w:r>
        <w:rPr>
          <w:rFonts w:ascii="Times New Roman" w:cs="Times New Roman" w:eastAsia="Times New Roman" w:hAnsi="Times New Roman"/>
          <w:sz w:val="19"/>
          <w:szCs w:val="19"/>
          <w:color w:val="auto"/>
        </w:rPr>
        <w:t>After an amendment, supplement or waiver under this Section 9.02 becomes effective, the Issuer shall mail to the Holders of Notes affected thereby a notice briefly describing the amendment, supplement or waiver. Any failure of the Issuer to mail such notice, or any defect therein, shall not, however, in any way impair or affect the validity of any such amendment or supplement or waiver. Subject to Sections 6.04 and 6.07 hereof, the Holders of a majority in aggregate principal amount of the Notes then outstanding voting as a single class may waive compliance in a particular instance by the Issuer with any provision of this Indenture or the Notes. However, without the consent of at least 90% in aggregate principal amount of the then outstanding Notes, an amendment, supplement or waiver under this Section 9.02 may not:</w:t>
      </w:r>
    </w:p>
    <w:p>
      <w:pPr>
        <w:spacing w:after="0" w:line="150" w:lineRule="exact"/>
        <w:rPr>
          <w:sz w:val="20"/>
          <w:szCs w:val="20"/>
          <w:color w:val="auto"/>
        </w:rPr>
      </w:pPr>
    </w:p>
    <w:p>
      <w:pPr>
        <w:ind w:left="1100" w:hanging="552"/>
        <w:spacing w:after="0"/>
        <w:tabs>
          <w:tab w:leader="none" w:pos="11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amount of Notes whose Holders must consent to an amendment, supplement or waiver;</w:t>
      </w:r>
    </w:p>
    <w:p>
      <w:pPr>
        <w:spacing w:after="0" w:line="151"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of or change the fixed maturity of any Note or alter or waive any of the provisions with respect to the redemption of the Notes, except as provided above with respect to Section 4.08 hereof;</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rate of or change the time for payment of interest, including default interest, on any Note;</w:t>
      </w:r>
    </w:p>
    <w:p>
      <w:pPr>
        <w:spacing w:after="0" w:line="151" w:lineRule="exact"/>
        <w:rPr>
          <w:rFonts w:ascii="Times New Roman" w:cs="Times New Roman" w:eastAsia="Times New Roman" w:hAnsi="Times New Roman"/>
          <w:sz w:val="19"/>
          <w:szCs w:val="19"/>
          <w:color w:val="auto"/>
        </w:rPr>
      </w:pPr>
    </w:p>
    <w:p>
      <w:pPr>
        <w:jc w:val="both"/>
        <w:ind w:right="20" w:firstLine="548"/>
        <w:spacing w:after="0" w:line="223" w:lineRule="auto"/>
        <w:tabs>
          <w:tab w:leader="none" w:pos="110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3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Note payable in money other than that stated in the Notes;</w:t>
      </w:r>
    </w:p>
    <w:p>
      <w:pPr>
        <w:spacing w:after="0" w:line="151" w:lineRule="exact"/>
        <w:rPr>
          <w:rFonts w:ascii="Times New Roman" w:cs="Times New Roman" w:eastAsia="Times New Roman" w:hAnsi="Times New Roman"/>
          <w:sz w:val="19"/>
          <w:szCs w:val="19"/>
          <w:color w:val="auto"/>
        </w:rPr>
      </w:pPr>
    </w:p>
    <w:p>
      <w:pPr>
        <w:ind w:right="20" w:firstLine="548"/>
        <w:spacing w:after="0" w:line="234" w:lineRule="auto"/>
        <w:tabs>
          <w:tab w:leader="none" w:pos="1111"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in the provisions of this Indenture relating to waivers of past Defaults or the rights of Holders of Notes to receive payments of principal of, or interest or premium, if any, on the Notes;</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a redemption payment with respect to any Note (other than a payment required by Section 4.08 hereof); or</w:t>
      </w:r>
    </w:p>
    <w:p>
      <w:pPr>
        <w:spacing w:after="0" w:line="151"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in the foregoing amendment and waiver provisions.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900" w:h="16838" w:orient="portrait"/>
          <w:cols w:equalWidth="0" w:num="1">
            <w:col w:w="11260"/>
          </w:cols>
          <w:pgMar w:left="320" w:top="1239" w:right="319" w:bottom="1440" w:gutter="0" w:footer="0" w:header="0"/>
        </w:sectPr>
      </w:pPr>
    </w:p>
    <w:bookmarkStart w:id="68" w:name="page69"/>
    <w:bookmarkEnd w:id="68"/>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9.03</w:t>
      </w:r>
      <w:r>
        <w:rPr>
          <w:sz w:val="20"/>
          <w:szCs w:val="20"/>
          <w:color w:val="auto"/>
        </w:rPr>
        <w:tab/>
      </w:r>
      <w:r>
        <w:rPr>
          <w:rFonts w:ascii="Times New Roman" w:cs="Times New Roman" w:eastAsia="Times New Roman" w:hAnsi="Times New Roman"/>
          <w:sz w:val="17"/>
          <w:szCs w:val="17"/>
          <w:i w:val="1"/>
          <w:iCs w:val="1"/>
          <w:color w:val="auto"/>
        </w:rPr>
        <w:t>Revocation and Effect of Consents.</w:t>
      </w:r>
    </w:p>
    <w:p>
      <w:pPr>
        <w:spacing w:after="0" w:line="179"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9.04</w:t>
      </w:r>
      <w:r>
        <w:rPr>
          <w:sz w:val="20"/>
          <w:szCs w:val="20"/>
          <w:color w:val="auto"/>
        </w:rPr>
        <w:tab/>
      </w:r>
      <w:r>
        <w:rPr>
          <w:rFonts w:ascii="Times New Roman" w:cs="Times New Roman" w:eastAsia="Times New Roman" w:hAnsi="Times New Roman"/>
          <w:sz w:val="17"/>
          <w:szCs w:val="17"/>
          <w:i w:val="1"/>
          <w:iCs w:val="1"/>
          <w:color w:val="auto"/>
        </w:rPr>
        <w:t>Notation on or Exchange of Notes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20" w:firstLine="556"/>
        <w:spacing w:after="0" w:line="253" w:lineRule="auto"/>
        <w:rPr>
          <w:sz w:val="20"/>
          <w:szCs w:val="20"/>
          <w:color w:val="auto"/>
        </w:rPr>
      </w:pPr>
      <w:r>
        <w:rPr>
          <w:rFonts w:ascii="Times New Roman" w:cs="Times New Roman" w:eastAsia="Times New Roman" w:hAnsi="Times New Roman"/>
          <w:sz w:val="19"/>
          <w:szCs w:val="19"/>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Failure to make the appropriate notation or issue a new Note shall not affect the validity and effect of such amendment, supplement or waiver.</w:t>
      </w:r>
    </w:p>
    <w:p>
      <w:pPr>
        <w:spacing w:after="0" w:line="18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9"/>
          <w:szCs w:val="19"/>
          <w:color w:val="auto"/>
        </w:rPr>
        <w:t>Section 9.05</w:t>
      </w:r>
      <w:r>
        <w:rPr>
          <w:sz w:val="20"/>
          <w:szCs w:val="20"/>
          <w:color w:val="auto"/>
        </w:rPr>
        <w:tab/>
      </w:r>
      <w:r>
        <w:rPr>
          <w:rFonts w:ascii="Times New Roman" w:cs="Times New Roman" w:eastAsia="Times New Roman" w:hAnsi="Times New Roman"/>
          <w:sz w:val="17"/>
          <w:szCs w:val="17"/>
          <w:i w:val="1"/>
          <w:iCs w:val="1"/>
          <w:color w:val="auto"/>
        </w:rPr>
        <w:t>Trustee to Sign Amendments, etc.</w:t>
      </w:r>
    </w:p>
    <w:p>
      <w:pPr>
        <w:spacing w:after="0" w:line="179" w:lineRule="exact"/>
        <w:rPr>
          <w:sz w:val="20"/>
          <w:szCs w:val="20"/>
          <w:color w:val="auto"/>
        </w:rPr>
      </w:pPr>
    </w:p>
    <w:p>
      <w:pPr>
        <w:jc w:val="both"/>
        <w:ind w:firstLine="556"/>
        <w:spacing w:after="0" w:line="284" w:lineRule="auto"/>
        <w:rPr>
          <w:sz w:val="20"/>
          <w:szCs w:val="20"/>
          <w:color w:val="auto"/>
        </w:rPr>
      </w:pPr>
      <w:r>
        <w:rPr>
          <w:rFonts w:ascii="Times New Roman" w:cs="Times New Roman" w:eastAsia="Times New Roman" w:hAnsi="Times New Roman"/>
          <w:sz w:val="17"/>
          <w:szCs w:val="17"/>
          <w:color w:val="auto"/>
        </w:rPr>
        <w:t>The Trustee may, but shall not be obligated to, sign any amended or supplemental indenture authorized pursuant to this Article 9 if the amendment or supplement does not affect the rights, duties, liabilities or immunities of the Trustee under this Indenture or otherwise. The Issuer may not sign an amendment or supplemental indenture until its Board of Directors approves it. In executing any amended or supplemental indenture, the Trustee shall be entitled to receive and (subject to Section 7.01 hereof) shall be fully protected in relying upon, in addition to the documents required by Section 11.02 hereof, an Officer’s Certificate and an Opinion of Counsel stating that the execution of such amended or supplemental indenture is authorized or permitted by this Indenture and is the legal, valid and binding obligation of the Issuer, enforceable against it in accordance with its terms.</w:t>
      </w:r>
    </w:p>
    <w:p>
      <w:pPr>
        <w:spacing w:after="0" w:line="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ARTICLE 10</w:t>
      </w:r>
    </w:p>
    <w:p>
      <w:pPr>
        <w:jc w:val="center"/>
        <w:spacing w:after="0"/>
        <w:rPr>
          <w:sz w:val="20"/>
          <w:szCs w:val="20"/>
          <w:color w:val="auto"/>
        </w:rPr>
      </w:pPr>
      <w:r>
        <w:rPr>
          <w:rFonts w:ascii="Times New Roman" w:cs="Times New Roman" w:eastAsia="Times New Roman" w:hAnsi="Times New Roman"/>
          <w:sz w:val="19"/>
          <w:szCs w:val="19"/>
          <w:color w:val="auto"/>
        </w:rPr>
        <w:t>SATISFACTION AND DISCHARGE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10.01 </w:t>
      </w:r>
      <w:r>
        <w:rPr>
          <w:rFonts w:ascii="Times New Roman" w:cs="Times New Roman" w:eastAsia="Times New Roman" w:hAnsi="Times New Roman"/>
          <w:sz w:val="19"/>
          <w:szCs w:val="19"/>
          <w:i w:val="1"/>
          <w:iCs w:val="1"/>
          <w:color w:val="auto"/>
        </w:rPr>
        <w:t>Satisfaction and Discharge.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This Indenture shall be discharged and shall cease to be of further effect as to all Notes issued hereunder, when:</w:t>
      </w:r>
    </w:p>
    <w:p>
      <w:pPr>
        <w:spacing w:after="0" w:line="164" w:lineRule="exact"/>
        <w:rPr>
          <w:sz w:val="20"/>
          <w:szCs w:val="20"/>
          <w:color w:val="auto"/>
        </w:rPr>
      </w:pPr>
    </w:p>
    <w:p>
      <w:pPr>
        <w:ind w:left="1100" w:hanging="552"/>
        <w:spacing w:after="0"/>
        <w:tabs>
          <w:tab w:leader="none" w:pos="110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w:t>
      </w:r>
    </w:p>
    <w:p>
      <w:pPr>
        <w:spacing w:after="0" w:line="151" w:lineRule="exact"/>
        <w:rPr>
          <w:rFonts w:ascii="Times New Roman" w:cs="Times New Roman" w:eastAsia="Times New Roman" w:hAnsi="Times New Roman"/>
          <w:sz w:val="19"/>
          <w:szCs w:val="19"/>
          <w:color w:val="auto"/>
        </w:rPr>
      </w:pPr>
    </w:p>
    <w:p>
      <w:pPr>
        <w:jc w:val="both"/>
        <w:ind w:left="540" w:right="20" w:firstLine="564"/>
        <w:spacing w:after="0" w:line="223" w:lineRule="auto"/>
        <w:tabs>
          <w:tab w:leader="none" w:pos="1647"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Notes that have been authenticated, except lost, stolen or destroyed Notes that have been replaced or paid and Notes for whose payment money has theretofore been deposited in trust and thereafter repaid to the Issuer, have been delivered to the Trustee for cancelation; or</w:t>
      </w:r>
    </w:p>
    <w:p>
      <w:pPr>
        <w:spacing w:after="0" w:line="131" w:lineRule="exact"/>
        <w:rPr>
          <w:rFonts w:ascii="Times New Roman" w:cs="Times New Roman" w:eastAsia="Times New Roman" w:hAnsi="Times New Roman"/>
          <w:sz w:val="19"/>
          <w:szCs w:val="19"/>
          <w:color w:val="auto"/>
        </w:rPr>
      </w:pPr>
    </w:p>
    <w:p>
      <w:pPr>
        <w:jc w:val="both"/>
        <w:ind w:left="540" w:right="20" w:firstLine="564"/>
        <w:spacing w:after="0" w:line="223" w:lineRule="auto"/>
        <w:tabs>
          <w:tab w:leader="none" w:pos="1647"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Notes that have not been delivered to the Trustee for cancelation will become due and payable by reason of the delivery of a notice of redemption or otherwise or will become due and payable within one year and the Issuer has irrevocably deposited or caused to be deposited with the Trustee or its designee as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900" w:h="16838" w:orient="portrait"/>
          <w:cols w:equalWidth="0" w:num="1">
            <w:col w:w="11260"/>
          </w:cols>
          <w:pgMar w:left="320" w:top="1212" w:right="319" w:bottom="1440" w:gutter="0" w:footer="0" w:header="0"/>
        </w:sectPr>
      </w:pPr>
    </w:p>
    <w:bookmarkStart w:id="69" w:name="page70"/>
    <w:bookmarkEnd w:id="69"/>
    <w:p>
      <w:pPr>
        <w:jc w:val="both"/>
        <w:ind w:left="540"/>
        <w:spacing w:after="0" w:line="215" w:lineRule="auto"/>
        <w:rPr>
          <w:sz w:val="20"/>
          <w:szCs w:val="20"/>
          <w:color w:val="auto"/>
        </w:rPr>
      </w:pPr>
      <w:r>
        <w:rPr>
          <w:rFonts w:ascii="Times New Roman" w:cs="Times New Roman" w:eastAsia="Times New Roman" w:hAnsi="Times New Roman"/>
          <w:sz w:val="19"/>
          <w:szCs w:val="19"/>
          <w:color w:val="auto"/>
        </w:rPr>
        <w:t>trust funds in trust solely for the benefit of the Holders, cash in U.S. dollars, non-callable Government Securities, or a combination of cash in U.S. dollars and non-callable Government Securities, in amounts as shall be sufficient, in the opinion of an internationally recognized investment bank, appraisal firm or firm of independent public accountants, without consideration of any reinvestment of interest, to pay and discharge the entire Indebtedness on the Notes not delivered to the Trustee for cancelation for principal and premium, if any, and accrued interest to the date of maturity or redemption;</w:t>
      </w:r>
    </w:p>
    <w:p>
      <w:pPr>
        <w:spacing w:after="0" w:line="133" w:lineRule="exact"/>
        <w:rPr>
          <w:sz w:val="20"/>
          <w:szCs w:val="20"/>
          <w:color w:val="auto"/>
        </w:rPr>
      </w:pPr>
    </w:p>
    <w:p>
      <w:pPr>
        <w:jc w:val="both"/>
        <w:ind w:firstLine="548"/>
        <w:spacing w:after="0" w:line="223" w:lineRule="auto"/>
        <w:tabs>
          <w:tab w:leader="none" w:pos="1107"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on the date of the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31" w:lineRule="exact"/>
        <w:rPr>
          <w:rFonts w:ascii="Times New Roman" w:cs="Times New Roman" w:eastAsia="Times New Roman" w:hAnsi="Times New Roman"/>
          <w:sz w:val="19"/>
          <w:szCs w:val="19"/>
          <w:color w:val="auto"/>
        </w:rPr>
      </w:pPr>
    </w:p>
    <w:p>
      <w:pPr>
        <w:ind w:right="20" w:firstLine="548"/>
        <w:spacing w:after="0" w:line="234" w:lineRule="auto"/>
        <w:tabs>
          <w:tab w:leader="none" w:pos="110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paid or caused to be paid all sums payable by the Issuer under this Indenture, including the fees and expenses of the Trustee and its counsel; and</w:t>
      </w:r>
    </w:p>
    <w:p>
      <w:pPr>
        <w:spacing w:after="0" w:line="129"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delivered irrevocable instructions to the Trustee under this Indenture to apply the deposited money toward the payment of the Notes at maturity or on the redemption date, as the case may be.</w:t>
      </w:r>
    </w:p>
    <w:p>
      <w:pPr>
        <w:spacing w:after="0" w:line="153"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In addition, the Issuer must deliver an Officer’s Certificate and an Opinion of Counsel to the Trustee stating that all conditions precedent to satisfaction and discharge have been satisfied.</w:t>
      </w:r>
    </w:p>
    <w:p>
      <w:pPr>
        <w:spacing w:after="0" w:line="141" w:lineRule="exact"/>
        <w:rPr>
          <w:sz w:val="20"/>
          <w:szCs w:val="20"/>
          <w:color w:val="auto"/>
        </w:rPr>
      </w:pPr>
    </w:p>
    <w:p>
      <w:pPr>
        <w:jc w:val="both"/>
        <w:ind w:right="20" w:firstLine="556"/>
        <w:spacing w:after="0" w:line="260" w:lineRule="auto"/>
        <w:rPr>
          <w:sz w:val="20"/>
          <w:szCs w:val="20"/>
          <w:color w:val="auto"/>
        </w:rPr>
      </w:pPr>
      <w:r>
        <w:rPr>
          <w:rFonts w:ascii="Times New Roman" w:cs="Times New Roman" w:eastAsia="Times New Roman" w:hAnsi="Times New Roman"/>
          <w:sz w:val="19"/>
          <w:szCs w:val="19"/>
          <w:color w:val="auto"/>
        </w:rPr>
        <w:t>Notwithstanding the satisfaction and discharge of this Indenture, if money has been deposited with the Trustee pursuant to subclause (2) of clause (a) of this Section, the provisions of Section 10.02 and Section 8.06 hereof shall survive. In addition, nothing in this Section 10.01 shall be deemed to discharge those provisions of Section 7.06 hereof, that, by their terms, survive the satisfaction and discharge of this Indenture.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10.02 </w:t>
      </w:r>
      <w:r>
        <w:rPr>
          <w:rFonts w:ascii="Times New Roman" w:cs="Times New Roman" w:eastAsia="Times New Roman" w:hAnsi="Times New Roman"/>
          <w:sz w:val="19"/>
          <w:szCs w:val="19"/>
          <w:i w:val="1"/>
          <w:iCs w:val="1"/>
          <w:color w:val="auto"/>
        </w:rPr>
        <w:t>Application of Trust Money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Subject to the provisions of Section 8.06 hereof, all money deposited with the Trustee pursuant to Section 10.01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59" w:lineRule="exact"/>
        <w:rPr>
          <w:sz w:val="20"/>
          <w:szCs w:val="20"/>
          <w:color w:val="auto"/>
        </w:rPr>
      </w:pPr>
    </w:p>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 xml:space="preserve">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10.01 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900" w:h="16838" w:orient="portrait"/>
          <w:cols w:equalWidth="0" w:num="1">
            <w:col w:w="11260"/>
          </w:cols>
          <w:pgMar w:left="320" w:top="1216" w:right="319" w:bottom="1440" w:gutter="0" w:footer="0" w:header="0"/>
        </w:sectPr>
      </w:pPr>
    </w:p>
    <w:bookmarkStart w:id="70" w:name="page71"/>
    <w:bookmarkEnd w:id="70"/>
    <w:p>
      <w:pPr>
        <w:ind w:left="5080"/>
        <w:spacing w:after="0"/>
        <w:rPr>
          <w:sz w:val="20"/>
          <w:szCs w:val="20"/>
          <w:color w:val="auto"/>
        </w:rPr>
      </w:pPr>
      <w:r>
        <w:rPr>
          <w:rFonts w:ascii="Times New Roman" w:cs="Times New Roman" w:eastAsia="Times New Roman" w:hAnsi="Times New Roman"/>
          <w:sz w:val="19"/>
          <w:szCs w:val="19"/>
          <w:color w:val="auto"/>
        </w:rPr>
        <w:t>ARTICLE 11</w:t>
      </w:r>
    </w:p>
    <w:p>
      <w:pPr>
        <w:ind w:left="4860"/>
        <w:spacing w:after="0"/>
        <w:rPr>
          <w:sz w:val="20"/>
          <w:szCs w:val="20"/>
          <w:color w:val="auto"/>
        </w:rPr>
      </w:pPr>
      <w:r>
        <w:rPr>
          <w:rFonts w:ascii="Times New Roman" w:cs="Times New Roman" w:eastAsia="Times New Roman" w:hAnsi="Times New Roman"/>
          <w:sz w:val="19"/>
          <w:szCs w:val="19"/>
          <w:color w:val="auto"/>
        </w:rPr>
        <w:t>MISCELLANEOUS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11.01 </w:t>
      </w:r>
      <w:r>
        <w:rPr>
          <w:rFonts w:ascii="Times New Roman" w:cs="Times New Roman" w:eastAsia="Times New Roman" w:hAnsi="Times New Roman"/>
          <w:sz w:val="19"/>
          <w:szCs w:val="19"/>
          <w:i w:val="1"/>
          <w:iCs w:val="1"/>
          <w:color w:val="auto"/>
        </w:rPr>
        <w:t>Notices.</w:t>
      </w:r>
    </w:p>
    <w:p>
      <w:pPr>
        <w:spacing w:after="0" w:line="179" w:lineRule="exact"/>
        <w:rPr>
          <w:sz w:val="20"/>
          <w:szCs w:val="20"/>
          <w:color w:val="auto"/>
        </w:rPr>
      </w:pPr>
    </w:p>
    <w:p>
      <w:pPr>
        <w:ind w:right="20" w:firstLine="556"/>
        <w:spacing w:after="0" w:line="266" w:lineRule="auto"/>
        <w:rPr>
          <w:sz w:val="20"/>
          <w:szCs w:val="20"/>
          <w:color w:val="auto"/>
        </w:rPr>
      </w:pPr>
      <w:r>
        <w:rPr>
          <w:rFonts w:ascii="Times New Roman" w:cs="Times New Roman" w:eastAsia="Times New Roman" w:hAnsi="Times New Roman"/>
          <w:sz w:val="19"/>
          <w:szCs w:val="19"/>
          <w:color w:val="auto"/>
        </w:rPr>
        <w:t>Any notice or communication by the Issuer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If to the Issuer:</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Wynn Macau, Limited</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Avenida da Nave Desportiva</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Cotai</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Macau SAR</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Facsimile No.: +853-8986-5500</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Attention: Mr. Jason Schall</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With a copy to:</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Kirkland &amp; Ellis</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26th Floor, Gloucester Tower, The Landmark</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15 Queen’s Road Central</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Hong Kong</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Facsimile No.: +852-3761-3301</w:t>
      </w:r>
    </w:p>
    <w:p>
      <w:pPr>
        <w:spacing w:after="0" w:line="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Attention: Mr. Ryan Choi</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If to the Trustee:</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Deutsche Bank Trust Company Americas</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Trust and Securities Services</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1 Columbus Circle, 4th Floor</w:t>
      </w:r>
    </w:p>
    <w:p>
      <w:pPr>
        <w:spacing w:after="0" w:line="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Mail Stop: NYC01-0417</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New York, NY 10019</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USA</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Attention: Corporates Team, Wynn Macau AA8139</w:t>
      </w:r>
    </w:p>
    <w:p>
      <w:pPr>
        <w:spacing w:after="0" w:line="221" w:lineRule="exact"/>
        <w:rPr>
          <w:sz w:val="20"/>
          <w:szCs w:val="20"/>
          <w:color w:val="auto"/>
        </w:rPr>
      </w:pPr>
    </w:p>
    <w:p>
      <w:pPr>
        <w:jc w:val="both"/>
        <w:ind w:right="20" w:firstLine="556"/>
        <w:spacing w:after="0" w:line="249" w:lineRule="auto"/>
        <w:rPr>
          <w:sz w:val="20"/>
          <w:szCs w:val="20"/>
          <w:color w:val="auto"/>
        </w:rPr>
      </w:pPr>
      <w:r>
        <w:rPr>
          <w:rFonts w:ascii="Times New Roman" w:cs="Times New Roman" w:eastAsia="Times New Roman" w:hAnsi="Times New Roman"/>
          <w:sz w:val="19"/>
          <w:szCs w:val="19"/>
          <w:color w:val="auto"/>
        </w:rPr>
        <w:t>The Issuer or the Trustee, by notice to the other, may designate additional or different addresses for subsequent notices or communications, including electronic mail addresses, in which case (i.e. in the case that electronic mail addresses are designated) any subsequent notice or communication, if delivered by electronic mail, is duly given if in writing and delivered by electronic mail to the designated address(es) and acknowledged via electronic receipt.</w:t>
      </w:r>
    </w:p>
    <w:p>
      <w:pPr>
        <w:spacing w:after="0" w:line="158"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All notices and communications (other than those sent to Holders) shall be deemed to have been duly given: at the time delivered by hand, if personally delivered; five Business Days after being deposited in the mail, postage prepaid, if mailed; when receipt 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11260"/>
          </w:cols>
          <w:pgMar w:left="320" w:top="1203" w:right="31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9"/>
          <w:szCs w:val="19"/>
          <w:color w:val="auto"/>
        </w:rPr>
        <w:t>acknowledged, if facsimiled; and the next Business Day after timely delivery to the courier, if sent by overnight air courier guaranteeing next day delivery.</w:t>
      </w:r>
    </w:p>
    <w:p>
      <w:pPr>
        <w:spacing w:after="0" w:line="141" w:lineRule="exact"/>
        <w:rPr>
          <w:sz w:val="20"/>
          <w:szCs w:val="20"/>
          <w:color w:val="auto"/>
        </w:rPr>
      </w:pPr>
    </w:p>
    <w:p>
      <w:pPr>
        <w:jc w:val="both"/>
        <w:ind w:firstLine="556"/>
        <w:spacing w:after="0" w:line="260" w:lineRule="auto"/>
        <w:rPr>
          <w:sz w:val="20"/>
          <w:szCs w:val="20"/>
          <w:color w:val="auto"/>
        </w:rPr>
      </w:pPr>
      <w:r>
        <w:rPr>
          <w:rFonts w:ascii="Times New Roman" w:cs="Times New Roman" w:eastAsia="Times New Roman" w:hAnsi="Times New Roman"/>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47"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If a notice or communication is mailed in the manner provided above within the time prescribed, it is duly given, whether or not the addressee receives it.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If the Issuer mails a notice or communication to Holders, it shall mail a copy to the Trustee and each Agent at the same time.</w:t>
      </w:r>
    </w:p>
    <w:p>
      <w:pPr>
        <w:spacing w:after="0" w:line="198" w:lineRule="exact"/>
        <w:rPr>
          <w:sz w:val="20"/>
          <w:szCs w:val="20"/>
          <w:color w:val="auto"/>
        </w:rPr>
      </w:pPr>
    </w:p>
    <w:p>
      <w:pPr>
        <w:jc w:val="both"/>
        <w:ind w:firstLine="556"/>
        <w:spacing w:after="0" w:line="245" w:lineRule="auto"/>
        <w:rPr>
          <w:sz w:val="20"/>
          <w:szCs w:val="20"/>
          <w:color w:val="auto"/>
        </w:rPr>
      </w:pPr>
      <w:r>
        <w:rPr>
          <w:rFonts w:ascii="Times New Roman" w:cs="Times New Roman" w:eastAsia="Times New Roman" w:hAnsi="Times New Roman"/>
          <w:sz w:val="19"/>
          <w:szCs w:val="19"/>
          <w:color w:val="auto"/>
        </w:rPr>
        <w:t>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spacing w:after="0" w:line="161"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The Trustee agrees to accept and act upon instructions or directions pursuant to this Indenture sent by unsecured email, facsimile transmission or other similar unsecured electronic methods; provided, however, that any originally executed instructions or directions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900" w:h="16838" w:orient="portrait"/>
          <w:cols w:equalWidth="0" w:num="1">
            <w:col w:w="11260"/>
          </w:cols>
          <w:pgMar w:left="320" w:top="1239" w:right="31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9"/>
          <w:szCs w:val="19"/>
          <w:color w:val="auto"/>
        </w:rPr>
        <w:t>shall be signed by an authorized representative of the party providing such instructions or directions and such party shall provide to the Trustee an incumbency certificate listing such authorized representative, which incumbency certificate shall be amended whenever a person is to be added or deleted from the listing. If the party elects to give the Trustee email or facsimile instructions (or instructions by a similar electronic method) and the Trustee in its discretion elects to act upon such instructions, the Trustee's understanding of such instructions shall be deemed controlling.</w:t>
      </w:r>
    </w:p>
    <w:p>
      <w:pPr>
        <w:spacing w:after="0" w:line="152" w:lineRule="exact"/>
        <w:rPr>
          <w:sz w:val="20"/>
          <w:szCs w:val="20"/>
          <w:color w:val="auto"/>
        </w:rPr>
      </w:pPr>
    </w:p>
    <w:p>
      <w:pPr>
        <w:jc w:val="both"/>
        <w:ind w:firstLine="556"/>
        <w:spacing w:after="0" w:line="246" w:lineRule="auto"/>
        <w:rPr>
          <w:sz w:val="20"/>
          <w:szCs w:val="20"/>
          <w:color w:val="auto"/>
        </w:rPr>
      </w:pPr>
      <w:r>
        <w:rPr>
          <w:rFonts w:ascii="Times New Roman" w:cs="Times New Roman" w:eastAsia="Times New Roman" w:hAnsi="Times New Roman"/>
          <w:sz w:val="19"/>
          <w:szCs w:val="19"/>
          <w:color w:val="auto"/>
        </w:rPr>
        <w:t>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(i) to assume all risks arising out of the use of such electronic methods to submit instructions and directions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such party; and (iii) that the security procedures (if any) to be followed in connection with its transmission of instructions provide to it a commercially reasonable degree of protection in light of its particular needs and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11.02 </w:t>
      </w:r>
      <w:r>
        <w:rPr>
          <w:rFonts w:ascii="Times New Roman" w:cs="Times New Roman" w:eastAsia="Times New Roman" w:hAnsi="Times New Roman"/>
          <w:sz w:val="19"/>
          <w:szCs w:val="19"/>
          <w:i w:val="1"/>
          <w:iCs w:val="1"/>
          <w:color w:val="auto"/>
        </w:rPr>
        <w:t>Certificate and Opinion as to Conditions Precedent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Upon any request or application by the Issuer to the Trustee to take any action under this Indenture (except that no Opinion of Counsel shall be required upon the initial issuance of the Notes), the Issuer shall furnish to the Trustee:</w:t>
      </w:r>
    </w:p>
    <w:p>
      <w:pPr>
        <w:spacing w:after="0" w:line="129" w:lineRule="exact"/>
        <w:rPr>
          <w:sz w:val="20"/>
          <w:szCs w:val="20"/>
          <w:color w:val="auto"/>
        </w:rPr>
      </w:pPr>
    </w:p>
    <w:p>
      <w:pPr>
        <w:jc w:val="both"/>
        <w:ind w:firstLine="548"/>
        <w:spacing w:after="0" w:line="223" w:lineRule="auto"/>
        <w:tabs>
          <w:tab w:leader="none" w:pos="1108"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Officer’s Certificate in form and substance reasonably satisfactory to the Trustee (which must include the statements set forth in Section 11.03 hereof) stating that, in the opinion of the signers, all conditions precedent and covenants, if any, provided for in this Indenture relating to the proposed action have been satisfied; and</w:t>
      </w:r>
    </w:p>
    <w:p>
      <w:pPr>
        <w:spacing w:after="0" w:line="131" w:lineRule="exact"/>
        <w:rPr>
          <w:rFonts w:ascii="Times New Roman" w:cs="Times New Roman" w:eastAsia="Times New Roman" w:hAnsi="Times New Roman"/>
          <w:sz w:val="19"/>
          <w:szCs w:val="19"/>
          <w:color w:val="auto"/>
        </w:rPr>
      </w:pPr>
    </w:p>
    <w:p>
      <w:pPr>
        <w:ind w:right="20" w:firstLine="548"/>
        <w:spacing w:after="0" w:line="234" w:lineRule="auto"/>
        <w:tabs>
          <w:tab w:leader="none" w:pos="1107"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Counsel in form and substance reasonably satisfactory to the Trustee (which must include the statements set forth in Section 11.03 hereof) stating that, in the opinion of such counsel, all such conditions precedent and covenants have been satisfied.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11.03 </w:t>
      </w:r>
      <w:r>
        <w:rPr>
          <w:rFonts w:ascii="Times New Roman" w:cs="Times New Roman" w:eastAsia="Times New Roman" w:hAnsi="Times New Roman"/>
          <w:sz w:val="19"/>
          <w:szCs w:val="19"/>
          <w:i w:val="1"/>
          <w:iCs w:val="1"/>
          <w:color w:val="auto"/>
        </w:rPr>
        <w:t>Statements Required in Certificate or Opinion</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Each certificate or opinion with respect to compliance with a condition or covenant provided for in this Indenture must include:</w:t>
      </w:r>
    </w:p>
    <w:p>
      <w:pPr>
        <w:spacing w:after="0" w:line="164" w:lineRule="exact"/>
        <w:rPr>
          <w:sz w:val="20"/>
          <w:szCs w:val="20"/>
          <w:color w:val="auto"/>
        </w:rPr>
      </w:pPr>
    </w:p>
    <w:p>
      <w:pPr>
        <w:ind w:left="1100" w:hanging="552"/>
        <w:spacing w:after="0"/>
        <w:tabs>
          <w:tab w:leader="none" w:pos="110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the Person making such certificate or opinion has read such covenant or condition;</w:t>
      </w:r>
    </w:p>
    <w:p>
      <w:pPr>
        <w:spacing w:after="0" w:line="151" w:lineRule="exact"/>
        <w:rPr>
          <w:rFonts w:ascii="Times New Roman" w:cs="Times New Roman" w:eastAsia="Times New Roman" w:hAnsi="Times New Roman"/>
          <w:sz w:val="19"/>
          <w:szCs w:val="19"/>
          <w:color w:val="auto"/>
        </w:rPr>
      </w:pPr>
    </w:p>
    <w:p>
      <w:pPr>
        <w:ind w:firstLine="548"/>
        <w:spacing w:after="0" w:line="234" w:lineRule="auto"/>
        <w:tabs>
          <w:tab w:leader="none" w:pos="1107"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brief statement as to the nature and scope of the examination or investigation upon which the statements or opinions contained in such certificate or opinion are based;</w:t>
      </w:r>
    </w:p>
    <w:p>
      <w:pPr>
        <w:spacing w:after="0" w:line="129" w:lineRule="exact"/>
        <w:rPr>
          <w:rFonts w:ascii="Times New Roman" w:cs="Times New Roman" w:eastAsia="Times New Roman" w:hAnsi="Times New Roman"/>
          <w:sz w:val="19"/>
          <w:szCs w:val="19"/>
          <w:color w:val="auto"/>
        </w:rPr>
      </w:pPr>
    </w:p>
    <w:p>
      <w:pPr>
        <w:ind w:right="20" w:firstLine="548"/>
        <w:spacing w:after="0" w:line="234" w:lineRule="auto"/>
        <w:tabs>
          <w:tab w:leader="none" w:pos="110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29" w:lineRule="exact"/>
        <w:rPr>
          <w:rFonts w:ascii="Times New Roman" w:cs="Times New Roman" w:eastAsia="Times New Roman" w:hAnsi="Times New Roman"/>
          <w:sz w:val="19"/>
          <w:szCs w:val="19"/>
          <w:color w:val="auto"/>
        </w:rPr>
      </w:pPr>
    </w:p>
    <w:p>
      <w:pPr>
        <w:ind w:left="1100" w:hanging="552"/>
        <w:spacing w:after="0"/>
        <w:tabs>
          <w:tab w:leader="none" w:pos="110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as to whether or not, in the opinion of such Person, such condition or covenant has been satisfied.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900" w:h="16838" w:orient="portrait"/>
          <w:cols w:equalWidth="0" w:num="1">
            <w:col w:w="11260"/>
          </w:cols>
          <w:pgMar w:left="320" w:top="1239"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9"/>
          <w:szCs w:val="19"/>
          <w:color w:val="auto"/>
        </w:rPr>
        <w:t xml:space="preserve">Section 11.04 </w:t>
      </w:r>
      <w:r>
        <w:rPr>
          <w:rFonts w:ascii="Times New Roman" w:cs="Times New Roman" w:eastAsia="Times New Roman" w:hAnsi="Times New Roman"/>
          <w:sz w:val="19"/>
          <w:szCs w:val="19"/>
          <w:i w:val="1"/>
          <w:iCs w:val="1"/>
          <w:color w:val="auto"/>
        </w:rPr>
        <w:t>Rules by Trustee and Agents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The Trustee may make reasonable rules for action by or at a meeting of Holders. The Registrar or Paying Agent may make reasonable rules and set reasonable requirements for its functions.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11.05 </w:t>
      </w:r>
      <w:r>
        <w:rPr>
          <w:rFonts w:ascii="Times New Roman" w:cs="Times New Roman" w:eastAsia="Times New Roman" w:hAnsi="Times New Roman"/>
          <w:sz w:val="19"/>
          <w:szCs w:val="19"/>
          <w:i w:val="1"/>
          <w:iCs w:val="1"/>
          <w:color w:val="auto"/>
        </w:rPr>
        <w:t>No Personal Liability of Directors, Officers, Employees and Equity Holders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right="20" w:firstLine="556"/>
        <w:spacing w:after="0" w:line="254" w:lineRule="auto"/>
        <w:rPr>
          <w:sz w:val="20"/>
          <w:szCs w:val="20"/>
          <w:color w:val="auto"/>
        </w:rPr>
      </w:pPr>
      <w:r>
        <w:rPr>
          <w:rFonts w:ascii="Times New Roman" w:cs="Times New Roman" w:eastAsia="Times New Roman" w:hAnsi="Times New Roman"/>
          <w:sz w:val="19"/>
          <w:szCs w:val="19"/>
          <w:color w:val="auto"/>
        </w:rPr>
        <w:t>No past, present or future director, officer, employee, incorporator, organizer, equity holder or member of the Issuer, as such, shall have any liability for any obligations of the Issuer under the Notes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11.06 </w:t>
      </w:r>
      <w:r>
        <w:rPr>
          <w:rFonts w:ascii="Times New Roman" w:cs="Times New Roman" w:eastAsia="Times New Roman" w:hAnsi="Times New Roman"/>
          <w:sz w:val="19"/>
          <w:szCs w:val="19"/>
          <w:i w:val="1"/>
          <w:iCs w:val="1"/>
          <w:color w:val="auto"/>
        </w:rPr>
        <w:t>Governing Law; Waiver of Jury Trial</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556"/>
        <w:spacing w:after="0" w:line="250" w:lineRule="auto"/>
        <w:rPr>
          <w:sz w:val="20"/>
          <w:szCs w:val="20"/>
          <w:color w:val="auto"/>
        </w:rPr>
      </w:pPr>
      <w:r>
        <w:rPr>
          <w:rFonts w:ascii="Times New Roman" w:cs="Times New Roman" w:eastAsia="Times New Roman" w:hAnsi="Times New Roman"/>
          <w:sz w:val="19"/>
          <w:szCs w:val="19"/>
          <w:color w:val="auto"/>
        </w:rPr>
        <w:t>THIS INDENTURE AND THE NOTES SHALL BE GOVERNED BY AND CONSTRUED IN ACCORDANCE WITH THE LAWS OF THE STATE OF NEW YORK, INCLUDING, WITHOUT LIMITATION, SECTIONS 5-1401 AND 5-1402 OF THE NEW YORK OBLIGATIONS LAW. TO THE FULLEST EXTENT PERMITTED BY APPLICABLE LAW, EACH OF THE ISSUER, THE HOLDERS AND THE TRUSTEE HEREBY IRREVOCABLY WAIVES ANY AND ALL RIGHT TO TRIAL BY JURY IN ANY LEGAL PROCEEDING ARISING OUT OF OR RELATING TO THIS INDENTURE, THE NOTES OR THE TRANSACTIONS CONTEMPLATED HEREBY.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11.07 </w:t>
      </w:r>
      <w:r>
        <w:rPr>
          <w:rFonts w:ascii="Times New Roman" w:cs="Times New Roman" w:eastAsia="Times New Roman" w:hAnsi="Times New Roman"/>
          <w:sz w:val="19"/>
          <w:szCs w:val="19"/>
          <w:i w:val="1"/>
          <w:iCs w:val="1"/>
          <w:color w:val="auto"/>
        </w:rPr>
        <w:t>Submission to Jurisdiction; Waiver of Immunities; Agent for Service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Issuer irrevocably:</w:t>
      </w:r>
    </w:p>
    <w:p>
      <w:pPr>
        <w:spacing w:after="0" w:line="164" w:lineRule="exact"/>
        <w:rPr>
          <w:sz w:val="20"/>
          <w:szCs w:val="20"/>
          <w:color w:val="auto"/>
        </w:rPr>
      </w:pPr>
    </w:p>
    <w:p>
      <w:pPr>
        <w:jc w:val="both"/>
        <w:ind w:firstLine="548"/>
        <w:spacing w:after="0" w:line="223" w:lineRule="auto"/>
        <w:tabs>
          <w:tab w:leader="none" w:pos="1108"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submits to the non-exclusive jurisdiction of any United States federal or New York State court located in the Borough of Manhattan, the City of New York in connection with any suit, action or proceeding arising out of, or relating to this Indenture or the Notes or arising under any United States federal or state securities laws;</w:t>
      </w:r>
    </w:p>
    <w:p>
      <w:pPr>
        <w:spacing w:after="0" w:line="131" w:lineRule="exact"/>
        <w:rPr>
          <w:rFonts w:ascii="Times New Roman" w:cs="Times New Roman" w:eastAsia="Times New Roman" w:hAnsi="Times New Roman"/>
          <w:sz w:val="19"/>
          <w:szCs w:val="19"/>
          <w:color w:val="auto"/>
        </w:rPr>
      </w:pPr>
    </w:p>
    <w:p>
      <w:pPr>
        <w:ind w:right="20" w:firstLine="548"/>
        <w:spacing w:after="0" w:line="234" w:lineRule="auto"/>
        <w:tabs>
          <w:tab w:leader="none" w:pos="1107"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permitted by law, waives any objection which it may now or hereafter have to the laying of venue of any such suit, action or proceeding; and</w:t>
      </w:r>
    </w:p>
    <w:p>
      <w:pPr>
        <w:spacing w:after="0" w:line="129" w:lineRule="exact"/>
        <w:rPr>
          <w:rFonts w:ascii="Times New Roman" w:cs="Times New Roman" w:eastAsia="Times New Roman" w:hAnsi="Times New Roman"/>
          <w:sz w:val="19"/>
          <w:szCs w:val="19"/>
          <w:color w:val="auto"/>
        </w:rPr>
      </w:pPr>
    </w:p>
    <w:p>
      <w:pPr>
        <w:jc w:val="both"/>
        <w:ind w:firstLine="548"/>
        <w:spacing w:after="0" w:line="218" w:lineRule="auto"/>
        <w:tabs>
          <w:tab w:leader="none" w:pos="1108"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any immunity to jurisdiction to which it or any of its properties, assets or revenues may otherwise be entitled or become entitled (including sovereign immunity, immunity to pre-judgment attachment, post-judgment attachment and execution) in any legal suit, action or proceeding, from jurisdiction of any court or from set-off or any legal process (whether service or notice, attachment in aid or otherwise) with respect to itself or any of its property and agrees not to plead or claim such immunity in respect of its obligations under this Indenture.</w:t>
      </w:r>
    </w:p>
    <w:p>
      <w:pPr>
        <w:spacing w:after="0" w:line="155" w:lineRule="exact"/>
        <w:rPr>
          <w:sz w:val="20"/>
          <w:szCs w:val="20"/>
          <w:color w:val="auto"/>
        </w:rPr>
      </w:pPr>
    </w:p>
    <w:p>
      <w:pPr>
        <w:jc w:val="both"/>
        <w:ind w:firstLine="556"/>
        <w:spacing w:after="0" w:line="233" w:lineRule="auto"/>
        <w:rPr>
          <w:sz w:val="20"/>
          <w:szCs w:val="20"/>
          <w:color w:val="auto"/>
        </w:rPr>
      </w:pPr>
      <w:r>
        <w:rPr>
          <w:rFonts w:ascii="Times New Roman" w:cs="Times New Roman" w:eastAsia="Times New Roman" w:hAnsi="Times New Roman"/>
          <w:sz w:val="19"/>
          <w:szCs w:val="19"/>
          <w:color w:val="auto"/>
        </w:rPr>
        <w:t>In addition, the Issuer designates and appoints Cogency Global Inc., whose offices are currently located at 122 East 42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xml:space="preserve"> Street,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 New York, NY 10168, as its authorized agent for receipt of service of process in any such suit, action or proceeding, and service of process upon the authorized agent and written notice of such service to the Issuer shall be deemed, in every respect, effective service of process upon the Issuer.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900" w:h="16838" w:orient="portrait"/>
          <w:cols w:equalWidth="0" w:num="1">
            <w:col w:w="11260"/>
          </w:cols>
          <w:pgMar w:left="320" w:top="1212"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color w:val="auto"/>
        </w:rPr>
        <w:t xml:space="preserve">Section 11.08 </w:t>
      </w:r>
      <w:r>
        <w:rPr>
          <w:rFonts w:ascii="Times New Roman" w:cs="Times New Roman" w:eastAsia="Times New Roman" w:hAnsi="Times New Roman"/>
          <w:sz w:val="19"/>
          <w:szCs w:val="19"/>
          <w:i w:val="1"/>
          <w:iCs w:val="1"/>
          <w:color w:val="auto"/>
        </w:rPr>
        <w:t>Indemnification for Judgment Currency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556"/>
        <w:spacing w:after="0" w:line="297" w:lineRule="auto"/>
        <w:rPr>
          <w:sz w:val="20"/>
          <w:szCs w:val="20"/>
          <w:color w:val="auto"/>
        </w:rPr>
      </w:pPr>
      <w:r>
        <w:rPr>
          <w:rFonts w:ascii="Times New Roman" w:cs="Times New Roman" w:eastAsia="Times New Roman" w:hAnsi="Times New Roman"/>
          <w:sz w:val="17"/>
          <w:szCs w:val="17"/>
          <w:color w:val="auto"/>
        </w:rPr>
        <w:t>The obligations of the Issuer to any Holder of the Notes or the Trustee under this Indenture or the Notes shall, notwithstanding any judgment in a currency (the “</w:t>
      </w:r>
      <w:r>
        <w:rPr>
          <w:rFonts w:ascii="Times New Roman" w:cs="Times New Roman" w:eastAsia="Times New Roman" w:hAnsi="Times New Roman"/>
          <w:sz w:val="17"/>
          <w:szCs w:val="17"/>
          <w:i w:val="1"/>
          <w:iCs w:val="1"/>
          <w:color w:val="auto"/>
        </w:rPr>
        <w:t>Judgment Currency</w:t>
      </w:r>
      <w:r>
        <w:rPr>
          <w:rFonts w:ascii="Times New Roman" w:cs="Times New Roman" w:eastAsia="Times New Roman" w:hAnsi="Times New Roman"/>
          <w:sz w:val="17"/>
          <w:szCs w:val="17"/>
          <w:color w:val="auto"/>
        </w:rPr>
        <w:t>”) other than U.S. dollars, be discharged only to the extent that on the day following receipt by such party of any amount in the Judgment Currency, such party may in accordance with normal banking procedures purchase U.S. dollars with the Judgment Currency.</w:t>
      </w:r>
    </w:p>
    <w:p>
      <w:pPr>
        <w:spacing w:after="0" w:line="131"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If the amount of U.S. dollars so purchased is less than the amount originally to be paid to such party in U.S. dollars, the Issuer agrees as a separate obligation and notwithstanding such judgment, to the extent permitted by applicable law, to pay the difference, and, if the amount of U.S. dollars so purchased exceeds the amount originally to be paid to such party, such party agrees to pay to or for the account of such payor such excess; provided that such party shall not have any obligation to pay any such excess as long as an Event of Default has occurred and is continuing, in which case such excess may be applied by such party to such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11.09 </w:t>
      </w:r>
      <w:r>
        <w:rPr>
          <w:rFonts w:ascii="Times New Roman" w:cs="Times New Roman" w:eastAsia="Times New Roman" w:hAnsi="Times New Roman"/>
          <w:sz w:val="19"/>
          <w:szCs w:val="19"/>
          <w:i w:val="1"/>
          <w:iCs w:val="1"/>
          <w:color w:val="auto"/>
        </w:rPr>
        <w:t>No Adverse Interpretation of Other Agreements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This Indenture may not be used to interpret any other indenture, loan or debt agreement of the Issuer or its Subsidiaries or of any 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such indenture, loan or debt agreement may not be used to interpret this Indenture.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11.10 </w:t>
      </w:r>
      <w:r>
        <w:rPr>
          <w:rFonts w:ascii="Times New Roman" w:cs="Times New Roman" w:eastAsia="Times New Roman" w:hAnsi="Times New Roman"/>
          <w:sz w:val="19"/>
          <w:szCs w:val="19"/>
          <w:i w:val="1"/>
          <w:iCs w:val="1"/>
          <w:color w:val="auto"/>
        </w:rPr>
        <w:t>Successors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9"/>
          <w:szCs w:val="19"/>
          <w:color w:val="auto"/>
        </w:rPr>
        <w:t>All agreements of the Issuer in this Indenture and the Notes shall bind its successors. All agreements of the Trustee in this Indenture shall bind its successors.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11.11 </w:t>
      </w:r>
      <w:r>
        <w:rPr>
          <w:rFonts w:ascii="Times New Roman" w:cs="Times New Roman" w:eastAsia="Times New Roman" w:hAnsi="Times New Roman"/>
          <w:sz w:val="19"/>
          <w:szCs w:val="19"/>
          <w:i w:val="1"/>
          <w:iCs w:val="1"/>
          <w:color w:val="auto"/>
        </w:rPr>
        <w:t>Severability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In case any provision in this Indenture or in the Notes is invalid, illegal or unenforceable, the validity, legality and enforceability of the remaining provisions shall not in any way be affected or impaired thereby.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11.12 </w:t>
      </w:r>
      <w:r>
        <w:rPr>
          <w:rFonts w:ascii="Times New Roman" w:cs="Times New Roman" w:eastAsia="Times New Roman" w:hAnsi="Times New Roman"/>
          <w:sz w:val="19"/>
          <w:szCs w:val="19"/>
          <w:i w:val="1"/>
          <w:iCs w:val="1"/>
          <w:color w:val="auto"/>
        </w:rPr>
        <w:t>Counterpart Originals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556"/>
        <w:spacing w:after="0" w:line="247" w:lineRule="auto"/>
        <w:rPr>
          <w:sz w:val="20"/>
          <w:szCs w:val="20"/>
          <w:color w:val="auto"/>
        </w:rPr>
      </w:pPr>
      <w:r>
        <w:rPr>
          <w:rFonts w:ascii="Times New Roman" w:cs="Times New Roman" w:eastAsia="Times New Roman" w:hAnsi="Times New Roman"/>
          <w:sz w:val="19"/>
          <w:szCs w:val="19"/>
          <w:color w:val="auto"/>
        </w:rPr>
        <w:t>The parties may sign any number of copies of this Indenture. Each signed copy shall be an original, but all of them together represent the same agreement. This Indenture may be executed in two or more counterparts, each of which shall be deemed to be an original and all of which together shall constitute one and the same agreement. The exchange of copies of this Indenture and of signature pages by facsimile, electronic or PDF transmission shall constitute effective execution and delivery of this Indenture as to the parties hereto and may be used in lieu of the original Indenture and signature pages for all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11.13 </w:t>
      </w:r>
      <w:r>
        <w:rPr>
          <w:rFonts w:ascii="Times New Roman" w:cs="Times New Roman" w:eastAsia="Times New Roman" w:hAnsi="Times New Roman"/>
          <w:sz w:val="19"/>
          <w:szCs w:val="19"/>
          <w:i w:val="1"/>
          <w:iCs w:val="1"/>
          <w:color w:val="auto"/>
        </w:rPr>
        <w:t>Table of Contents, Headings, etc.</w:t>
      </w:r>
    </w:p>
    <w:p>
      <w:pPr>
        <w:spacing w:after="0" w:line="179" w:lineRule="exact"/>
        <w:rPr>
          <w:sz w:val="20"/>
          <w:szCs w:val="20"/>
          <w:color w:val="auto"/>
        </w:rPr>
      </w:pPr>
    </w:p>
    <w:p>
      <w:pPr>
        <w:jc w:val="both"/>
        <w:ind w:right="20" w:firstLine="556"/>
        <w:spacing w:after="0" w:line="266" w:lineRule="auto"/>
        <w:rPr>
          <w:sz w:val="20"/>
          <w:szCs w:val="20"/>
          <w:color w:val="auto"/>
        </w:rPr>
      </w:pPr>
      <w:r>
        <w:rPr>
          <w:rFonts w:ascii="Times New Roman" w:cs="Times New Roman" w:eastAsia="Times New Roman" w:hAnsi="Times New Roman"/>
          <w:sz w:val="19"/>
          <w:szCs w:val="19"/>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11.14 </w:t>
      </w:r>
      <w:r>
        <w:rPr>
          <w:rFonts w:ascii="Times New Roman" w:cs="Times New Roman" w:eastAsia="Times New Roman" w:hAnsi="Times New Roman"/>
          <w:sz w:val="19"/>
          <w:szCs w:val="19"/>
          <w:i w:val="1"/>
          <w:iCs w:val="1"/>
          <w:color w:val="auto"/>
        </w:rPr>
        <w:t>Compliance with Applicable Anti-Terrorism and Money Laundering Regulations.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900" w:h="16838" w:orient="portrait"/>
          <w:cols w:equalWidth="0" w:num="1">
            <w:col w:w="11260"/>
          </w:cols>
          <w:pgMar w:left="320" w:top="1212" w:right="319" w:bottom="1440" w:gutter="0" w:footer="0" w:header="0"/>
        </w:sectPr>
      </w:pPr>
    </w:p>
    <w:bookmarkStart w:id="75" w:name="page76"/>
    <w:bookmarkEnd w:id="75"/>
    <w:p>
      <w:pPr>
        <w:jc w:val="both"/>
        <w:ind w:firstLine="556"/>
        <w:spacing w:after="0" w:line="249" w:lineRule="auto"/>
        <w:rPr>
          <w:sz w:val="20"/>
          <w:szCs w:val="20"/>
          <w:color w:val="auto"/>
        </w:rPr>
      </w:pPr>
      <w:r>
        <w:rPr>
          <w:rFonts w:ascii="Times New Roman" w:cs="Times New Roman" w:eastAsia="Times New Roman" w:hAnsi="Times New Roman"/>
          <w:sz w:val="19"/>
          <w:szCs w:val="19"/>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19"/>
          <w:szCs w:val="19"/>
          <w:i w:val="1"/>
          <w:iCs w:val="1"/>
          <w:color w:val="auto"/>
        </w:rPr>
        <w:t>Applicable AML Law</w:t>
      </w:r>
      <w:r>
        <w:rPr>
          <w:rFonts w:ascii="Times New Roman" w:cs="Times New Roman" w:eastAsia="Times New Roman" w:hAnsi="Times New Roman"/>
          <w:sz w:val="19"/>
          <w:szCs w:val="19"/>
          <w:color w:val="auto"/>
        </w:rPr>
        <w:t>”), the Trustee and Agents are required to obtain, verify, record and update certain information relating to individuals and entities which maintain a business relationship with the Trustee and Agents. Accordingly, each of the parties agrees to provide to the Trustee and Agents, upon their request from time to time such identifying information and documentation as may be available for such party in order to enable the Trustee and Agents to comply with Applicable AML Law.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[Signatures Pages Follow]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Dated as of </w:t>
      </w:r>
      <w:r>
        <w:rPr>
          <w:rFonts w:ascii="Times New Roman" w:cs="Times New Roman" w:eastAsia="Times New Roman" w:hAnsi="Times New Roman"/>
          <w:sz w:val="19"/>
          <w:szCs w:val="19"/>
          <w:u w:val="single" w:color="auto"/>
          <w:color w:val="auto"/>
        </w:rPr>
        <w:t>August 19, 2025</w:t>
      </w:r>
    </w:p>
    <w:p>
      <w:pPr>
        <w:spacing w:after="0" w:line="18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ISSUER:</w:t>
      </w:r>
    </w:p>
    <w:p>
      <w:pPr>
        <w:spacing w:after="0" w:line="37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WYNN MACAU, LIMITED</w:t>
      </w:r>
    </w:p>
    <w:p>
      <w:pPr>
        <w:spacing w:after="0" w:line="372" w:lineRule="exact"/>
        <w:rPr>
          <w:sz w:val="20"/>
          <w:szCs w:val="20"/>
          <w:color w:val="auto"/>
        </w:rPr>
      </w:pPr>
    </w:p>
    <w:p>
      <w:pPr>
        <w:ind w:left="3320"/>
        <w:spacing w:after="0"/>
        <w:tabs>
          <w:tab w:leader="none" w:pos="37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7"/>
          <w:szCs w:val="17"/>
          <w:u w:val="single" w:color="auto"/>
          <w:color w:val="auto"/>
        </w:rPr>
        <w:t>/s/ Craig Jeffrey Fullalove</w:t>
      </w:r>
    </w:p>
    <w:p>
      <w:pPr>
        <w:spacing w:after="0" w:line="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Name: Craig Jeffrey Fullalove</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Title: Chief Financial Officer, Chief Administrative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1260"/>
          </w:cols>
          <w:pgMar w:left="320" w:top="1239" w:right="319" w:bottom="1440" w:gutter="0" w:footer="0" w:header="0"/>
        </w:sectPr>
      </w:pPr>
    </w:p>
    <w:bookmarkStart w:id="76" w:name="page77"/>
    <w:bookmarkEnd w:id="76"/>
    <w:p>
      <w:pPr>
        <w:ind w:left="2200"/>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not in its individual capacity but solely as Trustee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0"/>
        <w:spacing w:after="0"/>
        <w:tabs>
          <w:tab w:leader="none" w:pos="26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7"/>
          <w:szCs w:val="17"/>
          <w:u w:val="single" w:color="auto"/>
          <w:color w:val="auto"/>
        </w:rPr>
        <w:t>/s/ Denise Kellerk</w:t>
      </w:r>
    </w:p>
    <w:p>
      <w:pPr>
        <w:spacing w:after="0" w:line="2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Name: Denise Kellerk</w:t>
      </w:r>
    </w:p>
    <w:p>
      <w:pPr>
        <w:spacing w:after="0" w:line="1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0"/>
        <w:spacing w:after="0"/>
        <w:tabs>
          <w:tab w:leader="none" w:pos="26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7"/>
          <w:szCs w:val="17"/>
          <w:u w:val="single" w:color="auto"/>
          <w:color w:val="auto"/>
        </w:rPr>
        <w:t>/s/ Carol Ng</w:t>
      </w:r>
    </w:p>
    <w:p>
      <w:pPr>
        <w:spacing w:after="0" w:line="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Name: Carol Ng</w:t>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Indenture</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1239" w:right="1440" w:bottom="1440"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1)"/>
      <w:numFmt w:val="decimal"/>
      <w:start w:val="4"/>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2"/>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6"/>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lowerLetter"/>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decimal"/>
      <w:start w:val="2"/>
    </w:lvl>
  </w:abstractNum>
  <w:abstractNum w:abstractNumId="17">
    <w:nsid w:val="180115BE"/>
    <w:multiLevelType w:val="hybridMultilevel"/>
    <w:lvl w:ilvl="0">
      <w:lvlJc w:val="left"/>
      <w:lvlText w:val="%1"/>
      <w:numFmt w:val="lowerLetter"/>
      <w:start w:val="1"/>
    </w:lvl>
    <w:lvl w:ilvl="1">
      <w:lvlJc w:val="left"/>
      <w:lvlText w:val="(%2)"/>
      <w:numFmt w:val="decimal"/>
      <w:start w:val="1"/>
    </w:lvl>
  </w:abstractNum>
  <w:abstractNum w:abstractNumId="18">
    <w:nsid w:val="235BA861"/>
    <w:multiLevelType w:val="hybridMultilevel"/>
    <w:lvl w:ilvl="0">
      <w:lvlJc w:val="left"/>
      <w:lvlText w:val="(%1)"/>
      <w:numFmt w:val="lowerLetter"/>
      <w:start w:val="2"/>
    </w:lvl>
    <w:lvl w:ilvl="1">
      <w:lvlJc w:val="left"/>
      <w:lvlText w:val="(%2)"/>
      <w:numFmt w:val="decimal"/>
      <w:start w:val="3"/>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9"/>
    </w:lvl>
  </w:abstractNum>
  <w:abstractNum w:abstractNumId="21">
    <w:nsid w:val="15B5AF5C"/>
    <w:multiLevelType w:val="hybridMultilevel"/>
    <w:lvl w:ilvl="0">
      <w:lvlJc w:val="left"/>
      <w:lvlText w:val="(%1)"/>
      <w:numFmt w:val="lowerLetter"/>
      <w:start w:val="1"/>
    </w:lvl>
  </w:abstractNum>
  <w:abstractNum w:abstractNumId="22">
    <w:nsid w:val="741226BB"/>
    <w:multiLevelType w:val="hybridMultilevel"/>
    <w:lvl w:ilvl="0">
      <w:lvlJc w:val="left"/>
      <w:lvlText w:val="(%1)"/>
      <w:numFmt w:val="lowerLetter"/>
      <w:start w:val="2"/>
    </w:lvl>
  </w:abstractNum>
  <w:abstractNum w:abstractNumId="23">
    <w:nsid w:val="D34B6A8"/>
    <w:multiLevelType w:val="hybridMultilevel"/>
    <w:lvl w:ilvl="0">
      <w:lvlJc w:val="left"/>
      <w:lvlText w:val="(%1)"/>
      <w:numFmt w:val="lowerLetter"/>
      <w:start w:val="1"/>
    </w:lvl>
    <w:lvl w:ilvl="1">
      <w:lvlJc w:val="left"/>
      <w:lvlText w:val="(%2)"/>
      <w:numFmt w:val="decimal"/>
      <w:start w:val="1"/>
    </w:lvl>
  </w:abstractNum>
  <w:abstractNum w:abstractNumId="24">
    <w:nsid w:val="10233C99"/>
    <w:multiLevelType w:val="hybridMultilevel"/>
    <w:lvl w:ilvl="0">
      <w:lvlJc w:val="left"/>
      <w:lvlText w:val="(%1)"/>
      <w:numFmt w:val="decimal"/>
      <w:start w:val="3"/>
    </w:lvl>
  </w:abstractNum>
  <w:abstractNum w:abstractNumId="25">
    <w:nsid w:val="3F6AB60F"/>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6">
    <w:nsid w:val="61574095"/>
    <w:multiLevelType w:val="hybridMultilevel"/>
    <w:lvl w:ilvl="0">
      <w:lvlJc w:val="left"/>
      <w:lvlText w:val="(%1)"/>
      <w:numFmt w:val="upperLetter"/>
      <w:start w:val="2"/>
    </w:lvl>
    <w:lvl w:ilvl="1">
      <w:lvlJc w:val="left"/>
      <w:lvlText w:val="(%2)"/>
      <w:numFmt w:val="lowerRoman"/>
      <w:start w:val="1"/>
    </w:lvl>
  </w:abstractNum>
  <w:abstractNum w:abstractNumId="27">
    <w:nsid w:val="7E0C57B1"/>
    <w:multiLevelType w:val="hybridMultilevel"/>
    <w:lvl w:ilvl="0">
      <w:lvlJc w:val="left"/>
      <w:lvlText w:val="(%1)"/>
      <w:numFmt w:val="decimal"/>
      <w:start w:val="3"/>
    </w:lvl>
    <w:lvl w:ilvl="1">
      <w:lvlJc w:val="left"/>
      <w:lvlText w:val="(%2)"/>
      <w:numFmt w:val="upperLetter"/>
      <w:start w:val="1"/>
    </w:lvl>
  </w:abstractNum>
  <w:abstractNum w:abstractNumId="28">
    <w:nsid w:val="77AE35EB"/>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9">
    <w:nsid w:val="579BE4F1"/>
    <w:multiLevelType w:val="hybridMultilevel"/>
    <w:lvl w:ilvl="0">
      <w:lvlJc w:val="left"/>
      <w:lvlText w:val="(%1)"/>
      <w:numFmt w:val="decimal"/>
      <w:start w:val="2"/>
    </w:lvl>
    <w:lvl w:ilvl="1">
      <w:lvlJc w:val="left"/>
      <w:lvlText w:val="(%2)"/>
      <w:numFmt w:val="upperLetter"/>
      <w:start w:val="1"/>
    </w:lvl>
  </w:abstractNum>
  <w:abstractNum w:abstractNumId="30">
    <w:nsid w:val="310C50B3"/>
    <w:multiLevelType w:val="hybridMultilevel"/>
    <w:lvl w:ilvl="0">
      <w:lvlJc w:val="left"/>
      <w:lvlText w:val="%1"/>
      <w:numFmt w:val="lowerLetter"/>
      <w:start w:val="1"/>
    </w:lvl>
    <w:lvl w:ilvl="1">
      <w:lvlJc w:val="left"/>
      <w:lvlText w:val="(%2)"/>
      <w:numFmt w:val="decimal"/>
      <w:start w:val="3"/>
    </w:lvl>
  </w:abstractNum>
  <w:abstractNum w:abstractNumId="31">
    <w:nsid w:val="5FF87E05"/>
    <w:multiLevelType w:val="hybridMultilevel"/>
    <w:lvl w:ilvl="0">
      <w:lvlJc w:val="left"/>
      <w:lvlText w:val="(%1)"/>
      <w:numFmt w:val="lowerLetter"/>
      <w:start w:val="4"/>
    </w:lvl>
    <w:lvl w:ilvl="1">
      <w:lvlJc w:val="left"/>
      <w:lvlText w:val="(%2)"/>
      <w:numFmt w:val="decimal"/>
      <w:start w:val="1"/>
    </w:lvl>
  </w:abstractNum>
  <w:abstractNum w:abstractNumId="32">
    <w:nsid w:val="2F305DEF"/>
    <w:multiLevelType w:val="hybridMultilevel"/>
    <w:lvl w:ilvl="0">
      <w:lvlJc w:val="left"/>
      <w:lvlText w:val="%1"/>
      <w:numFmt w:val="lowerLetter"/>
      <w:start w:val="1"/>
    </w:lvl>
    <w:lvl w:ilvl="1">
      <w:lvlJc w:val="left"/>
      <w:lvlText w:val="(%2)"/>
      <w:numFmt w:val="upperLetter"/>
      <w:start w:val="1"/>
    </w:lvl>
  </w:abstractNum>
  <w:abstractNum w:abstractNumId="33">
    <w:nsid w:val="25A70BF7"/>
    <w:multiLevelType w:val="hybridMultilevel"/>
    <w:lvl w:ilvl="0">
      <w:lvlJc w:val="left"/>
      <w:lvlText w:val="(%1)"/>
      <w:numFmt w:val="lowerLetter"/>
      <w:start w:val="1"/>
    </w:lvl>
    <w:lvl w:ilvl="1">
      <w:lvlJc w:val="left"/>
      <w:lvlText w:val="(%2)"/>
      <w:numFmt w:val="upperLetter"/>
      <w:start w:val="5"/>
    </w:lvl>
  </w:abstractNum>
  <w:abstractNum w:abstractNumId="34">
    <w:nsid w:val="1DBABF00"/>
    <w:multiLevelType w:val="hybridMultilevel"/>
    <w:lvl w:ilvl="0">
      <w:lvlJc w:val="left"/>
      <w:lvlText w:val="(%1)"/>
      <w:numFmt w:val="decimal"/>
      <w:start w:val="2"/>
    </w:lvl>
    <w:lvl w:ilvl="1">
      <w:lvlJc w:val="left"/>
      <w:lvlText w:val="(%2)"/>
      <w:numFmt w:val="upperLetter"/>
      <w:start w:val="1"/>
    </w:lvl>
  </w:abstractNum>
  <w:abstractNum w:abstractNumId="35">
    <w:nsid w:val="4AD084E9"/>
    <w:multiLevelType w:val="hybridMultilevel"/>
    <w:lvl w:ilvl="0">
      <w:lvlJc w:val="left"/>
      <w:lvlText w:val="(%1)"/>
      <w:numFmt w:val="decimal"/>
      <w:start w:val="3"/>
    </w:lvl>
  </w:abstractNum>
  <w:abstractNum w:abstractNumId="36">
    <w:nsid w:val="1F48EAA1"/>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37">
    <w:nsid w:val="1381823A"/>
    <w:multiLevelType w:val="hybridMultilevel"/>
    <w:lvl w:ilvl="0">
      <w:lvlJc w:val="left"/>
      <w:lvlText w:val="(%1)"/>
      <w:numFmt w:val="decimal"/>
      <w:start w:val="2"/>
    </w:lvl>
    <w:lvl w:ilvl="1">
      <w:lvlJc w:val="left"/>
      <w:lvlText w:val="(%2)"/>
      <w:numFmt w:val="upperLetter"/>
      <w:start w:val="1"/>
    </w:lvl>
  </w:abstractNum>
  <w:abstractNum w:abstractNumId="38">
    <w:nsid w:val="5DB70AE5"/>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39">
    <w:nsid w:val="100F8FCA"/>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0">
    <w:nsid w:val="6590700B"/>
    <w:multiLevelType w:val="hybridMultilevel"/>
    <w:lvl w:ilvl="0">
      <w:lvlJc w:val="left"/>
      <w:lvlText w:val="%1"/>
      <w:numFmt w:val="decimal"/>
      <w:start w:val="1"/>
    </w:lvl>
    <w:lvl w:ilvl="1">
      <w:lvlJc w:val="left"/>
      <w:lvlText w:val="(%2)"/>
      <w:numFmt w:val="upperLetter"/>
      <w:start w:val="2"/>
    </w:lvl>
  </w:abstractNum>
  <w:abstractNum w:abstractNumId="41">
    <w:nsid w:val="15014ACB"/>
    <w:multiLevelType w:val="hybridMultilevel"/>
    <w:lvl w:ilvl="0">
      <w:lvlJc w:val="left"/>
      <w:lvlText w:val="(%1)"/>
      <w:numFmt w:val="decimal"/>
      <w:start w:val="2"/>
    </w:lvl>
    <w:lvl w:ilvl="1">
      <w:lvlJc w:val="left"/>
      <w:lvlText w:val="%2"/>
      <w:numFmt w:val="upperLetter"/>
      <w:start w:val="1"/>
    </w:lvl>
  </w:abstractNum>
  <w:abstractNum w:abstractNumId="42">
    <w:nsid w:val="5F5E7FD0"/>
    <w:multiLevelType w:val="hybridMultilevel"/>
    <w:lvl w:ilvl="0">
      <w:lvlJc w:val="left"/>
      <w:lvlText w:val="&amp;"/>
      <w:numFmt w:val="bullet"/>
      <w:start w:val="1"/>
    </w:lvl>
    <w:lvl w:ilvl="1">
      <w:lvlJc w:val="left"/>
      <w:lvlText w:val="(%2)"/>
      <w:numFmt w:val="lowerLetter"/>
      <w:start w:val="7"/>
    </w:lvl>
    <w:lvl w:ilvl="2">
      <w:lvlJc w:val="left"/>
      <w:lvlText w:val="(%3)"/>
      <w:numFmt w:val="decimal"/>
      <w:start w:val="1"/>
    </w:lvl>
  </w:abstractNum>
  <w:abstractNum w:abstractNumId="43">
    <w:nsid w:val="98A3148"/>
    <w:multiLevelType w:val="hybridMultilevel"/>
    <w:lvl w:ilvl="0">
      <w:lvlJc w:val="left"/>
      <w:lvlText w:val="(%1)"/>
      <w:numFmt w:val="decimal"/>
      <w:start w:val="5"/>
    </w:lvl>
    <w:lvl w:ilvl="1">
      <w:lvlJc w:val="left"/>
      <w:lvlText w:val="(%2)"/>
      <w:numFmt w:val="upperLetter"/>
      <w:start w:val="1"/>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1)"/>
      <w:numFmt w:val="lowerLetter"/>
      <w:start w:val="1"/>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1)"/>
      <w:numFmt w:val="lowerLetter"/>
      <w:start w:val="1"/>
    </w:lvl>
    <w:lvl w:ilvl="1">
      <w:lvlJc w:val="left"/>
      <w:lvlText w:val="(%2)"/>
      <w:numFmt w:val="decimal"/>
      <w:start w:val="1"/>
    </w:lvl>
  </w:abstractNum>
  <w:abstractNum w:abstractNumId="49">
    <w:nsid w:val="661E3F1E"/>
    <w:multiLevelType w:val="hybridMultilevel"/>
    <w:lvl w:ilvl="0">
      <w:lvlJc w:val="left"/>
      <w:lvlText w:val="(%1)"/>
      <w:numFmt w:val="lowerLetter"/>
      <w:start w:val="3"/>
    </w:lvl>
  </w:abstractNum>
  <w:abstractNum w:abstractNumId="50">
    <w:nsid w:val="5DC79EA8"/>
    <w:multiLevelType w:val="hybridMultilevel"/>
    <w:lvl w:ilvl="0">
      <w:lvlJc w:val="left"/>
      <w:lvlText w:val="(%1)"/>
      <w:numFmt w:val="lowerLetter"/>
      <w:start w:val="5"/>
    </w:lvl>
  </w:abstractNum>
  <w:abstractNum w:abstractNumId="51">
    <w:nsid w:val="540A471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2">
    <w:nsid w:val="7BD3EE7B"/>
    <w:multiLevelType w:val="hybridMultilevel"/>
    <w:lvl w:ilvl="0">
      <w:lvlJc w:val="left"/>
      <w:lvlText w:val="(%1)"/>
      <w:numFmt w:val="lowerLetter"/>
      <w:start w:val="1"/>
    </w:lvl>
  </w:abstractNum>
  <w:abstractNum w:abstractNumId="53">
    <w:nsid w:val="51D9C564"/>
    <w:multiLevelType w:val="hybridMultilevel"/>
    <w:lvl w:ilvl="0">
      <w:lvlJc w:val="left"/>
      <w:lvlText w:val="(%1)"/>
      <w:numFmt w:val="lowerLetter"/>
      <w:start w:val="1"/>
    </w:lvl>
    <w:lvl w:ilvl="1">
      <w:lvlJc w:val="left"/>
      <w:lvlText w:val="(%2)"/>
      <w:numFmt w:val="decimal"/>
      <w:start w:val="1"/>
    </w:lvl>
  </w:abstractNum>
  <w:abstractNum w:abstractNumId="54">
    <w:nsid w:val="613EFDC5"/>
    <w:multiLevelType w:val="hybridMultilevel"/>
    <w:lvl w:ilvl="0">
      <w:lvlJc w:val="left"/>
      <w:lvlText w:val="(%1)"/>
      <w:numFmt w:val="lowerLetter"/>
      <w:start w:val="2"/>
    </w:lvl>
    <w:lvl w:ilvl="1">
      <w:lvlJc w:val="left"/>
      <w:lvlText w:val="(%2)"/>
      <w:numFmt w:val="decimal"/>
      <w:start w:val="1"/>
    </w:lvl>
  </w:abstractNum>
  <w:abstractNum w:abstractNumId="55">
    <w:nsid w:val="BF72B14"/>
    <w:multiLevelType w:val="hybridMultilevel"/>
    <w:lvl w:ilvl="0">
      <w:lvlJc w:val="left"/>
      <w:lvlText w:val="(%1)"/>
      <w:numFmt w:val="decimal"/>
      <w:start w:val="1"/>
    </w:lvl>
    <w:lvl w:ilvl="1">
      <w:lvlJc w:val="left"/>
      <w:lvlText w:val="(%2)"/>
      <w:numFmt w:val="lowerLetter"/>
      <w:start w:val="1"/>
    </w:lvl>
  </w:abstractNum>
  <w:abstractNum w:abstractNumId="56">
    <w:nsid w:val="11447B73"/>
    <w:multiLevelType w:val="hybridMultilevel"/>
    <w:lvl w:ilvl="0">
      <w:lvlJc w:val="left"/>
      <w:lvlText w:val="%1"/>
      <w:numFmt w:val="decimal"/>
      <w:start w:val="1"/>
    </w:lvl>
    <w:lvl w:ilvl="1">
      <w:lvlJc w:val="left"/>
      <w:lvlText w:val="(%2)"/>
      <w:numFmt w:val="lowerLetter"/>
      <w:start w:val="2"/>
    </w:lvl>
  </w:abstractNum>
  <w:abstractNum w:abstractNumId="57">
    <w:nsid w:val="42963E5A"/>
    <w:multiLevelType w:val="hybridMultilevel"/>
    <w:lvl w:ilvl="0">
      <w:lvlJc w:val="left"/>
      <w:lvlText w:val="(%1)"/>
      <w:numFmt w:val="decimal"/>
      <w:start w:val="3"/>
    </w:lvl>
    <w:lvl w:ilvl="1">
      <w:lvlJc w:val="left"/>
      <w:lvlText w:val="(%2)"/>
      <w:numFmt w:val="lowerLetter"/>
      <w:start w:val="1"/>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1"/>
    </w:lvl>
    <w:lvl w:ilvl="1">
      <w:lvlJc w:val="left"/>
      <w:lvlText w:val="(%2)"/>
      <w:numFmt w:val="decimal"/>
      <w:start w:val="1"/>
    </w:lvl>
  </w:abstractNum>
  <w:abstractNum w:abstractNumId="61">
    <w:nsid w:val="3B0FD379"/>
    <w:multiLevelType w:val="hybridMultilevel"/>
    <w:lvl w:ilvl="0">
      <w:lvlJc w:val="left"/>
      <w:lvlText w:val="(%1)"/>
      <w:numFmt w:val="decimal"/>
      <w:start w:val="6"/>
    </w:lvl>
  </w:abstractNum>
  <w:abstractNum w:abstractNumId="62">
    <w:nsid w:val="68EB2F63"/>
    <w:multiLevelType w:val="hybridMultilevel"/>
    <w:lvl w:ilvl="0">
      <w:lvlJc w:val="left"/>
      <w:lvlText w:val="(%1)"/>
      <w:numFmt w:val="lowerLetter"/>
      <w:start w:val="2"/>
    </w:lvl>
    <w:lvl w:ilvl="1">
      <w:lvlJc w:val="left"/>
      <w:lvlText w:val="(%2)"/>
      <w:numFmt w:val="decimal"/>
      <w:start w:val="1"/>
    </w:lvl>
  </w:abstractNum>
  <w:abstractNum w:abstractNumId="63">
    <w:nsid w:val="4962813B"/>
    <w:multiLevelType w:val="hybridMultilevel"/>
    <w:lvl w:ilvl="0">
      <w:lvlJc w:val="left"/>
      <w:lvlText w:val="%1"/>
      <w:numFmt w:val="decimal"/>
      <w:start w:val="1"/>
    </w:lvl>
    <w:lvl w:ilvl="1">
      <w:lvlJc w:val="left"/>
      <w:lvlText w:val="(%2)"/>
      <w:numFmt w:val="lowerLetter"/>
      <w:start w:val="3"/>
    </w:lvl>
  </w:abstractNum>
  <w:abstractNum w:abstractNumId="64">
    <w:nsid w:val="60B6DF70"/>
    <w:multiLevelType w:val="hybridMultilevel"/>
    <w:lvl w:ilvl="0">
      <w:lvlJc w:val="left"/>
      <w:lvlText w:val="(%1)"/>
      <w:numFmt w:val="decimal"/>
      <w:start w:val="2"/>
    </w:lvl>
    <w:lvl w:ilvl="1">
      <w:lvlJc w:val="left"/>
      <w:lvlText w:val="%2"/>
      <w:numFmt w:val="lowerLetter"/>
      <w:start w:val="1"/>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67">
    <w:nsid w:val="7FFFCA1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68">
    <w:nsid w:val="1A27709E"/>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69">
    <w:nsid w:val="71EA1109"/>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70">
    <w:nsid w:val="100F59DC"/>
    <w:multiLevelType w:val="hybridMultilevel"/>
    <w:lvl w:ilvl="0">
      <w:lvlJc w:val="left"/>
      <w:lvlText w:val="(%1)"/>
      <w:numFmt w:val="lowerLetter"/>
      <w:start w:val="5"/>
    </w:lvl>
  </w:abstractNum>
  <w:abstractNum w:abstractNumId="71">
    <w:nsid w:val="7FB7E0AA"/>
    <w:multiLevelType w:val="hybridMultilevel"/>
    <w:lvl w:ilvl="0">
      <w:lvlJc w:val="left"/>
      <w:lvlText w:val="(%1)"/>
      <w:numFmt w:val="lowerLetter"/>
      <w:start w:val="1"/>
    </w:lvl>
    <w:lvl w:ilvl="1">
      <w:lvlJc w:val="left"/>
      <w:lvlText w:val="(%2)"/>
      <w:numFmt w:val="decimal"/>
      <w:start w:val="1"/>
    </w:lvl>
  </w:abstractNum>
  <w:abstractNum w:abstractNumId="72">
    <w:nsid w:val="6EB5BD4"/>
    <w:multiLevelType w:val="hybridMultilevel"/>
    <w:lvl w:ilvl="0">
      <w:lvlJc w:val="left"/>
      <w:lvlText w:val="(%1)"/>
      <w:numFmt w:val="decimal"/>
      <w:start w:val="2"/>
    </w:lvl>
  </w:abstractNum>
  <w:abstractNum w:abstractNumId="73">
    <w:nsid w:val="6F6DD9AC"/>
    <w:multiLevelType w:val="hybridMultilevel"/>
    <w:lvl w:ilvl="0">
      <w:lvlJc w:val="left"/>
      <w:lvlText w:val="(%1)"/>
      <w:numFmt w:val="lowerLetter"/>
      <w:start w:val="3"/>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2"/>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lowerLetter"/>
      <w:start w:val="3"/>
    </w:lvl>
    <w:lvl w:ilvl="1">
      <w:lvlJc w:val="left"/>
      <w:lvlText w:val="(%2)"/>
      <w:numFmt w:val="decimal"/>
      <w:start w:val="1"/>
    </w:lvl>
  </w:abstractNum>
  <w:abstractNum w:abstractNumId="78">
    <w:nsid w:val="1716703B"/>
    <w:multiLevelType w:val="hybridMultilevel"/>
    <w:lvl w:ilvl="0">
      <w:lvlJc w:val="left"/>
      <w:lvlText w:val="(%1)"/>
      <w:numFmt w:val="lowerLetter"/>
      <w:start w:val="5"/>
    </w:lvl>
    <w:lvl w:ilvl="1">
      <w:lvlJc w:val="left"/>
      <w:lvlText w:val="(%2)"/>
      <w:numFmt w:val="decimal"/>
      <w:start w:val="1"/>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1"/>
    </w:lvl>
    <w:lvl w:ilvl="1">
      <w:lvlJc w:val="left"/>
      <w:lvlText w:val="(%2)"/>
      <w:numFmt w:val="decimal"/>
      <w:start w:val="1"/>
    </w:lvl>
  </w:abstractNum>
  <w:abstractNum w:abstractNumId="81">
    <w:nsid w:val="74DE0EE3"/>
    <w:multiLevelType w:val="hybridMultilevel"/>
    <w:lvl w:ilvl="0">
      <w:lvlJc w:val="left"/>
      <w:lvlText w:val="(%1)"/>
      <w:numFmt w:val="lowerLetter"/>
      <w:start w:val="6"/>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10"/>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1)"/>
      <w:numFmt w:val="lowerLetter"/>
      <w:start w:val="1"/>
    </w:lvl>
    <w:lvl w:ilvl="1">
      <w:lvlJc w:val="left"/>
      <w:lvlText w:val="(%2)"/>
      <w:numFmt w:val="decimal"/>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5"/>
    </w:lvl>
  </w:abstractNum>
  <w:abstractNum w:abstractNumId="89">
    <w:nsid w:val="43F18422"/>
    <w:multiLevelType w:val="hybridMultilevel"/>
    <w:lvl w:ilvl="0">
      <w:lvlJc w:val="left"/>
      <w:lvlText w:val="(%1)"/>
      <w:numFmt w:val="lowerLetter"/>
      <w:start w:val="1"/>
    </w:lvl>
  </w:abstractNum>
  <w:abstractNum w:abstractNumId="90">
    <w:nsid w:val="60EF0119"/>
    <w:multiLevelType w:val="hybridMultilevel"/>
    <w:lvl w:ilvl="0">
      <w:lvlJc w:val="left"/>
      <w:lvlText w:val="(%1)"/>
      <w:numFmt w:val="lowerLetter"/>
      <w:start w:val="5"/>
    </w:lvl>
  </w:abstractNum>
  <w:abstractNum w:abstractNumId="91">
    <w:nsid w:val="26F324BA"/>
    <w:multiLevelType w:val="hybridMultilevel"/>
    <w:lvl w:ilvl="0">
      <w:lvlJc w:val="left"/>
      <w:lvlText w:val="(%1)"/>
      <w:numFmt w:val="lowerLetter"/>
      <w:start w:val="1"/>
    </w:lvl>
  </w:abstractNum>
  <w:abstractNum w:abstractNumId="92">
    <w:nsid w:val="7F01579B"/>
    <w:multiLevelType w:val="hybridMultilevel"/>
    <w:lvl w:ilvl="0">
      <w:lvlJc w:val="left"/>
      <w:lvlText w:val="(%1)"/>
      <w:numFmt w:val="lowerLetter"/>
      <w:start w:val="1"/>
    </w:lvl>
    <w:lvl w:ilvl="1">
      <w:lvlJc w:val="left"/>
      <w:lvlText w:val="(%2)"/>
      <w:numFmt w:val="decimal"/>
      <w:start w:val="1"/>
    </w:lvl>
  </w:abstractNum>
  <w:abstractNum w:abstractNumId="93">
    <w:nsid w:val="49DA307D"/>
    <w:multiLevelType w:val="hybridMultilevel"/>
    <w:lvl w:ilvl="0">
      <w:lvlJc w:val="left"/>
      <w:lvlText w:val="(%1)"/>
      <w:numFmt w:val="lowerLetter"/>
      <w:start w:val="2"/>
    </w:lvl>
  </w:abstractNum>
  <w:abstractNum w:abstractNumId="94">
    <w:nsid w:val="7055A5F5"/>
    <w:multiLevelType w:val="hybridMultilevel"/>
    <w:lvl w:ilvl="0">
      <w:lvlJc w:val="left"/>
      <w:lvlText w:val="(%1)"/>
      <w:numFmt w:val="lowerLetter"/>
      <w:start w:val="1"/>
    </w:lvl>
  </w:abstractNum>
  <w:abstractNum w:abstractNumId="95">
    <w:nsid w:val="5FB8370B"/>
    <w:multiLevelType w:val="hybridMultilevel"/>
    <w:lvl w:ilvl="0">
      <w:lvlJc w:val="left"/>
      <w:lvlText w:val="(%1)"/>
      <w:numFmt w:val="lowerLetter"/>
      <w:start w:val="1"/>
    </w:lvl>
  </w:abstractNum>
  <w:abstractNum w:abstractNumId="96">
    <w:nsid w:val="50801E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2025-08-19T15:34:33Z</dcterms:created>
  <dcterms:modified xsi:type="dcterms:W3CDTF">2025-08-19T15:34:33Z</dcterms:modified>
</cp:coreProperties>
</file>