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116205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4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144145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82" w:lineRule="exact"/>
        <w:rPr>
          <w:sz w:val="24"/>
          <w:szCs w:val="24"/>
          <w:color w:val="auto"/>
        </w:rPr>
      </w:pPr>
    </w:p>
    <w:p>
      <w:pPr>
        <w:ind w:left="580" w:right="20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2007</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2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80"/>
          </w:cols>
          <w:pgMar w:left="240" w:top="230" w:right="379" w:bottom="1440" w:gutter="0" w:footer="0" w:header="0"/>
        </w:sectPr>
      </w:pPr>
    </w:p>
    <w:p>
      <w:pPr>
        <w:spacing w:after="0" w:line="122"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16" w:lineRule="exact"/>
        <w:rPr>
          <w:sz w:val="24"/>
          <w:szCs w:val="24"/>
          <w:color w:val="auto"/>
        </w:rPr>
      </w:pPr>
    </w:p>
    <w:p>
      <w:pPr>
        <w:sectPr>
          <w:pgSz w:w="11900" w:h="16838" w:orient="portrait"/>
          <w:cols w:equalWidth="0" w:num="2">
            <w:col w:w="2840" w:space="580"/>
            <w:col w:w="7860"/>
          </w:cols>
          <w:pgMar w:left="240" w:top="230" w:right="379" w:bottom="1440" w:gutter="0" w:footer="0" w:header="0"/>
          <w:type w:val="continuous"/>
        </w:sectPr>
      </w:pPr>
    </w:p>
    <w:p>
      <w:pPr>
        <w:jc w:val="center"/>
        <w:ind w:right="-139"/>
        <w:spacing w:after="0"/>
        <w:rPr>
          <w:sz w:val="20"/>
          <w:szCs w:val="20"/>
          <w:color w:val="auto"/>
        </w:rPr>
      </w:pPr>
      <w:r>
        <w:rPr>
          <w:rFonts w:ascii="Arial" w:cs="Arial" w:eastAsia="Arial" w:hAnsi="Arial"/>
          <w:sz w:val="15"/>
          <w:szCs w:val="15"/>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156845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p>
      <w:pPr>
        <w:spacing w:after="0" w:line="32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54"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220" w:type="dxa"/>
            <w:vAlign w:val="bottom"/>
            <w:gridSpan w:val="3"/>
          </w:tcPr>
          <w:p>
            <w:pPr>
              <w:jc w:val="center"/>
              <w:ind w:right="4440"/>
              <w:spacing w:after="0"/>
              <w:rPr>
                <w:sz w:val="20"/>
                <w:szCs w:val="20"/>
                <w:color w:val="auto"/>
              </w:rPr>
            </w:pPr>
            <w:r>
              <w:rPr>
                <w:rFonts w:ascii="Arial" w:cs="Arial" w:eastAsia="Arial" w:hAnsi="Arial"/>
                <w:sz w:val="18"/>
                <w:szCs w:val="18"/>
                <w:b w:val="1"/>
                <w:bCs w:val="1"/>
                <w:color w:val="auto"/>
                <w:w w:val="90"/>
              </w:rPr>
              <w:t>Nevada</w:t>
            </w:r>
          </w:p>
        </w:tc>
        <w:tc>
          <w:tcPr>
            <w:tcW w:w="1120" w:type="dxa"/>
            <w:vAlign w:val="bottom"/>
          </w:tcPr>
          <w:p>
            <w:pPr>
              <w:jc w:val="center"/>
              <w:ind w:left="6"/>
              <w:spacing w:after="0"/>
              <w:rPr>
                <w:sz w:val="20"/>
                <w:szCs w:val="20"/>
                <w:color w:val="auto"/>
              </w:rPr>
            </w:pPr>
            <w:r>
              <w:rPr>
                <w:rFonts w:ascii="Arial" w:cs="Arial" w:eastAsia="Arial" w:hAnsi="Arial"/>
                <w:sz w:val="18"/>
                <w:szCs w:val="18"/>
                <w:b w:val="1"/>
                <w:bCs w:val="1"/>
                <w:color w:val="auto"/>
                <w:w w:val="87"/>
              </w:rPr>
              <w:t>88-0494875</w:t>
            </w:r>
          </w:p>
        </w:tc>
      </w:tr>
      <w:tr>
        <w:trPr>
          <w:trHeight w:val="149"/>
        </w:trPr>
        <w:tc>
          <w:tcPr>
            <w:tcW w:w="6220" w:type="dxa"/>
            <w:vAlign w:val="bottom"/>
            <w:gridSpan w:val="3"/>
          </w:tcPr>
          <w:p>
            <w:pPr>
              <w:jc w:val="center"/>
              <w:ind w:right="44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2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220" w:type="dxa"/>
            <w:vAlign w:val="bottom"/>
            <w:gridSpan w:val="3"/>
          </w:tcPr>
          <w:p>
            <w:pPr>
              <w:jc w:val="center"/>
              <w:ind w:right="4440"/>
              <w:spacing w:after="0"/>
              <w:rPr>
                <w:sz w:val="20"/>
                <w:szCs w:val="20"/>
                <w:color w:val="auto"/>
              </w:rPr>
            </w:pPr>
            <w:r>
              <w:rPr>
                <w:rFonts w:ascii="Arial" w:cs="Arial" w:eastAsia="Arial" w:hAnsi="Arial"/>
                <w:sz w:val="14"/>
                <w:szCs w:val="14"/>
                <w:b w:val="1"/>
                <w:bCs w:val="1"/>
                <w:color w:val="auto"/>
                <w:w w:val="89"/>
              </w:rPr>
              <w:t>incorporation or organization)</w:t>
            </w:r>
          </w:p>
        </w:tc>
        <w:tc>
          <w:tcPr>
            <w:tcW w:w="1120" w:type="dxa"/>
            <w:vAlign w:val="bottom"/>
          </w:tcPr>
          <w:p>
            <w:pPr>
              <w:jc w:val="center"/>
              <w:ind w:left="6"/>
              <w:spacing w:after="0"/>
              <w:rPr>
                <w:sz w:val="20"/>
                <w:szCs w:val="20"/>
                <w:color w:val="auto"/>
              </w:rPr>
            </w:pPr>
            <w:r>
              <w:rPr>
                <w:rFonts w:ascii="Arial" w:cs="Arial" w:eastAsia="Arial" w:hAnsi="Arial"/>
                <w:sz w:val="14"/>
                <w:szCs w:val="14"/>
                <w:b w:val="1"/>
                <w:bCs w:val="1"/>
                <w:color w:val="auto"/>
                <w:w w:val="87"/>
              </w:rPr>
              <w:t>Identification No.)</w:t>
            </w:r>
          </w:p>
        </w:tc>
      </w:tr>
      <w:tr>
        <w:trPr>
          <w:trHeight w:val="285"/>
        </w:trPr>
        <w:tc>
          <w:tcPr>
            <w:tcW w:w="6220" w:type="dxa"/>
            <w:vAlign w:val="bottom"/>
            <w:gridSpan w:val="3"/>
          </w:tcPr>
          <w:p>
            <w:pPr>
              <w:jc w:val="center"/>
              <w:ind w:left="1305"/>
              <w:spacing w:after="0"/>
              <w:rPr>
                <w:sz w:val="20"/>
                <w:szCs w:val="20"/>
                <w:color w:val="auto"/>
              </w:rPr>
            </w:pPr>
            <w:r>
              <w:rPr>
                <w:rFonts w:ascii="Arial" w:cs="Arial" w:eastAsia="Arial" w:hAnsi="Arial"/>
                <w:sz w:val="18"/>
                <w:szCs w:val="18"/>
                <w:b w:val="1"/>
                <w:bCs w:val="1"/>
                <w:color w:val="auto"/>
                <w:w w:val="86"/>
              </w:rPr>
              <w:t>3131 Las Vegas Boulevard South - Las Vegas, Nevada 89109</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120" w:type="dxa"/>
            <w:vAlign w:val="bottom"/>
          </w:tcPr>
          <w:p>
            <w:pPr>
              <w:spacing w:after="0"/>
              <w:rPr>
                <w:sz w:val="15"/>
                <w:szCs w:val="15"/>
                <w:color w:val="auto"/>
              </w:rPr>
            </w:pPr>
          </w:p>
        </w:tc>
      </w:tr>
      <w:tr>
        <w:trPr>
          <w:trHeight w:val="271"/>
        </w:trPr>
        <w:tc>
          <w:tcPr>
            <w:tcW w:w="5000" w:type="dxa"/>
            <w:vAlign w:val="bottom"/>
            <w:gridSpan w:val="2"/>
          </w:tcPr>
          <w:p>
            <w:pPr>
              <w:jc w:val="center"/>
              <w:ind w:left="2505"/>
              <w:spacing w:after="0"/>
              <w:rPr>
                <w:sz w:val="20"/>
                <w:szCs w:val="20"/>
                <w:color w:val="auto"/>
              </w:rPr>
            </w:pPr>
            <w:r>
              <w:rPr>
                <w:rFonts w:ascii="Arial" w:cs="Arial" w:eastAsia="Arial" w:hAnsi="Arial"/>
                <w:sz w:val="18"/>
                <w:szCs w:val="18"/>
                <w:b w:val="1"/>
                <w:bCs w:val="1"/>
                <w:color w:val="auto"/>
                <w:w w:val="89"/>
              </w:rPr>
              <w:t>(702) 770-7555</w:t>
            </w: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20" w:type="dxa"/>
            <w:vAlign w:val="bottom"/>
          </w:tcPr>
          <w:p>
            <w:pPr>
              <w:spacing w:after="0"/>
              <w:rPr>
                <w:sz w:val="15"/>
                <w:szCs w:val="15"/>
                <w:color w:val="auto"/>
              </w:rPr>
            </w:pPr>
          </w:p>
        </w:tc>
      </w:tr>
      <w:tr>
        <w:trPr>
          <w:trHeight w:val="176"/>
        </w:trPr>
        <w:tc>
          <w:tcPr>
            <w:tcW w:w="2580" w:type="dxa"/>
            <w:vAlign w:val="bottom"/>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16"/>
        </w:trPr>
        <w:tc>
          <w:tcPr>
            <w:tcW w:w="2580" w:type="dxa"/>
            <w:vAlign w:val="bottom"/>
          </w:tcPr>
          <w:p>
            <w:pPr>
              <w:spacing w:after="0"/>
              <w:rPr>
                <w:sz w:val="24"/>
                <w:szCs w:val="24"/>
                <w:color w:val="auto"/>
              </w:rPr>
            </w:pPr>
          </w:p>
        </w:tc>
        <w:tc>
          <w:tcPr>
            <w:tcW w:w="364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6"/>
              </w:rPr>
              <w:t>N/A</w:t>
            </w:r>
          </w:p>
        </w:tc>
        <w:tc>
          <w:tcPr>
            <w:tcW w:w="1120" w:type="dxa"/>
            <w:vAlign w:val="bottom"/>
          </w:tcPr>
          <w:p>
            <w:pPr>
              <w:spacing w:after="0"/>
              <w:rPr>
                <w:sz w:val="24"/>
                <w:szCs w:val="24"/>
                <w:color w:val="auto"/>
              </w:rPr>
            </w:pPr>
          </w:p>
        </w:tc>
      </w:tr>
      <w:tr>
        <w:trPr>
          <w:trHeight w:val="245"/>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2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111760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69" w:lineRule="exact"/>
        <w:rPr>
          <w:sz w:val="24"/>
          <w:szCs w:val="24"/>
          <w:color w:val="auto"/>
        </w:rPr>
      </w:pPr>
    </w:p>
    <w:p>
      <w:pPr>
        <w:ind w:right="1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8" w:lineRule="exact"/>
        <w:rPr>
          <w:sz w:val="24"/>
          <w:szCs w:val="24"/>
          <w:color w:val="auto"/>
        </w:rPr>
      </w:pPr>
    </w:p>
    <w:p>
      <w:pPr>
        <w:ind w:left="2380"/>
        <w:spacing w:after="0" w:line="207" w:lineRule="exact"/>
        <w:tabs>
          <w:tab w:leader="none" w:pos="4760" w:val="left"/>
          <w:tab w:leader="none" w:pos="6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90" w:lineRule="exact"/>
        <w:rPr>
          <w:sz w:val="24"/>
          <w:szCs w:val="24"/>
          <w:color w:val="auto"/>
        </w:rPr>
      </w:pPr>
    </w:p>
    <w:p>
      <w:pPr>
        <w:ind w:left="460"/>
        <w:spacing w:after="0" w:line="207" w:lineRule="exact"/>
        <w:tabs>
          <w:tab w:leader="none" w:pos="8540" w:val="left"/>
          <w:tab w:leader="none" w:pos="9220" w:val="left"/>
        </w:tabs>
        <w:rPr>
          <w:sz w:val="20"/>
          <w:szCs w:val="20"/>
          <w:color w:val="auto"/>
        </w:rPr>
      </w:pPr>
      <w:r>
        <w:rPr>
          <w:rFonts w:ascii="Arial" w:cs="Arial" w:eastAsia="Arial" w:hAnsi="Arial"/>
          <w:sz w:val="16"/>
          <w:szCs w:val="16"/>
          <w:color w:val="auto"/>
        </w:rPr>
        <w:t>Indicate by check mark whether the registrant is a shell company (as defined in Rule12b-2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9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Wynn Resorts Holdings, LLC owns all of the membership interests of the Registrant as of August 9,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500" w:type="dxa"/>
            <w:vAlign w:val="bottom"/>
            <w:gridSpan w:val="12"/>
          </w:tcPr>
          <w:p>
            <w:pPr>
              <w:spacing w:after="0"/>
              <w:rPr>
                <w:sz w:val="20"/>
                <w:szCs w:val="20"/>
                <w:color w:val="auto"/>
              </w:rPr>
            </w:pPr>
            <w:r>
              <w:rPr>
                <w:rFonts w:ascii="Arial" w:cs="Arial" w:eastAsia="Arial" w:hAnsi="Arial"/>
                <w:sz w:val="18"/>
                <w:szCs w:val="18"/>
                <w:b w:val="1"/>
                <w:bCs w:val="1"/>
                <w:color w:val="auto"/>
              </w:rPr>
              <w:t>Financial Information</w:t>
            </w:r>
          </w:p>
        </w:tc>
        <w:tc>
          <w:tcPr>
            <w:tcW w:w="940" w:type="dxa"/>
            <w:vAlign w:val="bottom"/>
          </w:tcPr>
          <w:p>
            <w:pPr>
              <w:spacing w:after="0"/>
              <w:rPr>
                <w:sz w:val="19"/>
                <w:szCs w:val="19"/>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12"/>
          </w:tcPr>
          <w:p>
            <w:pPr>
              <w:spacing w:after="0"/>
              <w:rPr>
                <w:sz w:val="20"/>
                <w:szCs w:val="20"/>
                <w:color w:val="auto"/>
              </w:rPr>
            </w:pPr>
            <w:r>
              <w:rPr>
                <w:rFonts w:ascii="Arial" w:cs="Arial" w:eastAsia="Arial" w:hAnsi="Arial"/>
                <w:sz w:val="18"/>
                <w:szCs w:val="18"/>
                <w:color w:val="auto"/>
              </w:rPr>
              <w:t>Financial Statements</w:t>
            </w:r>
          </w:p>
        </w:tc>
        <w:tc>
          <w:tcPr>
            <w:tcW w:w="940" w:type="dxa"/>
            <w:vAlign w:val="bottom"/>
          </w:tcPr>
          <w:p>
            <w:pPr>
              <w:spacing w:after="0"/>
              <w:rPr>
                <w:sz w:val="24"/>
                <w:szCs w:val="24"/>
                <w:color w:val="auto"/>
              </w:rPr>
            </w:pPr>
          </w:p>
        </w:tc>
      </w:tr>
      <w:tr>
        <w:trPr>
          <w:trHeight w:val="286"/>
        </w:trPr>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(unaudited) – June 30, 2007 and December 31, 2006</w:t>
              </w:r>
            </w:hyperlink>
          </w:p>
        </w:tc>
        <w:tc>
          <w:tcPr>
            <w:tcW w:w="2480" w:type="dxa"/>
            <w:vAlign w:val="bottom"/>
            <w:gridSpan w:val="3"/>
          </w:tcPr>
          <w:p>
            <w:pPr>
              <w:spacing w:after="0"/>
              <w:rPr>
                <w:sz w:val="24"/>
                <w:szCs w:val="24"/>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rPr>
              <w:t>3</w:t>
            </w:r>
          </w:p>
        </w:tc>
      </w:tr>
      <w:tr>
        <w:trPr>
          <w:trHeight w:val="304"/>
        </w:trPr>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80" w:type="dxa"/>
            <w:vAlign w:val="bottom"/>
            <w:gridSpan w:val="11"/>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Operations (unaudited) – Three and Six months ended June 30, 2007 and 2006</w:t>
              </w:r>
            </w:hyperlink>
          </w:p>
        </w:tc>
        <w:tc>
          <w:tcPr>
            <w:tcW w:w="940" w:type="dxa"/>
            <w:vAlign w:val="bottom"/>
          </w:tcPr>
          <w:p>
            <w:pPr>
              <w:ind w:left="760"/>
              <w:spacing w:after="0"/>
              <w:rPr>
                <w:sz w:val="20"/>
                <w:szCs w:val="20"/>
                <w:color w:val="auto"/>
              </w:rPr>
            </w:pPr>
            <w:r>
              <w:rPr>
                <w:rFonts w:ascii="Arial" w:cs="Arial" w:eastAsia="Arial" w:hAnsi="Arial"/>
                <w:sz w:val="18"/>
                <w:szCs w:val="18"/>
                <w:color w:val="auto"/>
              </w:rPr>
              <w:t>4</w:t>
            </w:r>
          </w:p>
        </w:tc>
      </w:tr>
      <w:tr>
        <w:trPr>
          <w:trHeight w:val="304"/>
        </w:trPr>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Cash Flows (unaudited) – Six months ended June 30, 2007 and 2006</w:t>
              </w:r>
            </w:hyperlink>
          </w:p>
        </w:tc>
        <w:tc>
          <w:tcPr>
            <w:tcW w:w="68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rPr>
              <w:t>5</w:t>
            </w:r>
          </w:p>
        </w:tc>
      </w:tr>
      <w:tr>
        <w:trPr>
          <w:trHeight w:val="304"/>
        </w:trPr>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7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4320" w:type="dxa"/>
            <w:vAlign w:val="bottom"/>
            <w:gridSpan w:val="5"/>
          </w:tcPr>
          <w:p>
            <w:pPr>
              <w:spacing w:after="0"/>
              <w:rPr>
                <w:sz w:val="24"/>
                <w:szCs w:val="24"/>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rPr>
              <w:t>6</w:t>
            </w:r>
          </w:p>
        </w:tc>
      </w:tr>
      <w:tr>
        <w:trPr>
          <w:trHeight w:val="304"/>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Management’s Discussion and Analysis of Financial Condition and Results of Operations</w:t>
              </w:r>
            </w:hyperlink>
          </w:p>
        </w:tc>
        <w:tc>
          <w:tcPr>
            <w:tcW w:w="3200" w:type="dxa"/>
            <w:vAlign w:val="bottom"/>
            <w:gridSpan w:val="4"/>
          </w:tcPr>
          <w:p>
            <w:pPr>
              <w:spacing w:after="0"/>
              <w:rPr>
                <w:sz w:val="24"/>
                <w:szCs w:val="24"/>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79"/>
              </w:rPr>
              <w:t>22</w:t>
            </w:r>
          </w:p>
        </w:tc>
      </w:tr>
      <w:tr>
        <w:trPr>
          <w:trHeight w:val="304"/>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Quantitative and Qualitative Disclosures About Market Risk</w:t>
              </w:r>
            </w:hyperlink>
          </w:p>
        </w:tc>
        <w:tc>
          <w:tcPr>
            <w:tcW w:w="5240" w:type="dxa"/>
            <w:vAlign w:val="bottom"/>
            <w:gridSpan w:val="6"/>
          </w:tcPr>
          <w:p>
            <w:pPr>
              <w:spacing w:after="0"/>
              <w:rPr>
                <w:sz w:val="24"/>
                <w:szCs w:val="24"/>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79"/>
              </w:rPr>
              <w:t>33</w:t>
            </w:r>
          </w:p>
        </w:tc>
      </w:tr>
      <w:tr>
        <w:trPr>
          <w:trHeight w:val="304"/>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Controls and Procedures</w:t>
              </w:r>
            </w:hyperlink>
          </w:p>
        </w:tc>
        <w:tc>
          <w:tcPr>
            <w:tcW w:w="7780" w:type="dxa"/>
            <w:vAlign w:val="bottom"/>
            <w:gridSpan w:val="8"/>
          </w:tcPr>
          <w:p>
            <w:pPr>
              <w:spacing w:after="0"/>
              <w:rPr>
                <w:sz w:val="24"/>
                <w:szCs w:val="24"/>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79"/>
              </w:rPr>
              <w:t>33</w:t>
            </w:r>
          </w:p>
        </w:tc>
      </w:tr>
      <w:tr>
        <w:trPr>
          <w:trHeight w:val="343"/>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500" w:type="dxa"/>
            <w:vAlign w:val="bottom"/>
            <w:gridSpan w:val="12"/>
          </w:tcPr>
          <w:p>
            <w:pPr>
              <w:spacing w:after="0"/>
              <w:rPr>
                <w:sz w:val="20"/>
                <w:szCs w:val="20"/>
                <w:color w:val="auto"/>
              </w:rPr>
            </w:pPr>
            <w:r>
              <w:rPr>
                <w:rFonts w:ascii="Arial" w:cs="Arial" w:eastAsia="Arial" w:hAnsi="Arial"/>
                <w:sz w:val="18"/>
                <w:szCs w:val="18"/>
                <w:b w:val="1"/>
                <w:bCs w:val="1"/>
                <w:color w:val="auto"/>
              </w:rPr>
              <w:t>Other Information</w:t>
            </w:r>
          </w:p>
        </w:tc>
        <w:tc>
          <w:tcPr>
            <w:tcW w:w="940" w:type="dxa"/>
            <w:vAlign w:val="bottom"/>
          </w:tcPr>
          <w:p>
            <w:pPr>
              <w:spacing w:after="0"/>
              <w:rPr>
                <w:sz w:val="24"/>
                <w:szCs w:val="24"/>
                <w:color w:val="auto"/>
              </w:rPr>
            </w:pPr>
          </w:p>
        </w:tc>
      </w:tr>
      <w:tr>
        <w:trPr>
          <w:trHeight w:val="286"/>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Risk Factors</w:t>
              </w:r>
            </w:hyperlink>
          </w:p>
        </w:tc>
        <w:tc>
          <w:tcPr>
            <w:tcW w:w="8620" w:type="dxa"/>
            <w:vAlign w:val="bottom"/>
            <w:gridSpan w:val="9"/>
          </w:tcPr>
          <w:p>
            <w:pPr>
              <w:spacing w:after="0"/>
              <w:rPr>
                <w:sz w:val="24"/>
                <w:szCs w:val="24"/>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79"/>
              </w:rPr>
              <w:t>34</w:t>
            </w:r>
          </w:p>
        </w:tc>
      </w:tr>
      <w:tr>
        <w:trPr>
          <w:trHeight w:val="304"/>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4">
              <w:r>
                <w:rPr>
                  <w:rFonts w:ascii="Arial" w:cs="Arial" w:eastAsia="Arial" w:hAnsi="Arial"/>
                  <w:sz w:val="18"/>
                  <w:szCs w:val="18"/>
                  <w:color w:val="0000EE"/>
                  <w:w w:val="86"/>
                </w:rPr>
                <w:t>Unregistered Sales of Equity Securities and Use of Proceeds</w:t>
              </w:r>
            </w:hyperlink>
          </w:p>
        </w:tc>
        <w:tc>
          <w:tcPr>
            <w:tcW w:w="5260" w:type="dxa"/>
            <w:vAlign w:val="bottom"/>
            <w:gridSpan w:val="7"/>
          </w:tcPr>
          <w:p>
            <w:pPr>
              <w:spacing w:after="0"/>
              <w:rPr>
                <w:sz w:val="24"/>
                <w:szCs w:val="24"/>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79"/>
              </w:rPr>
              <w:t>34</w:t>
            </w:r>
          </w:p>
        </w:tc>
      </w:tr>
      <w:tr>
        <w:trPr>
          <w:trHeight w:val="304"/>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500" w:type="dxa"/>
            <w:vAlign w:val="bottom"/>
            <w:gridSpan w:val="1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940" w:type="dxa"/>
            <w:vAlign w:val="bottom"/>
          </w:tcPr>
          <w:p>
            <w:pPr>
              <w:ind w:left="760"/>
              <w:spacing w:after="0"/>
              <w:rPr>
                <w:sz w:val="20"/>
                <w:szCs w:val="20"/>
                <w:color w:val="auto"/>
              </w:rPr>
            </w:pPr>
            <w:r>
              <w:rPr>
                <w:rFonts w:ascii="Arial" w:cs="Arial" w:eastAsia="Arial" w:hAnsi="Arial"/>
                <w:sz w:val="18"/>
                <w:szCs w:val="18"/>
                <w:color w:val="auto"/>
                <w:w w:val="79"/>
              </w:rPr>
              <w:t>35</w:t>
            </w:r>
          </w:p>
        </w:tc>
      </w:tr>
      <w:tr>
        <w:trPr>
          <w:trHeight w:val="304"/>
        </w:trPr>
        <w:tc>
          <w:tcPr>
            <w:tcW w:w="920" w:type="dxa"/>
            <w:vAlign w:val="bottom"/>
            <w:gridSpan w:val="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Signature</w:t>
              </w:r>
            </w:hyperlink>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79"/>
              </w:rPr>
              <w:t>36</w:t>
            </w:r>
          </w:p>
        </w:tc>
      </w:tr>
      <w:tr>
        <w:trPr>
          <w:trHeight w:val="383"/>
        </w:trPr>
        <w:tc>
          <w:tcPr>
            <w:tcW w:w="6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5180" w:type="dxa"/>
            <w:vAlign w:val="bottom"/>
            <w:gridSpan w:val="7"/>
          </w:tcPr>
          <w:p>
            <w:pPr>
              <w:ind w:left="4760"/>
              <w:spacing w:after="0"/>
              <w:rPr>
                <w:sz w:val="20"/>
                <w:szCs w:val="20"/>
                <w:color w:val="auto"/>
              </w:rPr>
            </w:pPr>
            <w:r>
              <w:rPr>
                <w:rFonts w:ascii="Arial" w:cs="Arial" w:eastAsia="Arial" w:hAnsi="Arial"/>
                <w:sz w:val="18"/>
                <w:szCs w:val="18"/>
                <w:color w:val="auto"/>
              </w:rPr>
              <w:t>2</w:t>
            </w: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Current assets: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63,986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10,288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88,458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53,095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49,451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64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237,560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309,983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30,312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Note receivable from Wynn Resorts, Limited</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85,379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82,379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2,642,025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2,419,161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Intangibles assets, net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26,809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28,202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41,670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70,350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56,374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860"/>
              <w:spacing w:after="0"/>
              <w:rPr>
                <w:sz w:val="20"/>
                <w:szCs w:val="20"/>
                <w:color w:val="auto"/>
              </w:rPr>
            </w:pPr>
            <w:r>
              <w:rPr>
                <w:rFonts w:ascii="Arial" w:cs="Arial" w:eastAsia="Arial" w:hAnsi="Arial"/>
                <w:sz w:val="18"/>
                <w:szCs w:val="18"/>
                <w:color w:val="auto"/>
              </w:rPr>
              <w:t>Total assets</w:t>
            </w: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3,138,950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3,119,888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Current liabilities: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22,128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28,459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37,082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37,298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52,404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63,549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46,355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64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187,097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198,521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6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1,565,600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1,647,092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Due to affiliates, net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56,169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31,505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1,808,866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1,877,118</w:t>
            </w:r>
          </w:p>
        </w:tc>
        <w:tc>
          <w:tcPr>
            <w:tcW w:w="0" w:type="dxa"/>
            <w:vAlign w:val="bottom"/>
          </w:tcPr>
          <w:p>
            <w:pPr>
              <w:spacing w:after="0"/>
              <w:rPr>
                <w:sz w:val="1"/>
                <w:szCs w:val="1"/>
                <w:color w:val="auto"/>
              </w:rPr>
            </w:pPr>
          </w:p>
        </w:tc>
      </w:tr>
      <w:tr>
        <w:trPr>
          <w:trHeight w:val="221"/>
        </w:trPr>
        <w:tc>
          <w:tcPr>
            <w:tcW w:w="766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1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6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Contributed capital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1,458,306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1,453,918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(128,222)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860"/>
              <w:spacing w:after="0"/>
              <w:rPr>
                <w:sz w:val="20"/>
                <w:szCs w:val="20"/>
                <w:color w:val="auto"/>
              </w:rPr>
            </w:pPr>
            <w:r>
              <w:rPr>
                <w:rFonts w:ascii="Arial" w:cs="Arial" w:eastAsia="Arial" w:hAnsi="Arial"/>
                <w:sz w:val="18"/>
                <w:szCs w:val="18"/>
                <w:color w:val="auto"/>
              </w:rPr>
              <w:t>Total member’s equity</w:t>
            </w: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1,330,084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1,242,770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3,138,950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3,119,888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7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159,388</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113,527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332,481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240,041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69,222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147,387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82,143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77,686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159,490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152,320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54,610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49,581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99,550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370,590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310,016</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738,908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628,434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(35,409)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(36,454)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(72,793)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(77,511)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335,181</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273,562</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666,115</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550,923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65,116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57,920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137,331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18,140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50,430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49,423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98,968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34,112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49,648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44,198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101,099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3,652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5,038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4,126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10,022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36,517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37,618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72,587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termination fee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272,069</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251,741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544,245</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507,217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Equity in income from unconsolidated affiliates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22,140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122,434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6,123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(22,027)</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(30,821)</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(46,405)</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(62,814)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1,975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(18,066)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(22,723)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(39,508)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(45,379)</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45,354</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82,926</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7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7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Net income (loss)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52"/>
              <w:spacing w:after="0"/>
              <w:rPr>
                <w:sz w:val="20"/>
                <w:szCs w:val="20"/>
                <w:color w:val="auto"/>
              </w:rPr>
            </w:pPr>
            <w:r>
              <w:rPr>
                <w:rFonts w:ascii="Arial" w:cs="Arial" w:eastAsia="Arial" w:hAnsi="Arial"/>
                <w:sz w:val="18"/>
                <w:szCs w:val="18"/>
                <w:color w:val="auto"/>
              </w:rPr>
              <w:t>82,926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(991)</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52"/>
              <w:spacing w:after="0"/>
              <w:rPr>
                <w:sz w:val="20"/>
                <w:szCs w:val="20"/>
                <w:color w:val="auto"/>
              </w:rPr>
            </w:pPr>
            <w:r>
              <w:rPr>
                <w:rFonts w:ascii="Arial" w:cs="Arial" w:eastAsia="Arial" w:hAnsi="Arial"/>
                <w:sz w:val="18"/>
                <w:szCs w:val="18"/>
                <w:color w:val="auto"/>
              </w:rPr>
              <w:t>72,587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76,568</w:t>
            </w:r>
          </w:p>
        </w:tc>
        <w:tc>
          <w:tcPr>
            <w:tcW w:w="60" w:type="dxa"/>
            <w:vAlign w:val="bottom"/>
          </w:tcPr>
          <w:p>
            <w:pPr>
              <w:spacing w:after="0"/>
              <w:rPr>
                <w:sz w:val="18"/>
                <w:szCs w:val="18"/>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4,388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60" w:type="dxa"/>
            <w:vAlign w:val="bottom"/>
            <w:shd w:val="clear" w:color="auto" w:fill="CCEEFF"/>
          </w:tcPr>
          <w:p>
            <w:pPr>
              <w:spacing w:after="0"/>
              <w:rPr>
                <w:sz w:val="18"/>
                <w:szCs w:val="18"/>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Loss on extinguishment of debt</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52"/>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and writeoff of deferred financing costs and other</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5,195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60" w:type="dxa"/>
            <w:vAlign w:val="bottom"/>
            <w:shd w:val="clear" w:color="auto" w:fill="CCEEFF"/>
          </w:tcPr>
          <w:p>
            <w:pPr>
              <w:spacing w:after="0"/>
              <w:rPr>
                <w:sz w:val="18"/>
                <w:szCs w:val="18"/>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52"/>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(432)</w:t>
            </w: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doubtful accounts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12,632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w:t>
            </w:r>
          </w:p>
        </w:tc>
        <w:tc>
          <w:tcPr>
            <w:tcW w:w="60" w:type="dxa"/>
            <w:vAlign w:val="bottom"/>
            <w:shd w:val="clear" w:color="auto" w:fill="CCEEFF"/>
          </w:tcPr>
          <w:p>
            <w:pPr>
              <w:spacing w:after="0"/>
              <w:rPr>
                <w:sz w:val="18"/>
                <w:szCs w:val="18"/>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Property charges and other</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52"/>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7,325</w:t>
            </w:r>
          </w:p>
        </w:tc>
        <w:tc>
          <w:tcPr>
            <w:tcW w:w="60" w:type="dxa"/>
            <w:vAlign w:val="bottom"/>
          </w:tcPr>
          <w:p>
            <w:pPr>
              <w:spacing w:after="0"/>
              <w:rPr>
                <w:sz w:val="18"/>
                <w:szCs w:val="18"/>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decrease in swap fair value</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(5,330)</w:t>
            </w: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Increase (decrease) in cash from changes in:</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Receivables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16,399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13,034</w:t>
            </w:r>
          </w:p>
        </w:tc>
        <w:tc>
          <w:tcPr>
            <w:tcW w:w="60" w:type="dxa"/>
            <w:vAlign w:val="bottom"/>
            <w:shd w:val="clear" w:color="auto" w:fill="CCEEFF"/>
          </w:tcPr>
          <w:p>
            <w:pPr>
              <w:spacing w:after="0"/>
              <w:rPr>
                <w:sz w:val="18"/>
                <w:szCs w:val="18"/>
                <w:color w:val="auto"/>
              </w:rPr>
            </w:pPr>
          </w:p>
        </w:tc>
      </w:tr>
      <w:tr>
        <w:trPr>
          <w:trHeight w:val="216"/>
        </w:trPr>
        <w:tc>
          <w:tcPr>
            <w:tcW w:w="7740" w:type="dxa"/>
            <w:vAlign w:val="bottom"/>
          </w:tcPr>
          <w:p>
            <w:pPr>
              <w:ind w:left="880"/>
              <w:spacing w:after="0"/>
              <w:rPr>
                <w:sz w:val="20"/>
                <w:szCs w:val="20"/>
                <w:color w:val="auto"/>
              </w:rPr>
            </w:pPr>
            <w:r>
              <w:rPr>
                <w:rFonts w:ascii="Arial" w:cs="Arial" w:eastAsia="Arial" w:hAnsi="Arial"/>
                <w:sz w:val="18"/>
                <w:szCs w:val="18"/>
                <w:color w:val="auto"/>
              </w:rPr>
              <w:t>Inventories and prepaid expenses and other</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92"/>
              <w:spacing w:after="0"/>
              <w:rPr>
                <w:sz w:val="20"/>
                <w:szCs w:val="20"/>
                <w:color w:val="auto"/>
              </w:rPr>
            </w:pPr>
            <w:r>
              <w:rPr>
                <w:rFonts w:ascii="Arial" w:cs="Arial" w:eastAsia="Arial" w:hAnsi="Arial"/>
                <w:sz w:val="18"/>
                <w:szCs w:val="18"/>
                <w:color w:val="auto"/>
              </w:rPr>
              <w:t>(3,775)</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(11,123)</w:t>
            </w:r>
          </w:p>
        </w:tc>
      </w:tr>
      <w:tr>
        <w:trPr>
          <w:trHeight w:val="216"/>
        </w:trPr>
        <w:tc>
          <w:tcPr>
            <w:tcW w:w="7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 and accrued expenses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(20,325)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(37,014)</w:t>
            </w:r>
          </w:p>
        </w:tc>
      </w:tr>
      <w:tr>
        <w:trPr>
          <w:trHeight w:val="216"/>
        </w:trPr>
        <w:tc>
          <w:tcPr>
            <w:tcW w:w="7740" w:type="dxa"/>
            <w:vAlign w:val="bottom"/>
          </w:tcPr>
          <w:p>
            <w:pPr>
              <w:ind w:left="880"/>
              <w:spacing w:after="0"/>
              <w:rPr>
                <w:sz w:val="20"/>
                <w:szCs w:val="20"/>
                <w:color w:val="auto"/>
              </w:rPr>
            </w:pPr>
            <w:r>
              <w:rPr>
                <w:rFonts w:ascii="Arial" w:cs="Arial" w:eastAsia="Arial" w:hAnsi="Arial"/>
                <w:sz w:val="18"/>
                <w:szCs w:val="18"/>
                <w:color w:val="auto"/>
              </w:rPr>
              <w:t>Due to affiliates, net</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92"/>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15,664</w:t>
            </w:r>
          </w:p>
        </w:tc>
        <w:tc>
          <w:tcPr>
            <w:tcW w:w="60" w:type="dxa"/>
            <w:vAlign w:val="bottom"/>
          </w:tcPr>
          <w:p>
            <w:pPr>
              <w:spacing w:after="0"/>
              <w:rPr>
                <w:sz w:val="18"/>
                <w:szCs w:val="18"/>
                <w:color w:val="auto"/>
              </w:rPr>
            </w:pPr>
          </w:p>
        </w:tc>
      </w:tr>
      <w:tr>
        <w:trPr>
          <w:trHeight w:val="27"/>
        </w:trPr>
        <w:tc>
          <w:tcPr>
            <w:tcW w:w="7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7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operating activities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w w:val="95"/>
              </w:rPr>
              <w:t>172,871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74,509</w:t>
            </w:r>
          </w:p>
        </w:tc>
        <w:tc>
          <w:tcPr>
            <w:tcW w:w="60" w:type="dxa"/>
            <w:vAlign w:val="bottom"/>
            <w:shd w:val="clear" w:color="auto" w:fill="CCEEFF"/>
          </w:tcPr>
          <w:p>
            <w:pPr>
              <w:spacing w:after="0"/>
              <w:rPr>
                <w:sz w:val="18"/>
                <w:szCs w:val="18"/>
                <w:color w:val="auto"/>
              </w:rPr>
            </w:pP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 net of construction payables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88"/>
              </w:rPr>
              <w:t>(255,539)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(66,593)</w:t>
            </w: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Restricted cash and investments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52"/>
              <w:spacing w:after="0"/>
              <w:rPr>
                <w:sz w:val="20"/>
                <w:szCs w:val="20"/>
                <w:color w:val="auto"/>
              </w:rPr>
            </w:pPr>
            <w:r>
              <w:rPr>
                <w:rFonts w:ascii="Arial" w:cs="Arial" w:eastAsia="Arial" w:hAnsi="Arial"/>
                <w:sz w:val="18"/>
                <w:szCs w:val="18"/>
                <w:color w:val="auto"/>
                <w:w w:val="95"/>
              </w:rPr>
              <w:t>156,917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7,999</w:t>
            </w:r>
          </w:p>
        </w:tc>
        <w:tc>
          <w:tcPr>
            <w:tcW w:w="60" w:type="dxa"/>
            <w:vAlign w:val="bottom"/>
          </w:tcPr>
          <w:p>
            <w:pPr>
              <w:spacing w:after="0"/>
              <w:rPr>
                <w:sz w:val="18"/>
                <w:szCs w:val="18"/>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intangibles and other assets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(20,910)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(14,511)</w:t>
            </w: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Due to affiliates, net</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52"/>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(8,362)</w:t>
            </w:r>
          </w:p>
        </w:tc>
      </w:tr>
      <w:tr>
        <w:trPr>
          <w:trHeight w:val="27"/>
        </w:trPr>
        <w:tc>
          <w:tcPr>
            <w:tcW w:w="7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7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investing activities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88"/>
              </w:rPr>
              <w:t>(116,954)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(81,467)</w:t>
            </w: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Principal payments of long-term debt</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88"/>
              </w:rPr>
              <w:t>(127,751)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(12,479)</w:t>
            </w: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Proceeds from issuance of long-term debt</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52"/>
              <w:spacing w:after="0"/>
              <w:rPr>
                <w:sz w:val="20"/>
                <w:szCs w:val="20"/>
                <w:color w:val="auto"/>
              </w:rPr>
            </w:pPr>
            <w:r>
              <w:rPr>
                <w:rFonts w:ascii="Arial" w:cs="Arial" w:eastAsia="Arial" w:hAnsi="Arial"/>
                <w:sz w:val="18"/>
                <w:szCs w:val="18"/>
                <w:color w:val="auto"/>
              </w:rPr>
              <w:t>42,000</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(159)</w:t>
            </w:r>
          </w:p>
        </w:tc>
      </w:tr>
      <w:tr>
        <w:trPr>
          <w:trHeight w:val="27"/>
        </w:trPr>
        <w:tc>
          <w:tcPr>
            <w:tcW w:w="7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7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financing activities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(85,751)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(12,638)</w:t>
            </w: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 in cash and cash equivalents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(29,834)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(19,596)</w:t>
            </w: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Balance, beginning of period</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52"/>
              <w:spacing w:after="0"/>
              <w:rPr>
                <w:sz w:val="20"/>
                <w:szCs w:val="20"/>
                <w:color w:val="auto"/>
              </w:rPr>
            </w:pPr>
            <w:r>
              <w:rPr>
                <w:rFonts w:ascii="Arial" w:cs="Arial" w:eastAsia="Arial" w:hAnsi="Arial"/>
                <w:sz w:val="18"/>
                <w:szCs w:val="18"/>
                <w:color w:val="auto"/>
              </w:rPr>
              <w:t>93,820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87,777</w:t>
            </w:r>
          </w:p>
        </w:tc>
        <w:tc>
          <w:tcPr>
            <w:tcW w:w="60" w:type="dxa"/>
            <w:vAlign w:val="bottom"/>
          </w:tcPr>
          <w:p>
            <w:pPr>
              <w:spacing w:after="0"/>
              <w:rPr>
                <w:sz w:val="18"/>
                <w:szCs w:val="18"/>
                <w:color w:val="auto"/>
              </w:rPr>
            </w:pPr>
          </w:p>
        </w:tc>
      </w:tr>
      <w:tr>
        <w:trPr>
          <w:trHeight w:val="27"/>
        </w:trPr>
        <w:tc>
          <w:tcPr>
            <w:tcW w:w="7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period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63,986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68,181</w:t>
            </w:r>
          </w:p>
        </w:tc>
        <w:tc>
          <w:tcPr>
            <w:tcW w:w="60" w:type="dxa"/>
            <w:vAlign w:val="bottom"/>
            <w:shd w:val="clear" w:color="auto" w:fill="CCEEFF"/>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Las Vegas, LLC was formed on April 17, 2001 as a Nevada limited liability company. Originally named Hotel A, LLC, its name was changed to Wynn Las Vegas, LLC on May 15, 2002. Unless the context otherwise requires, all references herein to the “Company” refer to Wynn Las Vegas, LLC, a Nevada limited liability company and its consolidated subsidiaries, including for periods when the Company was named Hotel A, LLC. The sole member of the Company is Wynn Resorts Holdings, LLC (“Holdings”). The sole member of Holdings is Wynn Resorts, Limited (“Wynn Resorts”). The Company was organized primarily to construct and operate “Wynn Las Vegas,” a destination resort and casino on the site of the former Desert Inn Resort and Casino on “the Strip” in Las Vegas, Nevada. Wynn Las Vegas opened to the public on April 28, 2005. In addition, the Company is constructing “Encore at Wynn Las Vegas” or “Encore.” Encore will be fully integrated with Wynn Las Vegas and is being constructed on 20 acres of land immediately adjacent to Wynn Las Vegas. Encore is expected to open to the public in early 2009.</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As of June 30, 2007, Wynn Las Vegas, LLC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six months ended June 30, 2007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2006.</w:t>
      </w:r>
    </w:p>
    <w:p>
      <w:pPr>
        <w:spacing w:after="0" w:line="193" w:lineRule="exact"/>
        <w:rPr>
          <w:sz w:val="20"/>
          <w:szCs w:val="20"/>
          <w:color w:val="auto"/>
        </w:rPr>
      </w:pPr>
    </w:p>
    <w:p>
      <w:pPr>
        <w:ind w:left="240" w:right="7940" w:hanging="232"/>
        <w:spacing w:after="0" w:line="391" w:lineRule="auto"/>
        <w:tabs>
          <w:tab w:leader="none" w:pos="187"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i w:val="1"/>
          <w:iCs w:val="1"/>
          <w:color w:val="auto"/>
        </w:rPr>
        <w:t>Accounts receivable and credit risk</w:t>
      </w:r>
    </w:p>
    <w:p>
      <w:pPr>
        <w:spacing w:after="0" w:line="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casino accounts receivable. The Company issues credit in the form of “markers” to approved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casino customers following investigations of creditworthiness. As of June 30, 2007 and December 31, 2006, approximately 50% and 55%, respectively, of the Company’s markers were due from customers residing in foreign countries, primarily in Asia. Business or economic conditions or other significant events in these countries could affect the collectibility of such receivables.</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and points earned in customer loyalty programs, such as the players’ club loyalty program.</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for the six months ended June 30, 2007 and 2006 is primarily included in casino expenses as follows (amounts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w w:val="89"/>
              </w:rPr>
              <w:t>Three Months Ended</w:t>
            </w:r>
          </w:p>
        </w:tc>
        <w:tc>
          <w:tcPr>
            <w:tcW w:w="340" w:type="dxa"/>
            <w:vAlign w:val="bottom"/>
          </w:tcPr>
          <w:p>
            <w:pPr>
              <w:spacing w:after="0"/>
              <w:rPr>
                <w:sz w:val="14"/>
                <w:szCs w:val="14"/>
                <w:color w:val="auto"/>
              </w:rPr>
            </w:pPr>
          </w:p>
        </w:tc>
        <w:tc>
          <w:tcPr>
            <w:tcW w:w="15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2007</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2006</w:t>
            </w:r>
          </w:p>
        </w:tc>
        <w:tc>
          <w:tcPr>
            <w:tcW w:w="3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$11,984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Food &amp; beverage</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11,776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13,385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25,797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4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20" w:type="dxa"/>
            <w:vAlign w:val="bottom"/>
          </w:tcPr>
          <w:p>
            <w:pPr>
              <w:ind w:left="880"/>
              <w:spacing w:after="0"/>
              <w:rPr>
                <w:sz w:val="20"/>
                <w:szCs w:val="20"/>
                <w:color w:val="auto"/>
              </w:rPr>
            </w:pPr>
            <w:r>
              <w:rPr>
                <w:rFonts w:ascii="Arial" w:cs="Arial" w:eastAsia="Arial" w:hAnsi="Arial"/>
                <w:sz w:val="18"/>
                <w:szCs w:val="18"/>
                <w:color w:val="auto"/>
              </w:rPr>
              <w:t>Total</w:t>
            </w:r>
          </w:p>
        </w:tc>
        <w:tc>
          <w:tcPr>
            <w:tcW w:w="4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19,763</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21,427</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41,725</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46,032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160" w:type="dxa"/>
            <w:vAlign w:val="bottom"/>
            <w:vMerge w:val="restart"/>
          </w:tcPr>
          <w:p>
            <w:pPr>
              <w:jc w:val="right"/>
              <w:ind w:right="2232"/>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For the three months ended June 30, 2007 and 2006, advertising costs totaled approximately $4.8 million and $5.4 million, respectively. For the six months ended June 30, 2007 and 2006, advertising costs totaled approximately $11.3 million and $10.8 million,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amounts in the condensed consolidated financial statements for 2006 have been reclassified to be consistent with the current year presentation.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had no effect on the previously reported net loss.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In June 2006, the Financial Accounting Standards Board (“FASB”) issued Interpretation No. 48 “Accounting for Uncertainty in Income Taxes”. This interpretation clarifies the accounting for uncertainty in income taxes recognized in a company’s financial statements in accordance with Statement of Financial Accounting Standards (“SFAS”) No. 109, “Accounting for Income Taxes”. The interpretation provides guidance on classification, interest and penalties, accounting in interim periods, disclosure, and translation. This interpretation is effective for fiscal years beginning after December 15, 2006. Since the Company is a pass-through entity for tax purposes, the adoption of this statement, effective January 1, 2007, did not have an impact on the Company’s consolidated financial statements.</w:t>
      </w:r>
    </w:p>
    <w:p>
      <w:pPr>
        <w:spacing w:after="0" w:line="144"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September 2006, the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The Company has not yet determined the impact this statement will have on its consolidated financial statements after it is adopted on January 1, 2008.</w:t>
      </w:r>
    </w:p>
    <w:p>
      <w:pPr>
        <w:spacing w:after="0" w:line="9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June 2006, the FASB ratified the consensus reached on EITF Issue No. 06-03, “How Taxes Collected from Customers and Remitted to Governmental Authorities Should Be Presented in the Income Statement (that is, Gross Versus Net Presentation)”. The EITF reached a consensus that the presentation of taxes on either a gross or net basis is an accounting policy decision that requires disclosure. EITF Issue No. 06-03 is effective for the first interim or annual reporting period beginning after December 15, 2006. The Company has historically and will continue to record taxes collected from customers on a net basis. Accordingly, the adoption of EITF Issue No. 06-03 did not have an effect on the Company’s results of operations or financial position.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Interest paid for the six months ended June 30, 2007 and 2006 totaled approximately $53.6 million and $59.7 million, respectively. Interest capitalized for the six months ended June 30, 2007 and 2006 totaled approximately $10.6 million and $1.4 million, respectively.</w:t>
      </w:r>
    </w:p>
    <w:p>
      <w:pPr>
        <w:spacing w:after="0" w:line="132"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Stock-based compensation related to employees dedicated to the construction of Wynn Las Vegas and Encore that was capitalized into construction in progress for the six months ended June 30, 2007 and 2006 totaled approximately $379,000 and $1 million, respectively.</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six months ended June 30, 2007 and 2006, capital expenditures includes an approximately $35.1 million increase and a $3.6 million decrease, respectively, in construction payables and retention recorded through amounts due to affiliates.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1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$107,144</w:t>
            </w:r>
          </w:p>
        </w:tc>
        <w:tc>
          <w:tcPr>
            <w:tcW w:w="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Hotel</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18,850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134,612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155,491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(46,154)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88,458</w:t>
            </w:r>
          </w:p>
        </w:tc>
        <w:tc>
          <w:tcPr>
            <w:tcW w:w="260" w:type="dxa"/>
            <w:vAlign w:val="bottom"/>
          </w:tcPr>
          <w:p>
            <w:pPr>
              <w:spacing w:after="0"/>
              <w:rPr>
                <w:sz w:val="19"/>
                <w:szCs w:val="19"/>
                <w:color w:val="auto"/>
              </w:rPr>
            </w:pPr>
          </w:p>
        </w:tc>
        <w:tc>
          <w:tcPr>
            <w:tcW w:w="440" w:type="dxa"/>
            <w:vAlign w:val="bottom"/>
            <w:gridSpan w:val="3"/>
          </w:tcPr>
          <w:p>
            <w:pPr>
              <w:ind w:left="3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120,489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4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 of the following (amounts in thousands):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1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24"/>
                <w:szCs w:val="24"/>
                <w:color w:val="auto"/>
              </w:rPr>
            </w:pPr>
          </w:p>
        </w:tc>
        <w:tc>
          <w:tcPr>
            <w:tcW w:w="9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603,837</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603,290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1,201,594</w:t>
            </w:r>
          </w:p>
        </w:tc>
        <w:tc>
          <w:tcPr>
            <w:tcW w:w="26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1,164,947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638,513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614,676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433,814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214,574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2,922,012</w:t>
            </w:r>
          </w:p>
        </w:tc>
        <w:tc>
          <w:tcPr>
            <w:tcW w:w="260" w:type="dxa"/>
            <w:vAlign w:val="bottom"/>
          </w:tcPr>
          <w:p>
            <w:pPr>
              <w:spacing w:after="0"/>
              <w:rPr>
                <w:sz w:val="19"/>
                <w:szCs w:val="19"/>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2,641,741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1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(279,987)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(222,580)</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$ 2,642,025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$ 2,419,161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300"/>
        <w:spacing w:after="0" w:line="440" w:lineRule="auto"/>
        <w:rPr>
          <w:sz w:val="20"/>
          <w:szCs w:val="20"/>
          <w:color w:val="auto"/>
        </w:rPr>
      </w:pPr>
      <w:r>
        <w:rPr>
          <w:rFonts w:ascii="Arial" w:cs="Arial" w:eastAsia="Arial" w:hAnsi="Arial"/>
          <w:sz w:val="18"/>
          <w:szCs w:val="18"/>
          <w:color w:val="auto"/>
        </w:rPr>
        <w:t>As of June 30, 2007 and December 31, 2006, construction in progress includes interest and other costs capitalized in conjunction with Encore. 9</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1520"/>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left="1520"/>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left="152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left="152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consists of the following (amounts in thousands):</w:t>
      </w:r>
    </w:p>
    <w:p>
      <w:pPr>
        <w:spacing w:after="0" w:line="221" w:lineRule="exact"/>
        <w:rPr>
          <w:sz w:val="20"/>
          <w:szCs w:val="20"/>
          <w:color w:val="auto"/>
        </w:rPr>
      </w:pPr>
    </w:p>
    <w:p>
      <w:pPr>
        <w:jc w:val="center"/>
        <w:ind w:left="9420"/>
        <w:spacing w:after="0"/>
        <w:rPr>
          <w:sz w:val="20"/>
          <w:szCs w:val="20"/>
          <w:color w:val="auto"/>
        </w:rPr>
      </w:pPr>
      <w:r>
        <w:rPr>
          <w:rFonts w:ascii="Arial" w:cs="Arial" w:eastAsia="Arial" w:hAnsi="Arial"/>
          <w:sz w:val="11"/>
          <w:szCs w:val="11"/>
          <w:b w:val="1"/>
          <w:bCs w:val="1"/>
          <w:color w:val="auto"/>
        </w:rPr>
        <w:t>June 30,</w:t>
      </w:r>
    </w:p>
    <w:p>
      <w:pPr>
        <w:spacing w:after="0" w:line="22" w:lineRule="exact"/>
        <w:rPr>
          <w:sz w:val="20"/>
          <w:szCs w:val="20"/>
          <w:color w:val="auto"/>
        </w:rPr>
      </w:pPr>
    </w:p>
    <w:p>
      <w:pPr>
        <w:jc w:val="center"/>
        <w:ind w:left="9420"/>
        <w:spacing w:after="0"/>
        <w:rPr>
          <w:sz w:val="20"/>
          <w:szCs w:val="20"/>
          <w:color w:val="auto"/>
        </w:rPr>
      </w:pPr>
      <w:r>
        <w:rPr>
          <w:rFonts w:ascii="Arial" w:cs="Arial" w:eastAsia="Arial" w:hAnsi="Arial"/>
          <w:sz w:val="14"/>
          <w:szCs w:val="14"/>
          <w:b w:val="1"/>
          <w:bCs w:val="1"/>
          <w:color w:val="auto"/>
        </w:rPr>
        <w:t>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auto"/>
        </w:rPr>
        <w:t>December 31,</w:t>
      </w:r>
    </w:p>
    <w:p>
      <w:pPr>
        <w:spacing w:after="0" w:line="35"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2006</w:t>
      </w:r>
    </w:p>
    <w:p>
      <w:pPr>
        <w:spacing w:after="0" w:line="1" w:lineRule="exact"/>
        <w:rPr>
          <w:sz w:val="20"/>
          <w:szCs w:val="20"/>
          <w:color w:val="auto"/>
        </w:rPr>
      </w:pPr>
    </w:p>
    <w:p>
      <w:pPr>
        <w:sectPr>
          <w:pgSz w:w="11900" w:h="16838" w:orient="portrait"/>
          <w:cols w:equalWidth="0" w:num="2">
            <w:col w:w="9900" w:space="620"/>
            <w:col w:w="90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6 5/8% First Mortgage Notes, due December 1, 2014</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$ 1,300,000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$ 1,300,000</w:t>
            </w:r>
          </w:p>
        </w:tc>
        <w:tc>
          <w:tcPr>
            <w:tcW w:w="8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$900 million Revolving Credit Facility; due August 15, 2011; interest at LIBOR plus 1.625%</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88,892</w:t>
            </w:r>
          </w:p>
        </w:tc>
      </w:tr>
      <w:tr>
        <w:trPr>
          <w:trHeight w:val="20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w w:val="98"/>
              </w:rPr>
              <w:t>$225 million Term Loan Facility; $112.5 million due September 30, 2012 with remaining $112.5 million due August 15,</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2013; interest at LIBOR plus 1.875%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225,000</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$44.75 million note payable; due March 31, 2010; interest at LIBOR plus 2.375%</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38,509</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1"/>
        </w:trPr>
        <w:tc>
          <w:tcPr>
            <w:tcW w:w="9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1,566,650</w:t>
            </w:r>
          </w:p>
        </w:tc>
        <w:tc>
          <w:tcPr>
            <w:tcW w:w="2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1,652,401</w:t>
            </w: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(1,050)</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(5,309)</w:t>
            </w:r>
          </w:p>
        </w:tc>
      </w:tr>
      <w:tr>
        <w:trPr>
          <w:trHeight w:val="222"/>
        </w:trPr>
        <w:tc>
          <w:tcPr>
            <w:tcW w:w="9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$ 1,565,600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$ 1,647,092</w:t>
            </w:r>
          </w:p>
        </w:tc>
        <w:tc>
          <w:tcPr>
            <w:tcW w:w="8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Facilities</w:t>
      </w:r>
    </w:p>
    <w:p>
      <w:pPr>
        <w:spacing w:after="0" w:line="90"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In April 2007, the Company amended its $900 million Revolving Credit Facility and its $225 million Term Loan Facility (together the “Wynn Las Vegas Credit Facilities,” or the “Credit Facilities”) to: (a) have the Final Completion as defined, be deemed satisfied for Wynn Las Vegas with the resulting release of</w:t>
      </w:r>
    </w:p>
    <w:p>
      <w:pPr>
        <w:ind w:right="80" w:firstLine="8"/>
        <w:spacing w:after="0" w:line="254" w:lineRule="auto"/>
        <w:tabs>
          <w:tab w:leader="none" w:pos="21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amounts in excess of $30 million, which amount must remain for Encore, from the Completion Guaranty Deposit; ($24.6 million), and (ii) the balance of funds in the Project Liquidity Reserve Account ($32.8 million), (b) increase the permitted expenditures for Encore from $300 million to $500 million prior to the execution of a guaranteed maximum price contract, and (c) permit the issuance of up to $500 million of unsecured debt as and when permitted under the indenture governing the First Mortgage Notes.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$44.75 Million Note Payable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March 30, 2007, World Travel, LLC, a subsidiary of Wynn Las Vegas, refinanced the $44.75 million note payable. The new loan has a principal balance of $42 million and is due April 1, 2017. The loan is guaranteed by Wynn Las Vegas, LLC and secured by a first priority security interest in one of the Company’s two aircraft. Principal and interest are due quarterly with a balloon payment of $28 million due at maturity. Interest is calculated at 90-day LIBOR plus 125 basis points. In connection with this transaction, the Company incurred a loss from extinguishment of debt of $157,000 related to the write-off of unamortized debt issue costs associated with the original loan.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2007, the Company was in compliance with all covenants governing the Company’s debt facilities.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 net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Receivable from Wynn Resorts, Limited</w:t>
      </w:r>
    </w:p>
    <w:p>
      <w:pPr>
        <w:spacing w:after="0" w:line="90" w:lineRule="exact"/>
        <w:rPr>
          <w:sz w:val="20"/>
          <w:szCs w:val="20"/>
          <w:color w:val="auto"/>
        </w:rPr>
      </w:pPr>
    </w:p>
    <w:p>
      <w:pPr>
        <w:jc w:val="both"/>
        <w:ind w:right="60" w:firstLine="456"/>
        <w:spacing w:after="0" w:line="284" w:lineRule="auto"/>
        <w:rPr>
          <w:sz w:val="20"/>
          <w:szCs w:val="20"/>
          <w:color w:val="auto"/>
        </w:rPr>
      </w:pPr>
      <w:r>
        <w:rPr>
          <w:rFonts w:ascii="Arial" w:cs="Arial" w:eastAsia="Arial" w:hAnsi="Arial"/>
          <w:sz w:val="16"/>
          <w:szCs w:val="16"/>
          <w:color w:val="auto"/>
        </w:rPr>
        <w:t>On August 15, 2005, the Company loaned $80 million to Wynn Resorts who then loaned those funds through its subsidiaries to Wynn Macau, S.A. as part of the financing of Wynn Macau, Wynn Resorts’ casino resort facility in the Macau Special Administrative Region of the People’s Republic of China (“Macau”), which opened to the public on September 6, 2006. Interest accrues at 7.5% per annum. Unpaid principal and interest is due at maturity on August 15, 2012.</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Included in the balances as of June 30, 2007 and December 31, 2006, was approximately $5.4 and $2.4 million, respectively, of accrued interest receivable related to this note.</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Affiliates, net</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As of June 30, 2007, the Company’s net due to affiliates was primarily comprised of construction payables of approximately $41.5 million, construction retention of approximately $22.6 million, a management fee of approximately $37.9 million (equal to 1.5% of revenues and payable upon meeting certain leverage ratios as specified in the documents governing the Company’s Credit Facilities), and other net amounts payable to affiliates totaling $0.5 million (including corporate allocations discussed below).</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of December 31, 2006, the Company’s net due to affiliates was primarily comprised of construction payables of approximately $20 million, construction retention of approximately $9 million, a management fee of approximately $27.9 million (equal to 1.5% of revenues and payable upon meeting certain leverage ratios as specified in the documents governing the Company’s Credit Facilities), and other net amounts payable to affiliates totaling $7.8 million (including corporate allocations discussed below).</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Company periodically settles amounts due to affiliates with cash receipts and payments, except for the management fee, which is payable upon meeting certain leverage ratios specified in the documents governing the Company’s Credit Facilities.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accompanying condensed consolidated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a reasonable estimate of the utilization of services provided or the benefit received by the Company. The allocation methods include specific identification, relative cost, square footage and headcount. Wynn Resorts maintains corporate offices at Wynn Las Vegas without charge from the Company. The Company settles these corporate allocation charges with Wynn Resorts on a periodic basis as discussed in “Amounts Due to Affiliates, Net” above. During the three months ended June 30, 2007 and 2006, approximately $5.5 million and $4.1 million, respectfully, was charged to the Company for such allocations. During the six months ended June 30, 2007 and 2006, approximately $10.8 million and $7.4 million, respectively, was charged to the Company for such corporate allocations.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of Wynn Resorts, including household services, construction work and other personal services. The cost of these services is transferred to Wynn Resorts on a periodic basis. Mr. Wynn and these other officers have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amounts on deposit with Wynn Resorts to prepay any such items, which are replenished on an ongoing basis as needed. As of June 30, 2007 and December 31, 2006, Wynn Resorts owed Mr. Wynn and the other officers approximately $350,000 and $315,000,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Effective July 1, 2005, Mr. Wynn and his wife, Elaine P. Wynn (“Mrs. Wynn”), who is also a director of Wynn Resorts, lease from year to year a villa suite in the Wynn Las Vegas resort as their personal residence.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ending June 30, 2008 to be $580,000. Substantially all services for, and maintenance of, the suite are included in the rental.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Collection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From the opening of Wynn Las Vegas through February 2006, the resort included an art gallery that displayed rare paintings from a private collection of fine art owned by Mr. and Mrs. Wynn. The Company leased the artwork from Mr. and Mrs. Wynn for an annual fee of one dollar ($1), and the Company was entitled to retain all revenues from the public display of the artwork and the related merchandising revenues. The Company was responsible for all expenses incurred in exhibiting and safeguarding the artwork, including the cost of insurance (including terrorism insurance) and taxes relating to the rental of the art. In February 2006, the Company closed the art gallery and began converting the gallery location into additional retail stores. The Company continues to lease works of art from Mr. and Mrs. Wynn for an annual fee of one dollar ($1) and continues to display certain pieces throughout Wynn Las Vegas. All expenses in exhibiting and safeguarding the artwork displayed at Wynn Las Vegas are the responsibility of the Company.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222" w:lineRule="exact"/>
        <w:rPr>
          <w:sz w:val="20"/>
          <w:szCs w:val="20"/>
          <w:color w:val="auto"/>
        </w:rPr>
      </w:pPr>
    </w:p>
    <w:p>
      <w:pPr>
        <w:ind w:right="8740" w:firstLine="8"/>
        <w:spacing w:after="0" w:line="347" w:lineRule="auto"/>
        <w:tabs>
          <w:tab w:leader="none" w:pos="1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Encore</w:t>
      </w:r>
    </w:p>
    <w:p>
      <w:pPr>
        <w:spacing w:after="0" w:line="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 xml:space="preserve">Encore Construction and Development. </w:t>
      </w:r>
      <w:r>
        <w:rPr>
          <w:rFonts w:ascii="Arial" w:cs="Arial" w:eastAsia="Arial" w:hAnsi="Arial"/>
          <w:sz w:val="16"/>
          <w:szCs w:val="16"/>
          <w:color w:val="auto"/>
        </w:rPr>
        <w:t>Encore’s current design includes a 2,034 all-suite hotel tower fully integrated with Wynn Las Vegas, as well as an</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72,000 square foot casino, additional convention and meeting space, as well as restaurants, a nightclub, swimming pools, a spa and salon and retail outlets. The Company commenced construction of Encore on April 28, 2006 and expects to open Encore to the public by early 2009.</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project budget for Encore is currently estimated at approximately $2.2 billion, consisting of approximately $2.1 billion for Encore and approximately $100 million for an employee parking garage on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Koval property, an associated pedestrian bridge and costs incurred in connection with the theatre remodeling and production of “Monty Python’s Spamalot” at Wynn Las Vegas. The project is being funded from the Company’s existing Credit Facilities and operating cash flow from Wynn Las Vegas. To the extent additional funds are required, the Company will provide these amounts with additional debt and equity contributions by Wynn Resorts or additional indebtedness to be incurred by Wynn Las Vegas.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February 27, 2007, the Company entered into a Design Build Architectural, Engineering and Construction Services Agreement (the “Contract”) with Tutor-Saliba Corporation (“Tutor”) for the design and construction of Encore. The Contract sets forth all of the terms and conditions pursuant to which Tutor will design and construct Encore. In June 2007, the Company executed the First Amendment to the Contract which set the guaranteed maximum price for construction work covered by the Contract at $1.3 billion.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 Through June 30, the Company incurred approximately $567 million of project costs related to the development and construction of Encore and related capital improvements.</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Completion Guarantee and Liquidity Reserve</w:t>
      </w:r>
      <w:r>
        <w:rPr>
          <w:rFonts w:ascii="Arial" w:cs="Arial" w:eastAsia="Arial" w:hAnsi="Arial"/>
          <w:sz w:val="18"/>
          <w:szCs w:val="18"/>
          <w:color w:val="auto"/>
        </w:rPr>
        <w:t>. As part of the Wynn Las Vegas financing, the Company contributed $50 million of the net proceeds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public offering of Wynn Resorts’ common stock to Wynn Completion Guarantor, LLC, a special purpose subsidiary of Wynn Las Vegas, LLC formed in October 2002 and deposited those funds into a completion guarantee deposit account to secure completion of Wynn Las Vegas. As referenced in Note 6, in April 2007, all amounts in excess of $30 million were released as a result of the April 2007 amendment to the Credit Facilities. The remaining $30 million will be retained as Encore’s completion guarantee.</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 also deposited $30 million from the net proceeds of the initial public offering of the Company’s common stock into a liquidity reserve account to secure the completion and opening of Wynn Las Vegas. All funds in this account were released as a result of the April 2007 amendment to the Credit Facilities. These released funds are expected to be applied to construction costs to be incurred in connection with Encore.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June 30,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Consolidating Financial Information of Guarantors and Issuers</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following consolidating information relates to the Issuers of the First Mortgage Notes and their guarantor subsidiaries (World Travel, LLC; Las Vegas Jet, LLC; Wynn Show Performers, LLC; Wynn Golf, LLC; Kevyn, LLC; and Wynn Sunrise, LLC) and non-guarantor subsidiary (Wynn Completion Guarantor, LLC) as of June 30, 2007 and December 31, 2006, and for the six months ended June 30, 2007 and 2006.</w:t>
      </w:r>
    </w:p>
    <w:p>
      <w:pPr>
        <w:spacing w:after="0" w:line="14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following consolidating information is presented in the form provided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they do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AS OF JUNE 30, 2007</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Non-</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7"/>
              </w:rPr>
              <w:t>Guarantor</w:t>
            </w:r>
          </w:p>
        </w:tc>
        <w:tc>
          <w:tcPr>
            <w:tcW w:w="2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guarantor</w:t>
            </w:r>
          </w:p>
        </w:tc>
        <w:tc>
          <w:tcPr>
            <w:tcW w:w="4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Issuers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1"/>
              </w:rPr>
              <w:t>Subsidiaries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Entries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Current assets: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10,288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88,455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53,095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21,733</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237,559</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237,560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30,312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Note receivable from Wynn Resorts, Limited</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85,379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2,437,876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204,149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2,642,025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20,665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6,144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26,809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65,729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4,621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70,350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860"/>
              <w:spacing w:after="0"/>
              <w:rPr>
                <w:sz w:val="20"/>
                <w:szCs w:val="20"/>
                <w:color w:val="auto"/>
              </w:rPr>
            </w:pPr>
            <w:r>
              <w:rPr>
                <w:rFonts w:ascii="Arial" w:cs="Arial" w:eastAsia="Arial" w:hAnsi="Arial"/>
                <w:sz w:val="18"/>
                <w:szCs w:val="18"/>
                <w:color w:val="auto"/>
              </w:rPr>
              <w:t>Total assets</w:t>
            </w: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2,888,805</w:t>
            </w:r>
          </w:p>
        </w:tc>
        <w:tc>
          <w:tcPr>
            <w:tcW w:w="4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219,760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30,312</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73</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3,138,950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EQUITY</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Current liabilities: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22,027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36,055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37,082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52,404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52,404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(137,214)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183,569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1,330</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185,767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187,097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1,525,000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40,600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1,565,600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Due to affiliates, net</w:t>
            </w:r>
          </w:p>
        </w:tc>
        <w:tc>
          <w:tcPr>
            <w:tcW w:w="1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32,391</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23,778</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1,558,721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226,367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23,778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1,808,866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Contributed capital</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1,458,306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12,530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(12,530)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1,458,306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earnings (deficit)</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(128,222)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(19,137)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12,603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(128,222)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860"/>
              <w:spacing w:after="0"/>
              <w:rPr>
                <w:sz w:val="20"/>
                <w:szCs w:val="20"/>
                <w:color w:val="auto"/>
              </w:rPr>
            </w:pPr>
            <w:r>
              <w:rPr>
                <w:rFonts w:ascii="Arial" w:cs="Arial" w:eastAsia="Arial" w:hAnsi="Arial"/>
                <w:sz w:val="18"/>
                <w:szCs w:val="18"/>
                <w:color w:val="auto"/>
              </w:rPr>
              <w:t>Total member’s equity</w:t>
            </w: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1,330,084</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(6,607)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6,534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1,330,084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2,888,805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219,760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30,312</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3,138,950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220" w:type="dxa"/>
            <w:vAlign w:val="bottom"/>
          </w:tcPr>
          <w:p>
            <w:pPr>
              <w:spacing w:after="0"/>
              <w:rPr>
                <w:sz w:val="12"/>
                <w:szCs w:val="12"/>
                <w:color w:val="auto"/>
              </w:rPr>
            </w:pPr>
          </w:p>
        </w:tc>
        <w:tc>
          <w:tcPr>
            <w:tcW w:w="11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7"/>
              </w:rPr>
              <w:t>Issuers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Entries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Current 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24,621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120,489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49,451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21,204</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309,590</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393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309,983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118,965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53,931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Note receivable from Wynn Resorts, Limited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82,379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2,219,360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199,801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2,419,161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22,058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6,144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56,360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420"/>
              <w:spacing w:after="0"/>
              <w:rPr>
                <w:sz w:val="20"/>
                <w:szCs w:val="20"/>
                <w:color w:val="auto"/>
              </w:rPr>
            </w:pPr>
            <w:r>
              <w:rPr>
                <w:rFonts w:ascii="Arial" w:cs="Arial" w:eastAsia="Arial" w:hAnsi="Arial"/>
                <w:sz w:val="18"/>
                <w:szCs w:val="18"/>
                <w:color w:val="auto"/>
              </w:rPr>
              <w:t>Total assets</w:t>
            </w: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2,855,972</w:t>
            </w:r>
          </w:p>
        </w:tc>
        <w:tc>
          <w:tcPr>
            <w:tcW w:w="5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212,030</w:t>
            </w:r>
          </w:p>
        </w:tc>
        <w:tc>
          <w:tcPr>
            <w:tcW w:w="280" w:type="dxa"/>
            <w:vAlign w:val="bottom"/>
          </w:tcPr>
          <w:p>
            <w:pPr>
              <w:spacing w:after="0"/>
              <w:rPr>
                <w:sz w:val="19"/>
                <w:szCs w:val="19"/>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53,931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(2,045)</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3,119,888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EQUITY</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Current liabilities: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5,309</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28,364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36,235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37,298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Customer deposits and other liabilities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63,549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63,549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(161,022)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175,664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18,553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420"/>
              <w:spacing w:after="0"/>
              <w:rPr>
                <w:sz w:val="20"/>
                <w:szCs w:val="20"/>
                <w:color w:val="auto"/>
              </w:rPr>
            </w:pPr>
            <w:r>
              <w:rPr>
                <w:rFonts w:ascii="Arial" w:cs="Arial" w:eastAsia="Arial" w:hAnsi="Arial"/>
                <w:sz w:val="18"/>
                <w:szCs w:val="18"/>
                <w:color w:val="auto"/>
              </w:rPr>
              <w:t>Total current liabilities</w:t>
            </w: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42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(2,195)</w:t>
            </w:r>
          </w:p>
        </w:tc>
        <w:tc>
          <w:tcPr>
            <w:tcW w:w="12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182,163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18,553</w:t>
            </w:r>
          </w:p>
        </w:tc>
        <w:tc>
          <w:tcPr>
            <w:tcW w:w="12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198,521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1,613,892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33,200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1,647,092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Due to affiliates, net</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30,000</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1,613,202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215,363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48,553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1,877,118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Contributed capital</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1,453,918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12,530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(12,530)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1,453,918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earnings (deficit)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(211,148)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(15,863)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5,378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10,485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(211,148)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420"/>
              <w:spacing w:after="0"/>
              <w:rPr>
                <w:sz w:val="20"/>
                <w:szCs w:val="20"/>
                <w:color w:val="auto"/>
              </w:rPr>
            </w:pPr>
            <w:r>
              <w:rPr>
                <w:rFonts w:ascii="Arial" w:cs="Arial" w:eastAsia="Arial" w:hAnsi="Arial"/>
                <w:sz w:val="18"/>
                <w:szCs w:val="18"/>
                <w:color w:val="auto"/>
              </w:rPr>
              <w:t>Total member’s equity</w:t>
            </w: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1,242,770</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(3,333)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5,378</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(2,045)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1,242,770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2,855,972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212,030</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53,931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3,119,888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Non-</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4"/>
              </w:rPr>
              <w:t>Guarantor</w:t>
            </w:r>
          </w:p>
        </w:tc>
        <w:tc>
          <w:tcPr>
            <w:tcW w:w="30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7"/>
              </w:rPr>
              <w:t>guarantor</w:t>
            </w:r>
          </w:p>
        </w:tc>
        <w:tc>
          <w:tcPr>
            <w:tcW w:w="58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Issuers</w:t>
            </w:r>
          </w:p>
        </w:tc>
        <w:tc>
          <w:tcPr>
            <w:tcW w:w="2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Subsidiaries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Casino</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159,388</w:t>
            </w:r>
          </w:p>
        </w:tc>
        <w:tc>
          <w:tcPr>
            <w:tcW w:w="36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159,388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74,449</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82,143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370,898</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370,590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(35,409)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(35,409)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335,489</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335,181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Casino</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65,116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50,430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50,430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50,307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(351)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49,648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5,038</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35,292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1,225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36,517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Total operating costs and expenses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271,503</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874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272,069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308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gridSpan w:val="2"/>
            <w:vMerge w:val="continue"/>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63,168</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(566)</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63,420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3,096</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454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(21,321)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411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extinguishment of debt</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(17,814)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(706)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454</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(18,066)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45,354</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(1,272)</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454</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53"/>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Non-</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4"/>
              </w:rPr>
              <w:t>Guarantor</w:t>
            </w:r>
          </w:p>
        </w:tc>
        <w:tc>
          <w:tcPr>
            <w:tcW w:w="30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7"/>
              </w:rPr>
              <w:t>guarantor</w:t>
            </w:r>
          </w:p>
        </w:tc>
        <w:tc>
          <w:tcPr>
            <w:tcW w:w="58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Issuers</w:t>
            </w:r>
          </w:p>
        </w:tc>
        <w:tc>
          <w:tcPr>
            <w:tcW w:w="2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Subsidiaries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Casino</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113,527</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113,527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77,686</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77,686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310,335</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310,016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(36,454)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(36,454)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273,881</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273,562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Casino</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57,920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57,920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49,423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49,423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34,112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44,987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(470)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4,126</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36,116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37,618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Total operating costs and expenses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251,028</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1,032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251,741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319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gridSpan w:val="2"/>
            <w:vMerge w:val="continue"/>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21,921</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(713)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5,542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581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(30,021)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(30,821)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(22,504)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581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(22,723)</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80" w:type="dxa"/>
            <w:vAlign w:val="bottom"/>
            <w:gridSpan w:val="2"/>
            <w:vMerge w:val="continue"/>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(583)</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(1,513)</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w w:val="79"/>
              </w:rPr>
              <w:t>581</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932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53"/>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Non-</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8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94"/>
              </w:rPr>
              <w:t>Guarantor</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guarantor</w:t>
            </w:r>
          </w:p>
        </w:tc>
        <w:tc>
          <w:tcPr>
            <w:tcW w:w="50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9"/>
              </w:rPr>
              <w:t>Issuers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81"/>
              </w:rPr>
              <w:t>Subsidiaries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9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Casino</w:t>
            </w:r>
          </w:p>
        </w:tc>
        <w:tc>
          <w:tcPr>
            <w:tcW w:w="1020" w:type="dxa"/>
            <w:vAlign w:val="bottom"/>
            <w:gridSpan w:val="2"/>
          </w:tcPr>
          <w:p>
            <w:pPr>
              <w:jc w:val="center"/>
              <w:ind w:left="85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332,481</w:t>
            </w:r>
          </w:p>
        </w:tc>
        <w:tc>
          <w:tcPr>
            <w:tcW w:w="5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332,481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147,387</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147,387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159,490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159,490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100,114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739,472</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738,908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(72,793)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(72,793)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666,679</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666,115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9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Casino</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137,331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137,331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38,448</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98,968</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98,968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102,461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(798)</w:t>
            </w: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101,099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10,022</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69,564</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3,023</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72,587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Total operating costs and expenses</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542,584</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2,225</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544,245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(2,118)</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564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gridSpan w:val="2"/>
            <w:vMerge w:val="continue"/>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121,977</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(1,661)</w:t>
            </w:r>
          </w:p>
        </w:tc>
        <w:tc>
          <w:tcPr>
            <w:tcW w:w="16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122,434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6,486</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1,156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(44,949)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(1,456)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(46,405)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(588)</w:t>
            </w:r>
          </w:p>
        </w:tc>
        <w:tc>
          <w:tcPr>
            <w:tcW w:w="180" w:type="dxa"/>
            <w:vAlign w:val="bottom"/>
          </w:tcPr>
          <w:p>
            <w:pPr>
              <w:spacing w:after="0"/>
              <w:rPr>
                <w:sz w:val="18"/>
                <w:szCs w:val="18"/>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extinguishment of debt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420"/>
              <w:spacing w:after="0"/>
              <w:rPr>
                <w:sz w:val="20"/>
                <w:szCs w:val="20"/>
                <w:color w:val="auto"/>
              </w:rPr>
            </w:pPr>
            <w:r>
              <w:rPr>
                <w:rFonts w:ascii="Arial" w:cs="Arial" w:eastAsia="Arial" w:hAnsi="Arial"/>
                <w:sz w:val="18"/>
                <w:szCs w:val="18"/>
                <w:color w:val="auto"/>
              </w:rPr>
              <w:t>Other income (expense), net</w:t>
            </w: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(39,051)</w:t>
            </w:r>
          </w:p>
        </w:tc>
        <w:tc>
          <w:tcPr>
            <w:tcW w:w="18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(1,613)</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1,156</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(39,508)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20" w:type="dxa"/>
            <w:vAlign w:val="bottom"/>
            <w:gridSpan w:val="2"/>
            <w:shd w:val="clear" w:color="auto" w:fill="CCEEFF"/>
          </w:tcPr>
          <w:p>
            <w:pPr>
              <w:jc w:val="center"/>
              <w:ind w:left="85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82,926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(3,274)</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00" w:type="dxa"/>
            <w:vAlign w:val="bottom"/>
            <w:gridSpan w:val="3"/>
          </w:tcPr>
          <w:p>
            <w:pPr>
              <w:jc w:val="center"/>
              <w:ind w:left="292"/>
              <w:spacing w:after="0"/>
              <w:rPr>
                <w:sz w:val="20"/>
                <w:szCs w:val="20"/>
                <w:color w:val="auto"/>
              </w:rPr>
            </w:pPr>
            <w:r>
              <w:rPr>
                <w:rFonts w:ascii="Arial" w:cs="Arial" w:eastAsia="Arial" w:hAnsi="Arial"/>
                <w:sz w:val="18"/>
                <w:szCs w:val="18"/>
                <w:color w:val="auto"/>
                <w:w w:val="89"/>
              </w:rPr>
              <w:t>18</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Non-</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8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94"/>
              </w:rPr>
              <w:t>Guarantor</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guarantor</w:t>
            </w:r>
          </w:p>
        </w:tc>
        <w:tc>
          <w:tcPr>
            <w:tcW w:w="50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9"/>
              </w:rPr>
              <w:t>Issuers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81"/>
              </w:rPr>
              <w:t>Subsidiaries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9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Casino</w:t>
            </w:r>
          </w:p>
        </w:tc>
        <w:tc>
          <w:tcPr>
            <w:tcW w:w="1020" w:type="dxa"/>
            <w:vAlign w:val="bottom"/>
            <w:gridSpan w:val="2"/>
          </w:tcPr>
          <w:p>
            <w:pPr>
              <w:jc w:val="center"/>
              <w:ind w:left="85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240,041</w:t>
            </w:r>
          </w:p>
        </w:tc>
        <w:tc>
          <w:tcPr>
            <w:tcW w:w="5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240,041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137,399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152,320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152,320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99,356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629,116</w:t>
            </w:r>
          </w:p>
        </w:tc>
        <w:tc>
          <w:tcPr>
            <w:tcW w:w="180" w:type="dxa"/>
            <w:vAlign w:val="bottom"/>
          </w:tcPr>
          <w:p>
            <w:pPr>
              <w:spacing w:after="0"/>
              <w:rPr>
                <w:sz w:val="19"/>
                <w:szCs w:val="19"/>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628,434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(77,511)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(77,511)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551,605</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550,923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9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Casino</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121,156</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94,182</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87,984</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(893)</w:t>
            </w: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8,286</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73,665</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2,903</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termination fee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7,325</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505,889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507,217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(1,804)</w:t>
            </w:r>
          </w:p>
        </w:tc>
        <w:tc>
          <w:tcPr>
            <w:tcW w:w="180" w:type="dxa"/>
            <w:vAlign w:val="bottom"/>
          </w:tcPr>
          <w:p>
            <w:pPr>
              <w:spacing w:after="0"/>
              <w:rPr>
                <w:sz w:val="19"/>
                <w:szCs w:val="19"/>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w w:val="86"/>
              </w:rPr>
              <w:t>682</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1,804</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(1,328)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9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11,017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(61,250)</w:t>
            </w: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(1,564)</w:t>
            </w: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(62,814)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swap fair value</w:t>
            </w:r>
          </w:p>
        </w:tc>
        <w:tc>
          <w:tcPr>
            <w:tcW w:w="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(44,903)</w:t>
            </w:r>
          </w:p>
        </w:tc>
        <w:tc>
          <w:tcPr>
            <w:tcW w:w="18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(1,564)</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1,088</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(45,379)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20" w:type="dxa"/>
            <w:vAlign w:val="bottom"/>
            <w:gridSpan w:val="2"/>
            <w:shd w:val="clear" w:color="auto" w:fill="CCEEFF"/>
          </w:tcPr>
          <w:p>
            <w:pPr>
              <w:jc w:val="center"/>
              <w:ind w:left="85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(991)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(2,892)</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00" w:type="dxa"/>
            <w:vAlign w:val="bottom"/>
            <w:gridSpan w:val="3"/>
          </w:tcPr>
          <w:p>
            <w:pPr>
              <w:jc w:val="center"/>
              <w:ind w:left="292"/>
              <w:spacing w:after="0"/>
              <w:rPr>
                <w:sz w:val="20"/>
                <w:szCs w:val="20"/>
                <w:color w:val="auto"/>
              </w:rPr>
            </w:pPr>
            <w:r>
              <w:rPr>
                <w:rFonts w:ascii="Arial" w:cs="Arial" w:eastAsia="Arial" w:hAnsi="Arial"/>
                <w:sz w:val="18"/>
                <w:szCs w:val="18"/>
                <w:color w:val="auto"/>
                <w:w w:val="89"/>
              </w:rPr>
              <w:t>19</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5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5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Issuers</w:t>
            </w:r>
          </w:p>
        </w:tc>
        <w:tc>
          <w:tcPr>
            <w:tcW w:w="2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income (loss)</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82,926</w:t>
            </w:r>
          </w:p>
        </w:tc>
        <w:tc>
          <w:tcPr>
            <w:tcW w:w="28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(3,274)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2,118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82,926</w:t>
            </w:r>
          </w:p>
        </w:tc>
        <w:tc>
          <w:tcPr>
            <w:tcW w:w="60" w:type="dxa"/>
            <w:vAlign w:val="bottom"/>
          </w:tcPr>
          <w:p>
            <w:pPr>
              <w:spacing w:after="0"/>
              <w:rPr>
                <w:sz w:val="18"/>
                <w:szCs w:val="18"/>
                <w:color w:val="auto"/>
              </w:rPr>
            </w:pPr>
          </w:p>
        </w:tc>
      </w:tr>
      <w:tr>
        <w:trPr>
          <w:trHeight w:val="208"/>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Adjustments to reconcile net income (loss) to net cash provided by (used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 operating activities:</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69,564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3,023</w:t>
            </w:r>
          </w:p>
        </w:tc>
        <w:tc>
          <w:tcPr>
            <w:tcW w:w="12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72,587</w:t>
            </w:r>
          </w:p>
        </w:tc>
        <w:tc>
          <w:tcPr>
            <w:tcW w:w="60" w:type="dxa"/>
            <w:vAlign w:val="bottom"/>
          </w:tcPr>
          <w:p>
            <w:pPr>
              <w:spacing w:after="0"/>
              <w:rPr>
                <w:sz w:val="18"/>
                <w:szCs w:val="18"/>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60" w:type="dxa"/>
            <w:vAlign w:val="bottom"/>
            <w:shd w:val="clear" w:color="auto" w:fill="CCEEFF"/>
          </w:tcPr>
          <w:p>
            <w:pPr>
              <w:spacing w:after="0"/>
              <w:rPr>
                <w:sz w:val="18"/>
                <w:szCs w:val="18"/>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Amortization and writeoff of deferred financing costs and other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60" w:type="dxa"/>
            <w:vAlign w:val="bottom"/>
            <w:shd w:val="clear" w:color="auto" w:fill="CCEEFF"/>
          </w:tcPr>
          <w:p>
            <w:pPr>
              <w:spacing w:after="0"/>
              <w:rPr>
                <w:sz w:val="18"/>
                <w:szCs w:val="18"/>
                <w:color w:val="auto"/>
              </w:rPr>
            </w:pPr>
          </w:p>
        </w:tc>
      </w:tr>
      <w:tr>
        <w:trPr>
          <w:trHeight w:val="208"/>
        </w:trPr>
        <w:tc>
          <w:tcPr>
            <w:tcW w:w="5380" w:type="dxa"/>
            <w:vAlign w:val="bottom"/>
          </w:tcPr>
          <w:p>
            <w:pPr>
              <w:ind w:left="440"/>
              <w:spacing w:after="0"/>
              <w:rPr>
                <w:sz w:val="20"/>
                <w:szCs w:val="20"/>
                <w:color w:val="auto"/>
              </w:rPr>
            </w:pPr>
            <w:r>
              <w:rPr>
                <w:rFonts w:ascii="Arial" w:cs="Arial" w:eastAsia="Arial" w:hAnsi="Arial"/>
                <w:sz w:val="18"/>
                <w:szCs w:val="18"/>
                <w:color w:val="auto"/>
              </w:rPr>
              <w:t>Equity in (income) loss from unconsolidated affiliates, net of</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5380" w:type="dxa"/>
            <w:vAlign w:val="bottom"/>
          </w:tcPr>
          <w:p>
            <w:pPr>
              <w:ind w:left="660"/>
              <w:spacing w:after="0"/>
              <w:rPr>
                <w:sz w:val="20"/>
                <w:szCs w:val="20"/>
                <w:color w:val="auto"/>
              </w:rPr>
            </w:pPr>
            <w:r>
              <w:rPr>
                <w:rFonts w:ascii="Arial" w:cs="Arial" w:eastAsia="Arial" w:hAnsi="Arial"/>
                <w:sz w:val="18"/>
                <w:szCs w:val="18"/>
                <w:color w:val="auto"/>
              </w:rPr>
              <w:t>distributions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2,118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9"/>
                <w:szCs w:val="19"/>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663</w:t>
            </w:r>
          </w:p>
        </w:tc>
        <w:tc>
          <w:tcPr>
            <w:tcW w:w="60" w:type="dxa"/>
            <w:vAlign w:val="bottom"/>
          </w:tcPr>
          <w:p>
            <w:pPr>
              <w:spacing w:after="0"/>
              <w:rPr>
                <w:sz w:val="19"/>
                <w:szCs w:val="19"/>
                <w:color w:val="auto"/>
              </w:rPr>
            </w:pPr>
          </w:p>
        </w:tc>
      </w:tr>
      <w:tr>
        <w:trPr>
          <w:trHeight w:val="217"/>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doubtful accounts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12,632</w:t>
            </w:r>
          </w:p>
        </w:tc>
        <w:tc>
          <w:tcPr>
            <w:tcW w:w="60" w:type="dxa"/>
            <w:vAlign w:val="bottom"/>
            <w:shd w:val="clear" w:color="auto" w:fill="CCEEFF"/>
          </w:tcPr>
          <w:p>
            <w:pPr>
              <w:spacing w:after="0"/>
              <w:rPr>
                <w:sz w:val="18"/>
                <w:szCs w:val="18"/>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Property charges and other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1,701</w:t>
            </w:r>
          </w:p>
        </w:tc>
        <w:tc>
          <w:tcPr>
            <w:tcW w:w="60" w:type="dxa"/>
            <w:vAlign w:val="bottom"/>
          </w:tcPr>
          <w:p>
            <w:pPr>
              <w:spacing w:after="0"/>
              <w:rPr>
                <w:sz w:val="18"/>
                <w:szCs w:val="18"/>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 in swap fair value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60" w:type="dxa"/>
            <w:vAlign w:val="bottom"/>
            <w:shd w:val="clear" w:color="auto" w:fill="CCEEFF"/>
          </w:tcPr>
          <w:p>
            <w:pPr>
              <w:spacing w:after="0"/>
              <w:rPr>
                <w:sz w:val="18"/>
                <w:szCs w:val="18"/>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Increase (decrease) in cash from changes in: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Receivables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16,399</w:t>
            </w:r>
          </w:p>
        </w:tc>
        <w:tc>
          <w:tcPr>
            <w:tcW w:w="60" w:type="dxa"/>
            <w:vAlign w:val="bottom"/>
            <w:shd w:val="clear" w:color="auto" w:fill="CCEEFF"/>
          </w:tcPr>
          <w:p>
            <w:pPr>
              <w:spacing w:after="0"/>
              <w:rPr>
                <w:sz w:val="18"/>
                <w:szCs w:val="18"/>
                <w:color w:val="auto"/>
              </w:rPr>
            </w:pPr>
          </w:p>
        </w:tc>
      </w:tr>
      <w:tr>
        <w:trPr>
          <w:trHeight w:val="216"/>
        </w:trPr>
        <w:tc>
          <w:tcPr>
            <w:tcW w:w="5380" w:type="dxa"/>
            <w:vAlign w:val="bottom"/>
          </w:tcPr>
          <w:p>
            <w:pPr>
              <w:ind w:left="880"/>
              <w:spacing w:after="0"/>
              <w:rPr>
                <w:sz w:val="20"/>
                <w:szCs w:val="20"/>
                <w:color w:val="auto"/>
              </w:rPr>
            </w:pPr>
            <w:r>
              <w:rPr>
                <w:rFonts w:ascii="Arial" w:cs="Arial" w:eastAsia="Arial" w:hAnsi="Arial"/>
                <w:sz w:val="18"/>
                <w:szCs w:val="18"/>
                <w:color w:val="auto"/>
              </w:rPr>
              <w:t>Inventories and prepaid expenses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(4,173)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(3,775)</w:t>
            </w:r>
          </w:p>
        </w:tc>
      </w:tr>
      <w:tr>
        <w:trPr>
          <w:trHeight w:val="216"/>
        </w:trPr>
        <w:tc>
          <w:tcPr>
            <w:tcW w:w="5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 accrued expenses and other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(20,283)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(20,325)</w:t>
            </w:r>
          </w:p>
        </w:tc>
      </w:tr>
      <w:tr>
        <w:trPr>
          <w:trHeight w:val="216"/>
        </w:trPr>
        <w:tc>
          <w:tcPr>
            <w:tcW w:w="5380" w:type="dxa"/>
            <w:vAlign w:val="bottom"/>
          </w:tcPr>
          <w:p>
            <w:pPr>
              <w:ind w:left="880"/>
              <w:spacing w:after="0"/>
              <w:rPr>
                <w:sz w:val="20"/>
                <w:szCs w:val="20"/>
                <w:color w:val="auto"/>
              </w:rPr>
            </w:pPr>
            <w:r>
              <w:rPr>
                <w:rFonts w:ascii="Arial" w:cs="Arial" w:eastAsia="Arial" w:hAnsi="Arial"/>
                <w:sz w:val="18"/>
                <w:szCs w:val="18"/>
                <w:color w:val="auto"/>
              </w:rPr>
              <w:t>Due to affiliates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(1,782)</w:t>
            </w:r>
          </w:p>
        </w:tc>
        <w:tc>
          <w:tcPr>
            <w:tcW w:w="12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(265)</w:t>
            </w: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3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172,562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172,871</w:t>
            </w:r>
          </w:p>
        </w:tc>
        <w:tc>
          <w:tcPr>
            <w:tcW w:w="60" w:type="dxa"/>
            <w:vAlign w:val="bottom"/>
            <w:shd w:val="clear" w:color="auto" w:fill="CCEEFF"/>
          </w:tcPr>
          <w:p>
            <w:pPr>
              <w:spacing w:after="0"/>
              <w:rPr>
                <w:sz w:val="18"/>
                <w:szCs w:val="18"/>
                <w:color w:val="auto"/>
              </w:rPr>
            </w:pP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 net of construction payables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(248,168)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(7,371)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(255,539)</w:t>
            </w: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Restricted cash and investments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133,298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23,619</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156,917</w:t>
            </w:r>
          </w:p>
        </w:tc>
        <w:tc>
          <w:tcPr>
            <w:tcW w:w="60" w:type="dxa"/>
            <w:vAlign w:val="bottom"/>
          </w:tcPr>
          <w:p>
            <w:pPr>
              <w:spacing w:after="0"/>
              <w:rPr>
                <w:sz w:val="18"/>
                <w:szCs w:val="18"/>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intangibles and other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(16,303)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(4,607)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(20,910)</w:t>
            </w: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Due to affiliates,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17,666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9,687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(24,775)</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2,578</w:t>
            </w:r>
          </w:p>
        </w:tc>
        <w:tc>
          <w:tcPr>
            <w:tcW w:w="60" w:type="dxa"/>
            <w:vAlign w:val="bottom"/>
          </w:tcPr>
          <w:p>
            <w:pPr>
              <w:spacing w:after="0"/>
              <w:rPr>
                <w:sz w:val="18"/>
                <w:szCs w:val="18"/>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(113,507)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(2,291)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(116,954)</w:t>
            </w: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Principal payments on long-term debt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(88,892)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(38,859)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(127,751)</w:t>
            </w:r>
          </w:p>
        </w:tc>
      </w:tr>
      <w:tr>
        <w:trPr>
          <w:trHeight w:val="223"/>
        </w:trPr>
        <w:tc>
          <w:tcPr>
            <w:tcW w:w="5380" w:type="dxa"/>
            <w:vAlign w:val="bottom"/>
          </w:tcPr>
          <w:p>
            <w:pPr>
              <w:ind w:left="440"/>
              <w:spacing w:after="0"/>
              <w:rPr>
                <w:sz w:val="20"/>
                <w:szCs w:val="20"/>
                <w:color w:val="auto"/>
              </w:rPr>
            </w:pPr>
            <w:r>
              <w:rPr>
                <w:rFonts w:ascii="Arial" w:cs="Arial" w:eastAsia="Arial" w:hAnsi="Arial"/>
                <w:sz w:val="18"/>
                <w:szCs w:val="18"/>
                <w:color w:val="auto"/>
              </w:rPr>
              <w:t>Proceeds from issuance of long-term debt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42,000</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42,000</w:t>
            </w:r>
          </w:p>
        </w:tc>
        <w:tc>
          <w:tcPr>
            <w:tcW w:w="60" w:type="dxa"/>
            <w:vAlign w:val="bottom"/>
          </w:tcPr>
          <w:p>
            <w:pPr>
              <w:spacing w:after="0"/>
              <w:rPr>
                <w:sz w:val="19"/>
                <w:szCs w:val="19"/>
                <w:color w:val="auto"/>
              </w:rPr>
            </w:pPr>
          </w:p>
        </w:tc>
      </w:tr>
      <w:tr>
        <w:trPr>
          <w:trHeight w:val="216"/>
        </w:trPr>
        <w:tc>
          <w:tcPr>
            <w:tcW w:w="5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(88,892)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3,141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(85,751)</w:t>
            </w: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(29,837)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(29,834)</w:t>
            </w: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93,825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93,820</w:t>
            </w:r>
          </w:p>
        </w:tc>
        <w:tc>
          <w:tcPr>
            <w:tcW w:w="60" w:type="dxa"/>
            <w:vAlign w:val="bottom"/>
          </w:tcPr>
          <w:p>
            <w:pPr>
              <w:spacing w:after="0"/>
              <w:rPr>
                <w:sz w:val="18"/>
                <w:szCs w:val="18"/>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period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63,986</w:t>
            </w:r>
          </w:p>
        </w:tc>
        <w:tc>
          <w:tcPr>
            <w:tcW w:w="60" w:type="dxa"/>
            <w:vAlign w:val="bottom"/>
            <w:shd w:val="clear" w:color="auto" w:fill="CCEEFF"/>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5380" w:type="dxa"/>
            <w:vAlign w:val="bottom"/>
          </w:tcPr>
          <w:p>
            <w:pPr>
              <w:spacing w:after="0"/>
              <w:rPr>
                <w:sz w:val="24"/>
                <w:szCs w:val="24"/>
                <w:color w:val="auto"/>
              </w:rPr>
            </w:pPr>
          </w:p>
        </w:tc>
        <w:tc>
          <w:tcPr>
            <w:tcW w:w="980" w:type="dxa"/>
            <w:vAlign w:val="bottom"/>
            <w:gridSpan w:val="3"/>
          </w:tcPr>
          <w:p>
            <w:pPr>
              <w:ind w:left="24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7"/>
              </w:rPr>
              <w:t>Guarantor</w:t>
            </w:r>
          </w:p>
        </w:tc>
        <w:tc>
          <w:tcPr>
            <w:tcW w:w="260" w:type="dxa"/>
            <w:vAlign w:val="bottom"/>
          </w:tcPr>
          <w:p>
            <w:pPr>
              <w:spacing w:after="0"/>
              <w:rPr>
                <w:sz w:val="12"/>
                <w:szCs w:val="12"/>
                <w:color w:val="auto"/>
              </w:rPr>
            </w:pPr>
          </w:p>
        </w:tc>
        <w:tc>
          <w:tcPr>
            <w:tcW w:w="10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guarantor</w:t>
            </w:r>
          </w:p>
        </w:tc>
        <w:tc>
          <w:tcPr>
            <w:tcW w:w="24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1"/>
              </w:rPr>
              <w:t>Issuers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income (loss)</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(2,892)</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1,088</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1,804</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Adjustments to reconcile net income (loss) to net cash provided by (used</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operating activities:</w:t>
            </w: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73,665</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76,568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3,657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w w:val="99"/>
              </w:rPr>
              <w:t>Amortization and writeoff of deferred financing costs and other</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6,527</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1,804</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(432)</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6,598</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7,325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(5,330)</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13,310</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13,034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(11,508)</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(37,132)</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(157)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w w:val="86"/>
              </w:rPr>
              <w:t>275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(37,014)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15,664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15,664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73,589</w:t>
            </w:r>
          </w:p>
        </w:tc>
        <w:tc>
          <w:tcPr>
            <w:tcW w:w="14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(178)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1,088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74,509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(50,099)</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(16,494)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(66,593)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9,087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Purchase of intangibles and other assets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(14,497)</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(14,511)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from affiliates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(27,532)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(83,041)</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(1,088)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(81,467)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(10,000)</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(2,479)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(12,479)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deferred financing costs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(10,159)</w:t>
            </w:r>
          </w:p>
        </w:tc>
        <w:tc>
          <w:tcPr>
            <w:tcW w:w="14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(2,479)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w w:val="86"/>
              </w:rPr>
              <w:t>(19,611)</w:t>
            </w:r>
          </w:p>
        </w:tc>
        <w:tc>
          <w:tcPr>
            <w:tcW w:w="14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color w:val="auto"/>
                <w:w w:val="89"/>
              </w:rPr>
              <w:t>(19,596)</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87,787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87,777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420"/>
              <w:spacing w:after="0"/>
              <w:rPr>
                <w:sz w:val="20"/>
                <w:szCs w:val="20"/>
                <w:color w:val="auto"/>
              </w:rPr>
            </w:pPr>
            <w:r>
              <w:rPr>
                <w:rFonts w:ascii="Arial" w:cs="Arial" w:eastAsia="Arial" w:hAnsi="Arial"/>
                <w:sz w:val="18"/>
                <w:szCs w:val="18"/>
                <w:color w:val="auto"/>
              </w:rPr>
              <w:t>Balance, end of period</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vMerge w:val="continue"/>
          </w:tcPr>
          <w:p>
            <w:pPr>
              <w:spacing w:after="0"/>
              <w:rPr>
                <w:sz w:val="19"/>
                <w:szCs w:val="19"/>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68,176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68,181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Las Vegas, LLC, a Nevada limited liability company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780" w:right="24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certain of our debt and equity offerings and borrowings under our Credit Facilities;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completion of Encore on time and within budget;</w:t>
      </w:r>
    </w:p>
    <w:p>
      <w:pPr>
        <w:spacing w:after="0" w:line="9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with anticipated cash flows generated at Wynn Las Vegas;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one property for all of our cash flow;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applications for licenses and approvals under applicable jurisdictional laws and regulations (including gaming laws and regulations);</w:t>
      </w:r>
    </w:p>
    <w:p>
      <w:pPr>
        <w:spacing w:after="0" w:line="113"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avian flu, or the impact of a natural disaster, such as the tsunami which struck southeast Asia in December 2004, may have on the travel and leisure industry;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w:t>
      </w:r>
    </w:p>
    <w:p>
      <w:pPr>
        <w:spacing w:after="0" w:line="1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In addition, on April 28, 2006, we commenced construction of Encore at Wynn Las Vegas (“Encore”), a hotel casino resort which, when completed, will be fully integrated with Wynn Las Vegas. Until the opening of Wynn Las Vegas in 2005, we were solely a development stage company.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90" w:lineRule="exact"/>
        <w:rPr>
          <w:sz w:val="20"/>
          <w:szCs w:val="20"/>
          <w:color w:val="auto"/>
        </w:rPr>
      </w:pPr>
    </w:p>
    <w:p>
      <w:pPr>
        <w:ind w:left="780" w:right="6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24-hour gaming and a full range of games, including private baccarat salons, a poker room, and a race and sports book;</w:t>
      </w:r>
    </w:p>
    <w:p>
      <w:pPr>
        <w:spacing w:after="0" w:line="5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 (In 2006, the Tower Suites at Wynn Las Vegas became the only casino resort in the world to receive both the Mobil Five Star and AAA Five Diamond distinctions);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22 food and beverage outlets featuring signature chefs, including the AAA Five Diamond and Mobil Five Star award-winning restaurant, Alex;</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Brioni, Chanel, Dior, Graff, Jean-Paul Gaultier, Louis Vuitton, and Manolo Blahnik;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showrooms, a nightclub and lounge entertainment.</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March 2007, we remodeled the Le Rêve Theatre to enhance the customer experience. The theatre went from 2,087 to 1,606 seats providing additional room for guests and a more intimate experience. The remodel effort lasted approximately 30 days from March 6, 2007 through April 4, 2007, during which time there were no performances of Le Rêve. Also, in March 2007, we commenced performances of “Monty Python’s Spamalot” in our Grail Theatre.</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Las Vegas Strip and approximately 18 additional acres across Sands Avenue, a portion of which is utilized for employee parking.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We are constructing Encore on approximately 20 acres on the Las Vegas Strip, immediately adjacent to Wynn Las Vegas. Encore’s current plans include a 2,034 all-suite hotel tower fully integrated with Wynn Las Vegas, an approximately 72,000 square foot casino, additional convention and meeting space, as well as restaurants, a nightclub, swimming pools, a spa and salon and retail outlets. We continue to refine the final design of Encore. Encore is expected to open in early 2009. Our project budget is currently estimated at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approximately $2.2 billion, consisting of approximately $2.1 billion for Encore and approximately $100 million for an employee parking garage on our Koval property, an associated pedestrian bridge and costs incurred in connection with the theatre remodeling and production of “Monty Python’s Spamalot” at Wynn Las Vegas, which opened in March 2007.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We currently rely solely upon the operations of Wynn Las Vegas for our operating cash flow. Concentration of our cash flow in one property exposes us to certain risks that competitors, whose operations are more diversified, may be better able to control. In addition to the concentration of operations in a single property, many of our customers are high-end gaming customers who wager on credit, thus exposing us to increased credit risk. High-end gaming also increases the potential for variability in our results.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recorded net income for the three and six months ended June 30, 2007 of $45.4 million and $82.9 million, respectively, which represents a $45.9 million increase and an $83.9 million increase, respectively, from the net losses incurred during the three and six month periods of 2006. These increases are due to a significant increase in revenues and operating income primarily related to our casino operations.</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Certain key operating statistics specific to the gaming industry are included in our discussions of the Company’s operational performance for the periods in which a condensed consolidated statement of operations is presented. Below are definitions of the statistics discussed:</w:t>
      </w:r>
    </w:p>
    <w:p>
      <w:pPr>
        <w:spacing w:after="0" w:line="51"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Drop is the amount of cash or net markers issued that are deposited in a gaming table’s drop box.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results for the three months ended June 30, 2007 compared to the three months ended June 30, 2006.</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Net revenues for the three months ended June 30, 2007 are comprised of $159.4 million in casino revenues (47.6% of total net revenues) and $175.8 million of net non-casino revenues (52.4% of total net revenues). Net revenues for the three months ended June 30, 2006 were comprised of $113.5 million in casino revenues (41.5% of total net revenues) and $160.1 million of net non-casino revenues (58.5% of total net revenues). We believe the quality of our resort’s non-casino amenities, combined with providing guests an unparalleled total resort experience, has driven a premium in ADR and other non-gaming revenues as well as increased the length of casino play.</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Casino revenues are comprised of the net win from our table games and slot machine operations. Casino revenues for the three months ended June 30, 2007 of approximately $159.4 million represent approximately a $45.9 million (or 40.4%) increase from casino revenues of $113.5 million for the three months ended June 30, 2006. During the three months ended June 30, 2007, we experienced a 20.5% increase in drop and the average table games win percentage (before discounts) of 24.2% was slightly above the expected range of 21% to 24%. Table games win percentage was 19.8% for the three months ended June 30, 2006. Slot handle at Wynn Las Vegas increased 7.6% during the three months ended June 30, 2007 as compared to 2006, and the slot win percentage was within the expected range of 4.5% to 5.5%.</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the three months ended June 30, 2007, room revenues were approximately $74.4 million, which represents a $5.2 million (or 7.6%) increase over the $69.2 million generated in the three months ended June 30, 2006. This increase is due to an increase in both occupancy and average daily rate as compared to the prior year. See the table below for key operating measures related to room revenue.</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49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9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83"/>
              </w:rPr>
              <w:t>2007</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2006</w:t>
            </w:r>
          </w:p>
        </w:tc>
        <w:tc>
          <w:tcPr>
            <w:tcW w:w="140" w:type="dxa"/>
            <w:vAlign w:val="bottom"/>
          </w:tcPr>
          <w:p>
            <w:pPr>
              <w:spacing w:after="0"/>
              <w:rPr>
                <w:sz w:val="12"/>
                <w:szCs w:val="12"/>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3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4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Occupancy</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97.0%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95.7%</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Other non-casino revenues for the three months ended June 30, 2007 include: food and beverage revenues of approximately $82.1 million, retail revenues of approximately $22.9 million, entertainment revenues of approximately $18.7 million, and other revenues from outlets, including the spa and salon, of approximately $13 million. Other non-gaming revenues for the three months ended June 30, 2006 included food and beverage revenues of approximately $77.7 million, retail revenues of approximately $19.3 million, entertainment revenues of approximately $17.1 million, and other revenues from outlets, including the spa and salon, of approximately $13.2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260" w:firstLine="456"/>
        <w:spacing w:after="0" w:line="314" w:lineRule="auto"/>
        <w:rPr>
          <w:sz w:val="20"/>
          <w:szCs w:val="20"/>
          <w:color w:val="auto"/>
        </w:rPr>
      </w:pPr>
      <w:r>
        <w:rPr>
          <w:rFonts w:ascii="Arial" w:cs="Arial" w:eastAsia="Arial" w:hAnsi="Arial"/>
          <w:sz w:val="15"/>
          <w:szCs w:val="15"/>
          <w:color w:val="auto"/>
        </w:rPr>
        <w:t>During the three months ended June 30, 2007, departmental expenses included casino expenses of $65.1 million, rooms expenses of $19.2 million, food and beverage expenses of $50.4 million, and entertainment, retail and other expenses of $37 million. Also included are general and administrative expenses of approximately $49.6 million and approximately $7.6 million charged as a provision for doubtful accounts receivable. During the three months ended June 30, 2006, departmental expenses included casino expenses of $57.9 million, room expenses of $18.1 million, food and beverage expenses of $49.4 million, and entertainment, retail and other expenses of $34.1 million. Also included are general and administrative expenses of approximately $44.2 million and approximately $3.7 million charged as a provision for doubtful accounts receivable. The increase in expenses is commensurate with the increase in revenues.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Since opening Wynn Las Vegas, management fees payable to Wynn Resorts for certain corporate management services have been charged and accrued at a rate equal to 1.5% of revenues. These fees will be paid upon meeting certain leverage ratios and satisfying certain other criteria set forth in our Credit Facilities. Management fees accrued for the quarter ended June 30, 2007 were $5 million, compared to $4.1 million for the quarter ended June 30, 2006.</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Pre-opening costs for the three months ended June 30, 2007 were $818,000 compared to $176,000 for the three months ended June 30, 2006. Pre-opening costs for the three months ended June 30, 2007 were incurred with the development of Encore. As Encore progresses, pre-opening costs related to this project will increase as opening approaches in 2009.</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Depreciation and amortization for the three months ended June 30, 2007 of $36.5 million decreased by $1.1 million when compared to the three months ended June 30, 2006, primarily due to the absence of accelerated amortization that was recorded in 2006 related to the termination of Avenue Q.</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Property charges and other for the three months ended June 30, 2007 was $597,000 compared to $2.4 million for the three months ended June 30, 2006. In response to our evaluation of Wynn Las Vegas and the reactions of our guests, we continue to make enhancements to the property. The costs relating to assets retired as a result of these enhancement and remodel efforts are expensed as property charges.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Interest income decreased by $2.6 million to $3.5 million for the three months ended June 30, 2007 compared to the three months ended June 30, 2006. This decrease is primarily due to reduced average restricted cash balances during the three months ended June 30, 2007 compared to the prior year’s quarter as a result of spending related to the development and construction of Encore.</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Interest expense, net of capitalized interest of $6.2 million, was $22 million for the three months ended June 30, 2007 compared to $30.8 million, net of capitalized interest of $1.1 million during the three months ended June 30, 2006. This decrease is due to lower average debt balances and lower interest rates as a result of the August 2006 bank refinancing and increased capitalized interest of $5.1 million due to the continuing construction costs of Encore. Capitalized interest continues to increase with the ongoing borrowings and construction costs related to Encore.</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interest rate swaps are accounted for in accordance with SFAS No. 133, “Accounting for Derivative Instruments and Hedging Activities”, as amended. The fair value of our interest rate swap is recorded as either an asset or liability. Changes in the fair value of our interest rate swaps are recorded as an increase (or decrease) to the swap fair value in each period. We recorded a gain of approximately $411,000 for the three months ended June 30, 2007 resulting from the increase in the fair value of our interest rate swap from March 31, 2007 to June 30, 2007. During the three months ended June 30, 2006 we recorded a gain of $2 million resulting from the increase in the fair value of interest rate swap between March 31, 2006 and June 30, 2006. For further information on our interest rate swaps, see Item 3 – “Quantitative and Qualitative Disclosures about Market Risk”.</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results for the six months ended June 30, 2007 compared to the six months ended June 30, 2006.</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Net revenues for the six months ended June 30, 2007 are comprised of $332.5 million in casino revenues (49.9% of total net revenues) and $333.6 million of net non-casino revenues (50.1% of total net revenues). Net revenues for the six months ended June 30, 2006 were comprised of $240.0 million in casino revenues (43.6% of total net revenues) and $310.9 million of net non-casino revenues (56.4% of total net revenues). We believe the quality of our resort’s non-casino amenities, combined with providing guests an unparalleled total resort experience, has driven a premium in ADR and other non-gaming revenues as well as increased the length of casino play.</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Casino revenues for the six months ended June 30, 2007 of approximately $332.5 million represent approximately a $92.4 million (or 38.5%) increase from casino revenues of $240 million for the six months ended June 30, 2006. During the six months ended June 30, 2007, we experienced a 16.3% increase in drop and an increase in the average table games win percentage compared to the first half of the prior year. The average table games win percentage (before discounts) of 25.9% was above the expected range of 21% to 24% for the six months ended June 30, 2007. For the six months ended June 30, 2006, our average table games win percentage (before discounts) was 19.8%. Slot handle at Wynn Las Vegas increased 4.5% during the six months ended June 30, 2007 as compared to June 30, 2006, and the slot win percentage was within the expected range of 4.5% to 5.5%.</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the six months ended June 30, 2007, room revenues were approximately $147.4 million, which represents a $10 million (or 7.3%) increase over the $137.4 million generated in the six months ended June 30, 2006. This increase is due to an increase in both occupancy and average daily rate as compared to the prior year. See the table below for key operating measures related to room revenue.</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7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87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82"/>
              </w:rPr>
              <w:t>June 30,</w:t>
            </w:r>
          </w:p>
        </w:tc>
        <w:tc>
          <w:tcPr>
            <w:tcW w:w="3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7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76"/>
              </w:rPr>
              <w:t>2006</w:t>
            </w:r>
          </w:p>
        </w:tc>
        <w:tc>
          <w:tcPr>
            <w:tcW w:w="140" w:type="dxa"/>
            <w:vAlign w:val="bottom"/>
          </w:tcPr>
          <w:p>
            <w:pPr>
              <w:spacing w:after="0"/>
              <w:rPr>
                <w:sz w:val="12"/>
                <w:szCs w:val="12"/>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$ 310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4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Occupancy</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96.6%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95.7%</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$ 300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Other non-casino revenues for the six months ended June 30, 2007 include: food and beverage revenues of approximately $159.5 million, retail revenues of approximately $44.3 million, entertainment revenues of approximately $29.6 million, and other revenues from outlets including the spa and salon, of approximately $25.7 million. Other non-gaming revenues for the six months ended June 30, 2006 included food and beverage revenues of approximately $152.3 million, retail revenues of approximately $36.5 million, entertainment revenues of approximately $37.5 million, and other revenues from outlets, including the spa and salon, of approximately $24.7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During the six months ended June 30, 2007, departmental expenses included casino expenses of $137.3 million, rooms expenses of $38.4 million, food and beverage expenses of $99 million, and entertainment, retail and other expenses of $69.1 million. Also included are general and administrative expenses of approximately $101.1 million and approximately $12.6 million charged as a provision for doubtful accounts receivable. During the six months ended June 30, 2006, departmental expenses included casino expenses of $121.2 million, room expenses of $35.1 million, food and beverage expenses of $94.2 million, and entertainment, retail and other expenses of $66.4 million. Also included are general and administrative expenses of approximately $86.4 million and approximately $6.6 million charged as a provision for doubtful accounts receivable. The increase in expenses is commensurate with the increase in revenues.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Since opening Wynn Las Vegas, management fees payable to Wynn Resorts for certain corporate management services have been charged and accrued at a rate equal to 1.5% of revenues. These fees will be paid upon meeting certain leverage ratios and satisfying certain other criteria set forth in our Credit Facilities. Management fees accrued for the six months ended June 30, 2007 were $10 million, compared to $8.3 million for the six months ended June 30, 2006.</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Pre-opening costs for the six months ended June 30, 2007 were $2.4 million compared to $194,000 for the six months ended June 30, 2006. Pre-opening costs for the six months ended June 30, 2007 were incurred with the opening of the new show “Monty Python’s Spamalot” and the development of Encore. As Encore progresses, pre-opening costs related to this project will increase as opening approaches in 2009.</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ind w:right="220" w:firstLine="456"/>
        <w:spacing w:after="0" w:line="332" w:lineRule="auto"/>
        <w:rPr>
          <w:sz w:val="20"/>
          <w:szCs w:val="20"/>
          <w:color w:val="auto"/>
        </w:rPr>
      </w:pPr>
      <w:r>
        <w:rPr>
          <w:rFonts w:ascii="Arial" w:cs="Arial" w:eastAsia="Arial" w:hAnsi="Arial"/>
          <w:sz w:val="16"/>
          <w:szCs w:val="16"/>
          <w:color w:val="auto"/>
        </w:rPr>
        <w:t>Depreciation and amortization for the six months ended June 30, 2007 of $72.6 million decreased by $4 million when compared to the six months ended June 30, 2006, primarily due to the reduced amortization of show production costs and rights with the cancellation of Avenue Q in May 2006.</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 termination fee</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February 2006, we agreed with the producers of Avenue Q to end their exclusive Las Vegas run at Wynn Las Vegas’ Broadway Theatre at the end of May 2006. To terminate the contract, we paid a termination fee of $5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Property charges and other for the six months ended June 30, 2007 of $1.7 million decreased by approximately $5.6 million when compared to the six months ended June 30, 2006.</w:t>
      </w:r>
    </w:p>
    <w:p>
      <w:pPr>
        <w:spacing w:after="0" w:line="132"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response to our evaluation of Wynn Las Vegas and the reactions of our guests, we continue to make enhancements to the property. The costs relating to assets retired as a result of these enhancement and remodel efforts are expensed as property charges. During the six months ended June 30, 2007, the $1.7 million incurred primarily related to enhancements we made to the Le Rêve theatre. The $7.3 million incurred in the first half of the prior year related to several projects including the remodeling of six North Fairway Villas, the remodel of a portion of the former baccarat area to feature a casino bar, improved public baccarat space, and private baccarat salons, the remodel of the area of the Wynn retail esplanade formerly occupied by the art gallery at Wynn Las Vegas and the opening of a retail shop dedicated exclusively to selling Rolex watches and a men’s accessories store, and certain enhancements to our spa and salon and certain other areas.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Interest income decreased by $4.5 million to $7.6 million for the six months ended June 30, 2007 compared to the six months ended June 30, 2006. This decrease is primarily due to reduced average restricted cash balances during the six months ended June 30, 2007 compared to the first half of the prior year as a result of spending related to the development and construction of Encore.</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Interest expense, net of capitalized interest of $10.6 million, was $46.4 million for the six months ended June 30, 2007 compared to $62.8 million net of capitalized interest of $1.4 million during the six months ended June 30, 2006. This decrease is due to lower average debt balances and lower interest rates as a result of the August 2006 bank refinancing and increased capitalized interest of $9.2 million due to the continuing construction costs of Encore. Capitalized interest continues to increase with the ongoing borrowings and construction costs related to Encore.</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interest rate swaps are accounted for in accordance with SFAS No. 133, “Accounting for Derivative Instruments and Hedging Activities”, as amended. The fair value of our interest rate swap is recorded as either an asset or liability. Changes in the fair value of our interest rate swaps are recorded as an increase (or decrease) in the swap fair value in each period. We recorded an expense of approximately $588,000 for the six months ended June 30, 2007 resulting from the decrease in the fair value of our interest rate swap from December 31, 2006 to June 30, 2007. During the six months ended June 30, 2006 we recorded a gain of $5.3 million resulting from the increase in the fair value of interest rate swap between December 31, 2005 and June 30, 2006. For further information on our interest rate swaps, see Item 3 – “Quantitative and Qualitative Disclosures about Market Risk”.</w:t>
      </w:r>
    </w:p>
    <w:p>
      <w:pPr>
        <w:spacing w:after="0" w:line="195" w:lineRule="exact"/>
        <w:rPr>
          <w:sz w:val="20"/>
          <w:szCs w:val="20"/>
          <w:color w:val="auto"/>
        </w:rPr>
      </w:pPr>
    </w:p>
    <w:p>
      <w:pPr>
        <w:jc w:val="center"/>
        <w:ind w:right="896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6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operating cash flows are primarily affected by our operating income generated by Wynn Las Vegas, interest paid, and non-cash charges included in operating income. Net cash provided by operations for the six months ended June 30, 2007 was $172.9 million compared to $74.5 million provided by operations for the six months ended June 30, 2006. This increase is due to the increase in operating income as a result of improved overall operational results especially in the casino department.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require a certain amount of cash on hand for operations. As of June 30, 2007, we had approximately $64 million of cash and cash equivalents available for new development activities, general corporate purposes, enhancements to Wynn Las Vegas, and to support the development and construction of Encore. As of June 30, 2007, we had approximately $40.6 million in cash and investments from the proceeds of our debt and equity financings, which is restricted for the following:</w:t>
      </w:r>
    </w:p>
    <w:p>
      <w:pPr>
        <w:spacing w:after="0" w:line="62"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Construction, development and pre-opening expenses of Encore;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$30 million restricted for the Encore completion guarantee.</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Cash equivalents include investments in overnight money market funds. Restricted investments are kept in money market funds or relatively short-term, government-backed, marketable debt securities as required by agreements governing our debt facilities.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April 28, 2006, we commenced construction on Encore. We expect to open Encore to the public in early 2009. Design and construction is progressing as expected at Encore. Current construction activities in the various project sections include the following:</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high-rise concrete pours have been completed through the 38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deck.</w:t>
      </w:r>
    </w:p>
    <w:p>
      <w:pPr>
        <w:spacing w:after="0" w:line="71"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drywall, mechanical, electrical and plumbing rough-in is completed up to the 10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and framing is completed up to the 19</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w:t>
      </w:r>
    </w:p>
    <w:p>
      <w:pPr>
        <w:spacing w:after="0" w:line="56" w:lineRule="exact"/>
        <w:rPr>
          <w:rFonts w:ascii="Arial" w:cs="Arial" w:eastAsia="Arial" w:hAnsi="Arial"/>
          <w:sz w:val="17"/>
          <w:szCs w:val="17"/>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Exterior glass installation is complete up to the 26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3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low-rise casino concrete pours are complete.</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valet under the parking area has been poured and the columns and footings for the back of house basement are substantially complete.</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structural steel in the meeting rooms and the structural slab beneath the pool decks is in process.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Concrete has been poured for all 10 levels in the employee parking garage and the 10-level guest self park garage is substantially complete.</w:t>
      </w:r>
    </w:p>
    <w:p>
      <w:pPr>
        <w:spacing w:after="0" w:line="19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project budget is currently estimated at approximately $2.2 billion, consisting of approximately $2.1 billion for Encore and approximately $100 million for an employee parking garage on our Koval property, an associated pedestrian bridge and costs incurred in connection with the theatre remodeling and production of “Monty Python’s Spamalot” at Wynn Las Vegas. The project is being funded from our existing Credit Facilities and operating cash flow from Wynn Las Vegas. To the extent additional funds are required, we will provide these amounts with additional debt and equity contributions from Wynn Resorts or additional indebtedness to be incurred by Wynn Las Vegas.</w:t>
      </w:r>
    </w:p>
    <w:p>
      <w:pPr>
        <w:spacing w:after="0" w:line="143"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On February 27, 2007, we entered into a Design Build Architectural, Engineering and Construction Services Agreement (the “Contract”) with Tutor-Saliba Corporation (“Tutor”) for the design and construction of Encore. The Contract sets forth all of the terms and conditions pursuant to which Tutor will design and construct Encore. In June 2007, we executed the First Amendment to the Contract which set the guaranteed maximum price for construction work covered by the Contract at $1.3 billion.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 As of June 30, 2007, we incurred approximately $567 million of project costs related to the development and construction of Encore and related capital improvements.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ongoing costs of Encore will be paid with funds from the following sources and in the following order of priority:</w:t>
      </w:r>
    </w:p>
    <w:p>
      <w:pPr>
        <w:spacing w:after="0" w:line="90" w:lineRule="exact"/>
        <w:rPr>
          <w:sz w:val="20"/>
          <w:szCs w:val="20"/>
          <w:color w:val="auto"/>
        </w:rPr>
      </w:pPr>
    </w:p>
    <w:p>
      <w:pPr>
        <w:ind w:left="780" w:right="4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First, by using agreed amounts of excess cash flow from the operations of Wynn Las Vegas and any debt or equity contributions from Wynn Resorts or proceeds of additional debt financing at Wynn Las Vegas;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Second, by using the proceeds of borrowings under the Wynn Las Vegas Credit Facilities;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Third, by using the funds from the completion guarantee deposit account.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response to our evaluation of Wynn Las Vegas and the reaction of our guests, we continue to make certain enhancements and refinements to the property. As a result, we have incurred and will continue to incur capital expenditures relating to these enhancements and refinements. Under the terms of the Wynn Las Vegas Credit Facilities, we are permitted to make up to $172.2 million of capital expenditures in 2007, of which we have expended approximately $23.8 million through June 30, 2007. The spending limit may be increased to the extent funds are contributed to Wynn Las Vegas by Wynn Resorts, Limited.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and Encore</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June 30, 2007, our Credit Facilities consist of a $900 million revolving credit facility (the “Revolver”) and $225 million term loan facility (the “Term Loan”).</w:t>
      </w:r>
    </w:p>
    <w:p>
      <w:pPr>
        <w:spacing w:after="0" w:line="13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For borrowings under the Term Loan we have elected, and expect to continue to elect, Eurodollar loans which bear interest at the 1-month LIBOR rate and include a margin of 1.875% on that outstanding balance. We have a $200 million notional amount interest rate swap to essentially fix the interest on $200 million of this Term Loan. (For further information, see Item 3. “Quantitative and Qualitative Discussions about Market Risk”.)</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June 30, 2007, there are no borrowings outstanding under the Revolver. Consequently, $900 million remains available under the Revolver for future borrowings for the construction of Encore or for other uses as necessary. For borrowings under the Revolver, we have elected, and expect to continue to elect, Eurodollar loans, which bear interest at the 1-month LIBOR rate and currently include a margin of 1.625% on the outstanding balance. After opening Encore, the margin will fluctuate between a range of 1.0% to 1.75%, depending on our leverage ratio. In addition to interest, we also pay quarterly in arrears, an annual rate of 0.375% on the daily average of unborrowed availability under the Revolver. After the opening of Encore, the annual fee that we will be required to pay for unborrowed availability under the Revolver will be based on our leverage ratio and will range from an annual rate of 0.25% to 0.50%.</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$900 million Revolver will terminate and be payable in full on August 15, 2011. The Term Loan will mature in two installments: $112.5 million will be payable on September 30, 2012 and the remaining $112.5 million will be payable on August 15, 2013.</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April 2007, we amended our Credit Facilities to: (a) have the Final Completion as defined, be deemed satisfied for Wynn Las Vegas with the resulting release of (i) all amounts in excess of $30 million, which amount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must remain for Encore, from the Completion Guaranty Deposit; ($24.6 million), and (ii) the balance of funds in the Project Liquidity Reserve Account ($32.8 million), (b) increase the permitted expenditures for Encore from $300 million to $500 million prior to the execution of a guaranteed maximum price contract, and (c) permit the issuance of up to $500 million of unsecured debt as and when permitted under the indenture governing the First Mortgage Notes.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$44.75 Million Note Payable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March 30, 2007, World Travel, LLC, a subsidiary of Wynn Las Vegas, refinanced the $44.75 million note payable. The new loan has a principal balance of $42 million and is due April 1, 2017. The loan is guaranteed by Wynn Las Vegas, LLC and secured by a first priority security interest in one of our two aircraft. Principal and interest are due quarterly with a balloon payment of $28 million due at maturity. Interest is calculated at the 90-day LIBOR rate plus 125 basis points. In connection with this transaction, we incurred a loss from extinguishment of debt of $157,000 related to the write-off of unamortized debt issue costs associated with the original loan.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90" w:lineRule="exact"/>
        <w:rPr>
          <w:sz w:val="20"/>
          <w:szCs w:val="20"/>
          <w:color w:val="auto"/>
        </w:rPr>
      </w:pPr>
    </w:p>
    <w:p>
      <w:pPr>
        <w:jc w:val="both"/>
        <w:ind w:right="540" w:firstLine="456"/>
        <w:spacing w:after="0" w:line="306" w:lineRule="auto"/>
        <w:rPr>
          <w:sz w:val="20"/>
          <w:szCs w:val="20"/>
          <w:color w:val="auto"/>
        </w:rPr>
      </w:pPr>
      <w:r>
        <w:rPr>
          <w:rFonts w:ascii="Arial" w:cs="Arial" w:eastAsia="Arial" w:hAnsi="Arial"/>
          <w:sz w:val="16"/>
          <w:szCs w:val="16"/>
          <w:color w:val="auto"/>
        </w:rPr>
        <w:t>There have been no material changes during the six months ended June 30, 2007 to our contractual obligations or off-balance sheet arrangements as disclosed in our Annual Report on Form 10-K for the year ended December 31, 2006. However, in June 2007, we amended our Contract with Tutor for the construction of Encore which set the guaranteed maximum price for construction work covered by the Contract at $1.3 billion.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We are restricted under the indenture governing the First Mortgage Notes from making certain “restricted payments” as defined in the indenture. These restricted payments include the payments of dividends or distributions to any direct or indirect holders of equity interests of Wynn Las Vegas, LLC. These restricted payments may not be made until Wynn Las Vegas has been completed and certain other financial and non-financial criteria have been satisfied. In addition, the Credit Facilities contain similar restrictions.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If completion of Encore is delayed, then our debt service obligations accruing prior to the actual opening will increase correspondingly. We intend to fund our operations and capital requirements from operating cash flow and remaining availability under our Credit Facilities. We cannot assure you, however, that Wynn Las Vegas will generate sufficient cash flow from operations or that future borrowings available to us under the Credit Facilities will be sufficient to enable us to service and repay Wynn Las Vegas, LLC’s indebtedness and to fund its other liquidity needs. We may refinance all or a portion of our indebtedness on or before maturity. We cannot assure you that we will be able to refinance any of the indebtedness on acceptable terms.</w:t>
      </w:r>
    </w:p>
    <w:p>
      <w:pPr>
        <w:spacing w:after="0" w:line="1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2006. Other than some additional information related to the allowance for estimated doubtful accounts receivable below, there have been no material change to these policies for the six months ended June 30, 2007.</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 substantial portion of our outstanding receivables relates to casino credit play. Credit play, through the issuance of markers, represents a significant portion of the table games volume at Wynn Las Vegas. We maintain strict controls over the issuance of credit and aggressively pursue collection from those customers who fail to pay their balances in a timely fashion.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 some foreign countries, but the United States assets of foreign customers may be used to satisfy judgments entered in the United States. As of June 30, 2007 and December 31, 2006, approximately 50% and 55%, respectively, of our casino accounts receivable were owed by customers from foreign countries, primarily in Asia. The collectibility of markers given by foreign customers is affected by a number of factors including changes in currency exchange rates and economic conditions in the customers’ home countries.</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regularly evaluate our reserve for bad debts based on a specific review of customer accounts as well as management’s prior experience with collection trends in the casino industry and current economic and business conditions.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key statistics related to our casino accounts receivables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9"/>
              </w:rPr>
              <w:t>June 30,</w:t>
            </w:r>
          </w:p>
        </w:tc>
        <w:tc>
          <w:tcPr>
            <w:tcW w:w="3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8140" w:type="dxa"/>
            <w:vAlign w:val="bottom"/>
          </w:tcPr>
          <w:p>
            <w:pPr>
              <w:spacing w:after="0"/>
              <w:rPr>
                <w:sz w:val="15"/>
                <w:szCs w:val="15"/>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r>
      <w:tr>
        <w:trPr>
          <w:trHeight w:val="210"/>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Casino accounts receivables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$107,144</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133,985</w:t>
            </w:r>
          </w:p>
        </w:tc>
        <w:tc>
          <w:tcPr>
            <w:tcW w:w="14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680" w:type="dxa"/>
            <w:vAlign w:val="bottom"/>
          </w:tcPr>
          <w:p>
            <w:pPr>
              <w:jc w:val="right"/>
              <w:spacing w:after="0"/>
              <w:rPr>
                <w:sz w:val="20"/>
                <w:szCs w:val="20"/>
                <w:color w:val="auto"/>
              </w:rPr>
            </w:pPr>
            <w:r>
              <w:rPr>
                <w:rFonts w:ascii="Arial" w:cs="Arial" w:eastAsia="Arial" w:hAnsi="Arial"/>
                <w:sz w:val="18"/>
                <w:szCs w:val="18"/>
                <w:color w:val="auto"/>
              </w:rPr>
              <w:t>45,141</w:t>
            </w:r>
          </w:p>
        </w:tc>
        <w:tc>
          <w:tcPr>
            <w:tcW w:w="44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34,683</w:t>
            </w:r>
          </w:p>
        </w:tc>
        <w:tc>
          <w:tcPr>
            <w:tcW w:w="140" w:type="dxa"/>
            <w:vAlign w:val="bottom"/>
          </w:tcPr>
          <w:p>
            <w:pPr>
              <w:spacing w:after="0"/>
              <w:rPr>
                <w:sz w:val="18"/>
                <w:szCs w:val="18"/>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22"/>
        </w:trPr>
        <w:tc>
          <w:tcPr>
            <w:tcW w:w="8140" w:type="dxa"/>
            <w:vAlign w:val="bottom"/>
          </w:tcPr>
          <w:p>
            <w:pPr>
              <w:spacing w:after="0"/>
              <w:rPr>
                <w:sz w:val="20"/>
                <w:szCs w:val="20"/>
                <w:color w:val="auto"/>
              </w:rPr>
            </w:pPr>
            <w:r>
              <w:rPr>
                <w:rFonts w:ascii="Arial" w:cs="Arial" w:eastAsia="Arial" w:hAnsi="Arial"/>
                <w:sz w:val="18"/>
                <w:szCs w:val="18"/>
                <w:color w:val="auto"/>
              </w:rPr>
              <w:t>Percentage of casino accounts receivable outstanding over 180 days</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28.4%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15.4%</w:t>
            </w:r>
          </w:p>
        </w:tc>
      </w:tr>
    </w:tbl>
    <w:p>
      <w:pPr>
        <w:spacing w:after="0" w:line="14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increase in the allowance for doubtful accounts as a percentage of casino accounts receivable is due to a normal increase in casino accounts receivable outstanding over 180 days. While collection efforts remain active, it is our current policy to fully reserve all accounts over one year old. As our customer payment experience evolves, we will continue to refine our estimated reserve for bad debts. Accordingly, the associated provision for doubtful accounts charge may fluctuate. Because individual customer account balances can be significant, the reserve and the provision can change significantly between periods, as information about a certain customer becomes known or as changes in a region’s economy or legal system occur.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June 2006, the FASB issued Interpretation No. 48 (“FIN 48”) “Accounting for Uncertainty in Income Taxes”. This interpretation clarifies the accounting for uncertainty in income taxes recognized in a company’s financial statements in accordance with SFAS No. 109, “Accounting for Income Taxes”. The interpretation provides guidance on classification, interest and penalties, accounting in interim periods, disclosure, and translation. This interpretation is effective for fiscal years beginning after December 15, 2006. Since the Company is a pass-through entity for tax purposes, the adoption of this statement, effective January 1, 2007, did not have an impact on the Company’s condensed consolidated financial statements.</w:t>
      </w:r>
    </w:p>
    <w:p>
      <w:pPr>
        <w:spacing w:after="0" w:line="11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In September 2006, the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We have not yet determined the impact this statement will have on our consolidated financial statements after it is adopted on January 1, 2008.</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Our primary exposure to market risk is interest rate risk associated with our debt facilities that bear interest based on floating rates. We attempt to manage interest rate risk by managing the mix of long-term fixed 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of June 30, 2007, we have one interest rate swap arrangement to hedge the underlying interest rate risk on a total of $200 million of borrowings under the Term Loan, which bears interest at LIBOR plus 1.875%. Under this interest rate swap arrangement, we receive payments at a variable rate of LIBOR and pay a fixed rate of 3.793% on the $200 million notional amount which expires on December 31, 2008. Although this interest rate swap is highly effective economically in fixing the interest rate on this borrowing under the Term Loan at approximately 5.7%, changes in fair value of our interest rate swap for each reporting period are, and will continue to be, recorded as an increase/(decrease) in swap fair value as the swap does not qualify for hedge accounting.</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June 30, 2007 and December 31, 2006, our interest rate swap had an approximate asset fair value of $4.2 million and $4.8 million, respectively. The fair value approximates the amount we would receive if this contract were settled at the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2007, approximately 96% of our long-term debt was based on fixed rates, including the notional amount related to our interest rate swap.</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Based on our borrowings as of June 30, 2007, an assumed 1% change in variable rates would cause our annual interest cost to change by approximately $670,000.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80" w:firstLine="464"/>
        <w:spacing w:after="0" w:line="286" w:lineRule="auto"/>
        <w:tabs>
          <w:tab w:leader="none" w:pos="695"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64"/>
        <w:spacing w:after="0" w:line="259"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six months ended June 30, 2007 to which this report relates that have materially affected, or are reasonably likely to materially affect, the Company’s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 description of our risk factors can be found in Item IA of our Annual Report on Form 10-K for the year ended December 31, 2006. There were no material changes to those risk factors during the six months ended June 30,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right="400" w:firstLine="456"/>
        <w:spacing w:after="0" w:line="255" w:lineRule="auto"/>
        <w:rPr>
          <w:sz w:val="20"/>
          <w:szCs w:val="20"/>
          <w:color w:val="auto"/>
        </w:rPr>
      </w:pPr>
      <w:r>
        <w:rPr>
          <w:rFonts w:ascii="Arial" w:cs="Arial" w:eastAsia="Arial" w:hAnsi="Arial"/>
          <w:sz w:val="18"/>
          <w:szCs w:val="18"/>
          <w:color w:val="auto"/>
        </w:rPr>
        <w:t>Restrictions imposed by our debt instruments significantly restrict us, subject to certain exceptions for payment of allocable corporate overhead, from declaring or paying dividends or distributions. Specifically, we are restricted under the indenture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 In addition, our Credit Facilities contain similar restrictions.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80" w:type="dxa"/>
            <w:vAlign w:val="bottom"/>
          </w:tcPr>
          <w:p>
            <w:pPr>
              <w:ind w:left="350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880" w:type="dxa"/>
            <w:vAlign w:val="bottom"/>
          </w:tcPr>
          <w:p>
            <w:pPr>
              <w:spacing w:after="0"/>
              <w:rPr>
                <w:sz w:val="24"/>
                <w:szCs w:val="24"/>
                <w:color w:val="auto"/>
              </w:rPr>
            </w:pPr>
          </w:p>
        </w:tc>
        <w:tc>
          <w:tcPr>
            <w:tcW w:w="9880" w:type="dxa"/>
            <w:vAlign w:val="bottom"/>
            <w:tcBorders>
              <w:bottom w:val="single" w:sz="8" w:color="auto"/>
            </w:tcBorders>
          </w:tcPr>
          <w:p>
            <w:pPr>
              <w:ind w:left="4620"/>
              <w:spacing w:after="0"/>
              <w:rPr>
                <w:sz w:val="20"/>
                <w:szCs w:val="20"/>
                <w:color w:val="auto"/>
              </w:rPr>
            </w:pPr>
            <w:r>
              <w:rPr>
                <w:rFonts w:ascii="Arial" w:cs="Arial" w:eastAsia="Arial" w:hAnsi="Arial"/>
                <w:sz w:val="14"/>
                <w:szCs w:val="14"/>
                <w:b w:val="1"/>
                <w:bCs w:val="1"/>
                <w:color w:val="auto"/>
              </w:rPr>
              <w:t>Description</w:t>
            </w:r>
          </w:p>
        </w:tc>
      </w:tr>
      <w:tr>
        <w:trPr>
          <w:trHeight w:val="282"/>
        </w:trPr>
        <w:tc>
          <w:tcPr>
            <w:tcW w:w="660" w:type="dxa"/>
            <w:vAlign w:val="bottom"/>
          </w:tcPr>
          <w:p>
            <w:pPr>
              <w:jc w:val="right"/>
              <w:ind w:right="175"/>
              <w:spacing w:after="0"/>
              <w:rPr>
                <w:sz w:val="20"/>
                <w:szCs w:val="20"/>
                <w:color w:val="auto"/>
              </w:rPr>
            </w:pPr>
            <w:r>
              <w:rPr>
                <w:rFonts w:ascii="Arial" w:cs="Arial" w:eastAsia="Arial" w:hAnsi="Arial"/>
                <w:sz w:val="18"/>
                <w:szCs w:val="18"/>
                <w:color w:val="auto"/>
              </w:rPr>
              <w:t>3.1</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284"/>
        </w:trPr>
        <w:tc>
          <w:tcPr>
            <w:tcW w:w="660" w:type="dxa"/>
            <w:vAlign w:val="bottom"/>
          </w:tcPr>
          <w:p>
            <w:pPr>
              <w:jc w:val="right"/>
              <w:ind w:right="175"/>
              <w:spacing w:after="0"/>
              <w:rPr>
                <w:sz w:val="20"/>
                <w:szCs w:val="20"/>
                <w:color w:val="auto"/>
              </w:rPr>
            </w:pPr>
            <w:r>
              <w:rPr>
                <w:rFonts w:ascii="Arial" w:cs="Arial" w:eastAsia="Arial" w:hAnsi="Arial"/>
                <w:sz w:val="18"/>
                <w:szCs w:val="18"/>
                <w:color w:val="auto"/>
              </w:rPr>
              <w:t>3.2</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277"/>
        </w:trPr>
        <w:tc>
          <w:tcPr>
            <w:tcW w:w="660" w:type="dxa"/>
            <w:vAlign w:val="bottom"/>
          </w:tcPr>
          <w:p>
            <w:pPr>
              <w:jc w:val="right"/>
              <w:ind w:right="175"/>
              <w:spacing w:after="0"/>
              <w:rPr>
                <w:sz w:val="20"/>
                <w:szCs w:val="20"/>
                <w:color w:val="auto"/>
              </w:rPr>
            </w:pPr>
            <w:r>
              <w:rPr>
                <w:rFonts w:ascii="Arial" w:cs="Arial" w:eastAsia="Arial" w:hAnsi="Arial"/>
                <w:sz w:val="18"/>
                <w:szCs w:val="18"/>
                <w:color w:val="auto"/>
                <w:w w:val="90"/>
              </w:rPr>
              <w:t>*10.1</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w w:val="89"/>
              </w:rPr>
              <w:t>First Amendment to Amended and Restated Credit Agreement dated April 9, 2007 among Wynn Las Vegas, LLC, Wynn Las Vegas Capital</w:t>
            </w:r>
          </w:p>
        </w:tc>
      </w:tr>
      <w:tr>
        <w:trPr>
          <w:trHeight w:val="216"/>
        </w:trPr>
        <w:tc>
          <w:tcPr>
            <w:tcW w:w="660" w:type="dxa"/>
            <w:vAlign w:val="bottom"/>
          </w:tcPr>
          <w:p>
            <w:pPr>
              <w:spacing w:after="0"/>
              <w:rPr>
                <w:sz w:val="18"/>
                <w:szCs w:val="18"/>
                <w:color w:val="auto"/>
              </w:rPr>
            </w:pP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w w:val="93"/>
              </w:rPr>
              <w:t>Corp., Wynn Show Performers, LLC, Wynn Golf, LLC, Wynn Sunrise, LLC, World Travel, LLC, Kevyn, LLC, Las Vegas Jet, LLC, and</w:t>
            </w:r>
          </w:p>
        </w:tc>
      </w:tr>
      <w:tr>
        <w:trPr>
          <w:trHeight w:val="216"/>
        </w:trPr>
        <w:tc>
          <w:tcPr>
            <w:tcW w:w="660" w:type="dxa"/>
            <w:vAlign w:val="bottom"/>
          </w:tcPr>
          <w:p>
            <w:pPr>
              <w:spacing w:after="0"/>
              <w:rPr>
                <w:sz w:val="18"/>
                <w:szCs w:val="18"/>
                <w:color w:val="auto"/>
              </w:rPr>
            </w:pP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w w:val="89"/>
              </w:rPr>
              <w:t>Deutsche Bank Trust Company Americas, as Administrative Agent on behalf of the several banks and other financial institutions or entities</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rPr>
              <w:t>from time to time party to Wynn Las Vegas LLC’s Amended and Restated Credit Agreement, dated as of August 15, 2006.</w:t>
            </w:r>
          </w:p>
        </w:tc>
      </w:tr>
      <w:tr>
        <w:trPr>
          <w:trHeight w:val="277"/>
        </w:trPr>
        <w:tc>
          <w:tcPr>
            <w:tcW w:w="660" w:type="dxa"/>
            <w:vAlign w:val="bottom"/>
          </w:tcPr>
          <w:p>
            <w:pPr>
              <w:jc w:val="right"/>
              <w:ind w:right="175"/>
              <w:spacing w:after="0"/>
              <w:rPr>
                <w:sz w:val="20"/>
                <w:szCs w:val="20"/>
                <w:color w:val="auto"/>
              </w:rPr>
            </w:pPr>
            <w:r>
              <w:rPr>
                <w:rFonts w:ascii="Arial" w:cs="Arial" w:eastAsia="Arial" w:hAnsi="Arial"/>
                <w:sz w:val="18"/>
                <w:szCs w:val="18"/>
                <w:color w:val="auto"/>
                <w:w w:val="90"/>
              </w:rPr>
              <w:t>*10.2</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w w:val="90"/>
              </w:rPr>
              <w:t>Fifth Amendment to Master Disbursement Agreement, dated as of April 9, 2007 among Wynn Las Vegas, LLC and Deutsche Bank Trust</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rPr>
              <w:t>Company Americas.</w:t>
            </w:r>
          </w:p>
        </w:tc>
      </w:tr>
      <w:tr>
        <w:trPr>
          <w:trHeight w:val="284"/>
        </w:trPr>
        <w:tc>
          <w:tcPr>
            <w:tcW w:w="660" w:type="dxa"/>
            <w:vAlign w:val="bottom"/>
          </w:tcPr>
          <w:p>
            <w:pPr>
              <w:jc w:val="right"/>
              <w:ind w:right="175"/>
              <w:spacing w:after="0"/>
              <w:rPr>
                <w:sz w:val="20"/>
                <w:szCs w:val="20"/>
                <w:color w:val="auto"/>
              </w:rPr>
            </w:pPr>
            <w:r>
              <w:rPr>
                <w:rFonts w:ascii="Arial" w:cs="Arial" w:eastAsia="Arial" w:hAnsi="Arial"/>
                <w:sz w:val="18"/>
                <w:szCs w:val="18"/>
                <w:color w:val="auto"/>
                <w:w w:val="90"/>
              </w:rPr>
              <w:t>*31.1</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rPr>
              <w:t>Certification of Chief Executive Officer of Periodic Report Pursuant to Rule 13a – 14(a) and Rule 15d – 14(a).</w:t>
            </w:r>
          </w:p>
        </w:tc>
      </w:tr>
      <w:tr>
        <w:trPr>
          <w:trHeight w:val="284"/>
        </w:trPr>
        <w:tc>
          <w:tcPr>
            <w:tcW w:w="660" w:type="dxa"/>
            <w:vAlign w:val="bottom"/>
          </w:tcPr>
          <w:p>
            <w:pPr>
              <w:jc w:val="right"/>
              <w:ind w:right="175"/>
              <w:spacing w:after="0"/>
              <w:rPr>
                <w:sz w:val="20"/>
                <w:szCs w:val="20"/>
                <w:color w:val="auto"/>
              </w:rPr>
            </w:pPr>
            <w:r>
              <w:rPr>
                <w:rFonts w:ascii="Arial" w:cs="Arial" w:eastAsia="Arial" w:hAnsi="Arial"/>
                <w:sz w:val="18"/>
                <w:szCs w:val="18"/>
                <w:color w:val="auto"/>
                <w:w w:val="90"/>
              </w:rPr>
              <w:t>*31.2</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rPr>
              <w:t>Certification of Chief Financial Officer of Periodic Report Pursuant to Rule 13a – 14(a) and Rule 15d – 14(a).</w:t>
            </w:r>
          </w:p>
        </w:tc>
      </w:tr>
      <w:tr>
        <w:trPr>
          <w:trHeight w:val="284"/>
        </w:trPr>
        <w:tc>
          <w:tcPr>
            <w:tcW w:w="660" w:type="dxa"/>
            <w:vAlign w:val="bottom"/>
          </w:tcPr>
          <w:p>
            <w:pPr>
              <w:jc w:val="right"/>
              <w:ind w:right="175"/>
              <w:spacing w:after="0"/>
              <w:rPr>
                <w:sz w:val="20"/>
                <w:szCs w:val="20"/>
                <w:color w:val="auto"/>
              </w:rPr>
            </w:pPr>
            <w:r>
              <w:rPr>
                <w:rFonts w:ascii="Arial" w:cs="Arial" w:eastAsia="Arial" w:hAnsi="Arial"/>
                <w:sz w:val="18"/>
                <w:szCs w:val="18"/>
                <w:color w:val="auto"/>
                <w:w w:val="90"/>
              </w:rPr>
              <w:t>*32.1</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364"/>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right="20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filed by the Registrant on April 13, 2005 (File No. 333-124052) and incorporated herein by reference.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WYNN LAS VEGAS</w:t>
      </w:r>
    </w:p>
    <w:p>
      <w:pPr>
        <w:spacing w:after="0" w:line="231" w:lineRule="exact"/>
        <w:rPr>
          <w:sz w:val="20"/>
          <w:szCs w:val="20"/>
          <w:color w:val="auto"/>
        </w:rPr>
      </w:pPr>
    </w:p>
    <w:p>
      <w:pPr>
        <w:spacing w:after="0"/>
        <w:tabs>
          <w:tab w:leader="none" w:pos="5480" w:val="left"/>
          <w:tab w:leader="none" w:pos="7920" w:val="left"/>
          <w:tab w:leader="none" w:pos="8260" w:val="left"/>
        </w:tabs>
        <w:rPr>
          <w:sz w:val="20"/>
          <w:szCs w:val="20"/>
          <w:color w:val="auto"/>
        </w:rPr>
      </w:pPr>
      <w:r>
        <w:rPr>
          <w:rFonts w:ascii="Arial" w:cs="Arial" w:eastAsia="Arial" w:hAnsi="Arial"/>
          <w:sz w:val="18"/>
          <w:szCs w:val="18"/>
          <w:color w:val="auto"/>
        </w:rPr>
        <w:t>Dated: August 9,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S</w:t>
      </w:r>
      <w:r>
        <w:rPr>
          <w:rFonts w:ascii="Arial" w:cs="Arial" w:eastAsia="Arial" w:hAnsi="Arial"/>
          <w:sz w:val="14"/>
          <w:szCs w:val="14"/>
          <w:color w:val="auto"/>
        </w:rPr>
        <w:t>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David Sisk</w:t>
      </w:r>
    </w:p>
    <w:p>
      <w:pPr>
        <w:jc w:val="center"/>
        <w:ind w:left="594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5940"/>
        <w:spacing w:after="0"/>
        <w:rPr>
          <w:sz w:val="20"/>
          <w:szCs w:val="20"/>
          <w:color w:val="auto"/>
        </w:rPr>
      </w:pPr>
      <w:r>
        <w:rPr>
          <w:rFonts w:ascii="Arial" w:cs="Arial" w:eastAsia="Arial" w:hAnsi="Arial"/>
          <w:sz w:val="14"/>
          <w:szCs w:val="14"/>
          <w:b w:val="1"/>
          <w:bCs w:val="1"/>
          <w:color w:val="auto"/>
        </w:rPr>
        <w:t>(Principal Financial Officer)</w:t>
      </w:r>
    </w:p>
    <w:p>
      <w:pPr>
        <w:spacing w:after="0" w:line="1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540"/>
          </w:cols>
          <w:pgMar w:left="240" w:top="459" w:right="111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THIS FIRST AMENDMENT TO AMENDED AND RESTATED CREDIT AGREEMENT (this “</w:t>
      </w:r>
      <w:r>
        <w:rPr>
          <w:rFonts w:ascii="Arial" w:cs="Arial" w:eastAsia="Arial" w:hAnsi="Arial"/>
          <w:sz w:val="18"/>
          <w:szCs w:val="18"/>
          <w:u w:val="single" w:color="auto"/>
          <w:color w:val="auto"/>
        </w:rPr>
        <w:t>First Amendment</w:t>
      </w:r>
      <w:r>
        <w:rPr>
          <w:rFonts w:ascii="Arial" w:cs="Arial" w:eastAsia="Arial" w:hAnsi="Arial"/>
          <w:sz w:val="18"/>
          <w:szCs w:val="18"/>
          <w:color w:val="auto"/>
        </w:rPr>
        <w:t>”), dated as of April 9, 2007, is made and entered into among WYNN LAS VEGAS, LLC, a Nevada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the Wynn Amendment Parties (as hereinafter defined) and DEUTSCHE BANK TRUST COMPANY AMERICAS,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on behalf of the Lenders (as hereinafter defined).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7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 The Borrower and the Administrative Agent are parties to that certain Amended and Restated Credit Agreement dated as of August 15, 2006 (as amended, modified or supplemented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Borrower, the Administrative Agent, Deutsche Bank Securities Inc., as lead arranger and joint book running manager, Banc of America Securities LLC, as lead arranger and joint book running manager, Bank of America, N.A., as syndication agent, Bear, Stearns &amp; Co. Inc., as arranger and joint book running manager, Bear Stearns Corporate Lending Inc., as joint documentation agent, J.P. Morgan Securities Inc., as arranger and joint book running manager, JPMorgan Chase Bank, as joint documentation agent, SG Americas Securities, LLC, as arranger and joint book running manager, Societe Generale, as joint documentation agent, Bank of Scotland, as managing agent, HSH Nordbank AG, as managing agent, The Royal Bank of Scotland PLC, as managing agent, Wachovia Bank, as managing agent, and the several banks and other financial institutions or entities from time to time parties thereto (the “</w:t>
      </w:r>
      <w:r>
        <w:rPr>
          <w:rFonts w:ascii="Arial" w:cs="Arial" w:eastAsia="Arial" w:hAnsi="Arial"/>
          <w:sz w:val="16"/>
          <w:szCs w:val="16"/>
          <w:u w:val="single" w:color="auto"/>
          <w:color w:val="auto"/>
        </w:rPr>
        <w:t>Lenders</w:t>
      </w:r>
      <w:r>
        <w:rPr>
          <w:rFonts w:ascii="Arial" w:cs="Arial" w:eastAsia="Arial" w:hAnsi="Arial"/>
          <w:sz w:val="16"/>
          <w:szCs w:val="16"/>
          <w:color w:val="auto"/>
        </w:rPr>
        <w:t>”).</w:t>
      </w:r>
    </w:p>
    <w:p>
      <w:pPr>
        <w:spacing w:after="0" w:line="118"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B. In connection with the Credit Agreement, each of Wynn Las Vegas Capital Corp., a Nevada corporation (“</w:t>
      </w:r>
      <w:r>
        <w:rPr>
          <w:rFonts w:ascii="Arial" w:cs="Arial" w:eastAsia="Arial" w:hAnsi="Arial"/>
          <w:sz w:val="16"/>
          <w:szCs w:val="16"/>
          <w:u w:val="single" w:color="auto"/>
          <w:color w:val="auto"/>
        </w:rPr>
        <w:t>Capital Corp.</w:t>
      </w:r>
      <w:r>
        <w:rPr>
          <w:rFonts w:ascii="Arial" w:cs="Arial" w:eastAsia="Arial" w:hAnsi="Arial"/>
          <w:sz w:val="16"/>
          <w:szCs w:val="16"/>
          <w:color w:val="auto"/>
        </w:rPr>
        <w:t>”), Wynn Show Performers, LLC, a Nevada limited liability company (“</w:t>
      </w:r>
      <w:r>
        <w:rPr>
          <w:rFonts w:ascii="Arial" w:cs="Arial" w:eastAsia="Arial" w:hAnsi="Arial"/>
          <w:sz w:val="16"/>
          <w:szCs w:val="16"/>
          <w:u w:val="single" w:color="auto"/>
          <w:color w:val="auto"/>
        </w:rPr>
        <w:t>Show Performers</w:t>
      </w:r>
      <w:r>
        <w:rPr>
          <w:rFonts w:ascii="Arial" w:cs="Arial" w:eastAsia="Arial" w:hAnsi="Arial"/>
          <w:sz w:val="16"/>
          <w:szCs w:val="16"/>
          <w:color w:val="auto"/>
        </w:rPr>
        <w:t>”), Wynn Golf, LLC, a Nevada limited liability company (“</w:t>
      </w:r>
      <w:r>
        <w:rPr>
          <w:rFonts w:ascii="Arial" w:cs="Arial" w:eastAsia="Arial" w:hAnsi="Arial"/>
          <w:sz w:val="16"/>
          <w:szCs w:val="16"/>
          <w:u w:val="single" w:color="auto"/>
          <w:color w:val="auto"/>
        </w:rPr>
        <w:t>Wynn Golf</w:t>
      </w:r>
      <w:r>
        <w:rPr>
          <w:rFonts w:ascii="Arial" w:cs="Arial" w:eastAsia="Arial" w:hAnsi="Arial"/>
          <w:sz w:val="16"/>
          <w:szCs w:val="16"/>
          <w:color w:val="auto"/>
        </w:rPr>
        <w:t>”), Wynn Sunrise, LLC, a Nevada limited liability company (“</w:t>
      </w:r>
      <w:r>
        <w:rPr>
          <w:rFonts w:ascii="Arial" w:cs="Arial" w:eastAsia="Arial" w:hAnsi="Arial"/>
          <w:sz w:val="16"/>
          <w:szCs w:val="16"/>
          <w:u w:val="single" w:color="auto"/>
          <w:color w:val="auto"/>
        </w:rPr>
        <w:t>Wynn Sunrise</w:t>
      </w:r>
      <w:r>
        <w:rPr>
          <w:rFonts w:ascii="Arial" w:cs="Arial" w:eastAsia="Arial" w:hAnsi="Arial"/>
          <w:sz w:val="16"/>
          <w:szCs w:val="16"/>
          <w:color w:val="auto"/>
        </w:rPr>
        <w:t>”), World Travel, LLC, a Nevada limited liability company (“</w:t>
      </w:r>
      <w:r>
        <w:rPr>
          <w:rFonts w:ascii="Arial" w:cs="Arial" w:eastAsia="Arial" w:hAnsi="Arial"/>
          <w:sz w:val="16"/>
          <w:szCs w:val="16"/>
          <w:u w:val="single" w:color="auto"/>
          <w:color w:val="auto"/>
        </w:rPr>
        <w:t>World Travel</w:t>
      </w:r>
      <w:r>
        <w:rPr>
          <w:rFonts w:ascii="Arial" w:cs="Arial" w:eastAsia="Arial" w:hAnsi="Arial"/>
          <w:sz w:val="16"/>
          <w:szCs w:val="16"/>
          <w:color w:val="auto"/>
        </w:rPr>
        <w:t>”), Kevyn, LLC, a Nevada limited liability company (“</w:t>
      </w:r>
      <w:r>
        <w:rPr>
          <w:rFonts w:ascii="Arial" w:cs="Arial" w:eastAsia="Arial" w:hAnsi="Arial"/>
          <w:sz w:val="16"/>
          <w:szCs w:val="16"/>
          <w:u w:val="single" w:color="auto"/>
          <w:color w:val="auto"/>
        </w:rPr>
        <w:t>Kevyn</w:t>
      </w:r>
      <w:r>
        <w:rPr>
          <w:rFonts w:ascii="Arial" w:cs="Arial" w:eastAsia="Arial" w:hAnsi="Arial"/>
          <w:sz w:val="16"/>
          <w:szCs w:val="16"/>
          <w:color w:val="auto"/>
        </w:rPr>
        <w:t>”), and Las Vegas Jet, LLC, a Nevada limited liability company (“</w:t>
      </w:r>
      <w:r>
        <w:rPr>
          <w:rFonts w:ascii="Arial" w:cs="Arial" w:eastAsia="Arial" w:hAnsi="Arial"/>
          <w:sz w:val="16"/>
          <w:szCs w:val="16"/>
          <w:u w:val="single" w:color="auto"/>
          <w:color w:val="auto"/>
        </w:rPr>
        <w:t>Las Vegas Jet</w:t>
      </w:r>
      <w:r>
        <w:rPr>
          <w:rFonts w:ascii="Arial" w:cs="Arial" w:eastAsia="Arial" w:hAnsi="Arial"/>
          <w:sz w:val="16"/>
          <w:szCs w:val="16"/>
          <w:color w:val="auto"/>
        </w:rPr>
        <w:t>” and together with Capital Corp., Show Performers, Wynn Golf, Wynn Sunrise, World Travel, Kevyn, Wynn Resorts Holdings, LLC, a Nevada limited liability company, and Wynn Completion Guarantor, LLC, a Nevada limited liability company, the “</w:t>
      </w:r>
      <w:r>
        <w:rPr>
          <w:rFonts w:ascii="Arial" w:cs="Arial" w:eastAsia="Arial" w:hAnsi="Arial"/>
          <w:sz w:val="16"/>
          <w:szCs w:val="16"/>
          <w:u w:val="single" w:color="auto"/>
          <w:color w:val="auto"/>
        </w:rPr>
        <w:t>Wynn Amendment Parties</w:t>
      </w:r>
      <w:r>
        <w:rPr>
          <w:rFonts w:ascii="Arial" w:cs="Arial" w:eastAsia="Arial" w:hAnsi="Arial"/>
          <w:sz w:val="16"/>
          <w:szCs w:val="16"/>
          <w:color w:val="auto"/>
        </w:rPr>
        <w:t>”), have executed certain Loan Documents.</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C. The Borrower has requested that the Lenders agree, subject to the conditions and on the terms set forth in this First Amendment, to amend certain provisions of the Credit Agreement and the Disbursement Agreement to, among other things, (i) permit the release to the Borrower of certain funds on deposit in the Completion Guaranty Deposit Account and the Project Liquidity Reserve Account, (ii) permit the issuance by the Borrower and Capital Corp. of up to $500,000,000 in principal amount of senior unsecured indebtedness and (iii) declare the occurrence of the Phase I Final Completion Date.</w:t>
      </w:r>
    </w:p>
    <w:p>
      <w:pPr>
        <w:sectPr>
          <w:pgSz w:w="11900" w:h="16838" w:orient="portrait"/>
          <w:cols w:equalWidth="0" w:num="1">
            <w:col w:w="11420"/>
          </w:cols>
          <w:pgMar w:left="240" w:top="125" w:right="239" w:bottom="1440" w:gutter="0" w:footer="0" w:header="0"/>
        </w:sectPr>
      </w:pPr>
    </w:p>
    <w:bookmarkStart w:id="37" w:name="page38"/>
    <w:bookmarkEnd w:id="3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 The Lenders are willing to agree to such amendments, subject to the conditions and on the terms set forth below.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for good and valuable consideration, the receipt and sufficiency of which are hereby acknowledged, the Borrower,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on behalf of the Lenders and the Wynn Amendment Parties agree as follows:</w:t>
      </w:r>
    </w:p>
    <w:p>
      <w:pPr>
        <w:spacing w:after="0" w:line="165" w:lineRule="exact"/>
        <w:rPr>
          <w:sz w:val="20"/>
          <w:szCs w:val="20"/>
          <w:color w:val="auto"/>
        </w:rPr>
      </w:pPr>
    </w:p>
    <w:p>
      <w:pPr>
        <w:ind w:right="60" w:firstLine="464"/>
        <w:spacing w:after="0" w:line="268" w:lineRule="auto"/>
        <w:tabs>
          <w:tab w:leader="none" w:pos="63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Except as otherwise expressly provided herein, capitalized terms used in this First Amendment shall have the meanings given in the Credit Agreement, and the rules of interpretation set forth in the Credit Agreement shall apply to this First Amendment.</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171" w:lineRule="exact"/>
        <w:rPr>
          <w:sz w:val="20"/>
          <w:szCs w:val="20"/>
          <w:color w:val="auto"/>
        </w:rPr>
      </w:pPr>
    </w:p>
    <w:p>
      <w:pPr>
        <w:ind w:right="280" w:firstLine="464"/>
        <w:spacing w:after="0" w:line="332" w:lineRule="auto"/>
        <w:tabs>
          <w:tab w:leader="none" w:pos="69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definition of “Financing Agreements” set forth in Section 1.1 of the Credit Agreement is amended by inserting the words “and any agreements relating to the Senior Unsecured Debt” immediately after the words “Second Lien Secured Obligations” in the third line thereof.</w:t>
      </w:r>
    </w:p>
    <w:p>
      <w:pPr>
        <w:spacing w:after="0" w:line="85" w:lineRule="exact"/>
        <w:rPr>
          <w:rFonts w:ascii="Arial" w:cs="Arial" w:eastAsia="Arial" w:hAnsi="Arial"/>
          <w:sz w:val="16"/>
          <w:szCs w:val="16"/>
          <w:color w:val="auto"/>
        </w:rPr>
      </w:pPr>
    </w:p>
    <w:p>
      <w:pPr>
        <w:ind w:right="40" w:firstLine="464"/>
        <w:spacing w:after="0" w:line="268"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definition of “Permitted Refinancing Indebtedness” set forth in Section 1.1 of the Credit Agreement is deleted in its entirety and replaced with the following:</w:t>
      </w:r>
    </w:p>
    <w:p>
      <w:pPr>
        <w:spacing w:after="0" w:line="51"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 Indebtedness</w:t>
      </w:r>
      <w:r>
        <w:rPr>
          <w:rFonts w:ascii="Arial" w:cs="Arial" w:eastAsia="Arial" w:hAnsi="Arial"/>
          <w:sz w:val="16"/>
          <w:szCs w:val="16"/>
          <w:color w:val="auto"/>
        </w:rPr>
        <w:t xml:space="preserve">”: any Indebtedness of any Loan Party issued in exchange for, or the net proceeds of which are used to extend, refinance, renew, replace, defease or refund any First Lien Secured Obligations, any Second Lien Secured Obligations or any obligations under Senior Unsecured Debt;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principal amount (or accreted value, if applicable) of such Permitted Refinancing Indebtedness does not exceed the principal amount (or accreted value, if applicable) of the Indebtedness being extended, refinanced, renewed, replaced, defeased or refunded (plus all accrued interest on such Indebtedness and the amount of all expenses and premiums incurred in connection therewith), (b) such Permitted Refinancing Indebtedness has a final maturity date not earlier than the final maturity date of, and has a Weighted Average Life to Maturity equal to or greater than the Weighted Average Life to Maturity of, the Indebtedness being extended, refinanced, renewed, replaced, defeased or refunded, (c) the restrictions on the Loan Parties contained in the agreements governing such Permitted Refinancing Indebtedness are no more restrictive, taken as a whole, than those contained in the agreements governing the Indebtedness being extended, refinanced, renewed, replaced, defeased or refunded and, in any event, the differences between the restrictions on the Loan Parties in the agreements governing such Permitted Refinancing Indebtedness from those contained in the agreements governing the Indebtedness being extended, refinancing,</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38" w:name="page39"/>
    <w:bookmarkEnd w:id="38"/>
    <w:p>
      <w:pPr>
        <w:ind w:left="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renewed, replaced, defeased or refunded, taken as a whole, could not reasonably be expected to be materially adverse to the Loan Parties (taken as a whole) or the Lenders and (d) to the extent related to any First Lien Secured Obligations or any Second Lien Secured Obligations (including any Permitted Refinancing Indebtedness related thereto) the relevant holders of such Permitted Refinancing Indebtedness become party to the Intercreditor Agreement. In the event Permitted Refinancing Indebtedness is used to extend, refinance, renew, replace, amend and restate, restate, defease or refund the 2014 Notes all relevant definitions and provisions of the Loan Documents related to the Indebtedness being extended, refinanced, renewed, replaced, defeased or refunded shall be amended, as necessary, to reflect such Permitted Refinancing Indebtedness and related documentation and/or arrangements by action of the Administrative Agent without the consent of the Lenders.</w:t>
      </w:r>
    </w:p>
    <w:p>
      <w:pPr>
        <w:spacing w:after="0" w:line="118" w:lineRule="exact"/>
        <w:rPr>
          <w:sz w:val="20"/>
          <w:szCs w:val="20"/>
          <w:color w:val="auto"/>
        </w:rPr>
      </w:pPr>
    </w:p>
    <w:p>
      <w:pPr>
        <w:ind w:left="440" w:right="2580" w:firstLine="4"/>
        <w:spacing w:after="0" w:line="362" w:lineRule="auto"/>
        <w:tabs>
          <w:tab w:leader="none" w:pos="67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new definition is inserted into Section 1.1 of the Credit Agreement in appropriate alphabetical order: “</w:t>
      </w:r>
      <w:r>
        <w:rPr>
          <w:rFonts w:ascii="Arial" w:cs="Arial" w:eastAsia="Arial" w:hAnsi="Arial"/>
          <w:sz w:val="18"/>
          <w:szCs w:val="18"/>
          <w:u w:val="single" w:color="auto"/>
          <w:color w:val="auto"/>
        </w:rPr>
        <w:t>Senior Unsecured Debt</w:t>
      </w:r>
      <w:r>
        <w:rPr>
          <w:rFonts w:ascii="Arial" w:cs="Arial" w:eastAsia="Arial" w:hAnsi="Arial"/>
          <w:sz w:val="18"/>
          <w:szCs w:val="18"/>
          <w:color w:val="auto"/>
        </w:rPr>
        <w:t>” as defined in Section 7.2(n).</w:t>
      </w:r>
    </w:p>
    <w:p>
      <w:pPr>
        <w:spacing w:after="0" w:line="50" w:lineRule="exact"/>
        <w:rPr>
          <w:rFonts w:ascii="Arial" w:cs="Arial" w:eastAsia="Arial" w:hAnsi="Arial"/>
          <w:sz w:val="18"/>
          <w:szCs w:val="18"/>
          <w:color w:val="auto"/>
        </w:rPr>
      </w:pPr>
    </w:p>
    <w:p>
      <w:pPr>
        <w:ind w:left="-20" w:right="20" w:firstLine="464"/>
        <w:spacing w:after="0" w:line="268" w:lineRule="auto"/>
        <w:tabs>
          <w:tab w:leader="none" w:pos="6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1.3 of the Credit Agreement is amended by inserting the words “and any proceeds of the Senior Unsecured Debt applied on the date of issuance thereof to transaction costs related thereto” after the words “Refinancing Transaction” in the seventh line thereof.</w:t>
      </w:r>
    </w:p>
    <w:p>
      <w:pPr>
        <w:spacing w:after="0" w:line="131" w:lineRule="exact"/>
        <w:rPr>
          <w:rFonts w:ascii="Arial" w:cs="Arial" w:eastAsia="Arial" w:hAnsi="Arial"/>
          <w:sz w:val="18"/>
          <w:szCs w:val="18"/>
          <w:color w:val="auto"/>
        </w:rPr>
      </w:pPr>
    </w:p>
    <w:p>
      <w:pPr>
        <w:ind w:left="-20" w:right="60" w:firstLine="464"/>
        <w:spacing w:after="0" w:line="332" w:lineRule="auto"/>
        <w:tabs>
          <w:tab w:leader="none" w:pos="675"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Section 7.2 of the Credit Agreement is amended by (i) deleting the word “and” at the end of clause (l) of such section, (ii) deleting the period at the end of clause (m) of such section and replacing it with the words “; and” and (iii) inserting a new clause (n) to such section as follows:</w:t>
      </w:r>
    </w:p>
    <w:p>
      <w:pPr>
        <w:spacing w:after="0" w:line="4" w:lineRule="exact"/>
        <w:rPr>
          <w:sz w:val="20"/>
          <w:szCs w:val="20"/>
          <w:color w:val="auto"/>
        </w:rPr>
      </w:pPr>
    </w:p>
    <w:p>
      <w:pPr>
        <w:jc w:val="both"/>
        <w:ind w:left="440" w:right="380" w:firstLine="4"/>
        <w:spacing w:after="0" w:line="303" w:lineRule="auto"/>
        <w:tabs>
          <w:tab w:leader="none" w:pos="689"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Indebtedness of the Borrower and/or Capital Corp. in an aggregate principal amount, including all Permitted Refinancing Indebtedness incurred to refund, refinance or replace any such Indebtedness, not to exceed the lesser of (x) $500,000,000, (y) the amount of such Indebtedness permitted to be incurred under the 2014 Notes Indenture by the Loan Parties on the date that such Indebtedness is initially issued or obtained in reliance on this clause</w:t>
      </w:r>
    </w:p>
    <w:p>
      <w:pPr>
        <w:spacing w:after="0" w:line="1" w:lineRule="exact"/>
        <w:rPr>
          <w:rFonts w:ascii="Arial" w:cs="Arial" w:eastAsia="Arial" w:hAnsi="Arial"/>
          <w:sz w:val="15"/>
          <w:szCs w:val="15"/>
          <w:color w:val="auto"/>
        </w:rPr>
      </w:pPr>
    </w:p>
    <w:p>
      <w:pPr>
        <w:ind w:left="440" w:right="60" w:firstLine="4"/>
        <w:spacing w:after="0" w:line="315" w:lineRule="auto"/>
        <w:tabs>
          <w:tab w:leader="none" w:pos="689"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 accordance with clause (i) below and (z) the principal amount of Indebtedness initially issued or obtained in reliance on this clause (n) in accordance with clause (i) below (in any such case, reduced by any principal payments from time to time made thereon) and Guarantee Obligations of any Loan Party with respect thereto (the “</w:t>
      </w:r>
      <w:r>
        <w:rPr>
          <w:rFonts w:ascii="Arial" w:cs="Arial" w:eastAsia="Arial" w:hAnsi="Arial"/>
          <w:sz w:val="15"/>
          <w:szCs w:val="15"/>
          <w:u w:val="single" w:color="auto"/>
          <w:color w:val="auto"/>
        </w:rPr>
        <w:t>Senior Unsecured Debt</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the Senior Unsecured Debt shall initially be issued by the Borrower and/or Capital Corp. in a single issuance (and thereafter, except with respect to Permitted Refinancing Indebtedness related thereto, no other Indebtedness shall be issued in reliance on this clause (n)), (ii) the Senior Unsecured Debt shall have a final maturity date not earlier than the final maturity date of, and have a</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80" w:right="259" w:bottom="1440" w:gutter="0" w:footer="0" w:header="0"/>
        </w:sectPr>
      </w:pPr>
    </w:p>
    <w:bookmarkStart w:id="39" w:name="page40"/>
    <w:bookmarkEnd w:id="39"/>
    <w:p>
      <w:pPr>
        <w:jc w:val="both"/>
        <w:ind w:left="440"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Weighted Average Life to Maturity equal to or greater than the Weighted Average Life to Maturity of, the 2014 Notes and (iii) subject to clause (ii) above, the terms and conditions of the Senior Unsecured Debt (including the pricing, covenants and restrictions contained in the agreements governing the Senior Unsecured Debt) shall be in form and substance satisfactory to the Majority of the Arrangers.</w:t>
      </w:r>
    </w:p>
    <w:p>
      <w:pPr>
        <w:spacing w:after="0" w:line="140" w:lineRule="exact"/>
        <w:rPr>
          <w:sz w:val="20"/>
          <w:szCs w:val="20"/>
          <w:color w:val="auto"/>
        </w:rPr>
      </w:pPr>
    </w:p>
    <w:p>
      <w:pPr>
        <w:ind w:left="-20" w:right="360" w:firstLine="464"/>
        <w:spacing w:after="0" w:line="268" w:lineRule="auto"/>
        <w:tabs>
          <w:tab w:leader="none" w:pos="6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7.9 of the Credit Agreement is amended by inserting the words “any Senior Unsecured Debt or” after the words “optionally defease,” in the third line thereof.</w:t>
      </w:r>
    </w:p>
    <w:p>
      <w:pPr>
        <w:spacing w:after="0" w:line="131" w:lineRule="exact"/>
        <w:rPr>
          <w:rFonts w:ascii="Arial" w:cs="Arial" w:eastAsia="Arial" w:hAnsi="Arial"/>
          <w:sz w:val="18"/>
          <w:szCs w:val="18"/>
          <w:color w:val="auto"/>
        </w:rPr>
      </w:pPr>
    </w:p>
    <w:p>
      <w:pPr>
        <w:ind w:left="-20" w:right="560" w:firstLine="464"/>
        <w:spacing w:after="0" w:line="268" w:lineRule="auto"/>
        <w:tabs>
          <w:tab w:leader="none" w:pos="6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7.23 of the Credit Agreement is deleted in its entirety and replaced with the words “[INTENTIONALLY OMITTED].” All references to Section 7.23 of the Credit Agreement contained in the Loan Documents shall have no further force or effect.</w:t>
      </w:r>
    </w:p>
    <w:p>
      <w:pPr>
        <w:spacing w:after="0" w:line="131" w:lineRule="exact"/>
        <w:rPr>
          <w:rFonts w:ascii="Arial" w:cs="Arial" w:eastAsia="Arial" w:hAnsi="Arial"/>
          <w:sz w:val="18"/>
          <w:szCs w:val="18"/>
          <w:color w:val="auto"/>
        </w:rPr>
      </w:pPr>
    </w:p>
    <w:p>
      <w:pPr>
        <w:ind w:left="700" w:hanging="2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7.26 of the Credit Agreement is amended by adding the following immediately after the concluding period thereof:</w:t>
      </w:r>
    </w:p>
    <w:p>
      <w:pPr>
        <w:spacing w:after="0" w:line="90" w:lineRule="exact"/>
        <w:rPr>
          <w:sz w:val="20"/>
          <w:szCs w:val="20"/>
          <w:color w:val="auto"/>
        </w:rPr>
      </w:pPr>
    </w:p>
    <w:p>
      <w:pPr>
        <w:jc w:val="both"/>
        <w:ind w:left="440" w:right="220"/>
        <w:spacing w:after="0" w:line="259" w:lineRule="auto"/>
        <w:rPr>
          <w:sz w:val="20"/>
          <w:szCs w:val="20"/>
          <w:color w:val="auto"/>
        </w:rPr>
      </w:pPr>
      <w:r>
        <w:rPr>
          <w:rFonts w:ascii="Arial" w:cs="Arial" w:eastAsia="Arial" w:hAnsi="Arial"/>
          <w:sz w:val="18"/>
          <w:szCs w:val="18"/>
          <w:color w:val="auto"/>
        </w:rPr>
        <w:t>Notwithstanding the foregoing, this Section 7.26 shall not apply to the acquisition by the Borrower or any other Loan Party of any fee, easement or other interest in any real property as to which the Majority of the Arrangers have determined that the size, location and proposed use thereof are insufficient to justify the time and expense of satisfying the terms of this Section 7.26.</w:t>
      </w:r>
    </w:p>
    <w:p>
      <w:pPr>
        <w:spacing w:after="0" w:line="140" w:lineRule="exact"/>
        <w:rPr>
          <w:sz w:val="20"/>
          <w:szCs w:val="20"/>
          <w:color w:val="auto"/>
        </w:rPr>
      </w:pPr>
    </w:p>
    <w:p>
      <w:pPr>
        <w:ind w:left="660" w:hanging="21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Section 7.27 of the Credit Agreement is deleted in its entirety and replaced with the words “[INTENTIONALLY OMITTED].”</w:t>
      </w:r>
    </w:p>
    <w:p>
      <w:pPr>
        <w:spacing w:after="0" w:line="171" w:lineRule="exact"/>
        <w:rPr>
          <w:rFonts w:ascii="Arial" w:cs="Arial" w:eastAsia="Arial" w:hAnsi="Arial"/>
          <w:sz w:val="18"/>
          <w:szCs w:val="18"/>
          <w:color w:val="auto"/>
        </w:rPr>
      </w:pPr>
    </w:p>
    <w:p>
      <w:pPr>
        <w:ind w:left="-20" w:right="180" w:firstLine="464"/>
        <w:spacing w:after="0" w:line="259" w:lineRule="auto"/>
        <w:tabs>
          <w:tab w:leader="none" w:pos="6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Exhibit K to the Credit Agreement is amended by (i) replacing the words “Three Hundred Million Dollars ($300,000,000)” in Section 6.8 thereof with the words “Five Hundred Million Dollars ($500,000,000)” and (ii) deleting Section 4.4.5 thereof in its entirety and replacing it with the words “[INTENTIONALLY OMITTED].”</w:t>
      </w:r>
    </w:p>
    <w:p>
      <w:pPr>
        <w:spacing w:after="0" w:line="140" w:lineRule="exact"/>
        <w:rPr>
          <w:sz w:val="20"/>
          <w:szCs w:val="20"/>
          <w:color w:val="auto"/>
        </w:rPr>
      </w:pPr>
    </w:p>
    <w:p>
      <w:pPr>
        <w:ind w:left="-20" w:right="300" w:firstLine="464"/>
        <w:spacing w:after="0" w:line="259" w:lineRule="auto"/>
        <w:tabs>
          <w:tab w:leader="none" w:pos="61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Release of Certain Funds on Deposit in the Completion Guaranty Deposit Account and Project Liquidity Reserve Account</w:t>
      </w:r>
      <w:r>
        <w:rPr>
          <w:rFonts w:ascii="Arial" w:cs="Arial" w:eastAsia="Arial" w:hAnsi="Arial"/>
          <w:sz w:val="18"/>
          <w:szCs w:val="18"/>
          <w:color w:val="auto"/>
        </w:rPr>
        <w:t>. Upon the effectiveness of this Amendment (i) all amounts on deposit in the Project Liquidity Reserve Account shall be released to the Borrower and (ii) any amounts in excess of $30,000,000 then on deposit in the Completion Guaranty Deposit Account shall be released to the Borrower.</w:t>
      </w:r>
    </w:p>
    <w:p>
      <w:pPr>
        <w:spacing w:after="0" w:line="140" w:lineRule="exact"/>
        <w:rPr>
          <w:rFonts w:ascii="Arial" w:cs="Arial" w:eastAsia="Arial" w:hAnsi="Arial"/>
          <w:sz w:val="18"/>
          <w:szCs w:val="18"/>
          <w:color w:val="auto"/>
        </w:rPr>
      </w:pPr>
    </w:p>
    <w:p>
      <w:pPr>
        <w:ind w:left="-20" w:right="160" w:firstLine="464"/>
        <w:spacing w:after="0" w:line="332" w:lineRule="auto"/>
        <w:tabs>
          <w:tab w:leader="none" w:pos="612"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Disbursement Agreement Amendment</w:t>
      </w:r>
      <w:r>
        <w:rPr>
          <w:rFonts w:ascii="Arial" w:cs="Arial" w:eastAsia="Arial" w:hAnsi="Arial"/>
          <w:sz w:val="16"/>
          <w:szCs w:val="16"/>
          <w:color w:val="auto"/>
        </w:rPr>
        <w:t>. The Administrative Agent is hereby directed to execute on the date hereof that certain Fifth Amendment to Master Disbursement Agreement (the “Disbursement Agreement Amendment”), substantially in the form attached hereto as Exhibit A on behalf of the Lenders.</w:t>
      </w:r>
    </w:p>
    <w:p>
      <w:pPr>
        <w:spacing w:after="0" w:line="85" w:lineRule="exact"/>
        <w:rPr>
          <w:rFonts w:ascii="Arial" w:cs="Arial" w:eastAsia="Arial" w:hAnsi="Arial"/>
          <w:sz w:val="16"/>
          <w:szCs w:val="16"/>
          <w:color w:val="auto"/>
        </w:rPr>
      </w:pPr>
    </w:p>
    <w:p>
      <w:pPr>
        <w:ind w:left="-20" w:firstLine="464"/>
        <w:spacing w:after="0" w:line="268" w:lineRule="auto"/>
        <w:tabs>
          <w:tab w:leader="none" w:pos="61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Phase I Final Completion Date</w:t>
      </w:r>
      <w:r>
        <w:rPr>
          <w:rFonts w:ascii="Arial" w:cs="Arial" w:eastAsia="Arial" w:hAnsi="Arial"/>
          <w:sz w:val="18"/>
          <w:szCs w:val="18"/>
          <w:color w:val="auto"/>
        </w:rPr>
        <w:t>. Notwithstanding anything to contrary contained in the Loan Documents, as of the effective date of this First Amendment, the Phase I Final Completion Date shall be deemed to have occurred.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80" w:right="239" w:bottom="1440" w:gutter="0" w:footer="0" w:header="0"/>
        </w:sectPr>
      </w:pPr>
    </w:p>
    <w:bookmarkStart w:id="40" w:name="page41"/>
    <w:bookmarkEnd w:id="40"/>
    <w:p>
      <w:pPr>
        <w:ind w:left="-80" w:right="160" w:firstLine="464"/>
        <w:spacing w:after="0" w:line="268" w:lineRule="auto"/>
        <w:tabs>
          <w:tab w:leader="none" w:pos="55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Representations and Warranties</w:t>
      </w:r>
      <w:r>
        <w:rPr>
          <w:rFonts w:ascii="Arial" w:cs="Arial" w:eastAsia="Arial" w:hAnsi="Arial"/>
          <w:sz w:val="18"/>
          <w:szCs w:val="18"/>
          <w:color w:val="auto"/>
        </w:rPr>
        <w:t>. To induce the Lenders to agree to this First Amendment, the Borrower represents to the Administrative Agent and the Lenders that as of the date hereof:</w:t>
      </w:r>
    </w:p>
    <w:p>
      <w:pPr>
        <w:spacing w:after="0" w:line="132" w:lineRule="exact"/>
        <w:rPr>
          <w:sz w:val="20"/>
          <w:szCs w:val="20"/>
          <w:color w:val="auto"/>
        </w:rPr>
      </w:pPr>
    </w:p>
    <w:p>
      <w:pPr>
        <w:ind w:left="-80" w:right="120" w:firstLine="464"/>
        <w:spacing w:after="0" w:line="256" w:lineRule="auto"/>
        <w:tabs>
          <w:tab w:leader="none" w:pos="6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Borrower and each of the Wynn Amendment Parties has all power and authority to enter into this First Amendment and the Disbursement Agreement Amendment (collectively, the “</w:t>
      </w:r>
      <w:r>
        <w:rPr>
          <w:rFonts w:ascii="Arial" w:cs="Arial" w:eastAsia="Arial" w:hAnsi="Arial"/>
          <w:sz w:val="18"/>
          <w:szCs w:val="18"/>
          <w:u w:val="single" w:color="auto"/>
          <w:color w:val="auto"/>
        </w:rPr>
        <w:t>First Amendment Documents</w:t>
      </w:r>
      <w:r>
        <w:rPr>
          <w:rFonts w:ascii="Arial" w:cs="Arial" w:eastAsia="Arial" w:hAnsi="Arial"/>
          <w:sz w:val="18"/>
          <w:szCs w:val="18"/>
          <w:color w:val="auto"/>
        </w:rPr>
        <w:t>”) to which each is a party and that have been entered into by the Borrower and each of the Wynn Amendment Parties as of the date this representation is being made, and to carry out the transactions contemplated by, and to perform its obligations under or in respect of, the First Amendment Documents to which each is a party;</w:t>
      </w:r>
    </w:p>
    <w:p>
      <w:pPr>
        <w:spacing w:after="0" w:line="143" w:lineRule="exact"/>
        <w:rPr>
          <w:rFonts w:ascii="Arial" w:cs="Arial" w:eastAsia="Arial" w:hAnsi="Arial"/>
          <w:sz w:val="18"/>
          <w:szCs w:val="18"/>
          <w:color w:val="auto"/>
        </w:rPr>
      </w:pPr>
    </w:p>
    <w:p>
      <w:pPr>
        <w:ind w:left="-80" w:right="40" w:firstLine="464"/>
        <w:spacing w:after="0" w:line="256" w:lineRule="auto"/>
        <w:tabs>
          <w:tab w:leader="none" w:pos="62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execution and delivery of First Amendment Documents and the performance of the obligations of the Borrower and each of the Wynn Amendment Parties under or in respect of the First Amendment Documents to which each is a party and that have been entered into by the Borrower and each of the Wynn Amendment Parties as of the date this representation is being made have been duly authorized by all necessary action on the part of the Borrower and each of the Wynn Amendment Parties;</w:t>
      </w:r>
    </w:p>
    <w:p>
      <w:pPr>
        <w:spacing w:after="0" w:line="143" w:lineRule="exact"/>
        <w:rPr>
          <w:rFonts w:ascii="Arial" w:cs="Arial" w:eastAsia="Arial" w:hAnsi="Arial"/>
          <w:sz w:val="18"/>
          <w:szCs w:val="18"/>
          <w:color w:val="auto"/>
        </w:rPr>
      </w:pPr>
    </w:p>
    <w:p>
      <w:pPr>
        <w:ind w:left="-80" w:firstLine="464"/>
        <w:spacing w:after="0" w:line="290" w:lineRule="auto"/>
        <w:tabs>
          <w:tab w:leader="none" w:pos="61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execution and delivery of the First Amendment Documents that have been entered into by the Borrower and each of the Wynn Amendment Parties as of the date this representation is being made and the performance of the obligations of the Borrower and each of the Wynn Amendment Parties under or in respect of such First Amendment Documents to which each is a party do not and will not conflict with or violate (i) any provision of the articles of incorporation or bylaws (or similar constituent documents) of the Borrower or any Wynn Amendment Party, (ii) any Requirement of Law, (iii) any order, judgment or decree of any court or other governmental agency binding on the Borrower or any Wynn Amendment Party, or (iv) any indenture, agreement or instrument to which the Borrower or any Wynn Amendment Party is a party or by which the Borrower or any Wynn Amendment Party, or any property of any of them, is bound, and do not and will not require any consent or approval of any Person;</w:t>
      </w:r>
    </w:p>
    <w:p>
      <w:pPr>
        <w:spacing w:after="0" w:line="118" w:lineRule="exact"/>
        <w:rPr>
          <w:rFonts w:ascii="Arial" w:cs="Arial" w:eastAsia="Arial" w:hAnsi="Arial"/>
          <w:sz w:val="16"/>
          <w:szCs w:val="16"/>
          <w:color w:val="auto"/>
        </w:rPr>
      </w:pPr>
    </w:p>
    <w:p>
      <w:pPr>
        <w:ind w:left="-80" w:right="80" w:firstLine="464"/>
        <w:spacing w:after="0" w:line="254" w:lineRule="auto"/>
        <w:tabs>
          <w:tab w:leader="none" w:pos="62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First Amendment Documents that have been entered into by the Borrower and each of the Wynn Amendment Parties as of the date this representation is being made have been duly executed and delivered by the Borrower and each of the Wynn Amendment Parties party thereto and the Credit Agreement and the other Loan Documents, as amended by the First Amendment Documents, are the legal, valid and binding obligations of the Borrower and each of the Wynn Amendment Parties, enforceable in accordance with their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44" w:lineRule="exact"/>
        <w:rPr>
          <w:rFonts w:ascii="Arial" w:cs="Arial" w:eastAsia="Arial" w:hAnsi="Arial"/>
          <w:sz w:val="18"/>
          <w:szCs w:val="18"/>
          <w:color w:val="auto"/>
        </w:rPr>
      </w:pPr>
    </w:p>
    <w:p>
      <w:pPr>
        <w:ind w:left="-80" w:right="440" w:firstLine="464"/>
        <w:spacing w:after="0" w:line="268" w:lineRule="auto"/>
        <w:tabs>
          <w:tab w:leader="none" w:pos="6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event has occurred and is continuing or will result from the execution and delivery of the First Amendment Documents that would constitute a Default or an Event of Default;</w:t>
      </w:r>
    </w:p>
    <w:p>
      <w:pPr>
        <w:spacing w:after="0" w:line="131" w:lineRule="exact"/>
        <w:rPr>
          <w:rFonts w:ascii="Arial" w:cs="Arial" w:eastAsia="Arial" w:hAnsi="Arial"/>
          <w:sz w:val="18"/>
          <w:szCs w:val="18"/>
          <w:color w:val="auto"/>
        </w:rPr>
      </w:pPr>
    </w:p>
    <w:p>
      <w:pPr>
        <w:ind w:left="600" w:hanging="216"/>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since the Closing Date, no event has occurred that has resulted, or could reasonably be expected to result, in a Material Adverse Effect;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320" w:top="280" w:right="299" w:bottom="1440" w:gutter="0" w:footer="0" w:header="0"/>
        </w:sectPr>
      </w:pPr>
    </w:p>
    <w:bookmarkStart w:id="41" w:name="page42"/>
    <w:bookmarkEnd w:id="41"/>
    <w:p>
      <w:pPr>
        <w:ind w:right="180" w:firstLine="464"/>
        <w:spacing w:after="0" w:line="256"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of the representations and warranties made by the Borrower and the Wynn Amendment Parties in or pursuant to the Loan Documents to which each is a party shall be true and correct in all material respects on and as of the date this representation is being made, except for representations and warranties expressly stated to relate to a specific earlier date, in which case such representations and warranties shall be true and correct in all material respects as of such earlier date.</w:t>
      </w:r>
    </w:p>
    <w:p>
      <w:pPr>
        <w:spacing w:after="0" w:line="143" w:lineRule="exact"/>
        <w:rPr>
          <w:sz w:val="20"/>
          <w:szCs w:val="20"/>
          <w:color w:val="auto"/>
        </w:rPr>
      </w:pPr>
    </w:p>
    <w:p>
      <w:pPr>
        <w:ind w:right="40" w:firstLine="464"/>
        <w:spacing w:after="0" w:line="370" w:lineRule="auto"/>
        <w:tabs>
          <w:tab w:leader="none" w:pos="632"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Effectiveness of this First Amendment</w:t>
      </w:r>
      <w:r>
        <w:rPr>
          <w:rFonts w:ascii="Arial" w:cs="Arial" w:eastAsia="Arial" w:hAnsi="Arial"/>
          <w:sz w:val="15"/>
          <w:szCs w:val="15"/>
          <w:color w:val="auto"/>
        </w:rPr>
        <w:t>. This First Amendment shall be effective only if and when (i) executed by the Borrower, the Wynn Amendment Parties and the Administrative Agent, on behalf of the Lenders, and (ii) the Disbursement Agreement Amendment shall have been executed by all parties thereto.</w:t>
      </w:r>
    </w:p>
    <w:p>
      <w:pPr>
        <w:spacing w:after="0" w:line="62" w:lineRule="exact"/>
        <w:rPr>
          <w:rFonts w:ascii="Arial" w:cs="Arial" w:eastAsia="Arial" w:hAnsi="Arial"/>
          <w:sz w:val="15"/>
          <w:szCs w:val="15"/>
          <w:color w:val="auto"/>
        </w:rPr>
      </w:pPr>
    </w:p>
    <w:p>
      <w:pPr>
        <w:ind w:right="40" w:firstLine="464"/>
        <w:spacing w:after="0" w:line="294" w:lineRule="auto"/>
        <w:tabs>
          <w:tab w:leader="none" w:pos="632"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Acknowledgments</w:t>
      </w:r>
      <w:r>
        <w:rPr>
          <w:rFonts w:ascii="Arial" w:cs="Arial" w:eastAsia="Arial" w:hAnsi="Arial"/>
          <w:sz w:val="16"/>
          <w:szCs w:val="16"/>
          <w:color w:val="auto"/>
        </w:rPr>
        <w:t>. By executing this First Amendment, each of the Wynn Amendment Parties (a) consents to the First Amendment Documents and the issuance of the Senior Unsecured Debt, (b) acknowledges that, notwithstanding the execution and delivery of the First Amendment Documents or the issuance of the Senior Unsecured Debt, the obligations of each of the Wynn Amendment Parties under the Loan Documents to which they are a party (including the Guarantee, the Completion Guaranty Collateral Account Agreement, the Completion Guaranty and the Security Agreement) are not impaired or affected, and such Loan Documents continue in full force and effect, and (c) affirms and ratifies, to the extent it is a party thereto, the Loan Documents.</w:t>
      </w:r>
    </w:p>
    <w:p>
      <w:pPr>
        <w:spacing w:after="0" w:line="109" w:lineRule="exact"/>
        <w:rPr>
          <w:rFonts w:ascii="Arial" w:cs="Arial" w:eastAsia="Arial" w:hAnsi="Arial"/>
          <w:sz w:val="16"/>
          <w:szCs w:val="16"/>
          <w:color w:val="auto"/>
        </w:rPr>
      </w:pPr>
    </w:p>
    <w:p>
      <w:pPr>
        <w:ind w:left="640" w:hanging="176"/>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xml:space="preserve">. </w:t>
      </w:r>
      <w:r>
        <w:rPr>
          <w:rFonts w:ascii="Arial" w:cs="Arial" w:eastAsia="Arial" w:hAnsi="Arial"/>
          <w:sz w:val="16"/>
          <w:szCs w:val="16"/>
          <w:b w:val="1"/>
          <w:bCs w:val="1"/>
          <w:color w:val="auto"/>
        </w:rPr>
        <w:t>THIS FIRST AMENDMENT SHALL BE GOVERNED BY, AND CONSTRUED AND INTERPRETED IN ACCORDANCE</w:t>
      </w:r>
    </w:p>
    <w:p>
      <w:pPr>
        <w:spacing w:after="0" w:line="44" w:lineRule="exact"/>
        <w:rPr>
          <w:rFonts w:ascii="Arial" w:cs="Arial" w:eastAsia="Arial" w:hAnsi="Arial"/>
          <w:sz w:val="16"/>
          <w:szCs w:val="16"/>
          <w:color w:val="auto"/>
        </w:rPr>
      </w:pPr>
    </w:p>
    <w:p>
      <w:pPr>
        <w:spacing w:after="0" w:line="288" w:lineRule="auto"/>
        <w:rPr>
          <w:rFonts w:ascii="Arial" w:cs="Arial" w:eastAsia="Arial" w:hAnsi="Arial"/>
          <w:sz w:val="16"/>
          <w:szCs w:val="16"/>
          <w:color w:val="auto"/>
        </w:rPr>
      </w:pPr>
      <w:r>
        <w:rPr>
          <w:rFonts w:ascii="Arial" w:cs="Arial" w:eastAsia="Arial" w:hAnsi="Arial"/>
          <w:sz w:val="16"/>
          <w:szCs w:val="16"/>
          <w:b w:val="1"/>
          <w:bCs w:val="1"/>
          <w:color w:val="auto"/>
        </w:rPr>
        <w:t xml:space="preserve">WITH, THE LAW OF THE STATE OF NEW YORK, WITHOUT REGARD TO CONFLICT OF LAW RULES THEREOF (OTHER THAN SECTIONS 5-1401 AND 5-1402 OF THE NEW YORK GENERAL OBLIGATIONS LAW). </w:t>
      </w:r>
      <w:r>
        <w:rPr>
          <w:rFonts w:ascii="Arial" w:cs="Arial" w:eastAsia="Arial" w:hAnsi="Arial"/>
          <w:sz w:val="16"/>
          <w:szCs w:val="16"/>
          <w:color w:val="auto"/>
        </w:rPr>
        <w:t>This First Amendment may be executed in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duplicate counterparts and when signed by all of the parties listed below shall constitute a single binding agreement. Except as amended hereby, all of the provisions of the Credit Agreement and the other Loan Documents shall remain in full force and effect except that each reference to the “Credit Agreement”, or words of like import in any Loan Document, shall mean and be a reference to the Credit Agreement as amended hereby. This First Amendment shall be deemed a “Loan Document” as defined in the Credit Agreement. Section 10.12 of the Credit Agreement shall apply to this First Amendment and all past and future amendments to the Credit Agreement and other Loan Documents as if expressly set forth therein.</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42" w:name="page43"/>
    <w:bookmarkEnd w:id="42"/>
    <w:p>
      <w:pPr>
        <w:ind w:right="2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this First Amendment to be duly executed by their officers or officers of their sole ultimate members thereunto duly authorized as of the day and year first above written.</w:t>
      </w:r>
    </w:p>
    <w:p>
      <w:pPr>
        <w:sectPr>
          <w:pgSz w:w="11900" w:h="16838" w:orient="portrait"/>
          <w:cols w:equalWidth="0" w:num="1">
            <w:col w:w="11420"/>
          </w:cols>
          <w:pgMar w:left="240" w:top="280"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tbl>
      <w:tblPr>
        <w:tblLayout w:type="fixed"/>
        <w:tblInd w:w="720" w:type="dxa"/>
        <w:tblCellMar>
          <w:top w:w="0" w:type="dxa"/>
          <w:left w:w="0" w:type="dxa"/>
          <w:bottom w:w="0" w:type="dxa"/>
          <w:right w:w="0" w:type="dxa"/>
        </w:tblCellMar>
      </w:tblPr>
      <w:tr>
        <w:trPr>
          <w:trHeight w:val="224"/>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Marc Schorr</w:t>
            </w:r>
          </w:p>
        </w:tc>
      </w:tr>
      <w:tr>
        <w:trPr>
          <w:trHeight w:val="210"/>
        </w:trPr>
        <w:tc>
          <w:tcPr>
            <w:tcW w:w="460" w:type="dxa"/>
            <w:vAlign w:val="bottom"/>
          </w:tcPr>
          <w:p>
            <w:pPr>
              <w:spacing w:after="0"/>
              <w:rPr>
                <w:sz w:val="20"/>
                <w:szCs w:val="20"/>
                <w:color w:val="auto"/>
              </w:rPr>
            </w:pPr>
            <w:r>
              <w:rPr>
                <w:rFonts w:ascii="Arial" w:cs="Arial" w:eastAsia="Arial" w:hAnsi="Arial"/>
                <w:sz w:val="18"/>
                <w:szCs w:val="18"/>
                <w:color w:val="auto"/>
                <w:w w:val="82"/>
              </w:rPr>
              <w:t>Name:</w:t>
            </w:r>
          </w:p>
        </w:tc>
        <w:tc>
          <w:tcPr>
            <w:tcW w:w="40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Marc Schorr</w:t>
            </w:r>
          </w:p>
        </w:tc>
      </w:tr>
      <w:tr>
        <w:trPr>
          <w:trHeight w:val="210"/>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Chief Operating Officer</w:t>
            </w:r>
          </w:p>
        </w:tc>
      </w:tr>
    </w:tbl>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WYNN GOLF,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 Nevada limited liability company, its</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sole member</w:t>
      </w:r>
    </w:p>
    <w:p>
      <w:pPr>
        <w:spacing w:after="0" w:line="232" w:lineRule="exact"/>
        <w:rPr>
          <w:sz w:val="20"/>
          <w:szCs w:val="20"/>
          <w:color w:val="auto"/>
        </w:rPr>
      </w:pPr>
    </w:p>
    <w:p>
      <w:pPr>
        <w:jc w:val="center"/>
        <w:ind w:right="1340"/>
        <w:spacing w:after="0"/>
        <w:rPr>
          <w:sz w:val="20"/>
          <w:szCs w:val="20"/>
          <w:color w:val="auto"/>
        </w:rPr>
      </w:pPr>
      <w:r>
        <w:rPr>
          <w:rFonts w:ascii="Arial" w:cs="Arial" w:eastAsia="Arial" w:hAnsi="Arial"/>
          <w:sz w:val="18"/>
          <w:szCs w:val="18"/>
          <w:color w:val="auto"/>
        </w:rPr>
        <w:t>By:  Wynn Resorts, Limited, a Nevada</w:t>
      </w:r>
    </w:p>
    <w:p>
      <w:pPr>
        <w:spacing w:after="0" w:line="23" w:lineRule="exact"/>
        <w:rPr>
          <w:sz w:val="20"/>
          <w:szCs w:val="20"/>
          <w:color w:val="auto"/>
        </w:rPr>
      </w:pPr>
    </w:p>
    <w:p>
      <w:pPr>
        <w:jc w:val="center"/>
        <w:ind w:right="1360"/>
        <w:spacing w:after="0"/>
        <w:rPr>
          <w:sz w:val="20"/>
          <w:szCs w:val="20"/>
          <w:color w:val="auto"/>
        </w:rPr>
      </w:pPr>
      <w:r>
        <w:rPr>
          <w:rFonts w:ascii="Arial" w:cs="Arial" w:eastAsia="Arial" w:hAnsi="Arial"/>
          <w:sz w:val="18"/>
          <w:szCs w:val="18"/>
          <w:color w:val="auto"/>
        </w:rPr>
        <w:t>corporation, its sole member</w:t>
      </w:r>
    </w:p>
    <w:p>
      <w:pPr>
        <w:spacing w:after="0" w:line="252"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Schorr</w:t>
            </w:r>
          </w:p>
        </w:tc>
      </w:tr>
      <w:tr>
        <w:trPr>
          <w:trHeight w:val="212"/>
        </w:trPr>
        <w:tc>
          <w:tcPr>
            <w:tcW w:w="480" w:type="dxa"/>
            <w:vAlign w:val="bottom"/>
          </w:tcPr>
          <w:p>
            <w:pPr>
              <w:spacing w:after="0"/>
              <w:rPr>
                <w:sz w:val="20"/>
                <w:szCs w:val="20"/>
                <w:color w:val="auto"/>
              </w:rPr>
            </w:pPr>
            <w:r>
              <w:rPr>
                <w:rFonts w:ascii="Arial" w:cs="Arial" w:eastAsia="Arial" w:hAnsi="Arial"/>
                <w:sz w:val="18"/>
                <w:szCs w:val="18"/>
                <w:color w:val="auto"/>
                <w:w w:val="86"/>
              </w:rPr>
              <w:t>Name:</w:t>
            </w:r>
          </w:p>
        </w:tc>
        <w:tc>
          <w:tcPr>
            <w:tcW w:w="3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 Schorr</w:t>
            </w:r>
          </w:p>
        </w:tc>
      </w:tr>
      <w:tr>
        <w:trPr>
          <w:trHeight w:val="21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Chief Operating Officer</w:t>
            </w:r>
          </w:p>
        </w:tc>
      </w:tr>
    </w:tbl>
    <w:p>
      <w:pPr>
        <w:spacing w:after="0" w:line="200" w:lineRule="exact"/>
        <w:rPr>
          <w:sz w:val="20"/>
          <w:szCs w:val="20"/>
          <w:color w:val="auto"/>
        </w:rPr>
      </w:pPr>
    </w:p>
    <w:p>
      <w:pPr>
        <w:sectPr>
          <w:pgSz w:w="11900" w:h="16838" w:orient="portrait"/>
          <w:cols w:equalWidth="0" w:num="2">
            <w:col w:w="5240" w:space="620"/>
            <w:col w:w="5560"/>
          </w:cols>
          <w:pgMar w:left="240" w:top="280" w:right="239" w:bottom="1440" w:gutter="0" w:footer="0" w:header="0"/>
          <w:type w:val="continuous"/>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WYNN SUNRISE, LLC,</w:t>
            </w:r>
          </w:p>
        </w:tc>
        <w:tc>
          <w:tcPr>
            <w:tcW w:w="6180" w:type="dxa"/>
            <w:vAlign w:val="bottom"/>
            <w:gridSpan w:val="2"/>
          </w:tcPr>
          <w:p>
            <w:pPr>
              <w:ind w:left="620"/>
              <w:spacing w:after="0"/>
              <w:rPr>
                <w:sz w:val="20"/>
                <w:szCs w:val="20"/>
                <w:color w:val="auto"/>
              </w:rPr>
            </w:pPr>
            <w:r>
              <w:rPr>
                <w:rFonts w:ascii="Arial" w:cs="Arial" w:eastAsia="Arial" w:hAnsi="Arial"/>
                <w:sz w:val="18"/>
                <w:szCs w:val="18"/>
                <w:color w:val="auto"/>
              </w:rPr>
              <w:t>WORLD TRAVEL, LLC,</w:t>
            </w:r>
          </w:p>
        </w:tc>
      </w:tr>
      <w:tr>
        <w:trPr>
          <w:trHeight w:val="222"/>
        </w:trPr>
        <w:tc>
          <w:tcPr>
            <w:tcW w:w="5240" w:type="dxa"/>
            <w:vAlign w:val="bottom"/>
            <w:gridSpan w:val="3"/>
          </w:tcPr>
          <w:p>
            <w:pPr>
              <w:spacing w:after="0"/>
              <w:rPr>
                <w:sz w:val="20"/>
                <w:szCs w:val="20"/>
                <w:color w:val="auto"/>
              </w:rPr>
            </w:pPr>
            <w:r>
              <w:rPr>
                <w:rFonts w:ascii="Arial" w:cs="Arial" w:eastAsia="Arial" w:hAnsi="Arial"/>
                <w:sz w:val="18"/>
                <w:szCs w:val="18"/>
                <w:color w:val="auto"/>
              </w:rPr>
              <w:t>a Nevada limited liability company</w:t>
            </w:r>
          </w:p>
        </w:tc>
        <w:tc>
          <w:tcPr>
            <w:tcW w:w="6180" w:type="dxa"/>
            <w:vAlign w:val="bottom"/>
            <w:gridSpan w:val="2"/>
          </w:tcPr>
          <w:p>
            <w:pPr>
              <w:ind w:left="620"/>
              <w:spacing w:after="0"/>
              <w:rPr>
                <w:sz w:val="20"/>
                <w:szCs w:val="20"/>
                <w:color w:val="auto"/>
              </w:rPr>
            </w:pPr>
            <w:r>
              <w:rPr>
                <w:rFonts w:ascii="Arial" w:cs="Arial" w:eastAsia="Arial" w:hAnsi="Arial"/>
                <w:sz w:val="18"/>
                <w:szCs w:val="18"/>
                <w:color w:val="auto"/>
              </w:rPr>
              <w:t>a Nevada limited liability company</w:t>
            </w:r>
          </w:p>
        </w:tc>
      </w:tr>
      <w:tr>
        <w:trPr>
          <w:trHeight w:val="439"/>
        </w:trPr>
        <w:tc>
          <w:tcPr>
            <w:tcW w:w="5240" w:type="dxa"/>
            <w:vAlign w:val="bottom"/>
            <w:gridSpan w:val="3"/>
          </w:tcPr>
          <w:p>
            <w:pPr>
              <w:spacing w:after="0"/>
              <w:rPr>
                <w:sz w:val="20"/>
                <w:szCs w:val="20"/>
                <w:color w:val="auto"/>
              </w:rPr>
            </w:pPr>
            <w:r>
              <w:rPr>
                <w:rFonts w:ascii="Arial" w:cs="Arial" w:eastAsia="Arial" w:hAnsi="Arial"/>
                <w:sz w:val="18"/>
                <w:szCs w:val="18"/>
                <w:color w:val="auto"/>
              </w:rPr>
              <w:t>By: Wynn Las Vegas, LLC,</w:t>
            </w:r>
          </w:p>
        </w:tc>
        <w:tc>
          <w:tcPr>
            <w:tcW w:w="6180" w:type="dxa"/>
            <w:vAlign w:val="bottom"/>
            <w:gridSpan w:val="2"/>
          </w:tcPr>
          <w:p>
            <w:pPr>
              <w:ind w:left="620"/>
              <w:spacing w:after="0"/>
              <w:rPr>
                <w:sz w:val="20"/>
                <w:szCs w:val="20"/>
                <w:color w:val="auto"/>
              </w:rPr>
            </w:pPr>
            <w:r>
              <w:rPr>
                <w:rFonts w:ascii="Arial" w:cs="Arial" w:eastAsia="Arial" w:hAnsi="Arial"/>
                <w:sz w:val="18"/>
                <w:szCs w:val="18"/>
                <w:color w:val="auto"/>
              </w:rPr>
              <w:t>By:  Wynn Las Vegas, LLC,</w:t>
            </w:r>
          </w:p>
        </w:tc>
      </w:tr>
      <w:tr>
        <w:trPr>
          <w:trHeight w:val="216"/>
        </w:trPr>
        <w:tc>
          <w:tcPr>
            <w:tcW w:w="5240" w:type="dxa"/>
            <w:vAlign w:val="bottom"/>
            <w:gridSpan w:val="3"/>
          </w:tcPr>
          <w:p>
            <w:pPr>
              <w:ind w:left="360"/>
              <w:spacing w:after="0"/>
              <w:rPr>
                <w:sz w:val="20"/>
                <w:szCs w:val="20"/>
                <w:color w:val="auto"/>
              </w:rPr>
            </w:pPr>
            <w:r>
              <w:rPr>
                <w:rFonts w:ascii="Arial" w:cs="Arial" w:eastAsia="Arial" w:hAnsi="Arial"/>
                <w:sz w:val="18"/>
                <w:szCs w:val="18"/>
                <w:color w:val="auto"/>
              </w:rPr>
              <w:t>a Nevada limited liability company,</w:t>
            </w:r>
          </w:p>
        </w:tc>
        <w:tc>
          <w:tcPr>
            <w:tcW w:w="6180" w:type="dxa"/>
            <w:vAlign w:val="bottom"/>
            <w:gridSpan w:val="2"/>
          </w:tcPr>
          <w:p>
            <w:pPr>
              <w:ind w:left="100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5240" w:type="dxa"/>
            <w:vAlign w:val="bottom"/>
            <w:gridSpan w:val="3"/>
          </w:tcPr>
          <w:p>
            <w:pPr>
              <w:ind w:left="360"/>
              <w:spacing w:after="0"/>
              <w:rPr>
                <w:sz w:val="20"/>
                <w:szCs w:val="20"/>
                <w:color w:val="auto"/>
              </w:rPr>
            </w:pPr>
            <w:r>
              <w:rPr>
                <w:rFonts w:ascii="Arial" w:cs="Arial" w:eastAsia="Arial" w:hAnsi="Arial"/>
                <w:sz w:val="18"/>
                <w:szCs w:val="18"/>
                <w:color w:val="auto"/>
              </w:rPr>
              <w:t>its sole member</w:t>
            </w:r>
          </w:p>
        </w:tc>
        <w:tc>
          <w:tcPr>
            <w:tcW w:w="2200" w:type="dxa"/>
            <w:vAlign w:val="bottom"/>
          </w:tcPr>
          <w:p>
            <w:pPr>
              <w:ind w:left="1000"/>
              <w:spacing w:after="0"/>
              <w:rPr>
                <w:sz w:val="20"/>
                <w:szCs w:val="20"/>
                <w:color w:val="auto"/>
              </w:rPr>
            </w:pPr>
            <w:r>
              <w:rPr>
                <w:rFonts w:ascii="Arial" w:cs="Arial" w:eastAsia="Arial" w:hAnsi="Arial"/>
                <w:sz w:val="18"/>
                <w:szCs w:val="18"/>
                <w:color w:val="auto"/>
                <w:w w:val="92"/>
              </w:rPr>
              <w:t>its sole member</w:t>
            </w:r>
          </w:p>
        </w:tc>
        <w:tc>
          <w:tcPr>
            <w:tcW w:w="3980" w:type="dxa"/>
            <w:vAlign w:val="bottom"/>
          </w:tcPr>
          <w:p>
            <w:pPr>
              <w:spacing w:after="0"/>
              <w:rPr>
                <w:sz w:val="19"/>
                <w:szCs w:val="19"/>
                <w:color w:val="auto"/>
              </w:rPr>
            </w:pPr>
          </w:p>
        </w:tc>
      </w:tr>
      <w:tr>
        <w:trPr>
          <w:trHeight w:val="439"/>
        </w:trPr>
        <w:tc>
          <w:tcPr>
            <w:tcW w:w="5240" w:type="dxa"/>
            <w:vAlign w:val="bottom"/>
            <w:gridSpan w:val="3"/>
          </w:tcPr>
          <w:p>
            <w:pPr>
              <w:ind w:left="360"/>
              <w:spacing w:after="0"/>
              <w:rPr>
                <w:sz w:val="20"/>
                <w:szCs w:val="20"/>
                <w:color w:val="auto"/>
              </w:rPr>
            </w:pPr>
            <w:r>
              <w:rPr>
                <w:rFonts w:ascii="Arial" w:cs="Arial" w:eastAsia="Arial" w:hAnsi="Arial"/>
                <w:sz w:val="18"/>
                <w:szCs w:val="18"/>
                <w:color w:val="auto"/>
              </w:rPr>
              <w:t>By: Wynn Resorts Holdings, LLC,</w:t>
            </w:r>
          </w:p>
        </w:tc>
        <w:tc>
          <w:tcPr>
            <w:tcW w:w="6180" w:type="dxa"/>
            <w:vAlign w:val="bottom"/>
            <w:gridSpan w:val="2"/>
          </w:tcPr>
          <w:p>
            <w:pPr>
              <w:ind w:left="1000"/>
              <w:spacing w:after="0"/>
              <w:rPr>
                <w:sz w:val="20"/>
                <w:szCs w:val="20"/>
                <w:color w:val="auto"/>
              </w:rPr>
            </w:pPr>
            <w:r>
              <w:rPr>
                <w:rFonts w:ascii="Arial" w:cs="Arial" w:eastAsia="Arial" w:hAnsi="Arial"/>
                <w:sz w:val="18"/>
                <w:szCs w:val="18"/>
                <w:color w:val="auto"/>
              </w:rPr>
              <w:t>By:  Wynn Resorts Holdings, LLC,</w:t>
            </w:r>
          </w:p>
        </w:tc>
      </w:tr>
      <w:tr>
        <w:trPr>
          <w:trHeight w:val="216"/>
        </w:trPr>
        <w:tc>
          <w:tcPr>
            <w:tcW w:w="5240" w:type="dxa"/>
            <w:vAlign w:val="bottom"/>
            <w:gridSpan w:val="3"/>
          </w:tcPr>
          <w:p>
            <w:pPr>
              <w:ind w:left="720"/>
              <w:spacing w:after="0"/>
              <w:rPr>
                <w:sz w:val="20"/>
                <w:szCs w:val="20"/>
                <w:color w:val="auto"/>
              </w:rPr>
            </w:pPr>
            <w:r>
              <w:rPr>
                <w:rFonts w:ascii="Arial" w:cs="Arial" w:eastAsia="Arial" w:hAnsi="Arial"/>
                <w:sz w:val="18"/>
                <w:szCs w:val="18"/>
                <w:color w:val="auto"/>
              </w:rPr>
              <w:t>a Nevada limited liability company,</w:t>
            </w:r>
          </w:p>
        </w:tc>
        <w:tc>
          <w:tcPr>
            <w:tcW w:w="6180" w:type="dxa"/>
            <w:vAlign w:val="bottom"/>
            <w:gridSpan w:val="2"/>
          </w:tcPr>
          <w:p>
            <w:pPr>
              <w:ind w:left="136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5240" w:type="dxa"/>
            <w:vAlign w:val="bottom"/>
            <w:gridSpan w:val="3"/>
          </w:tcPr>
          <w:p>
            <w:pPr>
              <w:ind w:left="720"/>
              <w:spacing w:after="0"/>
              <w:rPr>
                <w:sz w:val="20"/>
                <w:szCs w:val="20"/>
                <w:color w:val="auto"/>
              </w:rPr>
            </w:pPr>
            <w:r>
              <w:rPr>
                <w:rFonts w:ascii="Arial" w:cs="Arial" w:eastAsia="Arial" w:hAnsi="Arial"/>
                <w:sz w:val="18"/>
                <w:szCs w:val="18"/>
                <w:color w:val="auto"/>
              </w:rPr>
              <w:t>its sole member</w:t>
            </w:r>
          </w:p>
        </w:tc>
        <w:tc>
          <w:tcPr>
            <w:tcW w:w="6180" w:type="dxa"/>
            <w:vAlign w:val="bottom"/>
            <w:gridSpan w:val="2"/>
          </w:tcPr>
          <w:p>
            <w:pPr>
              <w:ind w:left="1360"/>
              <w:spacing w:after="0"/>
              <w:rPr>
                <w:sz w:val="20"/>
                <w:szCs w:val="20"/>
                <w:color w:val="auto"/>
              </w:rPr>
            </w:pPr>
            <w:r>
              <w:rPr>
                <w:rFonts w:ascii="Arial" w:cs="Arial" w:eastAsia="Arial" w:hAnsi="Arial"/>
                <w:sz w:val="18"/>
                <w:szCs w:val="18"/>
                <w:color w:val="auto"/>
              </w:rPr>
              <w:t>its sole member</w:t>
            </w:r>
          </w:p>
        </w:tc>
      </w:tr>
      <w:tr>
        <w:trPr>
          <w:trHeight w:val="439"/>
        </w:trPr>
        <w:tc>
          <w:tcPr>
            <w:tcW w:w="5240" w:type="dxa"/>
            <w:vAlign w:val="bottom"/>
            <w:gridSpan w:val="3"/>
          </w:tcPr>
          <w:p>
            <w:pPr>
              <w:ind w:left="360"/>
              <w:spacing w:after="0"/>
              <w:rPr>
                <w:sz w:val="20"/>
                <w:szCs w:val="20"/>
                <w:color w:val="auto"/>
              </w:rPr>
            </w:pPr>
            <w:r>
              <w:rPr>
                <w:rFonts w:ascii="Arial" w:cs="Arial" w:eastAsia="Arial" w:hAnsi="Arial"/>
                <w:sz w:val="18"/>
                <w:szCs w:val="18"/>
                <w:color w:val="auto"/>
              </w:rPr>
              <w:t>By: Wynn Resorts, Limited, a</w:t>
            </w:r>
          </w:p>
        </w:tc>
        <w:tc>
          <w:tcPr>
            <w:tcW w:w="6180" w:type="dxa"/>
            <w:vAlign w:val="bottom"/>
            <w:gridSpan w:val="2"/>
          </w:tcPr>
          <w:p>
            <w:pPr>
              <w:ind w:left="1360"/>
              <w:spacing w:after="0"/>
              <w:rPr>
                <w:sz w:val="20"/>
                <w:szCs w:val="20"/>
                <w:color w:val="auto"/>
              </w:rPr>
            </w:pPr>
            <w:r>
              <w:rPr>
                <w:rFonts w:ascii="Arial" w:cs="Arial" w:eastAsia="Arial" w:hAnsi="Arial"/>
                <w:sz w:val="18"/>
                <w:szCs w:val="18"/>
                <w:color w:val="auto"/>
              </w:rPr>
              <w:t>By:  Wynn Resorts, Limited,</w:t>
            </w:r>
          </w:p>
        </w:tc>
      </w:tr>
      <w:tr>
        <w:trPr>
          <w:trHeight w:val="216"/>
        </w:trPr>
        <w:tc>
          <w:tcPr>
            <w:tcW w:w="5240" w:type="dxa"/>
            <w:vAlign w:val="bottom"/>
            <w:gridSpan w:val="3"/>
          </w:tcPr>
          <w:p>
            <w:pPr>
              <w:ind w:left="720"/>
              <w:spacing w:after="0"/>
              <w:rPr>
                <w:sz w:val="20"/>
                <w:szCs w:val="20"/>
                <w:color w:val="auto"/>
              </w:rPr>
            </w:pPr>
            <w:r>
              <w:rPr>
                <w:rFonts w:ascii="Arial" w:cs="Arial" w:eastAsia="Arial" w:hAnsi="Arial"/>
                <w:sz w:val="18"/>
                <w:szCs w:val="18"/>
                <w:color w:val="auto"/>
              </w:rPr>
              <w:t>Nevada corporation, its sole</w:t>
            </w:r>
          </w:p>
        </w:tc>
        <w:tc>
          <w:tcPr>
            <w:tcW w:w="6180" w:type="dxa"/>
            <w:vAlign w:val="bottom"/>
            <w:gridSpan w:val="2"/>
          </w:tcPr>
          <w:p>
            <w:pPr>
              <w:ind w:left="1720"/>
              <w:spacing w:after="0"/>
              <w:rPr>
                <w:sz w:val="20"/>
                <w:szCs w:val="20"/>
                <w:color w:val="auto"/>
              </w:rPr>
            </w:pPr>
            <w:r>
              <w:rPr>
                <w:rFonts w:ascii="Arial" w:cs="Arial" w:eastAsia="Arial" w:hAnsi="Arial"/>
                <w:sz w:val="18"/>
                <w:szCs w:val="18"/>
                <w:color w:val="auto"/>
              </w:rPr>
              <w:t>a Nevada corporation,</w:t>
            </w:r>
          </w:p>
        </w:tc>
      </w:tr>
      <w:tr>
        <w:trPr>
          <w:trHeight w:val="222"/>
        </w:trPr>
        <w:tc>
          <w:tcPr>
            <w:tcW w:w="1280" w:type="dxa"/>
            <w:vAlign w:val="bottom"/>
            <w:gridSpan w:val="2"/>
          </w:tcPr>
          <w:p>
            <w:pPr>
              <w:ind w:left="720"/>
              <w:spacing w:after="0"/>
              <w:rPr>
                <w:sz w:val="20"/>
                <w:szCs w:val="20"/>
                <w:color w:val="auto"/>
              </w:rPr>
            </w:pPr>
            <w:r>
              <w:rPr>
                <w:rFonts w:ascii="Arial" w:cs="Arial" w:eastAsia="Arial" w:hAnsi="Arial"/>
                <w:sz w:val="18"/>
                <w:szCs w:val="18"/>
                <w:color w:val="auto"/>
                <w:w w:val="81"/>
              </w:rPr>
              <w:t>member</w:t>
            </w:r>
          </w:p>
        </w:tc>
        <w:tc>
          <w:tcPr>
            <w:tcW w:w="3960" w:type="dxa"/>
            <w:vAlign w:val="bottom"/>
          </w:tcPr>
          <w:p>
            <w:pPr>
              <w:spacing w:after="0"/>
              <w:rPr>
                <w:sz w:val="19"/>
                <w:szCs w:val="19"/>
                <w:color w:val="auto"/>
              </w:rPr>
            </w:pPr>
          </w:p>
        </w:tc>
        <w:tc>
          <w:tcPr>
            <w:tcW w:w="6180" w:type="dxa"/>
            <w:vAlign w:val="bottom"/>
            <w:gridSpan w:val="2"/>
          </w:tcPr>
          <w:p>
            <w:pPr>
              <w:ind w:left="1720"/>
              <w:spacing w:after="0"/>
              <w:rPr>
                <w:sz w:val="20"/>
                <w:szCs w:val="20"/>
                <w:color w:val="auto"/>
              </w:rPr>
            </w:pPr>
            <w:r>
              <w:rPr>
                <w:rFonts w:ascii="Arial" w:cs="Arial" w:eastAsia="Arial" w:hAnsi="Arial"/>
                <w:sz w:val="18"/>
                <w:szCs w:val="18"/>
                <w:color w:val="auto"/>
              </w:rPr>
              <w:t>its sole member</w:t>
            </w:r>
          </w:p>
        </w:tc>
      </w:tr>
      <w:tr>
        <w:trPr>
          <w:trHeight w:val="448"/>
        </w:trPr>
        <w:tc>
          <w:tcPr>
            <w:tcW w:w="1280" w:type="dxa"/>
            <w:vAlign w:val="bottom"/>
            <w:gridSpan w:val="2"/>
          </w:tcPr>
          <w:p>
            <w:pPr>
              <w:ind w:left="720"/>
              <w:spacing w:after="0"/>
              <w:rPr>
                <w:sz w:val="20"/>
                <w:szCs w:val="20"/>
                <w:color w:val="auto"/>
              </w:rPr>
            </w:pPr>
            <w:r>
              <w:rPr>
                <w:rFonts w:ascii="Arial" w:cs="Arial" w:eastAsia="Arial" w:hAnsi="Arial"/>
                <w:sz w:val="18"/>
                <w:szCs w:val="18"/>
                <w:color w:val="auto"/>
              </w:rPr>
              <w:t>By:</w:t>
            </w:r>
          </w:p>
        </w:tc>
        <w:tc>
          <w:tcPr>
            <w:tcW w:w="3960" w:type="dxa"/>
            <w:vAlign w:val="bottom"/>
          </w:tcPr>
          <w:p>
            <w:pPr>
              <w:ind w:left="20"/>
              <w:spacing w:after="0"/>
              <w:rPr>
                <w:sz w:val="20"/>
                <w:szCs w:val="20"/>
                <w:color w:val="auto"/>
              </w:rPr>
            </w:pPr>
            <w:r>
              <w:rPr>
                <w:rFonts w:ascii="Arial" w:cs="Arial" w:eastAsia="Arial" w:hAnsi="Arial"/>
                <w:sz w:val="18"/>
                <w:szCs w:val="18"/>
                <w:color w:val="auto"/>
              </w:rPr>
              <w:t>/s/ Marc Schorr</w:t>
            </w:r>
          </w:p>
        </w:tc>
        <w:tc>
          <w:tcPr>
            <w:tcW w:w="2200" w:type="dxa"/>
            <w:vAlign w:val="bottom"/>
          </w:tcPr>
          <w:p>
            <w:pPr>
              <w:ind w:left="1720"/>
              <w:spacing w:after="0"/>
              <w:rPr>
                <w:sz w:val="20"/>
                <w:szCs w:val="20"/>
                <w:color w:val="auto"/>
              </w:rPr>
            </w:pPr>
            <w:r>
              <w:rPr>
                <w:rFonts w:ascii="Arial" w:cs="Arial" w:eastAsia="Arial" w:hAnsi="Arial"/>
                <w:sz w:val="18"/>
                <w:szCs w:val="18"/>
                <w:color w:val="auto"/>
              </w:rPr>
              <w:t>By:</w:t>
            </w:r>
          </w:p>
        </w:tc>
        <w:tc>
          <w:tcPr>
            <w:tcW w:w="3980" w:type="dxa"/>
            <w:vAlign w:val="bottom"/>
          </w:tcPr>
          <w:p>
            <w:pPr>
              <w:ind w:left="100"/>
              <w:spacing w:after="0"/>
              <w:rPr>
                <w:sz w:val="20"/>
                <w:szCs w:val="20"/>
                <w:color w:val="auto"/>
              </w:rPr>
            </w:pPr>
            <w:r>
              <w:rPr>
                <w:rFonts w:ascii="Arial" w:cs="Arial" w:eastAsia="Arial" w:hAnsi="Arial"/>
                <w:sz w:val="18"/>
                <w:szCs w:val="18"/>
                <w:color w:val="auto"/>
              </w:rPr>
              <w:t>/s/ Marc Schorr</w:t>
            </w:r>
          </w:p>
        </w:tc>
      </w:tr>
      <w:tr>
        <w:trPr>
          <w:trHeight w:val="210"/>
        </w:trPr>
        <w:tc>
          <w:tcPr>
            <w:tcW w:w="1180" w:type="dxa"/>
            <w:vAlign w:val="bottom"/>
          </w:tcPr>
          <w:p>
            <w:pPr>
              <w:ind w:left="720"/>
              <w:spacing w:after="0"/>
              <w:rPr>
                <w:sz w:val="20"/>
                <w:szCs w:val="20"/>
                <w:color w:val="auto"/>
              </w:rPr>
            </w:pPr>
            <w:r>
              <w:rPr>
                <w:rFonts w:ascii="Arial" w:cs="Arial" w:eastAsia="Arial" w:hAnsi="Arial"/>
                <w:sz w:val="18"/>
                <w:szCs w:val="18"/>
                <w:color w:val="auto"/>
                <w:w w:val="82"/>
              </w:rPr>
              <w:t>Name:</w:t>
            </w:r>
          </w:p>
        </w:tc>
        <w:tc>
          <w:tcPr>
            <w:tcW w:w="100" w:type="dxa"/>
            <w:vAlign w:val="bottom"/>
            <w:tcBorders>
              <w:top w:val="single" w:sz="8" w:color="auto"/>
              <w:bottom w:val="single" w:sz="8" w:color="auto"/>
            </w:tcBorders>
          </w:tcPr>
          <w:p>
            <w:pPr>
              <w:spacing w:after="0"/>
              <w:rPr>
                <w:sz w:val="18"/>
                <w:szCs w:val="18"/>
                <w:color w:val="auto"/>
              </w:rPr>
            </w:pPr>
          </w:p>
        </w:tc>
        <w:tc>
          <w:tcPr>
            <w:tcW w:w="3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Marc Schorr</w:t>
            </w:r>
          </w:p>
        </w:tc>
        <w:tc>
          <w:tcPr>
            <w:tcW w:w="2200" w:type="dxa"/>
            <w:vAlign w:val="bottom"/>
          </w:tcPr>
          <w:p>
            <w:pPr>
              <w:ind w:left="1720"/>
              <w:spacing w:after="0"/>
              <w:rPr>
                <w:sz w:val="20"/>
                <w:szCs w:val="20"/>
                <w:color w:val="auto"/>
              </w:rPr>
            </w:pPr>
            <w:r>
              <w:rPr>
                <w:rFonts w:ascii="Arial" w:cs="Arial" w:eastAsia="Arial" w:hAnsi="Arial"/>
                <w:sz w:val="18"/>
                <w:szCs w:val="18"/>
                <w:color w:val="auto"/>
                <w:w w:val="86"/>
              </w:rPr>
              <w:t>Name:</w:t>
            </w:r>
          </w:p>
        </w:tc>
        <w:tc>
          <w:tcPr>
            <w:tcW w:w="39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Marc Schorr</w:t>
            </w:r>
          </w:p>
        </w:tc>
      </w:tr>
      <w:tr>
        <w:trPr>
          <w:trHeight w:val="210"/>
        </w:trPr>
        <w:tc>
          <w:tcPr>
            <w:tcW w:w="1180" w:type="dxa"/>
            <w:vAlign w:val="bottom"/>
          </w:tcPr>
          <w:p>
            <w:pPr>
              <w:ind w:left="720"/>
              <w:spacing w:after="0"/>
              <w:rPr>
                <w:sz w:val="20"/>
                <w:szCs w:val="20"/>
                <w:color w:val="auto"/>
              </w:rPr>
            </w:pPr>
            <w:r>
              <w:rPr>
                <w:rFonts w:ascii="Arial" w:cs="Arial" w:eastAsia="Arial" w:hAnsi="Arial"/>
                <w:sz w:val="18"/>
                <w:szCs w:val="18"/>
                <w:color w:val="auto"/>
              </w:rPr>
              <w:t>Title:</w:t>
            </w:r>
          </w:p>
        </w:tc>
        <w:tc>
          <w:tcPr>
            <w:tcW w:w="10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Chief Operating Officer</w:t>
            </w:r>
          </w:p>
        </w:tc>
        <w:tc>
          <w:tcPr>
            <w:tcW w:w="2200" w:type="dxa"/>
            <w:vAlign w:val="bottom"/>
          </w:tcPr>
          <w:p>
            <w:pPr>
              <w:ind w:left="1720"/>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Chief Operating Officer</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First Amendment to Credit Agreement]</w:t>
      </w:r>
    </w:p>
    <w:p>
      <w:pPr>
        <w:sectPr>
          <w:pgSz w:w="11900" w:h="16838" w:orient="portrait"/>
          <w:cols w:equalWidth="0" w:num="1">
            <w:col w:w="11420"/>
          </w:cols>
          <w:pgMar w:left="240" w:top="280" w:right="2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color w:val="auto"/>
        </w:rPr>
        <w:t>LAS VEGAS JET,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SHOW PERFORMERS,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-205105</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00" w:lineRule="exact"/>
        <w:rPr>
          <w:sz w:val="20"/>
          <w:szCs w:val="20"/>
          <w:color w:val="auto"/>
        </w:rPr>
      </w:pPr>
    </w:p>
    <w:p>
      <w:pPr>
        <w:sectPr>
          <w:pgSz w:w="11900" w:h="16838" w:orient="portrait"/>
          <w:cols w:equalWidth="0" w:num="2">
            <w:col w:w="5240" w:space="720"/>
            <w:col w:w="5460"/>
          </w:cols>
          <w:pgMar w:left="240" w:top="280" w:right="239" w:bottom="1440"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Wynn Las Vegas, LLC,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By:  Wynn Las Vegas, LLC,</w:t>
      </w:r>
    </w:p>
    <w:p>
      <w:pPr>
        <w:spacing w:after="0" w:line="38" w:lineRule="exact"/>
        <w:rPr>
          <w:sz w:val="20"/>
          <w:szCs w:val="20"/>
          <w:color w:val="auto"/>
        </w:rPr>
      </w:pPr>
    </w:p>
    <w:p>
      <w:pPr>
        <w:sectPr>
          <w:pgSz w:w="11900" w:h="16838" w:orient="portrait"/>
          <w:cols w:equalWidth="0" w:num="3">
            <w:col w:w="260" w:space="320"/>
            <w:col w:w="4660" w:space="720"/>
            <w:col w:w="5460"/>
          </w:cols>
          <w:pgMar w:left="240" w:top="280" w:right="23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its sole 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5600" w:space="720"/>
            <w:col w:w="5100"/>
          </w:cols>
          <w:pgMar w:left="240" w:top="280" w:right="239" w:bottom="1440" w:gutter="0" w:footer="0" w:header="0"/>
          <w:type w:val="continuous"/>
        </w:sectPr>
      </w:pP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Wynn Resorts Holdings, LLC,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By:  Wynn Resorts Holdings, LLC,</w:t>
      </w:r>
    </w:p>
    <w:p>
      <w:pPr>
        <w:spacing w:after="0" w:line="38" w:lineRule="exact"/>
        <w:rPr>
          <w:sz w:val="20"/>
          <w:szCs w:val="20"/>
          <w:color w:val="auto"/>
        </w:rPr>
      </w:pPr>
    </w:p>
    <w:p>
      <w:pPr>
        <w:sectPr>
          <w:pgSz w:w="11900" w:h="16838" w:orient="portrait"/>
          <w:cols w:equalWidth="0" w:num="3">
            <w:col w:w="820" w:space="100"/>
            <w:col w:w="4680" w:space="720"/>
            <w:col w:w="5100"/>
          </w:cols>
          <w:pgMar w:left="240" w:top="280" w:right="239" w:bottom="1440" w:gutter="0" w:footer="0" w:header="0"/>
          <w:type w:val="continuous"/>
        </w:sectPr>
      </w:pPr>
    </w:p>
    <w:tbl>
      <w:tblPr>
        <w:tblLayout w:type="fixed"/>
        <w:tblInd w:w="920" w:type="dxa"/>
        <w:tblCellMar>
          <w:top w:w="0" w:type="dxa"/>
          <w:left w:w="0" w:type="dxa"/>
          <w:bottom w:w="0" w:type="dxa"/>
          <w:right w:w="0" w:type="dxa"/>
        </w:tblCellMar>
      </w:tblPr>
      <w:tr>
        <w:trPr>
          <w:trHeight w:val="210"/>
        </w:trPr>
        <w:tc>
          <w:tcPr>
            <w:tcW w:w="4420" w:type="dxa"/>
            <w:vAlign w:val="bottom"/>
            <w:gridSpan w:val="2"/>
          </w:tcPr>
          <w:p>
            <w:pPr>
              <w:spacing w:after="0"/>
              <w:rPr>
                <w:sz w:val="20"/>
                <w:szCs w:val="20"/>
                <w:color w:val="auto"/>
              </w:rPr>
            </w:pPr>
            <w:r>
              <w:rPr>
                <w:rFonts w:ascii="Arial" w:cs="Arial" w:eastAsia="Arial" w:hAnsi="Arial"/>
                <w:sz w:val="18"/>
                <w:szCs w:val="18"/>
                <w:color w:val="auto"/>
              </w:rPr>
              <w:t>a Nevada limited liability</w:t>
            </w:r>
          </w:p>
        </w:tc>
        <w:tc>
          <w:tcPr>
            <w:tcW w:w="6080" w:type="dxa"/>
            <w:vAlign w:val="bottom"/>
            <w:gridSpan w:val="2"/>
          </w:tcPr>
          <w:p>
            <w:pPr>
              <w:ind w:left="1360"/>
              <w:spacing w:after="0"/>
              <w:rPr>
                <w:sz w:val="20"/>
                <w:szCs w:val="20"/>
                <w:color w:val="auto"/>
              </w:rPr>
            </w:pPr>
            <w:r>
              <w:rPr>
                <w:rFonts w:ascii="Arial" w:cs="Arial" w:eastAsia="Arial" w:hAnsi="Arial"/>
                <w:sz w:val="18"/>
                <w:szCs w:val="18"/>
                <w:color w:val="auto"/>
              </w:rPr>
              <w:t>a Nevada limited liability company, its sole</w:t>
            </w: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company, its sole member</w:t>
            </w:r>
          </w:p>
        </w:tc>
        <w:tc>
          <w:tcPr>
            <w:tcW w:w="2200" w:type="dxa"/>
            <w:vAlign w:val="bottom"/>
          </w:tcPr>
          <w:p>
            <w:pPr>
              <w:ind w:left="1360"/>
              <w:spacing w:after="0"/>
              <w:rPr>
                <w:sz w:val="20"/>
                <w:szCs w:val="20"/>
                <w:color w:val="auto"/>
              </w:rPr>
            </w:pPr>
            <w:r>
              <w:rPr>
                <w:rFonts w:ascii="Arial" w:cs="Arial" w:eastAsia="Arial" w:hAnsi="Arial"/>
                <w:sz w:val="18"/>
                <w:szCs w:val="18"/>
                <w:color w:val="auto"/>
              </w:rPr>
              <w:t>member</w:t>
            </w:r>
          </w:p>
        </w:tc>
        <w:tc>
          <w:tcPr>
            <w:tcW w:w="3880" w:type="dxa"/>
            <w:vAlign w:val="bottom"/>
          </w:tcPr>
          <w:p>
            <w:pPr>
              <w:spacing w:after="0"/>
              <w:rPr>
                <w:sz w:val="19"/>
                <w:szCs w:val="19"/>
                <w:color w:val="auto"/>
              </w:rPr>
            </w:pPr>
          </w:p>
        </w:tc>
      </w:tr>
      <w:tr>
        <w:trPr>
          <w:trHeight w:val="439"/>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Pr>
          <w:p>
            <w:pPr>
              <w:ind w:left="100"/>
              <w:spacing w:after="0"/>
              <w:rPr>
                <w:sz w:val="20"/>
                <w:szCs w:val="20"/>
                <w:color w:val="auto"/>
              </w:rPr>
            </w:pPr>
            <w:r>
              <w:rPr>
                <w:rFonts w:ascii="Arial" w:cs="Arial" w:eastAsia="Arial" w:hAnsi="Arial"/>
                <w:sz w:val="18"/>
                <w:szCs w:val="18"/>
                <w:color w:val="auto"/>
              </w:rPr>
              <w:t>Wynn Resorts, Limited, a</w:t>
            </w:r>
          </w:p>
        </w:tc>
        <w:tc>
          <w:tcPr>
            <w:tcW w:w="6080" w:type="dxa"/>
            <w:vAlign w:val="bottom"/>
            <w:gridSpan w:val="2"/>
          </w:tcPr>
          <w:p>
            <w:pPr>
              <w:ind w:left="1360"/>
              <w:spacing w:after="0"/>
              <w:rPr>
                <w:sz w:val="20"/>
                <w:szCs w:val="20"/>
                <w:color w:val="auto"/>
              </w:rPr>
            </w:pPr>
            <w:r>
              <w:rPr>
                <w:rFonts w:ascii="Arial" w:cs="Arial" w:eastAsia="Arial" w:hAnsi="Arial"/>
                <w:sz w:val="18"/>
                <w:szCs w:val="18"/>
                <w:color w:val="auto"/>
              </w:rPr>
              <w:t>By:  Wynn Resorts, Limited, a Nevada</w:t>
            </w:r>
          </w:p>
        </w:tc>
      </w:tr>
      <w:tr>
        <w:trPr>
          <w:trHeight w:val="216"/>
        </w:trPr>
        <w:tc>
          <w:tcPr>
            <w:tcW w:w="480" w:type="dxa"/>
            <w:vAlign w:val="bottom"/>
          </w:tcPr>
          <w:p>
            <w:pPr>
              <w:spacing w:after="0"/>
              <w:rPr>
                <w:sz w:val="18"/>
                <w:szCs w:val="18"/>
                <w:color w:val="auto"/>
              </w:rPr>
            </w:pPr>
          </w:p>
        </w:tc>
        <w:tc>
          <w:tcPr>
            <w:tcW w:w="3940" w:type="dxa"/>
            <w:vAlign w:val="bottom"/>
          </w:tcPr>
          <w:p>
            <w:pPr>
              <w:ind w:left="100"/>
              <w:spacing w:after="0"/>
              <w:rPr>
                <w:sz w:val="20"/>
                <w:szCs w:val="20"/>
                <w:color w:val="auto"/>
              </w:rPr>
            </w:pPr>
            <w:r>
              <w:rPr>
                <w:rFonts w:ascii="Arial" w:cs="Arial" w:eastAsia="Arial" w:hAnsi="Arial"/>
                <w:sz w:val="18"/>
                <w:szCs w:val="18"/>
                <w:color w:val="auto"/>
              </w:rPr>
              <w:t>Nevada corporation, its sole</w:t>
            </w:r>
          </w:p>
        </w:tc>
        <w:tc>
          <w:tcPr>
            <w:tcW w:w="6080" w:type="dxa"/>
            <w:vAlign w:val="bottom"/>
            <w:gridSpan w:val="2"/>
          </w:tcPr>
          <w:p>
            <w:pPr>
              <w:ind w:left="1720"/>
              <w:spacing w:after="0"/>
              <w:rPr>
                <w:sz w:val="20"/>
                <w:szCs w:val="20"/>
                <w:color w:val="auto"/>
              </w:rPr>
            </w:pPr>
            <w:r>
              <w:rPr>
                <w:rFonts w:ascii="Arial" w:cs="Arial" w:eastAsia="Arial" w:hAnsi="Arial"/>
                <w:sz w:val="18"/>
                <w:szCs w:val="18"/>
                <w:color w:val="auto"/>
              </w:rPr>
              <w:t>corporation, its sole member</w:t>
            </w:r>
          </w:p>
        </w:tc>
      </w:tr>
      <w:tr>
        <w:trPr>
          <w:trHeight w:val="222"/>
        </w:trPr>
        <w:tc>
          <w:tcPr>
            <w:tcW w:w="480" w:type="dxa"/>
            <w:vAlign w:val="bottom"/>
          </w:tcPr>
          <w:p>
            <w:pPr>
              <w:spacing w:after="0"/>
              <w:rPr>
                <w:sz w:val="19"/>
                <w:szCs w:val="19"/>
                <w:color w:val="auto"/>
              </w:rPr>
            </w:pPr>
          </w:p>
        </w:tc>
        <w:tc>
          <w:tcPr>
            <w:tcW w:w="3940" w:type="dxa"/>
            <w:vAlign w:val="bottom"/>
          </w:tcPr>
          <w:p>
            <w:pPr>
              <w:ind w:left="100"/>
              <w:spacing w:after="0"/>
              <w:rPr>
                <w:sz w:val="20"/>
                <w:szCs w:val="20"/>
                <w:color w:val="auto"/>
              </w:rPr>
            </w:pPr>
            <w:r>
              <w:rPr>
                <w:rFonts w:ascii="Arial" w:cs="Arial" w:eastAsia="Arial" w:hAnsi="Arial"/>
                <w:sz w:val="18"/>
                <w:szCs w:val="18"/>
                <w:color w:val="auto"/>
              </w:rPr>
              <w:t>member</w:t>
            </w:r>
          </w:p>
        </w:tc>
        <w:tc>
          <w:tcPr>
            <w:tcW w:w="2200" w:type="dxa"/>
            <w:vAlign w:val="bottom"/>
          </w:tcPr>
          <w:p>
            <w:pPr>
              <w:spacing w:after="0"/>
              <w:rPr>
                <w:sz w:val="19"/>
                <w:szCs w:val="19"/>
                <w:color w:val="auto"/>
              </w:rPr>
            </w:pPr>
          </w:p>
        </w:tc>
        <w:tc>
          <w:tcPr>
            <w:tcW w:w="3880" w:type="dxa"/>
            <w:vAlign w:val="bottom"/>
          </w:tcPr>
          <w:p>
            <w:pPr>
              <w:spacing w:after="0"/>
              <w:rPr>
                <w:sz w:val="19"/>
                <w:szCs w:val="19"/>
                <w:color w:val="auto"/>
              </w:rPr>
            </w:pPr>
          </w:p>
        </w:tc>
      </w:tr>
      <w:tr>
        <w:trPr>
          <w:trHeight w:val="4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Schorr</w:t>
            </w:r>
          </w:p>
        </w:tc>
        <w:tc>
          <w:tcPr>
            <w:tcW w:w="2200" w:type="dxa"/>
            <w:vAlign w:val="bottom"/>
          </w:tcPr>
          <w:p>
            <w:pPr>
              <w:ind w:left="172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Schorr</w:t>
            </w:r>
          </w:p>
        </w:tc>
      </w:tr>
      <w:tr>
        <w:trPr>
          <w:trHeight w:val="210"/>
        </w:trPr>
        <w:tc>
          <w:tcPr>
            <w:tcW w:w="480" w:type="dxa"/>
            <w:vAlign w:val="bottom"/>
          </w:tcPr>
          <w:p>
            <w:pPr>
              <w:spacing w:after="0"/>
              <w:rPr>
                <w:sz w:val="20"/>
                <w:szCs w:val="20"/>
                <w:color w:val="auto"/>
              </w:rPr>
            </w:pPr>
            <w:r>
              <w:rPr>
                <w:rFonts w:ascii="Arial" w:cs="Arial" w:eastAsia="Arial" w:hAnsi="Arial"/>
                <w:sz w:val="18"/>
                <w:szCs w:val="18"/>
                <w:color w:val="auto"/>
                <w:w w:val="86"/>
              </w:rPr>
              <w:t>Name:</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 Schorr</w:t>
            </w:r>
          </w:p>
        </w:tc>
        <w:tc>
          <w:tcPr>
            <w:tcW w:w="2200" w:type="dxa"/>
            <w:vAlign w:val="bottom"/>
          </w:tcPr>
          <w:p>
            <w:pPr>
              <w:ind w:left="1720"/>
              <w:spacing w:after="0"/>
              <w:rPr>
                <w:sz w:val="20"/>
                <w:szCs w:val="20"/>
                <w:color w:val="auto"/>
              </w:rPr>
            </w:pPr>
            <w:r>
              <w:rPr>
                <w:rFonts w:ascii="Arial" w:cs="Arial" w:eastAsia="Arial" w:hAnsi="Arial"/>
                <w:sz w:val="18"/>
                <w:szCs w:val="18"/>
                <w:color w:val="auto"/>
                <w:w w:val="86"/>
              </w:rPr>
              <w:t>Name:</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 Schorr</w:t>
            </w:r>
          </w:p>
        </w:tc>
      </w:tr>
      <w:tr>
        <w:trPr>
          <w:trHeight w:val="21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Chief Operating Officer</w:t>
            </w:r>
          </w:p>
        </w:tc>
        <w:tc>
          <w:tcPr>
            <w:tcW w:w="2200" w:type="dxa"/>
            <w:vAlign w:val="bottom"/>
          </w:tcPr>
          <w:p>
            <w:pPr>
              <w:ind w:left="1720"/>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Chief Operating Officer</w:t>
            </w: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WYNN LAS VEGAS CAPITAL CORP.,</w:t>
            </w:r>
          </w:p>
        </w:tc>
        <w:tc>
          <w:tcPr>
            <w:tcW w:w="2200" w:type="dxa"/>
            <w:vAlign w:val="bottom"/>
          </w:tcPr>
          <w:p>
            <w:pPr>
              <w:ind w:left="620"/>
              <w:spacing w:after="0"/>
              <w:rPr>
                <w:sz w:val="20"/>
                <w:szCs w:val="20"/>
                <w:color w:val="auto"/>
              </w:rPr>
            </w:pPr>
            <w:r>
              <w:rPr>
                <w:rFonts w:ascii="Arial" w:cs="Arial" w:eastAsia="Arial" w:hAnsi="Arial"/>
                <w:sz w:val="18"/>
                <w:szCs w:val="18"/>
                <w:color w:val="auto"/>
              </w:rPr>
              <w:t>KEVYN, LLC,</w:t>
            </w:r>
          </w:p>
        </w:tc>
        <w:tc>
          <w:tcPr>
            <w:tcW w:w="3880" w:type="dxa"/>
            <w:vAlign w:val="bottom"/>
          </w:tcPr>
          <w:p>
            <w:pPr>
              <w:spacing w:after="0"/>
              <w:rPr>
                <w:sz w:val="18"/>
                <w:szCs w:val="18"/>
                <w:color w:val="auto"/>
              </w:rPr>
            </w:pPr>
          </w:p>
        </w:tc>
      </w:tr>
      <w:tr>
        <w:trPr>
          <w:trHeight w:val="222"/>
        </w:trPr>
        <w:tc>
          <w:tcPr>
            <w:tcW w:w="5340" w:type="dxa"/>
            <w:vAlign w:val="bottom"/>
            <w:gridSpan w:val="2"/>
          </w:tcPr>
          <w:p>
            <w:pPr>
              <w:spacing w:after="0"/>
              <w:rPr>
                <w:sz w:val="20"/>
                <w:szCs w:val="20"/>
                <w:color w:val="auto"/>
              </w:rPr>
            </w:pPr>
            <w:r>
              <w:rPr>
                <w:rFonts w:ascii="Arial" w:cs="Arial" w:eastAsia="Arial" w:hAnsi="Arial"/>
                <w:sz w:val="18"/>
                <w:szCs w:val="18"/>
                <w:color w:val="auto"/>
              </w:rPr>
              <w:t>a Nevada corporation</w:t>
            </w:r>
          </w:p>
        </w:tc>
        <w:tc>
          <w:tcPr>
            <w:tcW w:w="6080" w:type="dxa"/>
            <w:vAlign w:val="bottom"/>
            <w:gridSpan w:val="2"/>
          </w:tcPr>
          <w:p>
            <w:pPr>
              <w:ind w:left="620"/>
              <w:spacing w:after="0"/>
              <w:rPr>
                <w:sz w:val="20"/>
                <w:szCs w:val="20"/>
                <w:color w:val="auto"/>
              </w:rPr>
            </w:pPr>
            <w:r>
              <w:rPr>
                <w:rFonts w:ascii="Arial" w:cs="Arial" w:eastAsia="Arial" w:hAnsi="Arial"/>
                <w:sz w:val="18"/>
                <w:szCs w:val="18"/>
                <w:color w:val="auto"/>
              </w:rPr>
              <w:t>a Nevada limited liability company</w:t>
            </w:r>
          </w:p>
        </w:tc>
      </w:tr>
      <w:tr>
        <w:trPr>
          <w:trHeight w:val="446"/>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Schorr</w:t>
            </w:r>
          </w:p>
        </w:tc>
        <w:tc>
          <w:tcPr>
            <w:tcW w:w="6080" w:type="dxa"/>
            <w:vAlign w:val="bottom"/>
            <w:gridSpan w:val="2"/>
          </w:tcPr>
          <w:p>
            <w:pPr>
              <w:ind w:left="620"/>
              <w:spacing w:after="0"/>
              <w:rPr>
                <w:sz w:val="20"/>
                <w:szCs w:val="20"/>
                <w:color w:val="auto"/>
              </w:rPr>
            </w:pPr>
            <w:r>
              <w:rPr>
                <w:rFonts w:ascii="Arial" w:cs="Arial" w:eastAsia="Arial" w:hAnsi="Arial"/>
                <w:sz w:val="18"/>
                <w:szCs w:val="18"/>
                <w:color w:val="auto"/>
              </w:rPr>
              <w:t>By:  Wynn Las Vegas, LLC,</w:t>
            </w:r>
          </w:p>
        </w:tc>
      </w:tr>
      <w:tr>
        <w:trPr>
          <w:trHeight w:val="212"/>
        </w:trPr>
        <w:tc>
          <w:tcPr>
            <w:tcW w:w="480" w:type="dxa"/>
            <w:vAlign w:val="bottom"/>
          </w:tcPr>
          <w:p>
            <w:pPr>
              <w:spacing w:after="0"/>
              <w:rPr>
                <w:sz w:val="20"/>
                <w:szCs w:val="20"/>
                <w:color w:val="auto"/>
              </w:rPr>
            </w:pPr>
            <w:r>
              <w:rPr>
                <w:rFonts w:ascii="Arial" w:cs="Arial" w:eastAsia="Arial" w:hAnsi="Arial"/>
                <w:sz w:val="18"/>
                <w:szCs w:val="18"/>
                <w:color w:val="auto"/>
                <w:w w:val="86"/>
              </w:rPr>
              <w:t>Name:</w:t>
            </w:r>
          </w:p>
        </w:tc>
        <w:tc>
          <w:tcPr>
            <w:tcW w:w="48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 Schorr</w:t>
            </w:r>
          </w:p>
        </w:tc>
        <w:tc>
          <w:tcPr>
            <w:tcW w:w="6080" w:type="dxa"/>
            <w:vAlign w:val="bottom"/>
            <w:gridSpan w:val="2"/>
          </w:tcPr>
          <w:p>
            <w:pPr>
              <w:ind w:left="980"/>
              <w:spacing w:after="0"/>
              <w:rPr>
                <w:sz w:val="20"/>
                <w:szCs w:val="20"/>
                <w:color w:val="auto"/>
              </w:rPr>
            </w:pPr>
            <w:r>
              <w:rPr>
                <w:rFonts w:ascii="Arial" w:cs="Arial" w:eastAsia="Arial" w:hAnsi="Arial"/>
                <w:sz w:val="18"/>
                <w:szCs w:val="18"/>
                <w:color w:val="auto"/>
              </w:rPr>
              <w:t>a Nevada limited liability company,</w:t>
            </w:r>
          </w:p>
        </w:tc>
      </w:tr>
      <w:tr>
        <w:trPr>
          <w:trHeight w:val="21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Chief Operating Officer</w:t>
            </w:r>
          </w:p>
        </w:tc>
        <w:tc>
          <w:tcPr>
            <w:tcW w:w="2200" w:type="dxa"/>
            <w:vAlign w:val="bottom"/>
          </w:tcPr>
          <w:p>
            <w:pPr>
              <w:ind w:left="980"/>
              <w:spacing w:after="0"/>
              <w:rPr>
                <w:sz w:val="20"/>
                <w:szCs w:val="20"/>
                <w:color w:val="auto"/>
              </w:rPr>
            </w:pPr>
            <w:r>
              <w:rPr>
                <w:rFonts w:ascii="Arial" w:cs="Arial" w:eastAsia="Arial" w:hAnsi="Arial"/>
                <w:sz w:val="18"/>
                <w:szCs w:val="18"/>
                <w:color w:val="auto"/>
                <w:w w:val="94"/>
              </w:rPr>
              <w:t>its sole member</w:t>
            </w:r>
          </w:p>
        </w:tc>
        <w:tc>
          <w:tcPr>
            <w:tcW w:w="3880" w:type="dxa"/>
            <w:vAlign w:val="bottom"/>
          </w:tcPr>
          <w:p>
            <w:pPr>
              <w:spacing w:after="0"/>
              <w:rPr>
                <w:sz w:val="18"/>
                <w:szCs w:val="18"/>
                <w:color w:val="auto"/>
              </w:rPr>
            </w:pPr>
          </w:p>
        </w:tc>
      </w:tr>
      <w:tr>
        <w:trPr>
          <w:trHeight w:val="417"/>
        </w:trPr>
        <w:tc>
          <w:tcPr>
            <w:tcW w:w="4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6080" w:type="dxa"/>
            <w:vAlign w:val="bottom"/>
            <w:gridSpan w:val="2"/>
          </w:tcPr>
          <w:p>
            <w:pPr>
              <w:ind w:left="980"/>
              <w:spacing w:after="0"/>
              <w:rPr>
                <w:sz w:val="20"/>
                <w:szCs w:val="20"/>
                <w:color w:val="auto"/>
              </w:rPr>
            </w:pPr>
            <w:r>
              <w:rPr>
                <w:rFonts w:ascii="Arial" w:cs="Arial" w:eastAsia="Arial" w:hAnsi="Arial"/>
                <w:sz w:val="18"/>
                <w:szCs w:val="18"/>
                <w:color w:val="auto"/>
              </w:rPr>
              <w:t>By:  Wynn Resorts Holdings, LLC,</w:t>
            </w:r>
          </w:p>
        </w:tc>
      </w:tr>
      <w:tr>
        <w:trPr>
          <w:trHeight w:val="216"/>
        </w:trPr>
        <w:tc>
          <w:tcPr>
            <w:tcW w:w="4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6080" w:type="dxa"/>
            <w:vAlign w:val="bottom"/>
            <w:gridSpan w:val="2"/>
          </w:tcPr>
          <w:p>
            <w:pPr>
              <w:ind w:left="1360"/>
              <w:spacing w:after="0"/>
              <w:rPr>
                <w:sz w:val="20"/>
                <w:szCs w:val="20"/>
                <w:color w:val="auto"/>
              </w:rPr>
            </w:pPr>
            <w:r>
              <w:rPr>
                <w:rFonts w:ascii="Arial" w:cs="Arial" w:eastAsia="Arial" w:hAnsi="Arial"/>
                <w:sz w:val="18"/>
                <w:szCs w:val="18"/>
                <w:color w:val="auto"/>
              </w:rPr>
              <w:t>a Nevada limited liability company, its sole</w:t>
            </w:r>
          </w:p>
        </w:tc>
      </w:tr>
      <w:tr>
        <w:trPr>
          <w:trHeight w:val="222"/>
        </w:trPr>
        <w:tc>
          <w:tcPr>
            <w:tcW w:w="4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200" w:type="dxa"/>
            <w:vAlign w:val="bottom"/>
          </w:tcPr>
          <w:p>
            <w:pPr>
              <w:ind w:left="1360"/>
              <w:spacing w:after="0"/>
              <w:rPr>
                <w:sz w:val="20"/>
                <w:szCs w:val="20"/>
                <w:color w:val="auto"/>
              </w:rPr>
            </w:pPr>
            <w:r>
              <w:rPr>
                <w:rFonts w:ascii="Arial" w:cs="Arial" w:eastAsia="Arial" w:hAnsi="Arial"/>
                <w:sz w:val="18"/>
                <w:szCs w:val="18"/>
                <w:color w:val="auto"/>
              </w:rPr>
              <w:t>member</w:t>
            </w:r>
          </w:p>
        </w:tc>
        <w:tc>
          <w:tcPr>
            <w:tcW w:w="3880" w:type="dxa"/>
            <w:vAlign w:val="bottom"/>
          </w:tcPr>
          <w:p>
            <w:pPr>
              <w:spacing w:after="0"/>
              <w:rPr>
                <w:sz w:val="19"/>
                <w:szCs w:val="19"/>
                <w:color w:val="auto"/>
              </w:rPr>
            </w:pPr>
          </w:p>
        </w:tc>
      </w:tr>
      <w:tr>
        <w:trPr>
          <w:trHeight w:val="439"/>
        </w:trPr>
        <w:tc>
          <w:tcPr>
            <w:tcW w:w="4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6080" w:type="dxa"/>
            <w:vAlign w:val="bottom"/>
            <w:gridSpan w:val="2"/>
          </w:tcPr>
          <w:p>
            <w:pPr>
              <w:ind w:left="1360"/>
              <w:spacing w:after="0"/>
              <w:rPr>
                <w:sz w:val="20"/>
                <w:szCs w:val="20"/>
                <w:color w:val="auto"/>
              </w:rPr>
            </w:pPr>
            <w:r>
              <w:rPr>
                <w:rFonts w:ascii="Arial" w:cs="Arial" w:eastAsia="Arial" w:hAnsi="Arial"/>
                <w:sz w:val="18"/>
                <w:szCs w:val="18"/>
                <w:color w:val="auto"/>
              </w:rPr>
              <w:t>By:  Wynn Resorts, Limited, a Nevada</w:t>
            </w:r>
          </w:p>
        </w:tc>
      </w:tr>
      <w:tr>
        <w:trPr>
          <w:trHeight w:val="222"/>
        </w:trPr>
        <w:tc>
          <w:tcPr>
            <w:tcW w:w="4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6080" w:type="dxa"/>
            <w:vAlign w:val="bottom"/>
            <w:gridSpan w:val="2"/>
          </w:tcPr>
          <w:p>
            <w:pPr>
              <w:ind w:left="1720"/>
              <w:spacing w:after="0"/>
              <w:rPr>
                <w:sz w:val="20"/>
                <w:szCs w:val="20"/>
                <w:color w:val="auto"/>
              </w:rPr>
            </w:pPr>
            <w:r>
              <w:rPr>
                <w:rFonts w:ascii="Arial" w:cs="Arial" w:eastAsia="Arial" w:hAnsi="Arial"/>
                <w:sz w:val="18"/>
                <w:szCs w:val="18"/>
                <w:color w:val="auto"/>
              </w:rPr>
              <w:t>corporation, its sole member</w:t>
            </w:r>
          </w:p>
        </w:tc>
      </w:tr>
      <w:tr>
        <w:trPr>
          <w:trHeight w:val="446"/>
        </w:trPr>
        <w:tc>
          <w:tcPr>
            <w:tcW w:w="4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200" w:type="dxa"/>
            <w:vAlign w:val="bottom"/>
          </w:tcPr>
          <w:p>
            <w:pPr>
              <w:ind w:left="172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Schorr</w:t>
            </w:r>
          </w:p>
        </w:tc>
      </w:tr>
      <w:tr>
        <w:trPr>
          <w:trHeight w:val="212"/>
        </w:trPr>
        <w:tc>
          <w:tcPr>
            <w:tcW w:w="4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200" w:type="dxa"/>
            <w:vAlign w:val="bottom"/>
          </w:tcPr>
          <w:p>
            <w:pPr>
              <w:ind w:left="1720"/>
              <w:spacing w:after="0"/>
              <w:rPr>
                <w:sz w:val="20"/>
                <w:szCs w:val="20"/>
                <w:color w:val="auto"/>
              </w:rPr>
            </w:pPr>
            <w:r>
              <w:rPr>
                <w:rFonts w:ascii="Arial" w:cs="Arial" w:eastAsia="Arial" w:hAnsi="Arial"/>
                <w:sz w:val="18"/>
                <w:szCs w:val="18"/>
                <w:color w:val="auto"/>
                <w:w w:val="86"/>
              </w:rPr>
              <w:t>Name:</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 Schorr</w:t>
            </w:r>
          </w:p>
        </w:tc>
      </w:tr>
      <w:tr>
        <w:trPr>
          <w:trHeight w:val="210"/>
        </w:trPr>
        <w:tc>
          <w:tcPr>
            <w:tcW w:w="4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200" w:type="dxa"/>
            <w:vAlign w:val="bottom"/>
          </w:tcPr>
          <w:p>
            <w:pPr>
              <w:ind w:left="1720"/>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Chief Operating Officer</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First Amendment to Credit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WYNN RESORTS HOLDINGS, LLC,</w:t>
            </w:r>
          </w:p>
        </w:tc>
        <w:tc>
          <w:tcPr>
            <w:tcW w:w="6180" w:type="dxa"/>
            <w:vAlign w:val="bottom"/>
            <w:gridSpan w:val="2"/>
          </w:tcPr>
          <w:p>
            <w:pPr>
              <w:ind w:left="620"/>
              <w:spacing w:after="0"/>
              <w:rPr>
                <w:sz w:val="20"/>
                <w:szCs w:val="20"/>
                <w:color w:val="auto"/>
              </w:rPr>
            </w:pPr>
            <w:r>
              <w:rPr>
                <w:rFonts w:ascii="Arial" w:cs="Arial" w:eastAsia="Arial" w:hAnsi="Arial"/>
                <w:sz w:val="18"/>
                <w:szCs w:val="18"/>
                <w:color w:val="auto"/>
              </w:rPr>
              <w:t>WYNN COMPLETION GUARANTOR, LLC,</w:t>
            </w:r>
          </w:p>
        </w:tc>
      </w:tr>
      <w:tr>
        <w:trPr>
          <w:trHeight w:val="222"/>
        </w:trPr>
        <w:tc>
          <w:tcPr>
            <w:tcW w:w="5240" w:type="dxa"/>
            <w:vAlign w:val="bottom"/>
            <w:gridSpan w:val="2"/>
          </w:tcPr>
          <w:p>
            <w:pPr>
              <w:spacing w:after="0"/>
              <w:rPr>
                <w:sz w:val="20"/>
                <w:szCs w:val="20"/>
                <w:color w:val="auto"/>
              </w:rPr>
            </w:pPr>
            <w:r>
              <w:rPr>
                <w:rFonts w:ascii="Arial" w:cs="Arial" w:eastAsia="Arial" w:hAnsi="Arial"/>
                <w:sz w:val="18"/>
                <w:szCs w:val="18"/>
                <w:color w:val="auto"/>
              </w:rPr>
              <w:t>a Nevada limited liability company</w:t>
            </w:r>
          </w:p>
        </w:tc>
        <w:tc>
          <w:tcPr>
            <w:tcW w:w="6180" w:type="dxa"/>
            <w:vAlign w:val="bottom"/>
            <w:gridSpan w:val="2"/>
          </w:tcPr>
          <w:p>
            <w:pPr>
              <w:ind w:left="620"/>
              <w:spacing w:after="0"/>
              <w:rPr>
                <w:sz w:val="20"/>
                <w:szCs w:val="20"/>
                <w:color w:val="auto"/>
              </w:rPr>
            </w:pPr>
            <w:r>
              <w:rPr>
                <w:rFonts w:ascii="Arial" w:cs="Arial" w:eastAsia="Arial" w:hAnsi="Arial"/>
                <w:sz w:val="18"/>
                <w:szCs w:val="18"/>
                <w:color w:val="auto"/>
              </w:rPr>
              <w:t>a Nevada limited liability company</w:t>
            </w:r>
          </w:p>
        </w:tc>
      </w:tr>
      <w:tr>
        <w:trPr>
          <w:trHeight w:val="439"/>
        </w:trPr>
        <w:tc>
          <w:tcPr>
            <w:tcW w:w="5240" w:type="dxa"/>
            <w:vAlign w:val="bottom"/>
            <w:gridSpan w:val="2"/>
          </w:tcPr>
          <w:p>
            <w:pPr>
              <w:spacing w:after="0"/>
              <w:rPr>
                <w:sz w:val="20"/>
                <w:szCs w:val="20"/>
                <w:color w:val="auto"/>
              </w:rPr>
            </w:pPr>
            <w:r>
              <w:rPr>
                <w:rFonts w:ascii="Arial" w:cs="Arial" w:eastAsia="Arial" w:hAnsi="Arial"/>
                <w:sz w:val="18"/>
                <w:szCs w:val="18"/>
                <w:color w:val="auto"/>
              </w:rPr>
              <w:t>By: Wynn Resorts, Limited, a Nevada</w:t>
            </w:r>
          </w:p>
        </w:tc>
        <w:tc>
          <w:tcPr>
            <w:tcW w:w="6180" w:type="dxa"/>
            <w:vAlign w:val="bottom"/>
            <w:gridSpan w:val="2"/>
          </w:tcPr>
          <w:p>
            <w:pPr>
              <w:ind w:left="620"/>
              <w:spacing w:after="0"/>
              <w:rPr>
                <w:sz w:val="20"/>
                <w:szCs w:val="20"/>
                <w:color w:val="auto"/>
              </w:rPr>
            </w:pPr>
            <w:r>
              <w:rPr>
                <w:rFonts w:ascii="Arial" w:cs="Arial" w:eastAsia="Arial" w:hAnsi="Arial"/>
                <w:sz w:val="18"/>
                <w:szCs w:val="18"/>
                <w:color w:val="auto"/>
              </w:rPr>
              <w:t>By:  Wynn Las Vegas, LLC, a Nevada limited</w:t>
            </w:r>
          </w:p>
        </w:tc>
      </w:tr>
      <w:tr>
        <w:trPr>
          <w:trHeight w:val="222"/>
        </w:trPr>
        <w:tc>
          <w:tcPr>
            <w:tcW w:w="5240" w:type="dxa"/>
            <w:vAlign w:val="bottom"/>
            <w:gridSpan w:val="2"/>
          </w:tcPr>
          <w:p>
            <w:pPr>
              <w:ind w:left="360"/>
              <w:spacing w:after="0"/>
              <w:rPr>
                <w:sz w:val="20"/>
                <w:szCs w:val="20"/>
                <w:color w:val="auto"/>
              </w:rPr>
            </w:pPr>
            <w:r>
              <w:rPr>
                <w:rFonts w:ascii="Arial" w:cs="Arial" w:eastAsia="Arial" w:hAnsi="Arial"/>
                <w:sz w:val="18"/>
                <w:szCs w:val="18"/>
                <w:color w:val="auto"/>
              </w:rPr>
              <w:t>corporation, its sole member</w:t>
            </w:r>
          </w:p>
        </w:tc>
        <w:tc>
          <w:tcPr>
            <w:tcW w:w="6180" w:type="dxa"/>
            <w:vAlign w:val="bottom"/>
            <w:gridSpan w:val="2"/>
          </w:tcPr>
          <w:p>
            <w:pPr>
              <w:ind w:left="1000"/>
              <w:spacing w:after="0"/>
              <w:rPr>
                <w:sz w:val="20"/>
                <w:szCs w:val="20"/>
                <w:color w:val="auto"/>
              </w:rPr>
            </w:pPr>
            <w:r>
              <w:rPr>
                <w:rFonts w:ascii="Arial" w:cs="Arial" w:eastAsia="Arial" w:hAnsi="Arial"/>
                <w:sz w:val="18"/>
                <w:szCs w:val="18"/>
                <w:color w:val="auto"/>
              </w:rPr>
              <w:t>liability company, its control manager</w:t>
            </w:r>
          </w:p>
        </w:tc>
      </w:tr>
      <w:tr>
        <w:trPr>
          <w:trHeight w:val="446"/>
        </w:trPr>
        <w:tc>
          <w:tcPr>
            <w:tcW w:w="840" w:type="dxa"/>
            <w:vAlign w:val="bottom"/>
          </w:tcPr>
          <w:p>
            <w:pPr>
              <w:ind w:left="36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Schorr</w:t>
            </w:r>
          </w:p>
        </w:tc>
        <w:tc>
          <w:tcPr>
            <w:tcW w:w="6180" w:type="dxa"/>
            <w:vAlign w:val="bottom"/>
            <w:gridSpan w:val="2"/>
          </w:tcPr>
          <w:p>
            <w:pPr>
              <w:ind w:left="1000"/>
              <w:spacing w:after="0"/>
              <w:rPr>
                <w:sz w:val="20"/>
                <w:szCs w:val="20"/>
                <w:color w:val="auto"/>
              </w:rPr>
            </w:pPr>
            <w:r>
              <w:rPr>
                <w:rFonts w:ascii="Arial" w:cs="Arial" w:eastAsia="Arial" w:hAnsi="Arial"/>
                <w:sz w:val="18"/>
                <w:szCs w:val="18"/>
                <w:color w:val="auto"/>
              </w:rPr>
              <w:t>By:  Wynn Resorts Holdings, LLC,</w:t>
            </w:r>
          </w:p>
        </w:tc>
      </w:tr>
      <w:tr>
        <w:trPr>
          <w:trHeight w:val="212"/>
        </w:trPr>
        <w:tc>
          <w:tcPr>
            <w:tcW w:w="840" w:type="dxa"/>
            <w:vAlign w:val="bottom"/>
          </w:tcPr>
          <w:p>
            <w:pPr>
              <w:ind w:left="360"/>
              <w:spacing w:after="0"/>
              <w:rPr>
                <w:sz w:val="20"/>
                <w:szCs w:val="20"/>
                <w:color w:val="auto"/>
              </w:rPr>
            </w:pPr>
            <w:r>
              <w:rPr>
                <w:rFonts w:ascii="Arial" w:cs="Arial" w:eastAsia="Arial" w:hAnsi="Arial"/>
                <w:sz w:val="18"/>
                <w:szCs w:val="18"/>
                <w:color w:val="auto"/>
                <w:w w:val="86"/>
              </w:rPr>
              <w:t>Name:</w:t>
            </w:r>
          </w:p>
        </w:tc>
        <w:tc>
          <w:tcPr>
            <w:tcW w:w="4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 Schorr</w:t>
            </w:r>
          </w:p>
        </w:tc>
        <w:tc>
          <w:tcPr>
            <w:tcW w:w="6180" w:type="dxa"/>
            <w:vAlign w:val="bottom"/>
            <w:gridSpan w:val="2"/>
          </w:tcPr>
          <w:p>
            <w:pPr>
              <w:ind w:left="1360"/>
              <w:spacing w:after="0"/>
              <w:rPr>
                <w:sz w:val="20"/>
                <w:szCs w:val="20"/>
                <w:color w:val="auto"/>
              </w:rPr>
            </w:pPr>
            <w:r>
              <w:rPr>
                <w:rFonts w:ascii="Arial" w:cs="Arial" w:eastAsia="Arial" w:hAnsi="Arial"/>
                <w:sz w:val="18"/>
                <w:szCs w:val="18"/>
                <w:color w:val="auto"/>
              </w:rPr>
              <w:t>a Nevada limited liability company, its sole</w:t>
            </w:r>
          </w:p>
        </w:tc>
      </w:tr>
      <w:tr>
        <w:trPr>
          <w:trHeight w:val="210"/>
        </w:trPr>
        <w:tc>
          <w:tcPr>
            <w:tcW w:w="840" w:type="dxa"/>
            <w:vAlign w:val="bottom"/>
          </w:tcPr>
          <w:p>
            <w:pPr>
              <w:ind w:left="360"/>
              <w:spacing w:after="0"/>
              <w:rPr>
                <w:sz w:val="20"/>
                <w:szCs w:val="20"/>
                <w:color w:val="auto"/>
              </w:rPr>
            </w:pPr>
            <w:r>
              <w:rPr>
                <w:rFonts w:ascii="Arial" w:cs="Arial" w:eastAsia="Arial" w:hAnsi="Arial"/>
                <w:sz w:val="18"/>
                <w:szCs w:val="18"/>
                <w:color w:val="auto"/>
              </w:rPr>
              <w:t>Title:</w:t>
            </w:r>
          </w:p>
        </w:tc>
        <w:tc>
          <w:tcPr>
            <w:tcW w:w="4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Chief Operating Officer</w:t>
            </w:r>
          </w:p>
        </w:tc>
        <w:tc>
          <w:tcPr>
            <w:tcW w:w="2160" w:type="dxa"/>
            <w:vAlign w:val="bottom"/>
          </w:tcPr>
          <w:p>
            <w:pPr>
              <w:ind w:left="1360"/>
              <w:spacing w:after="0"/>
              <w:rPr>
                <w:sz w:val="20"/>
                <w:szCs w:val="20"/>
                <w:color w:val="auto"/>
              </w:rPr>
            </w:pPr>
            <w:r>
              <w:rPr>
                <w:rFonts w:ascii="Arial" w:cs="Arial" w:eastAsia="Arial" w:hAnsi="Arial"/>
                <w:sz w:val="18"/>
                <w:szCs w:val="18"/>
                <w:color w:val="auto"/>
              </w:rPr>
              <w:t>member</w:t>
            </w:r>
          </w:p>
        </w:tc>
        <w:tc>
          <w:tcPr>
            <w:tcW w:w="4020" w:type="dxa"/>
            <w:vAlign w:val="bottom"/>
          </w:tcPr>
          <w:p>
            <w:pPr>
              <w:spacing w:after="0"/>
              <w:rPr>
                <w:sz w:val="18"/>
                <w:szCs w:val="18"/>
                <w:color w:val="auto"/>
              </w:rPr>
            </w:pPr>
          </w:p>
        </w:tc>
      </w:tr>
      <w:tr>
        <w:trPr>
          <w:trHeight w:val="417"/>
        </w:trPr>
        <w:tc>
          <w:tcPr>
            <w:tcW w:w="8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180" w:type="dxa"/>
            <w:vAlign w:val="bottom"/>
            <w:gridSpan w:val="2"/>
          </w:tcPr>
          <w:p>
            <w:pPr>
              <w:ind w:left="1000"/>
              <w:spacing w:after="0"/>
              <w:rPr>
                <w:sz w:val="20"/>
                <w:szCs w:val="20"/>
                <w:color w:val="auto"/>
              </w:rPr>
            </w:pPr>
            <w:r>
              <w:rPr>
                <w:rFonts w:ascii="Arial" w:cs="Arial" w:eastAsia="Arial" w:hAnsi="Arial"/>
                <w:sz w:val="18"/>
                <w:szCs w:val="18"/>
                <w:color w:val="auto"/>
              </w:rPr>
              <w:t>By:  Wynn Resorts, Limited, a Nevada</w:t>
            </w:r>
          </w:p>
        </w:tc>
      </w:tr>
      <w:tr>
        <w:trPr>
          <w:trHeight w:val="222"/>
        </w:trPr>
        <w:tc>
          <w:tcPr>
            <w:tcW w:w="8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6180" w:type="dxa"/>
            <w:vAlign w:val="bottom"/>
            <w:gridSpan w:val="2"/>
          </w:tcPr>
          <w:p>
            <w:pPr>
              <w:ind w:left="1360"/>
              <w:spacing w:after="0"/>
              <w:rPr>
                <w:sz w:val="20"/>
                <w:szCs w:val="20"/>
                <w:color w:val="auto"/>
              </w:rPr>
            </w:pPr>
            <w:r>
              <w:rPr>
                <w:rFonts w:ascii="Arial" w:cs="Arial" w:eastAsia="Arial" w:hAnsi="Arial"/>
                <w:sz w:val="18"/>
                <w:szCs w:val="18"/>
                <w:color w:val="auto"/>
              </w:rPr>
              <w:t>corporation, its sole member</w:t>
            </w:r>
          </w:p>
        </w:tc>
      </w:tr>
      <w:tr>
        <w:trPr>
          <w:trHeight w:val="446"/>
        </w:trPr>
        <w:tc>
          <w:tcPr>
            <w:tcW w:w="8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160" w:type="dxa"/>
            <w:vAlign w:val="bottom"/>
          </w:tcPr>
          <w:p>
            <w:pPr>
              <w:ind w:left="16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Schorr</w:t>
            </w:r>
          </w:p>
        </w:tc>
      </w:tr>
      <w:tr>
        <w:trPr>
          <w:trHeight w:val="212"/>
        </w:trPr>
        <w:tc>
          <w:tcPr>
            <w:tcW w:w="8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160" w:type="dxa"/>
            <w:vAlign w:val="bottom"/>
          </w:tcPr>
          <w:p>
            <w:pPr>
              <w:ind w:left="1680"/>
              <w:spacing w:after="0"/>
              <w:rPr>
                <w:sz w:val="20"/>
                <w:szCs w:val="20"/>
                <w:color w:val="auto"/>
              </w:rPr>
            </w:pPr>
            <w:r>
              <w:rPr>
                <w:rFonts w:ascii="Arial" w:cs="Arial" w:eastAsia="Arial" w:hAnsi="Arial"/>
                <w:sz w:val="18"/>
                <w:szCs w:val="18"/>
                <w:color w:val="auto"/>
                <w:w w:val="86"/>
              </w:rPr>
              <w:t>Name:</w:t>
            </w:r>
          </w:p>
        </w:tc>
        <w:tc>
          <w:tcPr>
            <w:tcW w:w="4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 Schorr</w:t>
            </w:r>
          </w:p>
        </w:tc>
      </w:tr>
      <w:tr>
        <w:trPr>
          <w:trHeight w:val="210"/>
        </w:trPr>
        <w:tc>
          <w:tcPr>
            <w:tcW w:w="8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160" w:type="dxa"/>
            <w:vAlign w:val="bottom"/>
          </w:tcPr>
          <w:p>
            <w:pPr>
              <w:ind w:left="1680"/>
              <w:spacing w:after="0"/>
              <w:rPr>
                <w:sz w:val="20"/>
                <w:szCs w:val="20"/>
                <w:color w:val="auto"/>
              </w:rPr>
            </w:pPr>
            <w:r>
              <w:rPr>
                <w:rFonts w:ascii="Arial" w:cs="Arial" w:eastAsia="Arial" w:hAnsi="Arial"/>
                <w:sz w:val="18"/>
                <w:szCs w:val="18"/>
                <w:color w:val="auto"/>
              </w:rPr>
              <w:t>Title:</w:t>
            </w:r>
          </w:p>
        </w:tc>
        <w:tc>
          <w:tcPr>
            <w:tcW w:w="4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Chief Operating Officer</w:t>
            </w:r>
          </w:p>
        </w:tc>
      </w:tr>
      <w:tr>
        <w:trPr>
          <w:trHeight w:val="201"/>
        </w:trPr>
        <w:tc>
          <w:tcPr>
            <w:tcW w:w="5240" w:type="dxa"/>
            <w:vAlign w:val="bottom"/>
            <w:gridSpan w:val="2"/>
          </w:tcPr>
          <w:p>
            <w:pPr>
              <w:spacing w:after="0" w:line="201" w:lineRule="exact"/>
              <w:rPr>
                <w:sz w:val="20"/>
                <w:szCs w:val="20"/>
                <w:color w:val="auto"/>
              </w:rPr>
            </w:pPr>
            <w:r>
              <w:rPr>
                <w:rFonts w:ascii="Arial" w:cs="Arial" w:eastAsia="Arial" w:hAnsi="Arial"/>
                <w:sz w:val="18"/>
                <w:szCs w:val="18"/>
                <w:color w:val="auto"/>
              </w:rPr>
              <w:t>DEUTSCHE BANK TRUST COMPANY</w:t>
            </w:r>
          </w:p>
        </w:tc>
        <w:tc>
          <w:tcPr>
            <w:tcW w:w="216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AMERICAS, as the Administrative Agent</w:t>
            </w:r>
          </w:p>
        </w:tc>
        <w:tc>
          <w:tcPr>
            <w:tcW w:w="216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222"/>
        </w:trPr>
        <w:tc>
          <w:tcPr>
            <w:tcW w:w="5240" w:type="dxa"/>
            <w:vAlign w:val="bottom"/>
            <w:gridSpan w:val="2"/>
          </w:tcPr>
          <w:p>
            <w:pPr>
              <w:spacing w:after="0"/>
              <w:rPr>
                <w:sz w:val="20"/>
                <w:szCs w:val="20"/>
                <w:color w:val="auto"/>
              </w:rPr>
            </w:pPr>
            <w:r>
              <w:rPr>
                <w:rFonts w:ascii="Arial" w:cs="Arial" w:eastAsia="Arial" w:hAnsi="Arial"/>
                <w:sz w:val="18"/>
                <w:szCs w:val="18"/>
                <w:color w:val="auto"/>
              </w:rPr>
              <w:t>on behalf of the Lenders</w:t>
            </w:r>
          </w:p>
        </w:tc>
        <w:tc>
          <w:tcPr>
            <w:tcW w:w="216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455"/>
        </w:trPr>
        <w:tc>
          <w:tcPr>
            <w:tcW w:w="840" w:type="dxa"/>
            <w:vAlign w:val="bottom"/>
          </w:tcPr>
          <w:p>
            <w:pPr>
              <w:ind w:left="36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Mary Kay Coyle</w:t>
            </w:r>
          </w:p>
        </w:tc>
        <w:tc>
          <w:tcPr>
            <w:tcW w:w="216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23"/>
        </w:trPr>
        <w:tc>
          <w:tcPr>
            <w:tcW w:w="840" w:type="dxa"/>
            <w:vAlign w:val="bottom"/>
          </w:tcPr>
          <w:p>
            <w:pPr>
              <w:ind w:left="360"/>
              <w:spacing w:after="0"/>
              <w:rPr>
                <w:sz w:val="20"/>
                <w:szCs w:val="20"/>
                <w:color w:val="auto"/>
              </w:rPr>
            </w:pPr>
            <w:r>
              <w:rPr>
                <w:rFonts w:ascii="Arial" w:cs="Arial" w:eastAsia="Arial" w:hAnsi="Arial"/>
                <w:sz w:val="18"/>
                <w:szCs w:val="18"/>
                <w:color w:val="auto"/>
                <w:w w:val="86"/>
              </w:rPr>
              <w:t>Name:</w:t>
            </w:r>
          </w:p>
        </w:tc>
        <w:tc>
          <w:tcPr>
            <w:tcW w:w="4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Mary Kay Coyle</w:t>
            </w:r>
          </w:p>
        </w:tc>
        <w:tc>
          <w:tcPr>
            <w:tcW w:w="216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226"/>
        </w:trPr>
        <w:tc>
          <w:tcPr>
            <w:tcW w:w="840" w:type="dxa"/>
            <w:vAlign w:val="bottom"/>
          </w:tcPr>
          <w:p>
            <w:pPr>
              <w:ind w:left="360"/>
              <w:spacing w:after="0"/>
              <w:rPr>
                <w:sz w:val="20"/>
                <w:szCs w:val="20"/>
                <w:color w:val="auto"/>
              </w:rPr>
            </w:pPr>
            <w:r>
              <w:rPr>
                <w:rFonts w:ascii="Arial" w:cs="Arial" w:eastAsia="Arial" w:hAnsi="Arial"/>
                <w:sz w:val="18"/>
                <w:szCs w:val="18"/>
                <w:color w:val="auto"/>
              </w:rPr>
              <w:t>Title:</w:t>
            </w:r>
          </w:p>
        </w:tc>
        <w:tc>
          <w:tcPr>
            <w:tcW w:w="4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Managing Director</w:t>
            </w:r>
          </w:p>
        </w:tc>
        <w:tc>
          <w:tcPr>
            <w:tcW w:w="216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427"/>
        </w:trPr>
        <w:tc>
          <w:tcPr>
            <w:tcW w:w="840" w:type="dxa"/>
            <w:vAlign w:val="bottom"/>
          </w:tcPr>
          <w:p>
            <w:pPr>
              <w:ind w:left="36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Steven Lapham</w:t>
            </w:r>
          </w:p>
        </w:tc>
        <w:tc>
          <w:tcPr>
            <w:tcW w:w="216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12"/>
        </w:trPr>
        <w:tc>
          <w:tcPr>
            <w:tcW w:w="840" w:type="dxa"/>
            <w:vAlign w:val="bottom"/>
          </w:tcPr>
          <w:p>
            <w:pPr>
              <w:ind w:left="360"/>
              <w:spacing w:after="0"/>
              <w:rPr>
                <w:sz w:val="20"/>
                <w:szCs w:val="20"/>
                <w:color w:val="auto"/>
              </w:rPr>
            </w:pPr>
            <w:r>
              <w:rPr>
                <w:rFonts w:ascii="Arial" w:cs="Arial" w:eastAsia="Arial" w:hAnsi="Arial"/>
                <w:sz w:val="18"/>
                <w:szCs w:val="18"/>
                <w:color w:val="auto"/>
                <w:w w:val="86"/>
              </w:rPr>
              <w:t>Name:</w:t>
            </w:r>
          </w:p>
        </w:tc>
        <w:tc>
          <w:tcPr>
            <w:tcW w:w="4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Steven Lapham</w:t>
            </w:r>
          </w:p>
        </w:tc>
        <w:tc>
          <w:tcPr>
            <w:tcW w:w="216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210"/>
        </w:trPr>
        <w:tc>
          <w:tcPr>
            <w:tcW w:w="840" w:type="dxa"/>
            <w:vAlign w:val="bottom"/>
          </w:tcPr>
          <w:p>
            <w:pPr>
              <w:ind w:left="360"/>
              <w:spacing w:after="0"/>
              <w:rPr>
                <w:sz w:val="20"/>
                <w:szCs w:val="20"/>
                <w:color w:val="auto"/>
              </w:rPr>
            </w:pPr>
            <w:r>
              <w:rPr>
                <w:rFonts w:ascii="Arial" w:cs="Arial" w:eastAsia="Arial" w:hAnsi="Arial"/>
                <w:sz w:val="18"/>
                <w:szCs w:val="18"/>
                <w:color w:val="auto"/>
              </w:rPr>
              <w:t>Title:</w:t>
            </w:r>
          </w:p>
        </w:tc>
        <w:tc>
          <w:tcPr>
            <w:tcW w:w="4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Managing Director</w:t>
            </w:r>
          </w:p>
        </w:tc>
        <w:tc>
          <w:tcPr>
            <w:tcW w:w="2160" w:type="dxa"/>
            <w:vAlign w:val="bottom"/>
          </w:tcPr>
          <w:p>
            <w:pPr>
              <w:spacing w:after="0"/>
              <w:rPr>
                <w:sz w:val="18"/>
                <w:szCs w:val="18"/>
                <w:color w:val="auto"/>
              </w:rPr>
            </w:pPr>
          </w:p>
        </w:tc>
        <w:tc>
          <w:tcPr>
            <w:tcW w:w="4020" w:type="dxa"/>
            <w:vAlign w:val="bottom"/>
          </w:tcPr>
          <w:p>
            <w:pPr>
              <w:spacing w:after="0"/>
              <w:rPr>
                <w:sz w:val="18"/>
                <w:szCs w:val="18"/>
                <w:color w:val="auto"/>
              </w:rPr>
            </w:pP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 Page to First Amendment to Credit Agreement]</w:t>
      </w:r>
    </w:p>
    <w:p>
      <w:pPr>
        <w:sectPr>
          <w:pgSz w:w="11900" w:h="16838" w:orient="portrait"/>
          <w:cols w:equalWidth="0" w:num="1">
            <w:col w:w="11420"/>
          </w:cols>
          <w:pgMar w:left="240" w:top="280"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FIFTH AMENDMENT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 MASTER DISBURSEMENT AGREEMENT</w:t>
      </w:r>
    </w:p>
    <w:p>
      <w:pPr>
        <w:sectPr>
          <w:pgSz w:w="11900" w:h="16838" w:orient="portrait"/>
          <w:cols w:equalWidth="0" w:num="1">
            <w:col w:w="9019"/>
          </w:cols>
          <w:pgMar w:left="1440" w:top="261" w:right="1440"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MASTER DISBURSEMENT AGREEMENT</w:t>
      </w:r>
    </w:p>
    <w:p>
      <w:pPr>
        <w:spacing w:after="0" w:line="165"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THIS FIFTH AMENDMENT TO MASTER DISBURSEMENT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made and entered into as of April 9, 2007, by and among WYNN LAS VEGAS, LLC, a Nevada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DEUTSCHE BANK TRUST COMPANY AMERICAS, as the Bank Agent (the “</w:t>
      </w:r>
      <w:r>
        <w:rPr>
          <w:rFonts w:ascii="Arial" w:cs="Arial" w:eastAsia="Arial" w:hAnsi="Arial"/>
          <w:sz w:val="18"/>
          <w:szCs w:val="18"/>
          <w:u w:val="single" w:color="auto"/>
          <w:color w:val="auto"/>
        </w:rPr>
        <w:t>Bank Agent</w:t>
      </w:r>
      <w:r>
        <w:rPr>
          <w:rFonts w:ascii="Arial" w:cs="Arial" w:eastAsia="Arial" w:hAnsi="Arial"/>
          <w:sz w:val="18"/>
          <w:szCs w:val="18"/>
          <w:color w:val="auto"/>
        </w:rPr>
        <w:t>”), and DEUTSCHE BANK TRUST COMPANY AMERICAS, as the Disbursement Agent (the “</w:t>
      </w:r>
      <w:r>
        <w:rPr>
          <w:rFonts w:ascii="Arial" w:cs="Arial" w:eastAsia="Arial" w:hAnsi="Arial"/>
          <w:sz w:val="18"/>
          <w:szCs w:val="18"/>
          <w:u w:val="single" w:color="auto"/>
          <w:color w:val="auto"/>
        </w:rPr>
        <w:t>Disbursement Agent</w:t>
      </w:r>
      <w:r>
        <w:rPr>
          <w:rFonts w:ascii="Arial" w:cs="Arial" w:eastAsia="Arial" w:hAnsi="Arial"/>
          <w:sz w:val="18"/>
          <w:szCs w:val="18"/>
          <w:color w:val="auto"/>
        </w:rPr>
        <w:t>”), with respect to the following:</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Disbursement Agreement</w:t>
      </w:r>
      <w:r>
        <w:rPr>
          <w:rFonts w:ascii="Arial" w:cs="Arial" w:eastAsia="Arial" w:hAnsi="Arial"/>
          <w:sz w:val="16"/>
          <w:szCs w:val="16"/>
          <w:color w:val="auto"/>
        </w:rPr>
        <w:t>. The undersigned are parties to that certain Master Disbursement Agreement, dated as of December 14, 2004 (as amended by that certain First Amendment to Master Disbursement Agreement, dated as of April 26, 2005, that certain Second Amendment to Master Disbursement Agreement, dated as of June 29, 2005, that certain Third Amendment to Master Disbursement Agreement, dated as of March 15, 2006, that certain Fourth Amendment to Master Disbursement Agreement, dated as of August 15, 2006, and as further amended, amended and restated, supplemented or otherwise modified from time to time, the “</w:t>
      </w:r>
      <w:r>
        <w:rPr>
          <w:rFonts w:ascii="Arial" w:cs="Arial" w:eastAsia="Arial" w:hAnsi="Arial"/>
          <w:sz w:val="16"/>
          <w:szCs w:val="16"/>
          <w:u w:val="single" w:color="auto"/>
          <w:color w:val="auto"/>
        </w:rPr>
        <w:t>Disbursement Agreement</w:t>
      </w:r>
      <w:r>
        <w:rPr>
          <w:rFonts w:ascii="Arial" w:cs="Arial" w:eastAsia="Arial" w:hAnsi="Arial"/>
          <w:sz w:val="16"/>
          <w:szCs w:val="16"/>
          <w:color w:val="auto"/>
        </w:rPr>
        <w:t>”), among the Company, the Bank Agent, U.S. Bank National Association, as the indenture trustee (the “</w:t>
      </w:r>
      <w:r>
        <w:rPr>
          <w:rFonts w:ascii="Arial" w:cs="Arial" w:eastAsia="Arial" w:hAnsi="Arial"/>
          <w:sz w:val="16"/>
          <w:szCs w:val="16"/>
          <w:u w:val="single" w:color="auto"/>
          <w:color w:val="auto"/>
        </w:rPr>
        <w:t>Indenture Trustee</w:t>
      </w:r>
      <w:r>
        <w:rPr>
          <w:rFonts w:ascii="Arial" w:cs="Arial" w:eastAsia="Arial" w:hAnsi="Arial"/>
          <w:sz w:val="16"/>
          <w:szCs w:val="16"/>
          <w:color w:val="auto"/>
        </w:rPr>
        <w:t>”), and the Disbursement Agent. The defined terms used herein and not otherwise defined herein shall have the meanings given in the Disbursement Agreement.</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Right to Amend Disbursement Agreement Without Consent of Indenture Trustee</w:t>
      </w:r>
      <w:r>
        <w:rPr>
          <w:rFonts w:ascii="Arial" w:cs="Arial" w:eastAsia="Arial" w:hAnsi="Arial"/>
          <w:sz w:val="18"/>
          <w:szCs w:val="18"/>
          <w:color w:val="auto"/>
        </w:rPr>
        <w:t>. The Bank Agent, the Disbursement Agent and the Company have the right to amend the Disbursement Agreement as set forth therein without the Indenture Trustee’s consent.</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Amendment</w:t>
      </w:r>
      <w:r>
        <w:rPr>
          <w:rFonts w:ascii="Arial" w:cs="Arial" w:eastAsia="Arial" w:hAnsi="Arial"/>
          <w:sz w:val="18"/>
          <w:szCs w:val="18"/>
          <w:color w:val="auto"/>
        </w:rPr>
        <w:t>. The undersigned desire to amend the Disbursement Agreement to reflect certain agreements of the parties hereto, all as more particularly set forth herein.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mutual covenants and agreements herein contained, and for other good and valuable consideration, the receipt and sufficiency of which are hereby acknowledged, the undersigned agree as follows:</w:t>
      </w:r>
    </w:p>
    <w:p>
      <w:pPr>
        <w:spacing w:after="0" w:line="132" w:lineRule="exact"/>
        <w:rPr>
          <w:sz w:val="20"/>
          <w:szCs w:val="20"/>
          <w:color w:val="auto"/>
        </w:rPr>
      </w:pPr>
    </w:p>
    <w:p>
      <w:pPr>
        <w:ind w:left="640" w:hanging="17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760" w:firstLine="438"/>
        <w:spacing w:after="0" w:line="268" w:lineRule="auto"/>
        <w:rPr>
          <w:rFonts w:ascii="Arial" w:cs="Arial" w:eastAsia="Arial" w:hAnsi="Arial"/>
          <w:sz w:val="18"/>
          <w:szCs w:val="18"/>
          <w:color w:val="auto"/>
        </w:rPr>
      </w:pPr>
      <w:r>
        <w:rPr>
          <w:rFonts w:ascii="Arial" w:cs="Arial" w:eastAsia="Arial" w:hAnsi="Arial"/>
          <w:sz w:val="18"/>
          <w:szCs w:val="18"/>
          <w:color w:val="auto"/>
        </w:rPr>
        <w:t>a. Section 2.2.7 of the Disbursement Agreement is amended by deleting the words “, which release shall be effected as a dividend from the Completion Guarantor to the Company” from the seventeenth and eighteenth lines thereof.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7" w:name="page48"/>
    <w:bookmarkEnd w:id="47"/>
    <w:p>
      <w:pPr>
        <w:ind w:left="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Section 2.9.2 of the Disbursement Agreement is deleted in its entirety and replaced with the words “[INTENTIONALLY OMITTED].”</w:t>
      </w:r>
    </w:p>
    <w:p>
      <w:pPr>
        <w:spacing w:after="0" w:line="113" w:lineRule="exact"/>
        <w:rPr>
          <w:sz w:val="20"/>
          <w:szCs w:val="20"/>
          <w:color w:val="auto"/>
        </w:rPr>
      </w:pPr>
    </w:p>
    <w:p>
      <w:pPr>
        <w:ind w:left="240" w:right="20" w:firstLine="438"/>
        <w:spacing w:after="0" w:line="268" w:lineRule="auto"/>
        <w:rPr>
          <w:sz w:val="20"/>
          <w:szCs w:val="20"/>
          <w:color w:val="auto"/>
        </w:rPr>
      </w:pPr>
      <w:r>
        <w:rPr>
          <w:rFonts w:ascii="Arial" w:cs="Arial" w:eastAsia="Arial" w:hAnsi="Arial"/>
          <w:sz w:val="18"/>
          <w:szCs w:val="18"/>
          <w:color w:val="auto"/>
        </w:rPr>
        <w:t>c. Section 3.2.25 of the Disbursement Agreement is amended by replacing the words “Three Hundred Million Dollars ($300,000,000) therein with the words “Five Hundred Million Dollars ($500,000,000).”</w:t>
      </w:r>
    </w:p>
    <w:p>
      <w:pPr>
        <w:spacing w:after="0" w:line="5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 Section 4.4.5 of the Disbursement Agreement is deleted in its entirety and replaced with the words “[INTENTIONALLY OMITTED].”</w:t>
      </w:r>
    </w:p>
    <w:p>
      <w:pPr>
        <w:spacing w:after="0" w:line="113" w:lineRule="exact"/>
        <w:rPr>
          <w:sz w:val="20"/>
          <w:szCs w:val="20"/>
          <w:color w:val="auto"/>
        </w:rPr>
      </w:pPr>
    </w:p>
    <w:p>
      <w:pPr>
        <w:ind w:left="240" w:right="180" w:firstLine="438"/>
        <w:spacing w:after="0" w:line="268" w:lineRule="auto"/>
        <w:rPr>
          <w:sz w:val="20"/>
          <w:szCs w:val="20"/>
          <w:color w:val="auto"/>
        </w:rPr>
      </w:pPr>
      <w:r>
        <w:rPr>
          <w:rFonts w:ascii="Arial" w:cs="Arial" w:eastAsia="Arial" w:hAnsi="Arial"/>
          <w:sz w:val="18"/>
          <w:szCs w:val="18"/>
          <w:color w:val="auto"/>
        </w:rPr>
        <w:t xml:space="preserve">e. The definition of “Available Funds”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of the Disbursement Agreement is amended by inserting the following immediately prior to the period at the end of such definition:</w:t>
      </w:r>
    </w:p>
    <w:p>
      <w:pPr>
        <w:spacing w:after="0" w:line="51" w:lineRule="exact"/>
        <w:rPr>
          <w:sz w:val="20"/>
          <w:szCs w:val="20"/>
          <w:color w:val="auto"/>
        </w:rPr>
      </w:pPr>
    </w:p>
    <w:p>
      <w:pPr>
        <w:ind w:left="700" w:right="420" w:firstLine="421"/>
        <w:spacing w:after="0" w:line="268" w:lineRule="auto"/>
        <w:tabs>
          <w:tab w:leader="none" w:pos="1208"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(x) the amount of any Senior Unsecured Debt (as defined in the Bank Credit Agreement) that could be incurred by the Company pursuant to </w:t>
      </w:r>
      <w:r>
        <w:rPr>
          <w:rFonts w:ascii="Arial" w:cs="Arial" w:eastAsia="Arial" w:hAnsi="Arial"/>
          <w:sz w:val="18"/>
          <w:szCs w:val="18"/>
          <w:u w:val="single" w:color="auto"/>
          <w:color w:val="auto"/>
        </w:rPr>
        <w:t>Section 7.2(n)</w:t>
      </w:r>
      <w:r>
        <w:rPr>
          <w:rFonts w:ascii="Arial" w:cs="Arial" w:eastAsia="Arial" w:hAnsi="Arial"/>
          <w:sz w:val="18"/>
          <w:szCs w:val="18"/>
          <w:color w:val="auto"/>
        </w:rPr>
        <w:t xml:space="preserve"> of the Bank Credit Agreement at such time.</w:t>
      </w:r>
    </w:p>
    <w:p>
      <w:pPr>
        <w:spacing w:after="0" w:line="131" w:lineRule="exact"/>
        <w:rPr>
          <w:rFonts w:ascii="Arial" w:cs="Arial" w:eastAsia="Arial" w:hAnsi="Arial"/>
          <w:sz w:val="18"/>
          <w:szCs w:val="18"/>
          <w:color w:val="auto"/>
        </w:rPr>
      </w:pPr>
    </w:p>
    <w:p>
      <w:pPr>
        <w:ind w:left="-220" w:right="80" w:firstLine="464"/>
        <w:spacing w:after="0" w:line="259" w:lineRule="auto"/>
        <w:tabs>
          <w:tab w:leader="none" w:pos="41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FINAL COMPLETION OF THE PHASE I PROJECT</w:t>
      </w:r>
      <w:r>
        <w:rPr>
          <w:rFonts w:ascii="Arial" w:cs="Arial" w:eastAsia="Arial" w:hAnsi="Arial"/>
          <w:sz w:val="18"/>
          <w:szCs w:val="18"/>
          <w:color w:val="auto"/>
        </w:rPr>
        <w:t>. Notwithstanding anything to the contrary contained in the Disbursement Agreement, as of the effective date of this Amendment, Final Completion of the Phase I Project and Phase I Final Completion shall be deemed to have been achieved and the Final Completion Date with respect to the Phase I Project shall be deemed to have occurred.</w:t>
      </w:r>
    </w:p>
    <w:p>
      <w:pPr>
        <w:spacing w:after="0" w:line="140" w:lineRule="exact"/>
        <w:rPr>
          <w:rFonts w:ascii="Arial" w:cs="Arial" w:eastAsia="Arial" w:hAnsi="Arial"/>
          <w:sz w:val="18"/>
          <w:szCs w:val="18"/>
          <w:color w:val="auto"/>
        </w:rPr>
      </w:pPr>
    </w:p>
    <w:p>
      <w:pPr>
        <w:ind w:left="-220" w:firstLine="464"/>
        <w:spacing w:after="0" w:line="255" w:lineRule="auto"/>
        <w:tabs>
          <w:tab w:leader="none" w:pos="41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Except as set forth in this Amendment, all other terms and provisions of the Disbursement Agreement remain unmodified and in full force and effect. This Amendment shall be construed and enforced in accordance with the laws of the State of New York. In the event that any term or provision contained herein is held to be invalid, void or otherwise unenforceable by any court of competent jurisdiction, the fact that such term or provision is invalid, void or otherwise unenforceable shall in no way affect the validity or enforceability of any other term or provision contained herein. This Amendment may be executed in any number of identical counterparts.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60" w:top="280" w:right="439" w:bottom="1440" w:gutter="0" w:footer="0" w:header="0"/>
        </w:sectPr>
      </w:pPr>
    </w:p>
    <w:bookmarkStart w:id="48" w:name="page49"/>
    <w:bookmarkEnd w:id="48"/>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Amendment as of the day and year first written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700"/>
        <w:spacing w:after="0"/>
        <w:tabs>
          <w:tab w:leader="none" w:pos="1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10795</wp:posOffset>
            </wp:positionV>
            <wp:extent cx="21609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 Marc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10795</wp:posOffset>
            </wp:positionV>
            <wp:extent cx="21609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 w:lineRule="exact"/>
        <w:rPr>
          <w:sz w:val="20"/>
          <w:szCs w:val="20"/>
          <w:color w:val="auto"/>
        </w:rPr>
      </w:pPr>
    </w:p>
    <w:p>
      <w:pPr>
        <w:ind w:left="700"/>
        <w:spacing w:after="0"/>
        <w:tabs>
          <w:tab w:leader="none" w:pos="1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10795</wp:posOffset>
            </wp:positionV>
            <wp:extent cx="21609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BANK AGENT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Mary 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19685</wp:posOffset>
            </wp:positionV>
            <wp:extent cx="25984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Mary 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19685</wp:posOffset>
            </wp:positionV>
            <wp:extent cx="25984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19685</wp:posOffset>
            </wp:positionV>
            <wp:extent cx="25984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3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Lapham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19685</wp:posOffset>
            </wp:positionV>
            <wp:extent cx="25984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Steven Lapham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[Signature Page to Fifth Amendment to Disbursement Agreement]</w:t>
      </w:r>
    </w:p>
    <w:p>
      <w:pPr>
        <w:sectPr>
          <w:pgSz w:w="11900" w:h="16838" w:orient="portrait"/>
          <w:cols w:equalWidth="0" w:num="1">
            <w:col w:w="10219"/>
          </w:cols>
          <w:pgMar w:left="240" w:top="280" w:right="1440"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DISBURSEMENT AGENT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Mary 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Mary 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1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Lapham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Steven Lapham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5" w:lineRule="exact"/>
        <w:rPr>
          <w:sz w:val="20"/>
          <w:szCs w:val="20"/>
          <w:color w:val="auto"/>
        </w:rPr>
      </w:pPr>
    </w:p>
    <w:p>
      <w:pPr>
        <w:jc w:val="right"/>
        <w:ind w:right="2159"/>
        <w:spacing w:after="0"/>
        <w:rPr>
          <w:sz w:val="20"/>
          <w:szCs w:val="20"/>
          <w:color w:val="auto"/>
        </w:rPr>
      </w:pPr>
      <w:r>
        <w:rPr>
          <w:rFonts w:ascii="Arial" w:cs="Arial" w:eastAsia="Arial" w:hAnsi="Arial"/>
          <w:sz w:val="18"/>
          <w:szCs w:val="18"/>
          <w:color w:val="auto"/>
        </w:rPr>
        <w:t>[Signature Page to Fifth Amendment to Disbursement Agreement]</w:t>
      </w:r>
    </w:p>
    <w:p>
      <w:pPr>
        <w:sectPr>
          <w:pgSz w:w="11900" w:h="16838" w:orient="portrait"/>
          <w:cols w:equalWidth="0" w:num="1">
            <w:col w:w="10219"/>
          </w:cols>
          <w:pgMar w:left="240" w:top="280" w:right="1440"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Andrew Pascal, certify that:</w:t>
      </w:r>
    </w:p>
    <w:p>
      <w:pPr>
        <w:spacing w:after="0" w:line="9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2007</w:t>
      </w:r>
    </w:p>
    <w:p>
      <w:pPr>
        <w:spacing w:after="0" w:line="212" w:lineRule="exact"/>
        <w:rPr>
          <w:sz w:val="20"/>
          <w:szCs w:val="20"/>
          <w:color w:val="auto"/>
        </w:rPr>
      </w:pPr>
    </w:p>
    <w:p>
      <w:pPr>
        <w:ind w:left="6860"/>
        <w:spacing w:after="0"/>
        <w:tabs>
          <w:tab w:leader="none" w:pos="7160" w:val="left"/>
        </w:tabs>
        <w:rPr>
          <w:sz w:val="20"/>
          <w:szCs w:val="20"/>
          <w:color w:val="auto"/>
        </w:rPr>
      </w:pPr>
      <w:r>
        <w:rPr>
          <w:rFonts w:ascii="Arial" w:cs="Arial" w:eastAsia="Arial" w:hAnsi="Arial"/>
          <w:sz w:val="18"/>
          <w:szCs w:val="18"/>
          <w:color w:val="auto"/>
        </w:rPr>
        <w:t>/s/</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 Pascal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David R. Sisk, certify that:</w:t>
      </w:r>
    </w:p>
    <w:p>
      <w:pPr>
        <w:spacing w:after="0" w:line="9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2007</w:t>
      </w:r>
    </w:p>
    <w:p>
      <w:pPr>
        <w:spacing w:after="0" w:line="21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R. S</w:t>
      </w:r>
      <w:r>
        <w:rPr>
          <w:rFonts w:ascii="Arial" w:cs="Arial" w:eastAsia="Arial" w:hAnsi="Arial"/>
          <w:sz w:val="14"/>
          <w:szCs w:val="14"/>
          <w:color w:val="auto"/>
        </w:rPr>
        <w:t>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R. Sisk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March 31, 2007 as filed with the Securities and Exchange Commission on the date hereof (the “Report”), Andrew Pascal, as Chief Operating Officer of the Company and David R. Sisk,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2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tc>
      </w:tr>
      <w:tr>
        <w:trPr>
          <w:trHeight w:val="202"/>
        </w:trPr>
        <w:tc>
          <w:tcPr>
            <w:tcW w:w="64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4280" w:type="dxa"/>
            <w:vAlign w:val="bottom"/>
          </w:tcPr>
          <w:p>
            <w:pPr>
              <w:ind w:left="160"/>
              <w:spacing w:after="0" w:line="202" w:lineRule="exact"/>
              <w:rPr>
                <w:sz w:val="20"/>
                <w:szCs w:val="20"/>
                <w:color w:val="auto"/>
              </w:rPr>
            </w:pPr>
            <w:r>
              <w:rPr>
                <w:rFonts w:ascii="Arial" w:cs="Arial" w:eastAsia="Arial" w:hAnsi="Arial"/>
                <w:sz w:val="18"/>
                <w:szCs w:val="18"/>
                <w:color w:val="auto"/>
              </w:rPr>
              <w:t>Andrew Pascal</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ind w:left="160"/>
              <w:spacing w:after="0"/>
              <w:rPr>
                <w:sz w:val="20"/>
                <w:szCs w:val="20"/>
                <w:color w:val="auto"/>
              </w:rPr>
            </w:pPr>
            <w:r>
              <w:rPr>
                <w:rFonts w:ascii="Arial" w:cs="Arial" w:eastAsia="Arial" w:hAnsi="Arial"/>
                <w:sz w:val="18"/>
                <w:szCs w:val="18"/>
                <w:color w:val="auto"/>
              </w:rPr>
              <w:t>President</w:t>
            </w:r>
          </w:p>
        </w:tc>
      </w:tr>
      <w:tr>
        <w:trPr>
          <w:trHeight w:val="216"/>
        </w:trPr>
        <w:tc>
          <w:tcPr>
            <w:tcW w:w="64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280" w:type="dxa"/>
            <w:vAlign w:val="bottom"/>
          </w:tcPr>
          <w:p>
            <w:pPr>
              <w:ind w:left="160"/>
              <w:spacing w:after="0"/>
              <w:rPr>
                <w:sz w:val="20"/>
                <w:szCs w:val="20"/>
                <w:color w:val="auto"/>
              </w:rPr>
            </w:pPr>
            <w:r>
              <w:rPr>
                <w:rFonts w:ascii="Arial" w:cs="Arial" w:eastAsia="Arial" w:hAnsi="Arial"/>
                <w:sz w:val="18"/>
                <w:szCs w:val="18"/>
                <w:color w:val="auto"/>
              </w:rPr>
              <w:t>August 9, 2007</w:t>
            </w:r>
          </w:p>
        </w:tc>
      </w:tr>
      <w:tr>
        <w:trPr>
          <w:trHeight w:val="420"/>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2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R. S</w:t>
            </w:r>
            <w:r>
              <w:rPr>
                <w:rFonts w:ascii="Arial" w:cs="Arial" w:eastAsia="Arial" w:hAnsi="Arial"/>
                <w:sz w:val="14"/>
                <w:szCs w:val="14"/>
                <w:color w:val="auto"/>
              </w:rPr>
              <w:t>ISK</w:t>
            </w:r>
          </w:p>
        </w:tc>
      </w:tr>
      <w:tr>
        <w:trPr>
          <w:trHeight w:val="202"/>
        </w:trPr>
        <w:tc>
          <w:tcPr>
            <w:tcW w:w="64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4280" w:type="dxa"/>
            <w:vAlign w:val="bottom"/>
          </w:tcPr>
          <w:p>
            <w:pPr>
              <w:ind w:left="160"/>
              <w:spacing w:after="0" w:line="202" w:lineRule="exact"/>
              <w:rPr>
                <w:sz w:val="20"/>
                <w:szCs w:val="20"/>
                <w:color w:val="auto"/>
              </w:rPr>
            </w:pPr>
            <w:r>
              <w:rPr>
                <w:rFonts w:ascii="Arial" w:cs="Arial" w:eastAsia="Arial" w:hAnsi="Arial"/>
                <w:sz w:val="18"/>
                <w:szCs w:val="18"/>
                <w:color w:val="auto"/>
              </w:rPr>
              <w:t>David R. Sisk</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ind w:left="16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64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(Principal Financial and Accounting Officer)</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280" w:type="dxa"/>
            <w:vAlign w:val="bottom"/>
          </w:tcPr>
          <w:p>
            <w:pPr>
              <w:ind w:left="160"/>
              <w:spacing w:after="0"/>
              <w:rPr>
                <w:sz w:val="20"/>
                <w:szCs w:val="20"/>
                <w:color w:val="auto"/>
              </w:rPr>
            </w:pPr>
            <w:r>
              <w:rPr>
                <w:rFonts w:ascii="Arial" w:cs="Arial" w:eastAsia="Arial" w:hAnsi="Arial"/>
                <w:sz w:val="18"/>
                <w:szCs w:val="18"/>
                <w:color w:val="auto"/>
              </w:rPr>
              <w:t>August 9, 2007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2"/>
    </w:lvl>
  </w:abstractNum>
  <w:abstractNum w:abstractNumId="3">
    <w:nsid w:val="431BD7B7"/>
    <w:multiLevelType w:val="hybridMultilevel"/>
    <w:lvl w:ilvl="0">
      <w:lvlJc w:val="left"/>
      <w:lvlText w:val="(%1)"/>
      <w:numFmt w:val="lowerRoman"/>
      <w:start w:val="1"/>
    </w:lvl>
  </w:abstractNum>
  <w:abstractNum w:abstractNumId="4">
    <w:nsid w:val="3F2DBA31"/>
    <w:multiLevelType w:val="hybridMultilevel"/>
    <w:lvl w:ilvl="0">
      <w:lvlJc w:val="left"/>
      <w:lvlText w:val="%1."/>
      <w:numFmt w:val="decimal"/>
      <w:start w:val="8"/>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lowerLetter"/>
      <w:start w:val="1"/>
    </w:lvl>
  </w:abstractNum>
  <w:abstractNum w:abstractNumId="12">
    <w:nsid w:val="2443A858"/>
    <w:multiLevelType w:val="hybridMultilevel"/>
    <w:lvl w:ilvl="0">
      <w:lvlJc w:val="left"/>
      <w:lvlText w:val="(%1)"/>
      <w:numFmt w:val="lowerLetter"/>
      <w:start w:val="2"/>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lowerLetter"/>
      <w:start w:val="1"/>
    </w:lvl>
  </w:abstractNum>
  <w:abstractNum w:abstractNumId="17">
    <w:nsid w:val="79838CB2"/>
    <w:multiLevelType w:val="hybridMultilevel"/>
    <w:lvl w:ilvl="0">
      <w:lvlJc w:val="left"/>
      <w:lvlText w:val="(%1)"/>
      <w:numFmt w:val="lowerLetter"/>
      <w:start w:val="3"/>
    </w:lvl>
  </w:abstractNum>
  <w:abstractNum w:abstractNumId="18">
    <w:nsid w:val="4353D0CD"/>
    <w:multiLevelType w:val="hybridMultilevel"/>
    <w:lvl w:ilvl="0">
      <w:lvlJc w:val="left"/>
      <w:lvlText w:val="(%1)"/>
      <w:numFmt w:val="lowerLetter"/>
      <w:start w:val="14"/>
    </w:lvl>
  </w:abstractNum>
  <w:abstractNum w:abstractNumId="19">
    <w:nsid w:val="B03E0C6"/>
    <w:multiLevelType w:val="hybridMultilevel"/>
    <w:lvl w:ilvl="0">
      <w:lvlJc w:val="left"/>
      <w:lvlText w:val="(%1)"/>
      <w:numFmt w:val="lowerLetter"/>
      <w:start w:val="14"/>
    </w:lvl>
  </w:abstractNum>
  <w:abstractNum w:abstractNumId="20">
    <w:nsid w:val="189A769B"/>
    <w:multiLevelType w:val="hybridMultilevel"/>
    <w:lvl w:ilvl="0">
      <w:lvlJc w:val="left"/>
      <w:lvlText w:val="(%1)"/>
      <w:numFmt w:val="lowerLetter"/>
      <w:start w:val="6"/>
    </w:lvl>
  </w:abstractNum>
  <w:abstractNum w:abstractNumId="21">
    <w:nsid w:val="54E49EB4"/>
    <w:multiLevelType w:val="hybridMultilevel"/>
    <w:lvl w:ilvl="0">
      <w:lvlJc w:val="left"/>
      <w:lvlText w:val="(%1)"/>
      <w:numFmt w:val="lowerLetter"/>
      <w:start w:val="9"/>
    </w:lvl>
  </w:abstractNum>
  <w:abstractNum w:abstractNumId="22">
    <w:nsid w:val="71F32454"/>
    <w:multiLevelType w:val="hybridMultilevel"/>
    <w:lvl w:ilvl="0">
      <w:lvlJc w:val="left"/>
      <w:lvlText w:val="%1."/>
      <w:numFmt w:val="decimal"/>
      <w:start w:val="3"/>
    </w:lvl>
  </w:abstractNum>
  <w:abstractNum w:abstractNumId="23">
    <w:nsid w:val="2CA88611"/>
    <w:multiLevelType w:val="hybridMultilevel"/>
    <w:lvl w:ilvl="0">
      <w:lvlJc w:val="left"/>
      <w:lvlText w:val="%1."/>
      <w:numFmt w:val="decimal"/>
      <w:start w:val="6"/>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lowerLetter"/>
      <w:start w:val="7"/>
    </w:lvl>
  </w:abstractNum>
  <w:abstractNum w:abstractNumId="26">
    <w:nsid w:val="3A95F874"/>
    <w:multiLevelType w:val="hybridMultilevel"/>
    <w:lvl w:ilvl="0">
      <w:lvlJc w:val="left"/>
      <w:lvlText w:val="%1."/>
      <w:numFmt w:val="decimal"/>
      <w:start w:val="7"/>
    </w:lvl>
  </w:abstractNum>
  <w:abstractNum w:abstractNumId="27">
    <w:nsid w:val="8138641"/>
    <w:multiLevelType w:val="hybridMultilevel"/>
    <w:lvl w:ilvl="0">
      <w:lvlJc w:val="left"/>
      <w:lvlText w:val="%1."/>
      <w:numFmt w:val="decimal"/>
      <w:start w:val="1"/>
    </w:lvl>
    <w:lvl w:ilvl="1">
      <w:lvlJc w:val="left"/>
      <w:lvlText w:val="%2"/>
      <w:numFmt w:val="lowerLetter"/>
      <w:start w:val="1"/>
    </w:lvl>
  </w:abstractNum>
  <w:abstractNum w:abstractNumId="28">
    <w:nsid w:val="1E7FF521"/>
    <w:multiLevelType w:val="hybridMultilevel"/>
    <w:lvl w:ilvl="0">
      <w:lvlJc w:val="left"/>
      <w:lvlText w:val="%1."/>
      <w:numFmt w:val="decimal"/>
      <w:start w:val="1"/>
    </w:lvl>
    <w:lvl w:ilvl="1">
      <w:lvlJc w:val="left"/>
      <w:lvlText w:val=","/>
      <w:numFmt w:val="bullet"/>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2019-12-15T08:08:51Z</dcterms:created>
  <dcterms:modified xsi:type="dcterms:W3CDTF">2019-12-15T08:08:51Z</dcterms:modified>
</cp:coreProperties>
</file>