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250825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262255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940" w:type="dxa"/>
            <w:vAlign w:val="bottom"/>
          </w:tcPr>
          <w:p>
            <w:pPr>
              <w:jc w:val="center"/>
              <w:ind w:right="124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940" w:type="dxa"/>
            <w:vAlign w:val="bottom"/>
          </w:tcPr>
          <w:p>
            <w:pPr>
              <w:jc w:val="center"/>
              <w:ind w:right="12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5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5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0" w:type="dxa"/>
        <w:tblCellMar>
          <w:top w:w="0" w:type="dxa"/>
          <w:left w:w="0" w:type="dxa"/>
          <w:bottom w:w="0" w:type="dxa"/>
          <w:right w:w="0" w:type="dxa"/>
        </w:tblCellMar>
      </w:tblPr>
      <w:tr>
        <w:trPr>
          <w:trHeight w:val="23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333-100768</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88-0494875</w:t>
            </w:r>
          </w:p>
        </w:tc>
      </w:tr>
      <w:tr>
        <w:trPr>
          <w:trHeight w:val="178"/>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8"/>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of each registrant)</w:t>
            </w:r>
          </w:p>
        </w:tc>
        <w:tc>
          <w:tcPr>
            <w:tcW w:w="4460" w:type="dxa"/>
            <w:vAlign w:val="bottom"/>
          </w:tcPr>
          <w:p>
            <w:pPr>
              <w:spacing w:after="0"/>
              <w:rPr>
                <w:sz w:val="19"/>
                <w:szCs w:val="19"/>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7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19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2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ectPr>
          <w:pgSz w:w="11900" w:h="16838" w:orient="portrait"/>
          <w:cols w:equalWidth="0" w:num="1">
            <w:col w:w="10860"/>
          </w:cols>
          <w:pgMar w:left="240" w:top="741" w:right="799" w:bottom="1440" w:gutter="0" w:footer="0" w:header="0"/>
        </w:sectPr>
      </w:pPr>
    </w:p>
    <w:bookmarkStart w:id="1" w:name="page2"/>
    <w:bookmarkEnd w:id="1"/>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4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On April 28, 2015, Wynn Resorts, Limited issued a press release announcing its results of operations for the first quarter ended March 31, 2015.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On April 28, 2015, Wynn Resorts, Limited, announced a cash dividend of $0.50 per share of its outstanding common stock, a reduction from its previous quarterly dividend. This cash dividend will be payable on May 21, 2015 to stockholders of record on May 11, 2015.</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7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Press release, dated April 28, 2015, of Wynn Resorts, Limited.</w:t>
            </w:r>
          </w:p>
        </w:tc>
      </w:tr>
    </w:tbl>
    <w:p>
      <w:pPr>
        <w:sectPr>
          <w:pgSz w:w="11900" w:h="16838" w:orient="portrait"/>
          <w:cols w:equalWidth="0" w:num="1">
            <w:col w:w="11360"/>
          </w:cols>
          <w:pgMar w:left="240" w:top="954" w:right="29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April 28,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80"/>
          </w:cols>
          <w:pgMar w:left="240" w:top="792" w:right="8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WYNN LAS VEGAS, LLC</w:t>
            </w:r>
          </w:p>
        </w:tc>
      </w:tr>
      <w:tr>
        <w:trPr>
          <w:trHeight w:val="39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2015</w:t>
            </w:r>
          </w:p>
        </w:tc>
        <w:tc>
          <w:tcPr>
            <w:tcW w:w="30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Resorts Holdings, LLC</w:t>
            </w:r>
          </w:p>
        </w:tc>
      </w:tr>
      <w:tr>
        <w:trPr>
          <w:trHeight w:val="270"/>
        </w:trPr>
        <w:tc>
          <w:tcPr>
            <w:tcW w:w="41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67"/>
        </w:trPr>
        <w:tc>
          <w:tcPr>
            <w:tcW w:w="4100" w:type="dxa"/>
            <w:vAlign w:val="bottom"/>
          </w:tcPr>
          <w:p>
            <w:pPr>
              <w:spacing w:after="0"/>
              <w:rPr>
                <w:sz w:val="24"/>
                <w:szCs w:val="24"/>
                <w:color w:val="auto"/>
              </w:rPr>
            </w:pPr>
          </w:p>
        </w:tc>
        <w:tc>
          <w:tcPr>
            <w:tcW w:w="30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70"/>
        </w:trPr>
        <w:tc>
          <w:tcPr>
            <w:tcW w:w="41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864"/>
        </w:trPr>
        <w:tc>
          <w:tcPr>
            <w:tcW w:w="4100" w:type="dxa"/>
            <w:vAlign w:val="bottom"/>
          </w:tcPr>
          <w:p>
            <w:pPr>
              <w:spacing w:after="0"/>
              <w:rPr>
                <w:sz w:val="24"/>
                <w:szCs w:val="24"/>
                <w:color w:val="auto"/>
              </w:rPr>
            </w:pPr>
          </w:p>
        </w:tc>
        <w:tc>
          <w:tcPr>
            <w:tcW w:w="30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4100" w:type="dxa"/>
            <w:vAlign w:val="bottom"/>
          </w:tcPr>
          <w:p>
            <w:pPr>
              <w:spacing w:after="0"/>
              <w:rPr>
                <w:sz w:val="2"/>
                <w:szCs w:val="2"/>
                <w:color w:val="auto"/>
              </w:rPr>
            </w:pPr>
          </w:p>
        </w:tc>
        <w:tc>
          <w:tcPr>
            <w:tcW w:w="7280" w:type="dxa"/>
            <w:vAlign w:val="bottom"/>
            <w:gridSpan w:val="2"/>
          </w:tcPr>
          <w:p>
            <w:pPr>
              <w:spacing w:after="0"/>
              <w:rPr>
                <w:sz w:val="2"/>
                <w:szCs w:val="2"/>
                <w:color w:val="auto"/>
              </w:rPr>
            </w:pPr>
          </w:p>
        </w:tc>
      </w:tr>
      <w:tr>
        <w:trPr>
          <w:trHeight w:val="228"/>
        </w:trPr>
        <w:tc>
          <w:tcPr>
            <w:tcW w:w="4100" w:type="dxa"/>
            <w:vAlign w:val="bottom"/>
          </w:tcPr>
          <w:p>
            <w:pPr>
              <w:spacing w:after="0"/>
              <w:rPr>
                <w:sz w:val="19"/>
                <w:szCs w:val="19"/>
                <w:color w:val="auto"/>
              </w:rPr>
            </w:pPr>
          </w:p>
        </w:tc>
        <w:tc>
          <w:tcPr>
            <w:tcW w:w="3060" w:type="dxa"/>
            <w:vAlign w:val="bottom"/>
          </w:tcPr>
          <w:p>
            <w:pPr>
              <w:ind w:left="2520"/>
              <w:spacing w:after="0"/>
              <w:rPr>
                <w:sz w:val="20"/>
                <w:szCs w:val="20"/>
                <w:color w:val="auto"/>
              </w:rPr>
            </w:pPr>
            <w:r>
              <w:rPr>
                <w:rFonts w:ascii="Times New Roman" w:cs="Times New Roman" w:eastAsia="Times New Roman" w:hAnsi="Times New Roman"/>
                <w:sz w:val="18"/>
                <w:szCs w:val="18"/>
                <w:color w:val="auto"/>
                <w:w w:val="89"/>
              </w:rPr>
              <w:t>Stephen</w:t>
            </w:r>
          </w:p>
        </w:tc>
        <w:tc>
          <w:tcPr>
            <w:tcW w:w="4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Cootey</w:t>
            </w:r>
          </w:p>
        </w:tc>
      </w:tr>
    </w:tbl>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79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554"/>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April 28, 2015, of Wynn Resorts, Limited.</w:t>
            </w:r>
          </w:p>
        </w:tc>
      </w:tr>
    </w:tbl>
    <w:p>
      <w:pPr>
        <w:sectPr>
          <w:pgSz w:w="11900" w:h="16838" w:orient="portrait"/>
          <w:cols w:equalWidth="0" w:num="1">
            <w:col w:w="10179"/>
          </w:cols>
          <w:pgMar w:left="280" w:top="79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First Quarter 2015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April 28, 2015 — Wynn Resorts, Limited (Nasdaq: WYNN) today reported financial results for the first quarter ended March 31, 2015.</w:t>
      </w:r>
    </w:p>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Net revenues for the first quarter of 2015 were $1,092.2 million, compared to $1,513.6 million in the first quarter of 2014. The decline was the result of a 37.7% net revenue decrease from our Macau Operations, partially offset by a 1.6% increase in net revenues from our Las Vegas Operations. Adjusted property EBITDA (1) was $323.0 million for the first quarter of 2015, a 34.7% decrease from $494.6 million in the first quarter of 2014.</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 US GAAP basis, net loss attributable to Wynn Resorts, Limited for the first quarter of 2015 was $44.6 million, or $0.44 per diluted share, compared to net income attributable to Wynn Resorts, Limited of $226.9 million, or $2.22 per diluted share, in the first quarter of 2014.</w:t>
      </w:r>
    </w:p>
    <w:p>
      <w:pPr>
        <w:spacing w:after="0" w:line="162"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7"/>
          <w:szCs w:val="17"/>
          <w:color w:val="auto"/>
        </w:rPr>
        <w:t>Adjusted net income attributable to Wynn Resorts, Limited (2) in the first quarter of 2015 was $70.5 million, or $0.70 per diluted share (adjusted EPS), compared to an adjusted net income attributable to Wynn Resorts, Limited of $236.7 million, or $2.32 per diluted share, in the first quarter of 2014.</w:t>
      </w:r>
    </w:p>
    <w:p>
      <w:pPr>
        <w:spacing w:after="0" w:line="1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Wynn Resorts also announced today that the Company has approved a cash dividend of $0.50 per common share, a reduction from its previous quarterly dividend. This dividend will be payable on May 21, 2015, to stockholders of record on May 11,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Operations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first quarter of 2015, net revenues were $705.4 million, a 37.7% decrease from the $1,132.7 million generated in the first quarter of 2014. Adjusted property EBITDA in the first quarter of 2015 was $212.3 million, down 44.7% from $384.3 million in the first quarter of 2014 due primarily to weakness in the VIP segment.</w:t>
      </w:r>
    </w:p>
    <w:p>
      <w:pPr>
        <w:spacing w:after="0" w:line="17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Table games turnover in the VIP segment was $17.1 billion for the first quarter of 2015, a 52.4% decrease from $36.0 billion in the first quarter of 2014. VIP table games win as a percentage of turnover (calculated before commissions) for the quarter was 2.80%, within the expected range of 2.7% to 3.0% and flat compared with the 2.79% experienced in the first quarter of 2014. The average number of VIP tables decreased to 252 units in the first quarter of 2015 from 279 units in the prior year's first quarter due in large part to a renovation on a portion of the casino floor. This renovation was completed in February 2015.</w:t>
      </w:r>
    </w:p>
    <w:p>
      <w:pPr>
        <w:spacing w:after="0" w:line="1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Table games win in the mass market segment decreased by 7.0% to $279.6 million in the first quarter of 2015. Mass market table games win per unit per day decreased by 7.5% to $14,517 from $15,695 in the first quarter of 2014. Drop in the mass market segment was $591.9 million in the first quarter of 2015, down 14.5% from the 2014 first quarter, while the segment’s win percentage of 47.2% was an increase from 43.4% in last year’s first quarter. Customers purchase mass market gaming chips at either the gaming tables or the casino cage. Chips purchased at the casino cage are excluded from table games drop and will increase the expected win percentage. Because of the large number of chip purchases occurring at the casino cage, we believe the relevant indicator of volumes in the mass market segment should be actual table games win rather than win percentage.</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Slot machine handle for the first quarter of 2015 declined 25.7% from the 2014 period to $1,039.6 million, and slot win decreased by 31.2%. Slot machine win per unit per day decreased 10.8% to $818 in the first quarter of 2015, compared to $917 in the first quarter of 2014, due to lower slot win and a reduction in the number of units on the casino floor.</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first quarter of 2015, we achieved an average daily rate (ADR) of $331, 2.1% below the $338 reported in the 2014 first quarter. Occupancy at Wynn Macau of 97.5% compares to 98.1% in the prior-year period, and revenue per available room (REVPAR) decreased 2.4% to $323 in the 2015 quarter from $331 in last year’s first quarter. Non-casino revenues, before promotional allowances, decreased 21.8% during the quarter to $88.4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Las Vegas Operations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2015, net revenues were $386.9 million, a 1.6% increase from $380.9 million in the first quarter of 2014. Adjusted property EBITDA was $110.7 million, up slightly compared to the prior year.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casino revenues in the first quarter of 2015 were $161.8 million, a 4.2% increase from the first quarter of 2014. Table games drop of $573.6 million was down 11.4% from $647.4 million in the 2014 quarter. Table games win percentage was 23.7%, within the property’s expected range of 21% to 24% and above the 20.7% reported in the 2014 quarter. Slot machine handle of $762.2 million was 2.5% above the $743.8 million in the comparable period of 2014, and net slot win was up 6.4%.</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Room revenues were down 3.3% to $99.6 million during the quarter, versus $103.1 million in the first quarter of 2014. Occupancy decreased to 83.0% from 87.8% in the first quarter of 2014 and ADR increased 2.9% to $283 from $275. REVPAR was $235 in the 2015 first quarter, 2.5% below the $241 reported in the prior-year quarter.</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Food and beverage revenues in the first quarter of 2015 were $114.5 million, flat compared to the 2014 first quarter. Entertainment, retail and other revenues improved 3.4% from last year’s quarter to $55.9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Palace Project in Macau</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is currently constructing Wynn Palace, a fully integrated resort containing a 1,700-room hotel, performance lake, meeting space, casino, spa, retail offerings, and food and beverage outlets in the Cotai area of Macau. In July 2013, we signed a $2.6 billion guaranteed maximum price (GMP) contract for the project’s construction costs. The total project budget, including construction costs, capitalized interest, pre-opening expenses, land costs and financing fees, is approximately $4.1 billion. We expect to open our resort on Cotai in the first half of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2015, we invested approximately $374.3 million in our Cotai project, taking the total investment to date to $2.2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Project in Massachusetts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November 2014, we were awarded a gaming license to develop and construct an integrated resort in Everett, Massachusetts, outside of Boston. On January 2, 2015, we purchased 33 acres of land in Everett, along the Mystic River. On this land, we intend to develop and construct an integrated resort containing a hotel, restaurants, casino, spa, premium retail offerings, meeting and convention space and a waterfront boardwalk.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Other</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total cash and investment securities balance at March 31, 2015 was $2.1 billion. Total debt outstanding at the end of the quarter was $8.0 billion, including $3.4 billion of Wynn Las Vegas debt, $2.7 billion of Wynn Macau debt and $1.9 billion at the parent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on April 28, 2015 at 1:30 p.m. PT (4:30 p.m. ET). Interested parties are invited to join the call by accessing a live audio webcast at http://www.wynnresorts.com.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7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firstLine="8"/>
        <w:spacing w:after="0" w:line="25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6" w:lineRule="exact"/>
        <w:rPr>
          <w:rFonts w:ascii="Times New Roman" w:cs="Times New Roman" w:eastAsia="Times New Roman" w:hAnsi="Times New Roman"/>
          <w:sz w:val="18"/>
          <w:szCs w:val="18"/>
          <w:color w:val="auto"/>
        </w:rPr>
      </w:pPr>
    </w:p>
    <w:p>
      <w:pPr>
        <w:ind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Wynn Resorts, Limited" is net income (loss) before pre-opening costs, property charges and other, and certain other non-operating income and expenses, net of taxes in respective jurisdictions. Adjusted net income attributable to Wynn Resorts, Limited and adjusted net income attributable to Wynn Resorts, Limited per diluted share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8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(loss) attributable to Wynn Resorts, Limited to adjusted net income attributable to Wynn Resorts, Limited, and (ii) operating income to adjusted property EBITDA and adjusted property EBITDA to net income (loss) attributable to Wynn Resorts, Limited.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576" w:right="2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826,099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136,476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141,837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106,860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1,184,543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1,611,306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1,092,238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1,513,613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783,734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35,345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111,277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(benefit)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76,659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1,136,782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185,059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376,831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303,043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226,896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100,822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9" w:name="page10"/>
    <w:bookmarkEnd w:id="9"/>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560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0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226,896</w:t>
            </w: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 net</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2,222</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1,529</w:t>
            </w: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 net</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 net</w:t>
            </w:r>
          </w:p>
        </w:tc>
        <w:tc>
          <w:tcPr>
            <w:tcW w:w="2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7,113</w:t>
            </w: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net income attributable to Wynn Resorts, Limited (2)</w:t>
            </w:r>
          </w:p>
        </w:tc>
        <w:tc>
          <w:tcPr>
            <w:tcW w:w="2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70,474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236,684</w:t>
            </w:r>
          </w:p>
        </w:tc>
      </w:tr>
      <w:tr>
        <w:trPr>
          <w:trHeight w:val="67"/>
        </w:trPr>
        <w:tc>
          <w:tcPr>
            <w:tcW w:w="5600" w:type="dxa"/>
            <w:vAlign w:val="bottom"/>
            <w:tcBorders>
              <w:bottom w:val="single" w:sz="8" w:color="CCEEFF"/>
            </w:tcBorders>
          </w:tcPr>
          <w:p>
            <w:pPr>
              <w:spacing w:after="0"/>
              <w:rPr>
                <w:sz w:val="5"/>
                <w:szCs w:val="5"/>
                <w:color w:val="auto"/>
              </w:rPr>
            </w:pPr>
          </w:p>
        </w:tc>
        <w:tc>
          <w:tcPr>
            <w:tcW w:w="2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6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Adjusted net income attributable to Wynn Resorts, Limited per diluted share</w:t>
            </w:r>
          </w:p>
        </w:tc>
        <w:tc>
          <w:tcPr>
            <w:tcW w:w="30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102,009</w:t>
            </w:r>
          </w:p>
        </w:tc>
      </w:tr>
      <w:tr>
        <w:trPr>
          <w:trHeight w:val="675"/>
        </w:trPr>
        <w:tc>
          <w:tcPr>
            <w:tcW w:w="5600" w:type="dxa"/>
            <w:vAlign w:val="bottom"/>
          </w:tcPr>
          <w:p>
            <w:pPr>
              <w:spacing w:after="0"/>
              <w:rPr>
                <w:sz w:val="24"/>
                <w:szCs w:val="24"/>
                <w:color w:val="auto"/>
              </w:rPr>
            </w:pPr>
          </w:p>
        </w:tc>
        <w:tc>
          <w:tcPr>
            <w:tcW w:w="274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 w:name="page11"/>
    <w:bookmarkEnd w:id="1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RECONCILIATION OF OPERATING INCOME TO ADJUSTED PROPERTY EBITDA AND ADJUSTED PROPERTY EBITDA TO NET</w:t>
      </w:r>
    </w:p>
    <w:p>
      <w:pPr>
        <w:spacing w:after="0" w:line="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INCOME (LOSS) ATTRIBUTABLE TO WYNN RESORTS, LIMITED</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Macau</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2"/>
                <w:szCs w:val="12"/>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185,059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82,866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and royalty fees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25,642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Property EBITDA(1)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110,677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323,019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Macau</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2"/>
                <w:szCs w:val="12"/>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376,831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76,659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and royalty fees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Property EBITDA(1)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494,616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Property EBITDA(1)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494,616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303,043</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226,896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40" w:top="792" w:right="539" w:bottom="1440" w:gutter="0" w:footer="0" w:header="0"/>
        </w:sectPr>
      </w:pPr>
    </w:p>
    <w:p>
      <w:pPr>
        <w:spacing w:after="0" w:line="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240" w:top="792" w:right="5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 statistics for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daily rate (ADR)(a)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 per available room (REVPAR)(b)</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information for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Table games win per unit per day(c)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18,105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29,457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Slot machine win per unit per day(d)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917</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842</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 statistics for Las Vegas operations: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daily rate (ADR)(a)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Revenue per available room (REVPAR)(b)</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information for Las Vegas operations: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Table games win per unit per day(c)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6,419</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Table games win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Slot machine win per unit per day(d)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1,866</w:t>
            </w:r>
          </w:p>
        </w:tc>
      </w:tr>
      <w:tr>
        <w:trPr>
          <w:trHeight w:val="27"/>
        </w:trPr>
        <w:tc>
          <w:tcPr>
            <w:tcW w:w="8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left="340" w:right="18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 is average daily rate and is calculated by dividing total room revenue including the retail value of promotional allowances (less service charges, if any) by total rooms occupied including complimentary rooms.</w:t>
      </w:r>
    </w:p>
    <w:p>
      <w:pPr>
        <w:ind w:left="340" w:right="5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is revenue per available room and is calculated by dividing total room revenue including the retail value of promotional allowances (less service charges, if any) by total rooms available.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per unit per day is shown before discounts and commissions, as applicable.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Strawn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2019-12-08T02:11:58Z</dcterms:created>
  <dcterms:modified xsi:type="dcterms:W3CDTF">2019-12-08T02:11:58Z</dcterms:modified>
</cp:coreProperties>
</file>