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1557655</wp:posOffset>
            </wp:positionH>
            <wp:positionV relativeFrom="paragraph">
              <wp:posOffset>53340</wp:posOffset>
            </wp:positionV>
            <wp:extent cx="4036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6" w:lineRule="exact"/>
        <w:rPr>
          <w:sz w:val="24"/>
          <w:szCs w:val="24"/>
          <w:color w:val="auto"/>
        </w:rPr>
      </w:pPr>
    </w:p>
    <w:p>
      <w:pPr>
        <w:ind w:left="680" w:hanging="657"/>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8" w:lineRule="exact"/>
        <w:rPr>
          <w:sz w:val="24"/>
          <w:szCs w:val="24"/>
          <w:color w:val="auto"/>
        </w:rPr>
      </w:pPr>
    </w:p>
    <w:p>
      <w:pPr>
        <w:ind w:left="680" w:right="300" w:hanging="657"/>
        <w:spacing w:after="0" w:line="241"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tbl>
      <w:tblPr>
        <w:tblLayout w:type="fixed"/>
        <w:tblInd w:w="80" w:type="dxa"/>
        <w:tblCellMar>
          <w:top w:w="0" w:type="dxa"/>
          <w:left w:w="0" w:type="dxa"/>
          <w:bottom w:w="0" w:type="dxa"/>
          <w:right w:w="0" w:type="dxa"/>
        </w:tblCellMar>
      </w:tblPr>
      <w:tr>
        <w:trPr>
          <w:trHeight w:val="188"/>
        </w:trPr>
        <w:tc>
          <w:tcPr>
            <w:tcW w:w="2460" w:type="dxa"/>
            <w:vAlign w:val="bottom"/>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For the transition period</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79"/>
              </w:rPr>
              <w:t>to</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Commission File No. 000-50028</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10"/>
          </w:tcPr>
          <w:p>
            <w:pPr>
              <w:jc w:val="center"/>
              <w:ind w:right="763"/>
              <w:spacing w:after="0"/>
              <w:rPr>
                <w:sz w:val="20"/>
                <w:szCs w:val="20"/>
                <w:color w:val="auto"/>
              </w:rPr>
            </w:pPr>
            <w:r>
              <w:rPr>
                <w:rFonts w:ascii="Times New Roman" w:cs="Times New Roman" w:eastAsia="Times New Roman" w:hAnsi="Times New Roman"/>
                <w:sz w:val="42"/>
                <w:szCs w:val="42"/>
                <w:b w:val="1"/>
                <w:bCs w:val="1"/>
                <w:color w:val="auto"/>
              </w:rPr>
              <w:t>WYNN RESORTS, LIMITED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14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N</w:t>
            </w:r>
            <w:r>
              <w:rPr>
                <w:rFonts w:ascii="Times New Roman" w:cs="Times New Roman" w:eastAsia="Times New Roman" w:hAnsi="Times New Roman"/>
                <w:sz w:val="14"/>
                <w:szCs w:val="14"/>
                <w:b w:val="1"/>
                <w:bCs w:val="1"/>
                <w:color w:val="auto"/>
                <w:w w:val="99"/>
              </w:rPr>
              <w:t>evada</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46-0484987</w:t>
            </w: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600" w:type="dxa"/>
            <w:vAlign w:val="bottom"/>
            <w:gridSpan w:val="5"/>
          </w:tcPr>
          <w:p>
            <w:pPr>
              <w:jc w:val="center"/>
              <w:ind w:left="17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gridSpan w:val="11"/>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10"/>
          </w:tcPr>
          <w:p>
            <w:pPr>
              <w:jc w:val="center"/>
              <w:ind w:right="763"/>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0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(Zip Code)</w:t>
            </w:r>
          </w:p>
        </w:tc>
        <w:tc>
          <w:tcPr>
            <w:tcW w:w="1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gridSpan w:val="4"/>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3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1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660" w:type="dxa"/>
            <w:vAlign w:val="bottom"/>
            <w:gridSpan w:val="2"/>
          </w:tcPr>
          <w:p>
            <w:pPr>
              <w:jc w:val="cente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380" w:type="dxa"/>
            <w:vAlign w:val="bottom"/>
            <w:gridSpan w:val="3"/>
          </w:tcPr>
          <w:p>
            <w:pPr>
              <w:jc w:val="center"/>
              <w:ind w:right="59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360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3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gridSpan w:val="5"/>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Common Stock, par value $0.01 per share</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4"/>
              </w:rPr>
              <w:t>WYNN</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gridSpan w:val="3"/>
          </w:tcPr>
          <w:p>
            <w:pPr>
              <w:jc w:val="center"/>
              <w:ind w:right="592"/>
              <w:spacing w:after="0"/>
              <w:rPr>
                <w:sz w:val="20"/>
                <w:szCs w:val="20"/>
                <w:color w:val="auto"/>
              </w:rPr>
            </w:pPr>
            <w:r>
              <w:rPr>
                <w:rFonts w:ascii="Times New Roman" w:cs="Times New Roman" w:eastAsia="Times New Roman" w:hAnsi="Times New Roman"/>
                <w:sz w:val="18"/>
                <w:szCs w:val="18"/>
                <w:b w:val="1"/>
                <w:bCs w:val="1"/>
                <w:color w:val="auto"/>
                <w:w w:val="97"/>
              </w:rPr>
              <w:t>Nasdaq Global Select Market</w:t>
            </w:r>
          </w:p>
        </w:tc>
        <w:tc>
          <w:tcPr>
            <w:tcW w:w="0" w:type="dxa"/>
            <w:vAlign w:val="bottom"/>
          </w:tcPr>
          <w:p>
            <w:pPr>
              <w:spacing w:after="0"/>
              <w:rPr>
                <w:sz w:val="1"/>
                <w:szCs w:val="1"/>
                <w:color w:val="auto"/>
              </w:rPr>
            </w:pPr>
          </w:p>
        </w:tc>
      </w:tr>
      <w:tr>
        <w:trPr>
          <w:trHeight w:val="328"/>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540" w:type="dxa"/>
            <w:vAlign w:val="bottom"/>
          </w:tcPr>
          <w:p>
            <w:pPr>
              <w:spacing w:after="0"/>
              <w:rPr>
                <w:sz w:val="20"/>
                <w:szCs w:val="20"/>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16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0"/>
        </w:trPr>
        <w:tc>
          <w:tcPr>
            <w:tcW w:w="9260" w:type="dxa"/>
            <w:vAlign w:val="bottom"/>
            <w:gridSpan w:val="12"/>
          </w:tcPr>
          <w:p>
            <w:pPr>
              <w:ind w:left="880"/>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9260" w:type="dxa"/>
            <w:vAlign w:val="bottom"/>
            <w:gridSpan w:val="12"/>
          </w:tcPr>
          <w:p>
            <w:pPr>
              <w:ind w:left="88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1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60"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0" w:firstLine="947"/>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9" w:lineRule="exact"/>
        <w:rPr>
          <w:sz w:val="24"/>
          <w:szCs w:val="24"/>
          <w:color w:val="auto"/>
        </w:rPr>
      </w:pPr>
    </w:p>
    <w:p>
      <w:pPr>
        <w:ind w:right="12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440"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6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 w:lineRule="exact"/>
        <w:rPr>
          <w:sz w:val="24"/>
          <w:szCs w:val="24"/>
          <w:color w:val="auto"/>
        </w:rPr>
      </w:pPr>
    </w:p>
    <w:p>
      <w:pPr>
        <w:ind w:left="960"/>
        <w:spacing w:after="0" w:line="207" w:lineRule="exact"/>
        <w:tabs>
          <w:tab w:leader="none" w:pos="9060" w:val="left"/>
          <w:tab w:leader="none" w:pos="97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540" w:firstLine="947"/>
        <w:spacing w:after="0" w:line="26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price per share as reported on the Nasdaq Global Select Market on June 30, 2025 was approximately $9.66 billion.</w:t>
      </w:r>
    </w:p>
    <w:p>
      <w:pPr>
        <w:spacing w:after="0" w:line="1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As of February 18, 2026, 104,283,291 shares of the registrant's Common Stock, $0.01 par value, were outstanding.</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2" w:lineRule="exact"/>
        <w:rPr>
          <w:sz w:val="24"/>
          <w:szCs w:val="24"/>
          <w:color w:val="auto"/>
        </w:rPr>
      </w:pPr>
    </w:p>
    <w:p>
      <w:pPr>
        <w:ind w:firstLine="947"/>
        <w:spacing w:after="0" w:line="268"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Shareholders to be filed not later than 120 days after the end of the fiscal year covered by this report are incorporated by reference into Part III of this Form 10-K.</w:t>
      </w:r>
    </w:p>
    <w:p>
      <w:pPr>
        <w:sectPr>
          <w:pgSz w:w="11900" w:h="16838" w:orient="portrait"/>
          <w:cols w:equalWidth="0" w:num="1">
            <w:col w:w="11220"/>
          </w:cols>
          <w:pgMar w:left="320" w:top="222" w:right="359" w:bottom="505" w:gutter="0" w:footer="0" w:header="0"/>
        </w:sectPr>
      </w:pPr>
    </w:p>
    <w:bookmarkStart w:id="1" w:name="page2"/>
    <w:bookmarkEnd w:id="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460375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gridSpan w:val="19"/>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WYNN RESORTS, LIMITED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0" w:type="dxa"/>
            <w:vAlign w:val="bottom"/>
            <w:gridSpan w:val="15"/>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60" w:type="dxa"/>
            <w:vAlign w:val="bottom"/>
            <w:gridSpan w:val="16"/>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12"/>
          </w:tcPr>
          <w:p>
            <w:pPr>
              <w:jc w:val="center"/>
              <w:ind w:right="500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440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gridSpan w:val="2"/>
          </w:tcPr>
          <w:p>
            <w:pPr>
              <w:spacing w:after="0"/>
              <w:rPr>
                <w:sz w:val="17"/>
                <w:szCs w:val="17"/>
                <w:color w:val="auto"/>
              </w:rPr>
            </w:pPr>
          </w:p>
        </w:tc>
        <w:tc>
          <w:tcPr>
            <w:tcW w:w="5040" w:type="dxa"/>
            <w:vAlign w:val="bottom"/>
            <w:gridSpan w:val="9"/>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00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18</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8000" w:type="dxa"/>
            <w:vAlign w:val="bottom"/>
            <w:gridSpan w:val="19"/>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31</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Cybersecurity</w:t>
            </w:r>
          </w:p>
        </w:tc>
        <w:tc>
          <w:tcPr>
            <w:tcW w:w="8000" w:type="dxa"/>
            <w:vAlign w:val="bottom"/>
            <w:gridSpan w:val="19"/>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Properties</w:t>
            </w:r>
          </w:p>
        </w:tc>
        <w:tc>
          <w:tcPr>
            <w:tcW w:w="320" w:type="dxa"/>
            <w:vAlign w:val="bottom"/>
            <w:gridSpan w:val="2"/>
          </w:tcPr>
          <w:p>
            <w:pPr>
              <w:spacing w:after="0"/>
              <w:rPr>
                <w:sz w:val="17"/>
                <w:szCs w:val="17"/>
                <w:color w:val="auto"/>
              </w:rPr>
            </w:pPr>
          </w:p>
        </w:tc>
        <w:tc>
          <w:tcPr>
            <w:tcW w:w="9020" w:type="dxa"/>
            <w:vAlign w:val="bottom"/>
            <w:gridSpan w:val="24"/>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00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gridSpan w:val="12"/>
          </w:tcPr>
          <w:p>
            <w:pPr>
              <w:jc w:val="center"/>
              <w:ind w:right="5000"/>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788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2120" w:type="dxa"/>
            <w:vAlign w:val="bottom"/>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20" w:type="dxa"/>
            <w:vAlign w:val="bottom"/>
            <w:gridSpan w:val="25"/>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00" w:type="dxa"/>
            <w:vAlign w:val="bottom"/>
            <w:gridSpan w:val="4"/>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40" w:type="dxa"/>
            <w:vAlign w:val="bottom"/>
            <w:gridSpan w:val="10"/>
          </w:tcPr>
          <w:p>
            <w:pPr>
              <w:spacing w:after="0"/>
              <w:rPr>
                <w:sz w:val="17"/>
                <w:szCs w:val="17"/>
                <w:color w:val="auto"/>
              </w:rPr>
            </w:pPr>
          </w:p>
        </w:tc>
        <w:tc>
          <w:tcPr>
            <w:tcW w:w="3700" w:type="dxa"/>
            <w:vAlign w:val="bottom"/>
            <w:gridSpan w:val="4"/>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426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740" w:type="dxa"/>
            <w:vAlign w:val="bottom"/>
            <w:gridSpan w:val="14"/>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3680" w:type="dxa"/>
            <w:vAlign w:val="bottom"/>
            <w:gridSpan w:val="3"/>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9A.</w:t>
            </w:r>
          </w:p>
        </w:tc>
        <w:tc>
          <w:tcPr>
            <w:tcW w:w="632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3680" w:type="dxa"/>
            <w:vAlign w:val="bottom"/>
            <w:gridSpan w:val="3"/>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8280" w:type="dxa"/>
            <w:vAlign w:val="bottom"/>
            <w:gridSpan w:val="21"/>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478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5220" w:type="dxa"/>
            <w:vAlign w:val="bottom"/>
            <w:gridSpan w:val="10"/>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0000FF"/>
            </w:tcBorders>
            <w:gridSpan w:val="7"/>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49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6000" w:type="dxa"/>
            <w:vAlign w:val="bottom"/>
            <w:gridSpan w:val="15"/>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6000" w:type="dxa"/>
            <w:vAlign w:val="bottom"/>
            <w:gridSpan w:val="15"/>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100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gridSpan w:val="3"/>
          </w:tcPr>
          <w:p>
            <w:pPr>
              <w:spacing w:after="0"/>
              <w:rPr>
                <w:sz w:val="17"/>
                <w:szCs w:val="17"/>
                <w:color w:val="auto"/>
              </w:rPr>
            </w:pPr>
          </w:p>
        </w:tc>
        <w:tc>
          <w:tcPr>
            <w:tcW w:w="2900" w:type="dxa"/>
            <w:vAlign w:val="bottom"/>
            <w:gridSpan w:val="2"/>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680" w:type="dxa"/>
            <w:vAlign w:val="bottom"/>
            <w:gridSpan w:val="5"/>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PART IV</w:t>
            </w:r>
          </w:p>
        </w:tc>
        <w:tc>
          <w:tcPr>
            <w:tcW w:w="49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15.</w:t>
            </w:r>
          </w:p>
        </w:tc>
        <w:tc>
          <w:tcPr>
            <w:tcW w:w="1000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6920" w:type="dxa"/>
            <w:vAlign w:val="bottom"/>
            <w:gridSpan w:val="17"/>
          </w:tcPr>
          <w:p>
            <w:pPr>
              <w:spacing w:after="0"/>
              <w:rPr>
                <w:sz w:val="17"/>
                <w:szCs w:val="17"/>
                <w:color w:val="auto"/>
              </w:rPr>
            </w:pPr>
          </w:p>
        </w:tc>
        <w:tc>
          <w:tcPr>
            <w:tcW w:w="2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120</w:t>
            </w:r>
          </w:p>
        </w:tc>
      </w:tr>
      <w:tr>
        <w:trPr>
          <w:trHeight w:val="204"/>
        </w:trPr>
        <w:tc>
          <w:tcPr>
            <w:tcW w:w="7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Signatures</w:t>
            </w: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Resorts, Limited ("Wynn Resorts," "Wynn,"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21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Additionally, the Company has a 40% equity interest in Island 3 AMI FZ-LLC, an unconsolidated affiliate, which is constructing an integrated resort property ("Wynn Al Marjan Island") in Ras Al Khaimah, United Arab Emirates, currently expected to open in 2027.</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through our corporate website at </w:t>
      </w:r>
      <w:r>
        <w:rPr>
          <w:rFonts w:ascii="Times New Roman" w:cs="Times New Roman" w:eastAsia="Times New Roman" w:hAnsi="Times New Roman"/>
          <w:sz w:val="18"/>
          <w:szCs w:val="18"/>
          <w:u w:val="single" w:color="auto"/>
          <w:color w:val="auto"/>
        </w:rPr>
        <w:t>www.wynnresorts.com</w:t>
      </w:r>
      <w:r>
        <w:rPr>
          <w:rFonts w:ascii="Times New Roman" w:cs="Times New Roman" w:eastAsia="Times New Roman" w:hAnsi="Times New Roman"/>
          <w:sz w:val="18"/>
          <w:szCs w:val="18"/>
          <w:color w:val="auto"/>
        </w:rPr>
        <w:t>, Wynn Resorts provides a hyperlink to a third-party SEC filing website which makes available all such reports and amendments as soon as reasonably practicable after filing with, or furnishing to the SEC, without charge. The information found on or linked through our website is not incorporated by reference into this Annual Report on Form 10-K, nor does it form a part of this Annual Report on Form 10-K or any other report we file with or furnish to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19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Part of this strategy includes leveraging our marketing team across various branch offices located internationally to connect and build relationships with our customers. We continually evaluate our offerings and service levels, and as a result, have made and expect to continue to make enhancements and refinements to our resorts.</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Values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Wynn Resorts thrives in the luxury hospitality industry because of our employees, who exhibit our values at every level within the Company. Our values are embodied by the following concepts:</w:t>
      </w:r>
    </w:p>
    <w:p>
      <w:pPr>
        <w:spacing w:after="0" w:line="222" w:lineRule="exact"/>
        <w:rPr>
          <w:sz w:val="20"/>
          <w:szCs w:val="20"/>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Service-Driven</w:t>
      </w:r>
      <w:r>
        <w:rPr>
          <w:rFonts w:ascii="Times New Roman" w:cs="Times New Roman" w:eastAsia="Times New Roman" w:hAnsi="Times New Roman"/>
          <w:sz w:val="18"/>
          <w:szCs w:val="18"/>
          <w:color w:val="auto"/>
        </w:rPr>
        <w:t>. We foster a culture of respect, gratitude and meticulous attention to detail that makes service to guests our life’s work.</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Excellence</w:t>
      </w:r>
      <w:r>
        <w:rPr>
          <w:rFonts w:ascii="Times New Roman" w:cs="Times New Roman" w:eastAsia="Times New Roman" w:hAnsi="Times New Roman"/>
          <w:sz w:val="18"/>
          <w:szCs w:val="18"/>
          <w:color w:val="auto"/>
        </w:rPr>
        <w:t>. Our singular focus on being the best celebrates the inherent connection between employee and guest, company and community.</w:t>
      </w:r>
    </w:p>
    <w:p>
      <w:pPr>
        <w:spacing w:after="0" w:line="20" w:lineRule="exact"/>
        <w:rPr>
          <w:rFonts w:ascii="Arial" w:cs="Arial" w:eastAsia="Arial" w:hAnsi="Arial"/>
          <w:sz w:val="21"/>
          <w:szCs w:val="21"/>
          <w:color w:val="auto"/>
        </w:rPr>
      </w:pPr>
    </w:p>
    <w:p>
      <w:pPr>
        <w:ind w:left="640" w:hanging="319"/>
        <w:spacing w:after="0" w:line="242"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Artistry</w:t>
      </w:r>
      <w:r>
        <w:rPr>
          <w:rFonts w:ascii="Times New Roman" w:cs="Times New Roman" w:eastAsia="Times New Roman" w:hAnsi="Times New Roman"/>
          <w:sz w:val="18"/>
          <w:szCs w:val="18"/>
          <w:color w:val="auto"/>
        </w:rPr>
        <w:t>. We provide a collection of guest experiences that prize artistry and championship craftsmanship, resulting in Wynn Resorts being the highest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ranked hotel company in the world.</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Progressive</w:t>
      </w:r>
      <w:r>
        <w:rPr>
          <w:rFonts w:ascii="Times New Roman" w:cs="Times New Roman" w:eastAsia="Times New Roman" w:hAnsi="Times New Roman"/>
          <w:sz w:val="18"/>
          <w:szCs w:val="18"/>
          <w:color w:val="auto"/>
        </w:rPr>
        <w:t>. Our commitment to innovation enables us to continue evolving what it means to create and operate world-class resort destinations.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Commitment to Corporate Social Responsibility</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committed to our people, our communities, and our planet. Executing on our commitment to corporate social responsibility includes:</w:t>
      </w:r>
    </w:p>
    <w:p>
      <w:pPr>
        <w:spacing w:after="0" w:line="240"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Creating a five-star workplace.</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Investing in the growth and well-being of our people.</w:t>
      </w:r>
    </w:p>
    <w:p>
      <w:pPr>
        <w:spacing w:after="0" w:line="22"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Furthering social impact initiatives in our communities.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Minimizing the consumption of environmental resources by sourcing renewable and carbon-free energy and utilizing energy responsibly.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Elevating our corporate governance practices to ensure they appropriately support the long-term interests of our stakeholders.</w:t>
      </w:r>
    </w:p>
    <w:p>
      <w:pPr>
        <w:spacing w:after="0" w:line="22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In North America, we have taken a leading role in the hospitality industry's transition to clean and sustainable sources of energy. Our investments in low-carbon energy, including on-site solar arrays and notably, a 1,000-acre solar facility in Lincoln County, Nevada, drive our progress toward our goal of reaching net-zero carbon emissions by 2050.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Resorts Foundation, which fosters charitable giving and volunteerism among Wynn employees and community partners.</w:t>
      </w:r>
    </w:p>
    <w:p>
      <w:pPr>
        <w:spacing w:after="0" w:line="21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Executing on 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Reflecting our strategic focus, our values, and our commitment to delivering world-class, five-star service within luxury integrated resorts, the Company has received the following recognition:</w:t>
      </w:r>
    </w:p>
    <w:p>
      <w:pPr>
        <w:spacing w:after="0" w:line="196" w:lineRule="exact"/>
        <w:rPr>
          <w:sz w:val="20"/>
          <w:szCs w:val="20"/>
          <w:color w:val="auto"/>
        </w:rPr>
      </w:pPr>
    </w:p>
    <w:p>
      <w:pPr>
        <w:ind w:left="64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Wynn Resorts earned 18 Forbes Travel Guide ("FTG") Five-Star awards in 2026 and has the longest-running FTG Five-Star awards of all independent hotel companies in the world.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was once again included on FORTUNE Magazine's 2026 World's Most Admired Companies list in the hotel, casino, and resort category.</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has received the distinction of Four Green Globes, the highest achievement for energy-efficient and sustainable buildings from the Green Building Initiative.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Encore Boston Harbor has been certified LEED Platinum, the U.S. Green Building Council's highest level of certification.</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Palace and Wynn Macau collectively earned 11 FTG Five-Star awards in 2026, with Wynn Palace maintaining its status as the largest FTG Five-Star resort in the world.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22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4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305 table games and 693 slot machines, as well as private gaming salons and sky casinos. Wynn Palace also features a luxury hotel tower with a total of 1,706 guest rooms, suites, and villas, offering a health club, spa, salon, and pool. In addition, Wynn Palace offers 12 food and beverage outlets, a food hall which includes a variety of stand-alone restaurants and other food offerings, approximately 109,000 square feet of high-end, brand-name retail space, and approximately 37,000 square feet of meeting and convention space. The property's signature public attractions and entertainment offerings include a performance lake, an immersive entertainment center, Western and Asian art displays, and a gondola ride offering convenient street-level access.</w:t>
      </w:r>
    </w:p>
    <w:p>
      <w:pPr>
        <w:spacing w:after="0" w:line="18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in the design stages of developing the next phase of Wynn Palace. We currently expect that the next phase at Wynn Palace will incorporate an array of amenities such as theater and expanded event space, food and beverage features, and other non-gaming offerings.</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42"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8"/>
          <w:szCs w:val="18"/>
          <w:color w:val="auto"/>
        </w:rPr>
        <w:t>We opened Wynn Macau in September 2006, and Encore, an expansion of Wynn Macau, in April 2010. Located in the heart of downtown Macau, the property features approximately 294,000 square feet of casino space with 253 table games and 911 slot machines, as well as private gaming salons, sky casinos, and a poker room. Wynn Macau also features two luxury hotel towers with a total of 1,014 guest rooms and suites, offering two health clubs, two spas, a salon and a pool. In addition, Wynn Macau offers 11 food and beverage outlets, approximately 75,900 square feet of high-end, brand-name retail space, and approximately 31,000 square feet of meeting and convention space. Wynn Macau's signature attractions include offerings such as the performance lake and a rotunda show featuring a Chinese zodiac-inspired ceiling along with the gold "tree of prosperity" show.</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199,000 square feet of casino space with 231 table games and 1,558 slot machines, as well as private gaming salons, a sky casino, a poker room, and a race and sports book. Wynn Las Vegas also features two luxury hotel towers with a total of 4,748 guest rooms, suites, and villas, which offer swimming</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pools, private cabanas, two full service spas and salons, and a wedding chapel. In addition, Wynn Las Vegas offers 35 food and beverage outlets, approximately 178,000 square feet of high-end, brand-name retail space, approximately 510,000 square feet of meeting and convention space, and a golf course. Our nightlife and entertainment offerings at Wynn Las Vegas include two nightclubs and a beach club, and two theaters presenting an exclusive theatrical production and various headliner entertainment act.</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June 23, 2019, we opened Encore Boston Harbor, an integrated resort in Everett, Massachusetts, adjacent to Boston along the Mystic River. The property features approximately 215,000 square feet of casino space with 172 table games, 24 poker tables and approximately 2,777 slot machines, private and high-limit gaming areas, and a sports book. Encore Boston Harbor also features a luxury hotel tower with a total of 671 guest rooms and suites, which offers a spa and salon. In addition, Encore Boston Harbor offers 16 food and beverage outlets and a nightclub, approximately 8,200 square feet of retail space, and approximately 71,000 square feet of meeting and convention space. Public attractions include a waterfront park, floral displays, and water shuttle service to downtown Boston.</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Future Development Projects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January 2022, we, along with Island 3 AMI FZ-LLC ("Island 3") and Marjan LLC (formerly RAK HH IR FZ-LLC), announced plans for the development and management of Wynn Al Marjan Island, a destination integrated resort property in the Emirate of Ras Al Khaimah, United Arab Emirates. Wynn Al Marjan Island, which is currently under construction, is anticipated to be completed and open to the public in 2027, featuring an over 1,500-room hotel, luxury villas, a high-end shopping mall, a state-of-the-art meeting and convention facility, an exclusive spa, more than 20 restaurants and lounges, 225,000 square feet of gaming area, a wide array of entertainment choices including a nightclub and a beach club, and other amenities.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planned development projects will leverage Wynn Resorts' expertise in developing and operating luxury hospitality destinations, and is expected to create substantial value to the local economy by accelerating tourism, creating jobs, and contributing to the growth of related sectors.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via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20 casinos currently in operation.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Both the Macau gaming market and visitation to Macau have grown significantly since liberalization in 2002. According to the Macau Statistics and Census Service Monthly Bulletin of Statistics, visitation to Macau in 2025 increased 14.7%, 42.0% and 602.9% compared to 2024, 2023 and 2022, respectively. We believe that the Macau region hosts one of the world's largest concentrations of potential gaming and tourism customers. According to Macau Statistical Information, annual gaming revenues have increased to $30.9 billion, $28.4 billion, and $22.7 billion in 2025, 2024, and 2023, respectively. We continue to believe that Macau's stated goal of becoming a world-class tourism destination will continue to drive additional visitation to the market and create future opportunities for us to invest and grow.</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primarily from the 18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Las Vegas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Las Vegas is the largest gaming market in the U.S. The Las Vegas gaming market is highly competitive and is largely dependent on tourist arrivals and meeting- and convention-related visitation. According to statistics published by the Nevada Gaming Control Board, Las Vegas Strip total gaming win was $8.8 billion in both 2024 and 2025. According to the Las Vegas Convention and Visitors Authority, overall Las Vegas visitor volume was 38.5 million in 2025, a 7.5% decrease from 41.7 million in 2024; and occupancy on the Las Vegas Strip was 83.2% in 2025, compared to 86.4% in 2024.</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Las Vegas Operations are located on the Las Vegas Strip and compete with other high-quality resorts and hotel casinos in Las Vegas. There are several recently completed large-scale integrated resort projects in the vicinity of our Las Vegas Operations, which may present increased competition in the future. Our Las Vegas Operations also compete, to some extent, with other casino resorts throughout the U.S. and elsewhere in the world.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Massachusetts and its neighboring states of Connecticut and Rhode Island are host to a large, established casino market. The greater Boston metropolitan area is the largest population center in New England, with a population of approximately 5 million residents.</w:t>
      </w:r>
    </w:p>
    <w:p>
      <w:pPr>
        <w:spacing w:after="0" w:line="19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a casino concessionaire, Wynn Macau SA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laws and administrative regulations, form the framework for the regulation of the activities of the concessionaire.</w:t>
      </w:r>
    </w:p>
    <w:p>
      <w:pPr>
        <w:spacing w:after="0" w:line="2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officers, directors, financiers and key employees. Transfers or the encumbering of equity interests in concessionaires must be reported to the Macau government and are ineffective without government approval.</w:t>
      </w:r>
    </w:p>
    <w:p>
      <w:pPr>
        <w:spacing w:after="0" w:line="21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Each concessionaire is required to engage a managing director who must be a permanent resident of Macau and the holder of at least 15% of the equity securities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2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Macau government, from any commissions paid to gaming promoters. The withholding rate may be adjusted from time to time.</w:t>
      </w:r>
    </w:p>
    <w:p>
      <w:pPr>
        <w:spacing w:after="0" w:line="21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Under the Gaming Concession Contract, Wynn Macau SA provided a first demand bank guarantee of MOP1.0 billion (approximately $124.8 million) in favor of the Macau government to support Wynn Macau SA’s legal and contractual obligations, from January 1, 2023 until one hundred and eighty days after the term of the Gaming Concession Contract expires or the rescission of the concession.</w:t>
      </w:r>
    </w:p>
    <w:p>
      <w:pPr>
        <w:spacing w:after="0" w:line="20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and the laws and administrative regulations, the Macau government may rescind the gaming concession if Wynn Macau SA fails to fulfill its obligations,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assets agreed with the Macau government would be determined based on the earnings of these assets, before interest, depreciation and amortization for the fiscal year immediately preceding the date the redemption is declared, multiplied by the number of years remaining on the term of the Gaming Concession Contract. The Macau government may assume temporary custody and control over the operation of a concession in certain circumstances. During any such period, the costs of operations must be borne by the concessionaire.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Wynn Macau SA is required to obtain prior approval from the relevant Macau authorities or officials for various corporate changes and actions, including expansion of its business scope, issuance of shares, transfer or creation of any encumbrances over its shares, issuance of debt securities, change of its managing director or the authority delegated thereto, appointment of any new director, changing its articles of association, certain transfers of property rights and creditor’s rights, entering into a consumer loan contract or similar contract with a value equal to or exceeding MOP100.0 million (approximately US$12.5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material financial decisions (i) related to the transfer of funds within Wynn Macau SA which exceeds 50% of its share capital, (ii) related to employee salaries, remuneration or benefits which exceed 10% of its share capital, and (iii) not related to above items (i) and (ii), having a value that exceeds 10% of its share capital.</w:t>
      </w:r>
    </w:p>
    <w:p>
      <w:pPr>
        <w:spacing w:after="0" w:line="221"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Wynn Macau SA is required to submit to the Macau government, for its approval, an annual proposal of the specific projects identified in the investment plan annexed to the Gaming Concession Contract which it intends to execute in the following year by September 30, of each preceding calendar year, detailing each project in which it intends to invest, the investment amount and the execution schedule. Within 60 days after submission of each annual execution proposal, the Macau government will decide on its approval, or may request adjustments to specific projects, the investment amount and/or the execution schedule. If any of the annual execution proposals or parts thereof are not approved by the Macau government, Wynn Macau SA remains obliged to propose allocating the relevant funds to other projects, which are also subject to subsequent approval by the Macau government, although the total committed investment amount will remain unchanged. The annual execution proposals for the year 2025 and the year 2026 were submitted in September 2024 and 2025, respectively, and were thereafter approved by the Macau government. Wynn Macau SA is required to submit a report on the execution of the previous year’s execution proposal by March 31st of each calendar year. The execution report of the proposals for the years 2023 and 2024 were submitted in March 2024 and 2025, respectively, and were thereafter reviewed by the Macau government. The execution report presented by the concessionaires may be subject to extraordinary audit upon determination by the Macau government. In addition, Wynn Macau SA is subject to the supervision of the Macau government in regards to the execution of development projects included in the investment plan, and Wynn Macau SA must submit progress reports every two months, and may be requested to submit exceptional detailed reports whenever the normal progress of any development project included in the investment plan is compromised.</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1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laws, regulations and supervisory procedures of the Nevada Gaming Authorities are based upon declarations of public policy. Such public policy concerns include, among other things:</w:t>
      </w:r>
    </w:p>
    <w:p>
      <w:pPr>
        <w:spacing w:after="0" w:line="196" w:lineRule="exact"/>
        <w:rPr>
          <w:sz w:val="20"/>
          <w:szCs w:val="20"/>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2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Any changes in applicable laws, regulations and procedures could have an adverse effect on our Las Vegas gaming operations and our financial condition and results of operations.</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34"/>
        <w:spacing w:after="0" w:line="300" w:lineRule="auto"/>
        <w:rPr>
          <w:sz w:val="20"/>
          <w:szCs w:val="20"/>
          <w:color w:val="auto"/>
        </w:rPr>
      </w:pPr>
      <w:r>
        <w:rPr>
          <w:rFonts w:ascii="Times New Roman" w:cs="Times New Roman" w:eastAsia="Times New Roman" w:hAnsi="Times New Roman"/>
          <w:sz w:val="16"/>
          <w:szCs w:val="16"/>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w:t>
      </w:r>
    </w:p>
    <w:p>
      <w:pPr>
        <w:spacing w:after="0" w:line="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be found suitable to own the equity interests of Wynn Resorts Finance, LLC ("Wynn Resorts Finance"). Wynn Resorts Finance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Holdings, LLC ("Wynn Las Vegas Holdings"). Wynn Las Vegas Holdings is required to be registered as an intermediary 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the registered intermediary subsidiaries, and Wynn Las Vegas, LLC hold all the various registrations, approvals, permits and licenses required for Wynn Las Vegas, LLC to engage in gaming activities in Nevada.</w:t>
      </w:r>
    </w:p>
    <w:p>
      <w:pPr>
        <w:spacing w:after="0" w:line="207"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No person may become a member of or receive profits from Wynn Las Vegas, LLC or any of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any of the registered intermediary subsidiaries and/or Wynn Las Vegas, LLC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19" w:lineRule="exact"/>
        <w:rPr>
          <w:sz w:val="20"/>
          <w:szCs w:val="20"/>
          <w:color w:val="auto"/>
        </w:rPr>
      </w:pPr>
    </w:p>
    <w:p>
      <w:pPr>
        <w:jc w:val="both"/>
        <w:ind w:firstLine="434"/>
        <w:spacing w:after="0" w:line="267"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to continue having a relationship with Wynn Las Vegas, LLC, any registered intermediary subsidiary, or us, we would be required by law to sever all relationships with the person. In addition, the Nevada Gaming Authorities may require Wynn Las Vegas, LLC, any registered intermediary subsidiary, or us to terminate the employment of any person who refuses to file appropriate applications. Determinations of suitability are not subject to judicial review.</w:t>
      </w:r>
    </w:p>
    <w:p>
      <w:pPr>
        <w:spacing w:after="0" w:line="1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the revocation of any gaming license would, have a significant negative effect on our Las Vegas Operations.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Periodically, we are required to submit detailed financial and operating reports to the NGC and provide any other information that the NGC may require.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material loans, leases, sales of securities and similar financing transactions must be reported to, and/or approved by, the NGC.</w:t>
      </w:r>
    </w:p>
    <w:p>
      <w:pPr>
        <w:spacing w:after="0" w:line="22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13" w:lineRule="exact"/>
        <w:rPr>
          <w:sz w:val="20"/>
          <w:szCs w:val="20"/>
          <w:color w:val="auto"/>
        </w:rPr>
      </w:pPr>
    </w:p>
    <w:p>
      <w:pPr>
        <w:jc w:val="both"/>
        <w:ind w:firstLine="434"/>
        <w:spacing w:after="0" w:line="279" w:lineRule="auto"/>
        <w:rPr>
          <w:sz w:val="20"/>
          <w:szCs w:val="20"/>
          <w:color w:val="auto"/>
        </w:rPr>
      </w:pPr>
      <w:r>
        <w:rPr>
          <w:rFonts w:ascii="Times New Roman" w:cs="Times New Roman" w:eastAsia="Times New Roman" w:hAnsi="Times New Roman"/>
          <w:sz w:val="16"/>
          <w:szCs w:val="16"/>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 w:lineRule="exact"/>
        <w:rPr>
          <w:sz w:val="20"/>
          <w:szCs w:val="20"/>
          <w:color w:val="auto"/>
        </w:rPr>
      </w:pP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3"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NGC may determine to be consistent with such investment intent.</w:t>
      </w:r>
    </w:p>
    <w:p>
      <w:pPr>
        <w:spacing w:after="0" w:line="22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21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12" w:lineRule="exact"/>
        <w:rPr>
          <w:sz w:val="20"/>
          <w:szCs w:val="20"/>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210" w:lineRule="exact"/>
        <w:rPr>
          <w:sz w:val="20"/>
          <w:szCs w:val="20"/>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4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may not make a public offering of our securities (debt or equity) without the prior approval of the NGC if the proceeds from the offering are intended to be used to construct, acquire or finance gaming facilities in Nevada, or to retire or extend obligations incurred for those purposes or for similar transactions. On March 27, 2025, the NGC granted Wynn Resorts prior approval, subject to certain conditions, to make public offerings of our securities for a period of three years (the "Shelf Approval"). The Shelf Approval may be rescinded for good cause without prior notice upon the issuance of an interlocutory stop order by the Chair of the NGCB.</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control of Wynn Resorts through merger, consolidation, stock or asset acquisitions, management or consulting agreements, or any act or</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10" w:lineRule="exact"/>
        <w:rPr>
          <w:sz w:val="20"/>
          <w:szCs w:val="20"/>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2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pacing w:after="0" w:line="2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212" w:lineRule="exact"/>
        <w:rPr>
          <w:sz w:val="20"/>
          <w:szCs w:val="20"/>
          <w:color w:val="auto"/>
        </w:rPr>
      </w:pPr>
    </w:p>
    <w:p>
      <w:pPr>
        <w:jc w:val="both"/>
        <w:ind w:firstLine="434"/>
        <w:spacing w:after="0" w:line="242" w:lineRule="auto"/>
        <w:rPr>
          <w:sz w:val="20"/>
          <w:szCs w:val="20"/>
          <w:color w:val="auto"/>
        </w:rPr>
      </w:pP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21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10" w:lineRule="exact"/>
        <w:rPr>
          <w:sz w:val="20"/>
          <w:szCs w:val="20"/>
          <w:color w:val="auto"/>
        </w:rPr>
      </w:pPr>
    </w:p>
    <w:p>
      <w:pPr>
        <w:ind w:left="5540" w:right="3060" w:hanging="4903"/>
        <w:spacing w:after="0" w:line="940" w:lineRule="auto"/>
        <w:tabs>
          <w:tab w:leader="none" w:pos="1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-328295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hanging="623"/>
        <w:spacing w:after="0" w:line="254"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jc w:val="both"/>
        <w:ind w:left="1260" w:hanging="623"/>
        <w:spacing w:after="0" w:line="244"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212"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in the future be required to file applications with the CCLGLB. Clark County gaming and liquor licenses are not transferable. The County has full power to limit, condition, suspend or revoke any license in its sole discretion. Any disciplinary action could, and revocation would, have a substantial negative impact on our Las Vegas Operations.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18"/>
          <w:szCs w:val="18"/>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206"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The Massachusetts Gaming Commission ("MGC") is responsible for issuing licenses under the Massachusetts Act and assuring that licenses are not issued or held by unqualified, disqualified or unsuitable persons. The Investigations and Enforcement Bureau ("IEB") division of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12"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On September 17, 2014, the MGC designated Wynn MA the award winner of the Category 1 Greater Boston gaming license effective November 7, 2014. We, our relevant subsidiaries, and individual persons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initial license term is 15 years, which commenced upon the MGC’s confirmation of its approval of the commencement of the operation of the gaming establishment on June 23, 2019. Wynn MA's gaming license is conditioned upon Wynn MA continuing to meet applicable licensing, registration, qualification and other regulatory requirements. The initial license fee for Category 1 licenses is $85.0 million,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Encore Boston Harbor was granted a sports wagering license by the MGC on December 8, 2022 under 2022 legislation legalizing sports wagering in the Commonwealth of Massachusetts. Under the 2022 legislation, Encore Boston Harbor is authorized to operate a sportsbook and is entitled to two individually branded mobile platforms. The initial term of the sports wagering licenses, which carries a $5.0 million initial license fee, is 5 years. Sports wagering licenses are also subject to additional regulatory fees. The Commonwealth of Massachusetts receives 15% of gross retail sports wagering revenues from licensees.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 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spacing w:after="0" w:line="21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 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anti-money laundering, laws and regulations administered by the Office of Foreign Assets Control, and anti-bribery laws, including the Foreign Corrupt Practices Act (the "FCPA"). Such laws and regulations could change from time to time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we had approximately 28,500 employees (including approximately 12,000 in Macau and 16,500 in the U.S.).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non-union employees, and those union employees not covered under union health and welfare plans,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w:t>
      </w:r>
    </w:p>
    <w:p>
      <w:pPr>
        <w:spacing w:after="0" w:line="21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collective bargaining agreement with the Culinary Workers Union, Local 226, and Bartenders Union, Local 165, which covers approximately 6,470 culinary, housekeeping, public area, and front services employees at Wynn Las Vegas resort casino, is effective from August 1, 2023 through November 30, 2028. Wynn Las Vegas entered into a collective bargaining agreement with the United Auto Workers Union ("UAW") effective August 28, 2024 through August 28, 2027, covering approximately 370 table games dealer employees. Wynn Las Vegas entered into a collective bargaining agreement with the International Brotherhood of Teamsters effective August 1, 2024 through July 31, 2029, covering approximately 170 horticulture and valet employees. Wynn Las Vegas entered into a collective bargaining agreement with the UAW effective from January 27, 2023 through January 27, 2027, covering approximately 80 slot attendant employees.</w:t>
      </w:r>
    </w:p>
    <w:p>
      <w:pPr>
        <w:spacing w:after="0" w:line="2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collective bargaining agreement with UNITE HERE Local 26 affiliated with UNITE HERE and International Brotherhood of Teamsters, Chauffeurs, Warehousemen &amp; Helpers, Local 25, which covers approximately 1,350 employees at Encore Boston Harbor, expires on August 31, 2026. In October 2023, slot attendant employees at Encore Boston Harbor voted to be represented by UNITE HERE Local 26 under the terms of the existing Collective Bargaining Agreement. In August 2024, Encore Boston Harbor agreed to recognize UNITE HERE Local 26 as the representative of business services employees under the terms of the existing Collective Bargaining Agreement. In September 2025, cage cashier employees at Encore Boston Harbor voted to be represented by International Brotherhood of Teamsters, Chauffeurs, Warehousemen &amp; Helpers, Local 25 under the terms of the existing Collective Bargaining Agreement. Effective as of July 2024, Encore Boston Harbor entered into a collective bargaining agreement with Local 103, International Brotherhood of Electrical Workers, AFL-CIO. The collective bargaining agreement covers approximately 110 maintenance employees at Encore Boston Harbor, and expires in June 2029. Effective as of August 2022, Encore Boston Harbor entered into a collective bargaining agreement with United Government Security Officers of America, Local 295. The collective bargaining agreement covered approximately 140 security officers at Encore Boston Harbor and expired in June 2025. Encore Boston Harbor and the United Government Security Officers have commenced negotiations over a successor agreement and the key terms of the collective bargaining agreement remain in place under federal law while negotiations continue.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the United Arab Emirates, certain European countries and various other jurisdictions throughout the world, to register a variety of WYNN-related trademarks and service marks in connection with a variety of goods and services.</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Pursuant to the Surname Rights Agreement, dated August 6, 2004, Stephen A. Wynn ("Mr. Wynn") granted us an exclusive, fully paid-up, perpetual, worldwide license to use, and to own and register trademarks and service marks incorporating the "Wynn" surname for casino resorts and related businesses, together with the right to sublicense the name and marks to our affiliates. Pursuant to a separation agreement, dated February 15, 2018, by and between Mr. Wynn and the Company, if we cease to use the "Wynn" surname and trademark, we will assign all of our right, title, and interest in the "WYNN" name and marks to Mr. Wynn and the Surname Rights Agreement will terminate.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regarding the Company's intellectual property matters, see Item 1A—"Risk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06" w:lineRule="exact"/>
        <w:rPr>
          <w:sz w:val="20"/>
          <w:szCs w:val="20"/>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1"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120" w:hanging="641"/>
        <w:spacing w:after="0" w:line="274" w:lineRule="auto"/>
        <w:tabs>
          <w:tab w:leader="none" w:pos="1115"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disruptions caused by, and the impact on regional demand for casino resorts and inbound tourism and the travel and leisure industry more generally from, events outside of our control, including an outbreak of an infectious disease, public incidents of violence, mass shootings, riots, demonstrations, extreme weather patterns or natural disasters, military conflicts, civil unrest, and any future security alerts or terrorist attacks;</w:t>
      </w: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120" w:hanging="641"/>
        <w:spacing w:after="0" w:line="244"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regulatory risks associated with our current and future construction projects or co-investments in such projects;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FCPA;</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120" w:hanging="641"/>
        <w:spacing w:after="0" w:line="244"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2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3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particularly sensitive to reductions in discretionary consumer spending, and </w:t>
      </w:r>
      <w:r>
        <w:rPr>
          <w:rFonts w:ascii="Times New Roman" w:cs="Times New Roman" w:eastAsia="Times New Roman" w:hAnsi="Times New Roman"/>
          <w:sz w:val="18"/>
          <w:szCs w:val="18"/>
          <w:b w:val="1"/>
          <w:bCs w:val="1"/>
          <w:i w:val="1"/>
          <w:iCs w:val="1"/>
          <w:color w:val="231F20"/>
        </w:rPr>
        <w:t>a negative macroeconomic environment, including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economic downturn or recession, could adversely impact our business, results of operations, financial condition and cash flows.</w:t>
      </w:r>
    </w:p>
    <w:p>
      <w:pPr>
        <w:spacing w:after="0" w:line="19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results are affected by the global and regional economies in which we have operations. Consumer demand for hotels, casino resorts, trade shows, conventions and the type of luxury amenities that we offer is particularly sensitive to downturns or perceived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231F20"/>
        </w:rPr>
        <w:t>In the past, negative macroeconomic conditions, such as inflationary pressures, relatively low levels of unemployment, and increases in interest rates, caused decreases in consumer discretionary spending and disruption and volatility within the capital markets. Although the U.S. economy has shown a strong recovery, with GDP growth above pre-pandemic levels, the global economy is experiencing a slower recovery. In addition, lingering inflationary pressures, elevated interest rates (as compared to 2021 and the years prior to that) and ongoing geopolitical tensions, including a volatile global trade policy, remain significant risks to ongoing economic recovery and may present fiscal and monetary policy uncertainty or changes in such policy that could have a negative impact on consumer discretionary spending. As a result, our gaming revenues, financial condition, results of operations and cash flows could be adversely affected by a delay or stall in any economic recovery or, an economic slowdown or recession in the U.S. or global economy, or perception that any of these events may occur.</w:t>
      </w:r>
    </w:p>
    <w:p>
      <w:pPr>
        <w:spacing w:after="0" w:line="213"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w:t>
      </w:r>
    </w:p>
    <w:p>
      <w:pPr>
        <w:spacing w:after="0" w:line="7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 The NGC may also require anyone with a financial interest in a gaming establishment, or with a financial interest in the business of the gaming licensee or applicant for a gaming license or who is a close associate of a gaming licensee or an applicant for a gaming license, to be qualified for licensure.</w:t>
      </w:r>
    </w:p>
    <w:p>
      <w:pPr>
        <w:spacing w:after="0" w:line="8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Each of these regulatory authorities has extensive power to license and oversee the operations of our casino resorts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spacing w:after="0" w:line="71"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Investigations, litigation and other disputes could distract management, damage our reputation, and result in negative publicity and additional scrutiny from regulators.</w:t>
      </w:r>
    </w:p>
    <w:p>
      <w:pPr>
        <w:spacing w:after="0" w:line="5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As discussed in Item 3—"Legal Proceedings" and Item 8—"Financial Statements and Supplementary Data," Note 18,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 ultimately result in us prevailing in a matter. 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spacing w:after="0" w:line="8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For example, previously the Company received requests for information from the U.S. Attorney’s Office for the Southern District of California ("USAO") relating to its anti-money laundering policies and procedures, and beginning in 2020 had received several grand jury subpoenas regarding various transactions at Wynn Las Vegas relating to certain patrons and agents who reside or operate in foreign jurisdictions. On September 6, 2024, Wynn Las Vegas entered into a non-prosecution agreement ("NPA") with the USAO and the U.S. Department of Justice, resolving such investigation. Pursuant to the NPA, Wynn Las Vegas agreed to forfeit $130 million in funds involved in the transactions at issue and continue to make certain enhancements to its compliance program.</w:t>
      </w:r>
    </w:p>
    <w:p>
      <w:pPr>
        <w:spacing w:after="0" w:line="46" w:lineRule="exact"/>
        <w:rPr>
          <w:sz w:val="20"/>
          <w:szCs w:val="20"/>
          <w:color w:val="auto"/>
        </w:rPr>
      </w:pPr>
    </w:p>
    <w:p>
      <w:pPr>
        <w:jc w:val="both"/>
        <w:ind w:right="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may be negatively impacted by geopolitical tensions, visa and travel restrictions or difficulties, restrictions on international money transfers and other policies or campaigns implemented by regional governments.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Geopolitical tensions, notably with respect to international trade, including the imposition or threatened imposition of increased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w:t>
      </w:r>
    </w:p>
    <w:p>
      <w:pPr>
        <w:spacing w:after="0" w:line="81" w:lineRule="exact"/>
        <w:rPr>
          <w:sz w:val="20"/>
          <w:szCs w:val="20"/>
          <w:color w:val="auto"/>
        </w:rPr>
      </w:pPr>
    </w:p>
    <w:p>
      <w:pPr>
        <w:jc w:val="both"/>
        <w:ind w:firstLine="237"/>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w:t>
      </w:r>
    </w:p>
    <w:p>
      <w:pPr>
        <w:spacing w:after="0" w:line="47"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w:t>
      </w:r>
    </w:p>
    <w:p>
      <w:pPr>
        <w:spacing w:after="0" w:line="5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spacing w:after="0" w:line="6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 injury or damage to property caused by any such attack and may result in higher costs for security and insurance premiums, all of which could adversely affect our financial condition and results of operations.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on our ability to maintain the reputation of our resorts.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an increase in the cost of maintaining our properties; a decline in the number of visitors to Las Vegas, Macau or Boston; and a decrease in gaming and non-casino activities at our resorts. Certain of these factors or events, such as severe storms and infectious diseases, have in the past negatively affected our results of operations, and any of these factors or events may in the future negatively affect our results of operations and our ability to generate sufficient cash flow to make payments or maintain our covenants with respect to our debt.</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a parent company and our primary source of cash is and will be distributions from our subsidiaries.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and offerings face intense competition, which may increase in the future.</w:t>
      </w:r>
    </w:p>
    <w:p>
      <w:pPr>
        <w:spacing w:after="0" w:line="11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casino resort and hotel industry is highly competitive. Increased competition could result in a loss of customers which may negatively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cash flows and results of operations.</w:t>
      </w:r>
    </w:p>
    <w:p>
      <w:pPr>
        <w:spacing w:after="0" w:line="5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We hold one of six gaming concessions authorized by the Macau government for the operation of casinos in Macau. If the Macau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spacing w:after="0" w:line="7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Las Vegas Operations and Encore Boston Harbor. </w:t>
      </w:r>
      <w:r>
        <w:rPr>
          <w:rFonts w:ascii="Times New Roman" w:cs="Times New Roman" w:eastAsia="Times New Roman" w:hAnsi="Times New Roman"/>
          <w:sz w:val="18"/>
          <w:szCs w:val="18"/>
          <w:color w:val="auto"/>
        </w:rPr>
        <w:t>Our Las Vegas Operations compete with other Las Vegas Strip hotels and with other hotel casinos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 resort and 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U.S. Additional competition in the northeastern U.S.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premium customers. We often extend credit, and we may not be able to collect gaming receivables from our credit players or credit play may decrease.</w:t>
      </w:r>
    </w:p>
    <w:p>
      <w:pPr>
        <w:spacing w:after="0" w:line="5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significant portion of our table games revenue at our resorts is attributable to the play of a limited number of premium customers. The loss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spacing w:after="0" w:line="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Although the law in Macau permits casino operators to extend credit to gaming customers, our Macau Operations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7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Las Vegas Operations and Encore Boston Harbor</w:t>
      </w:r>
      <w:r>
        <w:rPr>
          <w:rFonts w:ascii="Times New Roman" w:cs="Times New Roman" w:eastAsia="Times New Roman" w:hAnsi="Times New Roman"/>
          <w:sz w:val="18"/>
          <w:szCs w:val="18"/>
          <w:color w:val="auto"/>
        </w:rPr>
        <w:t>. While gaming debts evidenced by a credit instrument, including what is commonly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 are enforceable under the current laws of Nevada and Massachusetts, and judgments on gaming debts are enforceable in all states of the U.S. under the Full Faith and Credit Clause of the U.S. Constitution, other jurisdictions may determine that direct or indirect enforcement of gaming debts is against public policy. Although courts of some foreign nations will enforce gaming debts directly and the assets in the U.S.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 rates for our gaming operations depend on a variety of factors, some of which are beyond our control.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generate negative publicity, both of which could have an adverse effect on our reputation, business, results of operations and cash flows.</w:t>
      </w:r>
    </w:p>
    <w:p>
      <w:pPr>
        <w:spacing w:after="0" w:line="105"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new projects, or co-investments in new projects. Construction projects are subject to development and construction risks, and being a co-investor in new projects decreases our ability to manage risks and exposes us to additional financial risks, which could have an adverse effect on our financial condition, results of operations or cash flows.</w:t>
      </w:r>
    </w:p>
    <w:p>
      <w:pPr>
        <w:spacing w:after="0" w:line="7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8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the extent we conduct the development of new projects or engage in new strategies through investments in entities alongside other co-investors (as is the case with Wynn Al Marjan Island, in which we own a 40% equity interest), our expected return on our investment may be limited by our inability to exercise control over certain strategic and operations decisions that may influence the success of the venture. Furthermore, the occurrence of risks that adversely affect the businesses of our co-investors or our unconsolidated affiliates could reduce the value of our investments, impair their ability to make future distributions or pay management fees to us, or require that we make additional capital contributions to them. Inherent limitations on our ability to exercise control over such ventures may limit our ability to directly manage these risks.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investments with other investors involve risks such as the possibility that a co-investor might become bankrupt or not have the financial resources to meet its obligations, which could subject us to additional liability in cases where we may agree, on a joint and several basis with such co-investor, to provide a completion guarantee and/or other forms of credit support for a project (such as the completion guarantee and contingent equity credit support we provided related to the Wynn Al Marjan Island project as further described in Item 7—"Management's Discussion and Analysis of Financial Condition and Results of Operations," "Liquidity and Capital Resources"), have economic or business interests or goals that are inconsistent with our business interests or goals, or take action contrary to our policies or objectives. Consequently, actions by a co-investor might subject the properties or businesses owned by such entities to additional risk. Further, we may be unable to take action without the approval of our co-investors, or our co-investors could take actions binding on the property without our consent. Additionally, should a co-investor become bankrupt, we could become liable for its share of liabilities, including pursuant to any of the above-mentioned credit support or similar types of instruments.</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encounter higher than expected cost increases in the development of our projects.</w:t>
      </w:r>
    </w:p>
    <w:p>
      <w:pPr>
        <w:spacing w:after="0" w:line="10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Any violation of applicable anti-money laundering laws and regulations, the FCPA and other anti-corruption laws, or resulting sanctions and penalties could adversely affect our business, performance, prospects, value, financial condition, and results of operations.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Further, we have operations, and a significant portion of our revenue is derived outside of the U.S.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21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has, in the past, and may, in the future, face investigations, prosecutions and other legal proceedings and actions, which could result in civil penalties, administrative remedies and criminal sanctions. Any such future government investigations, prosecutions or other legal proceedings or actions could adversely affect our business, performance, prospects, value, financial condition, and results of operations.</w:t>
      </w:r>
    </w:p>
    <w:p>
      <w:pPr>
        <w:spacing w:after="0" w:line="20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properties. As an owner or operator, we could also be held responsible to a governmental entity or third parties for property damage, personal injury and investigation and cleanup costs incurred by them in connection with any contamination.</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sites in Everett, Massachusetts. The ultimate cost of remediating contaminated sites is difficult to accurately predict. We may also be required to conduct additional investigations and remediation with respect to these sites.</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evolving laws and regulations, and the interpretations thereof, is expensive and results in compliance risks.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System failure, information leakage and the cost of maintaining sufficient cybersecurity could adversely affect our business.</w:t>
      </w:r>
    </w:p>
    <w:p>
      <w:pPr>
        <w:spacing w:after="0" w:line="113"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The rapid evolution of artificial intelligence has increased the complexity and frequency of such attempts.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w:t>
      </w:r>
    </w:p>
    <w:p>
      <w:pPr>
        <w:spacing w:after="0" w:line="27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w:t>
      </w:r>
    </w:p>
    <w:p>
      <w:pPr>
        <w:spacing w:after="0" w:line="80"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w:t>
      </w:r>
    </w:p>
    <w:p>
      <w:pPr>
        <w:spacing w:after="0" w:line="267"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U.S. in this area are also developing quickly. Laws in all 50 states require businesses to provide notice to customers whose personally identifiable information has been disclosed as a result of a data breach. Some states, including California, Virginia, Colorado, Connecticut, Utah, Texas, and Delaware have adopted privacy laws. Such adoption may indicate a trend for further legislation across all states.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81"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the United Arab Emirates,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6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Labor actions and other labor problems could negatively impact our operations.</w:t>
      </w:r>
    </w:p>
    <w:p>
      <w:pPr>
        <w:spacing w:after="0" w:line="11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Some of our employees are represented by labor unions under various collective bargaining agreements with different expiration dates. There is no certainty that we will successfully negotiate new agreements with these unions that extend beyond the current expiration dates, or that these new agreements will be on terms that will allow us to be competitive.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 future organizing activity or labor dispute or work stoppage with respect to those of our employees who are represented by labor unions could have a material adverse effect on our business, financial condition, results of operations and cash flows.</w:t>
      </w:r>
    </w:p>
    <w:p>
      <w:pPr>
        <w:spacing w:after="0" w:line="49"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Macau Operations</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Macau Operations may be affected by adverse political and economic conditions.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local policies may also affect our ability to employ imported labor.</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is expected to continue for the foreseeable future.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smoking control legislation in Macau could have an adverse effect on our business, financial condition, results of operations and cash flows.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fully ban all smoking in casinos, may deter potential gaming customers who are smokers from frequenting casinos in Macau, which could have an adverse effect on our business, financial condition, results of operations and cash flows.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have had and may in the future have an adverse impact on our Macau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 such as Typhoon Ragasa in 2025,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76" w:lineRule="exact"/>
        <w:rPr>
          <w:sz w:val="20"/>
          <w:szCs w:val="20"/>
          <w:color w:val="auto"/>
        </w:rPr>
      </w:pPr>
    </w:p>
    <w:p>
      <w:pPr>
        <w:jc w:val="both"/>
        <w:ind w:firstLine="237"/>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If our Macau Operations fail to comply with the Gaming Concession Contract, or applicable Macau laws and administrative regulations, the Macau government may rescind our concession without compensation to us, which would have a material adverse effect on our business and financial condition.</w:t>
      </w:r>
    </w:p>
    <w:p>
      <w:pPr>
        <w:spacing w:after="0" w:line="14"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Pursuant to the Gaming Concession Contract and the Laws and Administrative Regulations, the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w:t>
      </w:r>
    </w:p>
    <w:p>
      <w:pPr>
        <w:spacing w:after="0" w:line="1" w:lineRule="exact"/>
        <w:rPr>
          <w:sz w:val="20"/>
          <w:szCs w:val="20"/>
          <w:color w:val="auto"/>
        </w:rPr>
      </w:pPr>
    </w:p>
    <w:p>
      <w:pPr>
        <w:jc w:val="both"/>
        <w:ind w:firstLine="5"/>
        <w:spacing w:after="0" w:line="244" w:lineRule="auto"/>
        <w:tabs>
          <w:tab w:leader="none" w:pos="3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interest, and (iv) Wynn Macau SA ceasing to be eligible for the gaming concession under the Macau gaming law. If the Macau government rescinds the Gaming Concession Contract due to the Wynn Macau SA’s non-fulfillment,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those assets, before interest, depreciation and amortization for the fiscal year immediately preceding the date the redemption is declared, multiplied by the number of years remaining on the term of the Gaming Concession Contract. Wynn Macau SA is currently in its fourth year of concession. The loss of our concession would prohibit us from conducting gaming operations in Macau, which would have a material adverse effect on our business and financial condition.</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our gaming activities and associations outside of Nevada.</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8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The Massachusetts Gaming Commission has broad authority to consider conduct outside of Massachusetts for continued licensure in Massachusetts.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Massachusetts Gaming Act requires a gaming licensee to affirmatively maintain its suitability to hold a gaming license in the Commonwealth of</w:t>
      </w:r>
    </w:p>
    <w:p>
      <w:pPr>
        <w:spacing w:after="0" w:line="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Massachusetts. Under the MGC’s continuing duty regulations, we are required to report to notify and update the MGC of certain matters including but not limited to any denial, suspension or revocation in any jurisdiction of a gaming related license; any discipline, including a fine or warning, related to gaming operations imposed upon the gaming licensee or 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Licensing or other disciplinary action against us outside of the Commonwealth of Massachusetts, including by the government of Macau, may be considered by the MGC in assessment of our ongoing suitability to hold a license in the Commonwealth of Massachusetts and may subject us to fines, license conditions, license suspension or license revocation.</w:t>
      </w:r>
    </w:p>
    <w:p>
      <w:pPr>
        <w:spacing w:after="0" w:line="71" w:lineRule="exact"/>
        <w:rPr>
          <w:sz w:val="20"/>
          <w:szCs w:val="20"/>
          <w:color w:val="auto"/>
        </w:rPr>
      </w:pPr>
    </w:p>
    <w:p>
      <w:pPr>
        <w:ind w:right="7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currency delineated in our Macau Operations' concession agreement with the Macau government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our Macau Operations.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2025, Wynn Resorts owned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7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we had a total of 305 table games at Wynn Palace and 253 at Wynn Macau approved by the Macau's Gaming Inspection and Coordination Bureau.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demand and industry competition. Failure to shift the mix of our table games in anticipation of market demands and industry trends may negatively impact our operating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Share Ownership and Stockholder Matters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stockholders are able to exert significant influence over our operations and future direction.</w:t>
      </w:r>
    </w:p>
    <w:p>
      <w:pPr>
        <w:spacing w:after="0" w:line="11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As of December 31, 2025, certain trusts created by Elaine P. Wynn owned approximately 9.12% of our outstanding shares of common stock. As a result, the trustees of those trusts, and other individual and/or institutional stockholders that report significant holdings of our common stock from time to time, may be able to exert influence over matters requiring our stockholders’ approval, including any significant corporate transactions that require such approval.</w:t>
      </w:r>
    </w:p>
    <w:p>
      <w:pPr>
        <w:spacing w:after="0" w:line="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party 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past, the trading price of our common stock has been subject to wide fluctuations. Our stock price may fluctuate in response to a number of events and factors, such as general U.S., China, and world economic and financial conditions, quarterly variations in our operating results, increased competition, changes in financial estimates and recommendations by securities analysts, changes in applicable laws or regulations, changes affecting the travel industry, and other events impacting our business. The stock market in general, and stock prices for companies in our industry in particular, have experienced periods of extreme volatility that may be unrelated to the operating performance of a particular company. These broad market and industry fluctuations may adversely affect the price of our common stock, regardless of our operating performance and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07"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highly leveraged and future cash flow may not be sufficient for us to meet our obligations, and we might have difficulty obtaining more financing.</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2025, we had total outstanding debt of approximately $10.63 billion. We may incur additional indebtedness in connection with the construction of future development projects or major capital enhancement at our existing properties. See Item 1—Business "Our Resorts."</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and to the extent that, market interest rates increase.</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permitted to incur additional indebtedness if certain conditions are met under certain of our credit facilities and our indentures. If we incur additional indebtedness, the risks described above will be exacerbated.</w:t>
      </w:r>
    </w:p>
    <w:p>
      <w:pPr>
        <w:spacing w:after="0" w:line="60"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create dividend and other payment restrictions affecting subsidiaries; and designate restricted and unrestricted subsidiaries.</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Resorts’ information security program is designed to preserve the accuracy and integrity of all forms of information processed by us and to protect such information, including our employees' and guests' personally identifiable information and information related to our operations, from misuse, loss, or theft. Our information security program is founded on principles and standards of the National Institute of Standards and Technology Framework for Improving Critical Infrastructure Cybersecurity issued by the U.S. government and is integrated into our overall enterprise risk management system.</w:t>
      </w:r>
    </w:p>
    <w:p>
      <w:pPr>
        <w:spacing w:after="0" w:line="210"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Chief Information Security Officer ("CISO") works closely with the Chief Information Officer and the Chief Privacy Counsel to collectively manage our global information security, information technology and data privacy programs. The Company's information security program includes a robust set of controls and safeguards for the systems, applications, and databases of the Company and of its third-party vendors. The CISO manages the information security program and sets annual targets and security objectives. The program includes regular risk assessments and recurring internal and external audits to assess the program’s maturity and effectiveness. The results of these assessments and audits help inform decisions to make program adjustments and evaluate whether the program’s security objectives are effective and up to date. Additional features of our cybersecurity program include security controls, such as firewalls and intrusion detection systems; data loss prevention tools; penetration testing of network, cloud, and application platforms; security assessments of our third-party vendors; and security awareness education for our employees and specialized training for our information security specialists.</w:t>
      </w:r>
    </w:p>
    <w:p>
      <w:pPr>
        <w:spacing w:after="0" w:line="19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implemented security monitoring capabilities, designed to alert us to suspicious activity and have developed an incident response program that includes periodic coordinated response exercises designed to restore business operations as quickly and as orderly as practicable in the event of a serious cyber incident. In the event of cyber incident which may be considered "material" under the SEC's disclosure rules, Wynn Resorts has established a separate committee comprised of the General Counsel, the Chief Financial Officer, the Chief Privacy Counsel, and the CISO. The Materiality Committee is responsible for determining whether a cyber incident, or series of incidents, is "material" and requires disclosure under Item 1.05 of Form 8-K as well as informing the Board of Directors about the incident from a risk oversight perspective.</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Board of Directors oversees risks relating to cybersecurity. The CISO presents to the Board of Directors on a semi-annual basis and the results of the risk assessments and audits on at least an annual basis. These reports also include detailed updates on the Company’s performance preparing for, preventing, detecting, responding to, and recovering from cyber incidents. The CISO has overseen the Company’s information security program for the last 17 years. He holds a Bachelor of Arts degree in Business Administration, and has over 30 years’ total experience in the information technology and security field, including various leadership roles before joining Wynn Resorts. In addition, he holds several industry technical certifications in information security, network engineering, systems engineering, database management, application development, and security intrusions.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Failure of our information security program to prevent or detect a cyber incident could result in the compromise of Company and customer information, reputational damage, and/or financial loss. During the periods covered by this report, we did not experience any material cyber incidents and the expenses we incurred from cyber incidents were immaterial. While prior incidents have not had a material impact on us, future incidents could have a material adverse effect on our business, results of operations and cash flows. For additional information about our cybersecurity risks, see "</w:t>
      </w:r>
      <w:r>
        <w:rPr>
          <w:rFonts w:ascii="Times New Roman" w:cs="Times New Roman" w:eastAsia="Times New Roman" w:hAnsi="Times New Roman"/>
          <w:sz w:val="18"/>
          <w:szCs w:val="18"/>
          <w:i w:val="1"/>
          <w:iCs w:val="1"/>
          <w:color w:val="auto"/>
        </w:rPr>
        <w:t>System failure, information leakage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maintaining sufficient cybersecurity could adversely affect our business</w:t>
      </w:r>
      <w:r>
        <w:rPr>
          <w:rFonts w:ascii="Times New Roman" w:cs="Times New Roman" w:eastAsia="Times New Roman" w:hAnsi="Times New Roman"/>
          <w:sz w:val="18"/>
          <w:szCs w:val="18"/>
          <w:color w:val="auto"/>
        </w:rPr>
        <w:t>" in Item 1A — "Risk Factors."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2"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presents our significant land holdings. We own or have obtained the right to use these properties. We also own or lease various other improved and unimproved properties which may be used for development projects.</w:t>
      </w:r>
    </w:p>
    <w:tbl>
      <w:tblPr>
        <w:tblLayout w:type="fixed"/>
        <w:tblInd w:w="0" w:type="dxa"/>
        <w:tblCellMar>
          <w:top w:w="0" w:type="dxa"/>
          <w:left w:w="0" w:type="dxa"/>
          <w:bottom w:w="0" w:type="dxa"/>
          <w:right w:w="0" w:type="dxa"/>
        </w:tblCellMar>
      </w:tblPr>
      <w:tr>
        <w:trPr>
          <w:trHeight w:val="180"/>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Approximate</w:t>
            </w:r>
          </w:p>
        </w:tc>
        <w:tc>
          <w:tcPr>
            <w:tcW w:w="100" w:type="dxa"/>
            <w:vAlign w:val="bottom"/>
          </w:tcPr>
          <w:p>
            <w:pPr>
              <w:spacing w:after="0"/>
              <w:rPr>
                <w:sz w:val="15"/>
                <w:szCs w:val="15"/>
                <w:color w:val="auto"/>
              </w:rPr>
            </w:pPr>
          </w:p>
        </w:tc>
        <w:tc>
          <w:tcPr>
            <w:tcW w:w="6980" w:type="dxa"/>
            <w:vAlign w:val="bottom"/>
            <w:vMerge w:val="restart"/>
          </w:tcPr>
          <w:p>
            <w:pPr>
              <w:ind w:left="31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2720" w:type="dxa"/>
            <w:vAlign w:val="bottom"/>
            <w:gridSpan w:val="2"/>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Acres</w:t>
            </w:r>
          </w:p>
        </w:tc>
        <w:tc>
          <w:tcPr>
            <w:tcW w:w="100" w:type="dxa"/>
            <w:vAlign w:val="bottom"/>
          </w:tcPr>
          <w:p>
            <w:pPr>
              <w:spacing w:after="0"/>
              <w:rPr>
                <w:sz w:val="20"/>
                <w:szCs w:val="20"/>
                <w:color w:val="auto"/>
              </w:rPr>
            </w:pPr>
          </w:p>
        </w:tc>
        <w:tc>
          <w:tcPr>
            <w:tcW w:w="6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Macau Operations</w:t>
            </w:r>
            <w:r>
              <w:rPr>
                <w:rFonts w:ascii="Times New Roman" w:cs="Times New Roman" w:eastAsia="Times New Roman" w:hAnsi="Times New Roman"/>
                <w:sz w:val="22"/>
                <w:szCs w:val="22"/>
                <w:b w:val="1"/>
                <w:bCs w:val="1"/>
                <w:color w:val="auto"/>
                <w:vertAlign w:val="superscript"/>
              </w:rPr>
              <w:t>(1)</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the Cotai area of Macau.</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in downtown Macau's inner harbor.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Las Vegas (main parcel)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at the intersection of Las Vegas Boulevard and Sands Avenue.</w:t>
            </w: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line="224" w:lineRule="exact"/>
              <w:rPr>
                <w:sz w:val="20"/>
                <w:szCs w:val="20"/>
                <w:color w:val="auto"/>
              </w:rPr>
            </w:pPr>
            <w:r>
              <w:rPr>
                <w:rFonts w:ascii="Times New Roman" w:cs="Times New Roman" w:eastAsia="Times New Roman" w:hAnsi="Times New Roman"/>
                <w:sz w:val="18"/>
                <w:szCs w:val="18"/>
                <w:color w:val="auto"/>
              </w:rPr>
              <w:t>Golf course land</w:t>
            </w:r>
            <w:r>
              <w:rPr>
                <w:rFonts w:ascii="Times New Roman" w:cs="Times New Roman" w:eastAsia="Times New Roman" w:hAnsi="Times New Roman"/>
                <w:sz w:val="22"/>
                <w:szCs w:val="22"/>
                <w:color w:val="auto"/>
                <w:vertAlign w:val="superscript"/>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Meeting and Convention</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Expansion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color w:val="auto"/>
              </w:rPr>
              <w:t>Employee parking lot and office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across Sands Avenue.</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building</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golf course land.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Encore Boston Harbor</w:t>
            </w:r>
            <w:r>
              <w:rPr>
                <w:rFonts w:ascii="Times New Roman" w:cs="Times New Roman" w:eastAsia="Times New Roman" w:hAnsi="Times New Roman"/>
                <w:sz w:val="22"/>
                <w:szCs w:val="22"/>
                <w:b w:val="1"/>
                <w:bCs w:val="1"/>
                <w:color w:val="auto"/>
                <w:vertAlign w:val="superscript"/>
              </w:rPr>
              <w:t>(3)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Everett, Massachusetts, adjacent to Boston along the Mystic River.</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2"/>
                <w:szCs w:val="22"/>
                <w:b w:val="1"/>
                <w:bCs w:val="1"/>
                <w:color w:val="auto"/>
                <w:vertAlign w:val="superscript"/>
              </w:rPr>
              <w:t>(4)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Las Vegas, Nevada, and Everett, Massachusetts.</w:t>
            </w:r>
          </w:p>
        </w:tc>
        <w:tc>
          <w:tcPr>
            <w:tcW w:w="0" w:type="dxa"/>
            <w:vAlign w:val="bottom"/>
          </w:tcPr>
          <w:p>
            <w:pPr>
              <w:spacing w:after="0"/>
              <w:rPr>
                <w:sz w:val="1"/>
                <w:szCs w:val="1"/>
                <w:color w:val="auto"/>
              </w:rPr>
            </w:pPr>
          </w:p>
        </w:tc>
      </w:tr>
    </w:tbl>
    <w:p>
      <w:pPr>
        <w:jc w:val="both"/>
        <w:ind w:left="320" w:hanging="315"/>
        <w:spacing w:after="0" w:line="250"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ind w:left="320" w:hanging="315"/>
        <w:spacing w:after="0" w:line="255"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 triple-net lease with an initial term of 30 years, with one 30-year renewal option.</w:t>
      </w:r>
    </w:p>
    <w:p>
      <w:pPr>
        <w:ind w:left="320" w:hanging="315"/>
        <w:spacing w:after="0" w:line="263"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38 acres of land on the Las Vegas Strip directly across from Wynn Las Vegas, and approximately 15 acres of land adjacent to Encore Boston Harbor in Everett, Massachusetts. This land may be used for future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party to lawsuits in the ordinary course of business. As with all litigation, no assurance can be provided as to the outcome of such matters and litigation inherently involves significant costs. For information regarding the Company's legal proceedings see Item 8—"Financial Statements and Supplementary Data," Note 18, "Commitments and Contingencies—Litigation" in this Annual Report on Form 10-K, which is incorporated herein by reference, and Item 1A—"Risk Factors" in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outstanding common stock trades on the Nasdaq Global Select Market under the symbol "WYNN."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were approximately 120 holders of record of our common stock as of February 18, 2026. This number does not include an estimate of the indeterminate number of beneficial holders whose shares may be held by brokerage firms and clearing agencies.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cash dividends of approximately $104.3 million were paid to holders of our common stock. Any decision to declare and pay dividends on our common stock in the future, including the timing and amount of any such dividends, will be made at the discretion of our Board of Directors and will depend on, among things, our results of operations, financial conditions, cash requirements, contractual restrictions and other factors deemed relevant at the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during the three months ended December 31, 2025:</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20" w:type="dxa"/>
            <w:vAlign w:val="bottom"/>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3"/>
        </w:trPr>
        <w:tc>
          <w:tcPr>
            <w:tcW w:w="1640" w:type="dxa"/>
            <w:vAlign w:val="bottom"/>
          </w:tcPr>
          <w:p>
            <w:pPr>
              <w:spacing w:after="0"/>
              <w:rPr>
                <w:sz w:val="12"/>
                <w:szCs w:val="12"/>
                <w:color w:val="auto"/>
              </w:rPr>
            </w:pPr>
          </w:p>
        </w:tc>
        <w:tc>
          <w:tcPr>
            <w:tcW w:w="2960" w:type="dxa"/>
            <w:vAlign w:val="bottom"/>
            <w:vMerge w:val="restart"/>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2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2160" w:type="dxa"/>
            <w:vAlign w:val="bottom"/>
          </w:tcPr>
          <w:p>
            <w:pPr>
              <w:jc w:val="center"/>
              <w:ind w:left="3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 that May Yet Be Purchased</w:t>
            </w:r>
          </w:p>
        </w:tc>
        <w:tc>
          <w:tcPr>
            <w:tcW w:w="0" w:type="dxa"/>
            <w:vAlign w:val="bottom"/>
          </w:tcPr>
          <w:p>
            <w:pPr>
              <w:spacing w:after="0"/>
              <w:rPr>
                <w:sz w:val="1"/>
                <w:szCs w:val="1"/>
                <w:color w:val="auto"/>
              </w:rPr>
            </w:pPr>
          </w:p>
        </w:tc>
      </w:tr>
      <w:tr>
        <w:trPr>
          <w:trHeight w:val="145"/>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960" w:type="dxa"/>
            <w:vAlign w:val="bottom"/>
            <w:vMerge w:val="continue"/>
          </w:tcPr>
          <w:p>
            <w:pPr>
              <w:spacing w:after="0"/>
              <w:rPr>
                <w:sz w:val="12"/>
                <w:szCs w:val="12"/>
                <w:color w:val="auto"/>
              </w:rPr>
            </w:pPr>
          </w:p>
        </w:tc>
        <w:tc>
          <w:tcPr>
            <w:tcW w:w="2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2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160" w:type="dxa"/>
            <w:vAlign w:val="bottom"/>
          </w:tcPr>
          <w:p>
            <w:pPr>
              <w:jc w:val="center"/>
              <w:ind w:lef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Under the Plans or Programs (in</w:t>
            </w:r>
          </w:p>
        </w:tc>
        <w:tc>
          <w:tcPr>
            <w:tcW w:w="0" w:type="dxa"/>
            <w:vAlign w:val="bottom"/>
          </w:tcPr>
          <w:p>
            <w:pPr>
              <w:spacing w:after="0"/>
              <w:rPr>
                <w:sz w:val="1"/>
                <w:szCs w:val="1"/>
                <w:color w:val="auto"/>
              </w:rPr>
            </w:pPr>
          </w:p>
        </w:tc>
      </w:tr>
      <w:tr>
        <w:trPr>
          <w:trHeight w:val="225"/>
        </w:trPr>
        <w:tc>
          <w:tcPr>
            <w:tcW w:w="1640" w:type="dxa"/>
            <w:vAlign w:val="bottom"/>
            <w:vMerge w:val="continue"/>
          </w:tcPr>
          <w:p>
            <w:pPr>
              <w:spacing w:after="0"/>
              <w:rPr>
                <w:sz w:val="19"/>
                <w:szCs w:val="19"/>
                <w:color w:val="auto"/>
              </w:rPr>
            </w:pPr>
          </w:p>
        </w:tc>
        <w:tc>
          <w:tcPr>
            <w:tcW w:w="2960" w:type="dxa"/>
            <w:vAlign w:val="bottom"/>
          </w:tcPr>
          <w:p>
            <w:pPr>
              <w:jc w:val="center"/>
              <w:ind w:left="870"/>
              <w:spacing w:after="0" w:line="225" w:lineRule="exact"/>
              <w:rPr>
                <w:sz w:val="20"/>
                <w:szCs w:val="20"/>
                <w:color w:val="auto"/>
              </w:rPr>
            </w:pPr>
            <w:r>
              <w:rPr>
                <w:rFonts w:ascii="Times New Roman" w:cs="Times New Roman" w:eastAsia="Times New Roman" w:hAnsi="Times New Roman"/>
                <w:sz w:val="14"/>
                <w:szCs w:val="14"/>
                <w:b w:val="1"/>
                <w:bCs w:val="1"/>
                <w:color w:val="auto"/>
                <w:w w:val="92"/>
              </w:rPr>
              <w:t>Purchased</w:t>
            </w:r>
            <w:r>
              <w:rPr>
                <w:rFonts w:ascii="Times New Roman" w:cs="Times New Roman" w:eastAsia="Times New Roman" w:hAnsi="Times New Roman"/>
                <w:sz w:val="22"/>
                <w:szCs w:val="22"/>
                <w:b w:val="1"/>
                <w:bCs w:val="1"/>
                <w:color w:val="auto"/>
                <w:w w:val="92"/>
                <w:vertAlign w:val="superscript"/>
              </w:rPr>
              <w:t>(1)(2)</w:t>
            </w:r>
          </w:p>
        </w:tc>
        <w:tc>
          <w:tcPr>
            <w:tcW w:w="2220" w:type="dxa"/>
            <w:vAlign w:val="bottom"/>
            <w:vMerge w:val="continue"/>
          </w:tcPr>
          <w:p>
            <w:pPr>
              <w:spacing w:after="0"/>
              <w:rPr>
                <w:sz w:val="19"/>
                <w:szCs w:val="19"/>
                <w:color w:val="auto"/>
              </w:rPr>
            </w:pPr>
          </w:p>
        </w:tc>
        <w:tc>
          <w:tcPr>
            <w:tcW w:w="2220" w:type="dxa"/>
            <w:vAlign w:val="bottom"/>
          </w:tcPr>
          <w:p>
            <w:pPr>
              <w:jc w:val="center"/>
              <w:ind w:left="10"/>
              <w:spacing w:after="0" w:line="225"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r>
              <w:rPr>
                <w:rFonts w:ascii="Times New Roman" w:cs="Times New Roman" w:eastAsia="Times New Roman" w:hAnsi="Times New Roman"/>
                <w:sz w:val="22"/>
                <w:szCs w:val="22"/>
                <w:b w:val="1"/>
                <w:bCs w:val="1"/>
                <w:color w:val="auto"/>
                <w:w w:val="98"/>
                <w:vertAlign w:val="superscript"/>
              </w:rPr>
              <w:t>(2)</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5495" cy="267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2673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140" w:right="1140"/>
        <w:spacing w:after="0" w:line="219" w:lineRule="auto"/>
        <w:rPr>
          <w:sz w:val="20"/>
          <w:szCs w:val="20"/>
          <w:color w:val="auto"/>
        </w:rPr>
      </w:pPr>
      <w:r>
        <w:rPr>
          <w:rFonts w:ascii="Times New Roman" w:cs="Times New Roman" w:eastAsia="Times New Roman" w:hAnsi="Times New Roman"/>
          <w:sz w:val="18"/>
          <w:szCs w:val="18"/>
          <w:color w:val="auto"/>
        </w:rPr>
        <w:t>October 1, 2025 to October 31, 2025</w:t>
      </w:r>
    </w:p>
    <w:p>
      <w:pPr>
        <w:spacing w:after="0" w:line="10" w:lineRule="exact"/>
        <w:rPr>
          <w:sz w:val="20"/>
          <w:szCs w:val="20"/>
          <w:color w:val="auto"/>
        </w:rPr>
      </w:pPr>
    </w:p>
    <w:p>
      <w:pPr>
        <w:ind w:left="140" w:right="1040"/>
        <w:spacing w:after="0" w:line="231" w:lineRule="auto"/>
        <w:rPr>
          <w:sz w:val="20"/>
          <w:szCs w:val="20"/>
          <w:color w:val="auto"/>
        </w:rPr>
      </w:pPr>
      <w:r>
        <w:rPr>
          <w:rFonts w:ascii="Times New Roman" w:cs="Times New Roman" w:eastAsia="Times New Roman" w:hAnsi="Times New Roman"/>
          <w:sz w:val="18"/>
          <w:szCs w:val="18"/>
          <w:color w:val="auto"/>
        </w:rPr>
        <w:t>November 1, 2025 to November 30, 2025</w:t>
      </w:r>
    </w:p>
    <w:p>
      <w:pPr>
        <w:spacing w:after="0" w:line="9" w:lineRule="exact"/>
        <w:rPr>
          <w:sz w:val="20"/>
          <w:szCs w:val="20"/>
          <w:color w:val="auto"/>
        </w:rPr>
      </w:pPr>
    </w:p>
    <w:p>
      <w:pPr>
        <w:ind w:left="140" w:right="1080"/>
        <w:spacing w:after="0" w:line="231" w:lineRule="auto"/>
        <w:rPr>
          <w:sz w:val="20"/>
          <w:szCs w:val="20"/>
          <w:color w:val="auto"/>
        </w:rPr>
      </w:pPr>
      <w:r>
        <w:rPr>
          <w:rFonts w:ascii="Times New Roman" w:cs="Times New Roman" w:eastAsia="Times New Roman" w:hAnsi="Times New Roman"/>
          <w:sz w:val="18"/>
          <w:szCs w:val="18"/>
          <w:color w:val="auto"/>
        </w:rPr>
        <w:t>December 1, 2025 to December 31, 2025</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124.79</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454,880</w:t>
            </w:r>
          </w:p>
        </w:tc>
      </w:tr>
      <w:tr>
        <w:trPr>
          <w:trHeight w:val="408"/>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2,186</w:t>
            </w:r>
          </w:p>
        </w:tc>
        <w:tc>
          <w:tcPr>
            <w:tcW w:w="9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120.59</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454,880</w:t>
            </w:r>
          </w:p>
        </w:tc>
      </w:tr>
      <w:tr>
        <w:trPr>
          <w:trHeight w:val="408"/>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1,306</w:t>
            </w:r>
          </w:p>
        </w:tc>
        <w:tc>
          <w:tcPr>
            <w:tcW w:w="9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131.83</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-199390</wp:posOffset>
            </wp:positionV>
            <wp:extent cx="7135495" cy="259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460" w:space="720"/>
            <w:col w:w="7060"/>
          </w:cols>
          <w:pgMar w:left="320" w:top="118" w:right="339" w:bottom="1440" w:gutter="0" w:footer="0" w:header="0"/>
          <w:type w:val="continuous"/>
        </w:sectPr>
      </w:pPr>
    </w:p>
    <w:p>
      <w:pPr>
        <w:jc w:val="both"/>
        <w:ind w:left="320" w:hanging="315"/>
        <w:spacing w:after="0" w:line="254"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in October 2025, November 2025, and December 2025 include 100, 2,186 and 1,306 shares, respectively, purchased in satisfaction of employee tax withholding obligations in connection with the vesting of restricted stock awards granted under our stock incentive plans. Refer to Item 8, "Financial Statements and Supplementary Data" for additional details on our stock incentive plans.</w:t>
      </w:r>
    </w:p>
    <w:p>
      <w:pPr>
        <w:jc w:val="both"/>
        <w:ind w:left="320" w:hanging="315"/>
        <w:spacing w:after="0" w:line="254"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2020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-5080</wp:posOffset>
            </wp:positionV>
            <wp:extent cx="5456555" cy="453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6555" cy="453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Discussion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spacing w:after="0" w:line="2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("Island 3"), an unconsolidated affiliate, which is constructing Wynn Al Marjan Island in Ras Al Khaimah, United Arab Emirates.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Consolidated Statements of Income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0" w:lineRule="exact"/>
        <w:rPr>
          <w:sz w:val="20"/>
          <w:szCs w:val="20"/>
          <w:color w:val="auto"/>
        </w:rPr>
      </w:pPr>
    </w:p>
    <w:p>
      <w:pPr>
        <w:ind w:left="1260" w:hanging="623"/>
        <w:spacing w:after="0" w:line="25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260" w:hanging="62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jc w:val="both"/>
        <w:ind w:left="1260" w:hanging="623"/>
        <w:spacing w:after="0" w:line="24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jc w:val="both"/>
        <w:ind w:left="1260" w:hanging="623"/>
        <w:spacing w:after="0" w:line="24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ind w:left="1260" w:hanging="623"/>
        <w:spacing w:after="0" w:line="244"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260" w:hanging="623"/>
        <w:spacing w:after="0" w:line="24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right="1500" w:firstLine="237"/>
        <w:spacing w:after="0" w:line="518" w:lineRule="auto"/>
        <w:tabs>
          <w:tab w:leader="none" w:pos="1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 Below is a discussion of the methodologies used to calculate win percentages at our resorts.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annual results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7,137,924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7,127,961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decrease in net income attributable to Wynn Resorts, Limited for the year ended December 31, 2025 was primarily attributable to an increase in the provision for income taxes of $101.3 million and a decrease of $63.8 million in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2025 compared to the year ended December 31,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1,410,620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3,718,017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2"/>
        </w:trPr>
        <w:tc>
          <w:tcPr>
            <w:tcW w:w="55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7,137,924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7,127,961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9,963</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4,410,328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4,261,357</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148,971</w:t>
            </w:r>
          </w:p>
        </w:tc>
        <w:tc>
          <w:tcPr>
            <w:tcW w:w="136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color w:val="auto"/>
                <w:w w:val="97"/>
              </w:rPr>
              <w:t>3.5</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(100,904)</w:t>
            </w:r>
          </w:p>
        </w:tc>
        <w:tc>
          <w:tcPr>
            <w:tcW w:w="1360" w:type="dxa"/>
            <w:vAlign w:val="bottom"/>
            <w:gridSpan w:val="2"/>
          </w:tcPr>
          <w:p>
            <w:pPr>
              <w:jc w:val="center"/>
              <w:ind w:left="892"/>
              <w:spacing w:after="0"/>
              <w:rPr>
                <w:sz w:val="20"/>
                <w:szCs w:val="20"/>
                <w:color w:val="auto"/>
              </w:rPr>
            </w:pPr>
            <w:r>
              <w:rPr>
                <w:rFonts w:ascii="Times New Roman" w:cs="Times New Roman" w:eastAsia="Times New Roman" w:hAnsi="Times New Roman"/>
                <w:sz w:val="18"/>
                <w:szCs w:val="18"/>
                <w:color w:val="auto"/>
                <w:w w:val="98"/>
              </w:rPr>
              <w:t>(8.1)</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1360" w:type="dxa"/>
            <w:vAlign w:val="bottom"/>
            <w:gridSpan w:val="2"/>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w w:val="98"/>
              </w:rPr>
              <w:t>(2.9)</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360" w:type="dxa"/>
            <w:vAlign w:val="bottom"/>
            <w:tcBorders>
              <w:bottom w:val="single" w:sz="8" w:color="CCEEFF"/>
            </w:tcBorders>
            <w:gridSpan w:val="2"/>
          </w:tcPr>
          <w:p>
            <w:pPr>
              <w:jc w:val="center"/>
              <w:ind w:left="892"/>
              <w:spacing w:after="0"/>
              <w:rPr>
                <w:sz w:val="20"/>
                <w:szCs w:val="20"/>
                <w:color w:val="auto"/>
              </w:rPr>
            </w:pPr>
            <w:r>
              <w:rPr>
                <w:rFonts w:ascii="Times New Roman" w:cs="Times New Roman" w:eastAsia="Times New Roman" w:hAnsi="Times New Roman"/>
                <w:sz w:val="18"/>
                <w:szCs w:val="18"/>
                <w:color w:val="auto"/>
                <w:w w:val="98"/>
              </w:rPr>
              <w:t>(1.2)</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2,727,596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2,866,604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(139,008)</w:t>
            </w:r>
          </w:p>
        </w:tc>
        <w:tc>
          <w:tcPr>
            <w:tcW w:w="1360" w:type="dxa"/>
            <w:vAlign w:val="bottom"/>
            <w:gridSpan w:val="2"/>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w w:val="98"/>
              </w:rPr>
              <w:t>(4.8)</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7,137,924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7,127,961</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9,963</w:t>
            </w:r>
          </w:p>
        </w:tc>
        <w:tc>
          <w:tcPr>
            <w:tcW w:w="136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Casino revenues for the year ended December 31, 2025 were 61.8% of operating revenues, compared to 59.8% for the year ended December 31,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year ended December 31, 2025 were 38.2% of operating revenues, compared to 40.2%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Casino revenues increased primarily due to higher casino volumes at Wynn Palace and higher slot machine handle at our Las Vegas Operations, which was partially offset by a decrease in VIP table games win at Wynn Macau.</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Wynn Palace: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1,936,715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1,795,604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16,568,127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12,991,235</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3,576,892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521,979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449,461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27,265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7,665,410</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6,893,092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772,318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1,748,290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1,686,503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3,086,835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2,519,983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566,852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126,785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109,488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4"/>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1,195,001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1,230,351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4,347,699</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5,047,888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(700,189)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110,770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6,526,655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6,344,794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1,170,262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1,164,012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3,827,458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3,133,488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693,970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106,657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103,030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649,346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600,088</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2,521,626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2,376,473</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600,951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611,663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7,332,128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6,752,952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499,871</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446,152</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25,824</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24,599</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629,266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635,314</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1,344,387</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1,410,319</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270,147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297,369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5,533,270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5,604,462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438,597</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424,152</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149,585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202,936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87,443</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100,631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813,477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845,660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90,649</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92,831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Room revenues decreased $100.9 million, primarily due to lower ADR across all of our properties.</w:t>
      </w:r>
    </w:p>
    <w:p>
      <w:pPr>
        <w:spacing w:after="0" w:line="2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Food and beverage revenues decreased $31.3 million, primarily due to a decrease in revenues from nightlife venues at our Las Vegas Operations during the year ended December 31, 2025. The year ended December 31, 2024 included incremental food and beverage revenue at our Las Vegas Operations from Super Bowl-related events.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Entertainment, retail and other revenues increased $9.7 million in total across our properties, and was offset by a decrease in operating revenues of $16.5 million at Wynn Interactive following the closure of its digital sports betting and casino business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2"/>
                <w:szCs w:val="2"/>
                <w:color w:val="auto"/>
              </w:rPr>
            </w:pPr>
          </w:p>
        </w:tc>
        <w:tc>
          <w:tcPr>
            <w:tcW w:w="11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2,716,151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2,586,960</w:t>
            </w:r>
          </w:p>
        </w:tc>
        <w:tc>
          <w:tcPr>
            <w:tcW w:w="10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129,191</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36,477</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(165,376)</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6,019,540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5,995,230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24,310</w:t>
            </w: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an increase in casino expenses at Wynn Palace and our Las Vegas Operations and an increase in pre-opening expenses at Corporate and other, partially offset by a decrease in depreciation and amortization expense at Encore Boston Harbor and a decrease in property charges and other expenses at our Las Vegas Operations and Corporate and other.</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Casino expenses increased $116.8 million at Wynn Palace, including an increase of $92.8 million in gaming tax expense driven by an increase in casino revenue, and $25.2 million at our Las Vegas Operations, primarily driven by higher payroll and related costs, including higher stock-based compensation expense from stock awards granted in connection with the 20th anniversary of the opening of Wynn Las Vegas ("20th Anniversary").</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Room expenses increased $12.1 million at our Las Vegas Operations, largely due to payroll and related costs, including higher stock-based compensation expense as a result of stock awards granted to employees in connection with the 20th Anniversary.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Food and beverage expenses increased $21.2 million at Wynn Palace, primarily as a result of higher cost of sales.</w:t>
      </w:r>
    </w:p>
    <w:p>
      <w:pPr>
        <w:spacing w:after="0" w:line="2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General and administrative expenses increased $36.5 million, primarily due to the one-time cost of the 20th Anniversary celebrations, including higher stock-based compensation expense as a result of stock awards granted in connection with the 20th Anniversary.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Pre-opening expense increased $29.1 million at Corporate and other largely due to pre-opening costs associated with Wynn Al Marjan Island.</w:t>
      </w:r>
    </w:p>
    <w:p>
      <w:pPr>
        <w:spacing w:after="0" w:line="2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decreased $32.1 million at Encore Boston Harbor as a result of certain assets being fully depreciated five years after the opening of the property in June of 2019.</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Property charges and other expenses for the year ended December 31, 2025 consisted primarily of $6.6 million and $18.6 million of contract terminations and other expenses at our Las Vegas Operations and Encore Boston Harbor, respectively; and $17.7 million, $6.3 million, and $2.9 million of asset abandonments and disposals at our Macau Operations, our Las Vegas Operations and Corporate and other, respectively.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Property charges and other expenses for the year ended December 31, 2024 consisted primarily of $130.0 million of forfeitures pursuant to a non-prosecution agreement and the Company's $9.4 million contribution towards a legal settlement. Property charges and other expenses for the year ended December 31, 2024 also included $20.7 million of asset abandonments at our Macau Operations, $61.5 million of expensed project costs related to a discontinued development project at Corporate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and other, $16.9 million of contract termination and other costs related to Wynn Interactive, partially offset by a gain of $24.6 million related to the sale of certain Wynn Interactive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Interest expense, net of capitalized interest, decreased $62.9 million due to a decrease in the weighted average debt balance to $10.98 billion for the year ended December 31, 2025 from $11.45 billion for the year ended December 31, 2024, and a decrease in the weighted average interest rate to 5.68% for the year ended December 31, 2025 from 6.00% for the year ended December 31, 2024. In addition, we capitalized interest of $49.7 million and $23.0 million in the years ended December 31, 2025 and 2024, respectively.</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recorded interest income of $66.5 million and $130.3 million for the years ended December 31, 2025 and 2024, respectively, primarily related to interest earned on cash and cash equivalents held at financial institutions.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incurred a foreign currency remeasurement loss of $8.6 million and a gain of $29.2 million for the years ended December 31, 2025 and 2024, respectively. The impact of the exchange rate fluctuation of the Macau pataca, in relation to the United States ("U.S.") dollar, on the remeasurements of U.S. dollar denominated debt and other obligations from our Macau-related entities primarily drove the variability between periods.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recorded a loss of $34.9 million for the year ended December 31, 2025 from change in derivatives fair value, which primarily includes a loss of $27.6 million related to foreign currency swaps and a loss of $7.7 million related to the interest rate swap on the Retail Term Loan. We recorded a gain of $42.5 million for the year ended December 31, 2024 from change in derivatives fair value, primarily related to the conversion feature of the WML Convertible Bonds. For more information on the Company's derivative instruments, refer to Item 8—"Notes to Consolidated Financial Statements," Note 8, "Derivative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2025 and 2024, we recorded an income tax expense of $105.0 million and expense of $3.7 million, respectively. The 2025 income tax expense primarily relates to U.S. profitability as well as an increase in the valuation allowance on foreign tax credit ("FTC") carryforwards. The 2024 income tax expense primarily relates to U.S. profitability as well as an increase in nondeductible expenses offset by the release of valuation allowance on certain deferred tax assets.</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4, 2025, the U.S. president signed into law the budget and reconciliation bill, commonly referred to as the One Big Beautiful Bill Act, which includes a broad range of tax reform provisions that affect the Company's financial position and results of operations. The Company has evaluated the impact of these provisions on the Company's effective tax rate and deferred tax assets for 2025 and future periods. These U.S. federal tax law changes increase tax deductions and reduce the utilization of FTC carryforwards.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Wynn Macau SA received an exemption from Macau’s 12% Complementary Tax on casino gaming profits from January 1, 2023 through December 31, 2027. Our non-gaming profits remain subject to the Macau Complementary Tax and casino winnings remain subject to the Macau special gaming tax and other levies in accordance with our concession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Net income attributable to noncontrolling interests was $81.8 million and $138.6 million for the years ended December 31, 2025 and 2024,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are primarily related to the noncontrolling interests' share of net income from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44"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As further described in Item 8—"Financial Statements and Supplementary Data," Note 20, "Segment Information," we use Adjusted Property EBITDAR to manage the operating results of our segments. Adjusted Property EBITDAR is net income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2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Adjusted Property EBITDAR (in thousands) for Wynn Palace, Wynn Macau, Las Vegas Operations and Encore Boston Harbor, as reviewed by management and summarized in Item 8—"Financial Statements and Supplementary Data," Note 20, "Segment Information." That footnote also presents a reconciliation of Adjusted Property EBITDAR to net income attributable to Wynn Resorts, Limited.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(50,810)</w:t>
            </w: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(39,727)</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(44,357)</w:t>
            </w:r>
          </w:p>
        </w:tc>
        <w:tc>
          <w:tcPr>
            <w:tcW w:w="0" w:type="dxa"/>
            <w:vAlign w:val="bottom"/>
          </w:tcPr>
          <w:p>
            <w:pPr>
              <w:spacing w:after="0"/>
              <w:rPr>
                <w:sz w:val="1"/>
                <w:szCs w:val="1"/>
                <w:color w:val="auto"/>
              </w:rPr>
            </w:pP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Wynn Palace decreased $50.8 million for the year ended December 31, 2025 primarily due to a $53.4 million decrease in rooms revenue.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Wynn Macau decreased $39.7 million for the year ended December 31, 2025, due to a decrease in operating revenues of $54.0 million, largely attributable to lower casino and rooms revenue, partially offset by lower operating expenses.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Adjusted Property EBITDAR at our Las Vegas Operations for the year ended December 31, 2025, decreased $44.4 million, primarily due to a decrease of $48.1 million in non-gaming revenues, partially offset by lower operating expenses. The year ended December 31, 2024, included incremental food and beverage revenue from Super Bowl-related events and from outlets undergoing renovations.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Encore Boston Harbor decreased $10.4 million for the year ended December 31, 2025, primarily due to a decrease in operating revenues of $10.3 million.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1,426,203</w:t>
            </w:r>
          </w:p>
        </w:tc>
        <w:tc>
          <w:tcPr>
            <w:tcW w:w="0" w:type="dxa"/>
            <w:vAlign w:val="bottom"/>
          </w:tcPr>
          <w:p>
            <w:pPr>
              <w:spacing w:after="0"/>
              <w:rPr>
                <w:sz w:val="1"/>
                <w:szCs w:val="1"/>
                <w:color w:val="auto"/>
              </w:rPr>
            </w:pPr>
          </w:p>
        </w:tc>
      </w:tr>
      <w:tr>
        <w:trPr>
          <w:trHeight w:val="263"/>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(419,929)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(563,418)</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(1,657,161)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(83,558)</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1,883,794</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(3,059,832)</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(401,802)</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7"/>
        </w:trPr>
        <w:tc>
          <w:tcPr>
            <w:tcW w:w="8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(1,793,794)</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3,530</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cash equivalents and restricted cash</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(961,698)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(447,619)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2025, the decrease in cash flows from operating activities was primarily due to a decrease in operating income at our Macau Operations largely driven by a decrease in rooms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we incurred capital expenditures of $287.6 million at our Las Vegas Operations, $167.2 million at Wynn Palace, $72.8 million at Wynn Macau, and $26.9 million at Encore Boston Harbor, primarily related to enhancements at our properties and maintenance capital expenditures, and $105.9 million at Corporate and other, primarily related to future development projects. In addition, during the year ended December 31, 2025, we invested $328.9 million, including $282.6 million of cash contributions, in the joint venture that is constructing Wynn Al Marjan Island and purchased $668.9 million of U.S. treasuries and fixed deposits.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2024, we incurred capital expenditures of $159.8 million at our Las Vegas Operations, $107.5 million at Wynn Palace, $57.7 million at Wynn Macau, and $32.7 million at Encore Boston Harbor, primarily related to enhancements at our properties and maintenance capital expenditures, and $62.4 million at Corporate and other primarily related to future development projects. In addition, during the year ended December 31, 2024, we invested $563.4 million, including $541.7 million of cash contributions, in the joint venture that is constructing Wynn Al Marjan Island, and received proceeds of $850.0 million upon the maturity of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4"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year ended December 31, 2025 (in thousands):</w:t>
      </w:r>
    </w:p>
    <w:tbl>
      <w:tblPr>
        <w:tblLayout w:type="fixed"/>
        <w:tblInd w:w="0" w:type="dxa"/>
        <w:tblCellMar>
          <w:top w:w="0" w:type="dxa"/>
          <w:left w:w="0" w:type="dxa"/>
          <w:bottom w:w="0" w:type="dxa"/>
          <w:right w:w="0" w:type="dxa"/>
        </w:tblCellMar>
      </w:tblPr>
      <w:tr>
        <w:trPr>
          <w:trHeight w:val="145"/>
        </w:trPr>
        <w:tc>
          <w:tcPr>
            <w:tcW w:w="7940" w:type="dxa"/>
            <w:vAlign w:val="bottom"/>
          </w:tcPr>
          <w:p>
            <w:pPr>
              <w:spacing w:after="0"/>
              <w:rPr>
                <w:sz w:val="12"/>
                <w:szCs w:val="12"/>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2"/>
                <w:szCs w:val="12"/>
                <w:color w:val="auto"/>
              </w:rPr>
            </w:pPr>
          </w:p>
        </w:tc>
        <w:tc>
          <w:tcPr>
            <w:tcW w:w="1400" w:type="dxa"/>
            <w:vAlign w:val="bottom"/>
          </w:tcPr>
          <w:p>
            <w:pPr>
              <w:jc w:val="right"/>
              <w:ind w:right="217"/>
              <w:spacing w:after="0" w:line="145" w:lineRule="exact"/>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2"/>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6 3/4% Senior Notes, due 2034 ("2034 WML Senior Notes")</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 ("2026 WML Senior Notes")</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Credit Facilities:</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WRF Term Loan, due 2027</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763,125</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WRF Term Loan, due 2030</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1,752,812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1,763,125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during the year ended December 31, 2025, we repurchased 4,574,118 shares of our common stock for an aggregate cost of $380.1 million, including 4,365,212 shares of our common stock repurchased pursuant to our publicly announced equity repurchase program for an aggregate cost of $358.2 million. We also made dividend payments of $174.7 million, finance lease payments of $25.8 million, paid $28.1 million for financing costs related to the financing activities above, and used cash of $25.7 million for distributions to noncontrolling interest holders of the Retail Joint Venture.</w:t>
      </w:r>
    </w:p>
    <w:p>
      <w:pPr>
        <w:spacing w:after="0" w:line="21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year ended December 31, 2024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3"/>
                <w:szCs w:val="13"/>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1"/>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6 1/4% Senior Notes, due 2033</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Cayman II Revolver, due 2028</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351,787</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1,380,001</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Term Loan, due 2024</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73,683</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Term Loan, due 2027</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Term Loan, due 2025</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Term Loan, due 2027</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1,883,794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3,059,832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during the year ended December 31, 2024, we repurchased 4,500,888 shares of our common stock for an aggregate cost of $401.8 million, including 4,349,779 shares of our common stock repurchased pursuant to our publicly announced equity repurchase program for an aggregate cost of $386.0 million. We also made dividend payments of $139.6</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million, finance lease payments of $19.2 million, paid $36.7 million for financing costs related to the debt financing activities above and used cash of $17.0 million for distributions to the noncontrolling interest holder of the Retail Joint Venture.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44"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presented by significant financing entity as of December 31, 2025 (in thousands):</w:t>
      </w:r>
    </w:p>
    <w:tbl>
      <w:tblPr>
        <w:tblLayout w:type="fixed"/>
        <w:tblInd w:w="0" w:type="dxa"/>
        <w:tblCellMar>
          <w:top w:w="0" w:type="dxa"/>
          <w:left w:w="0" w:type="dxa"/>
          <w:bottom w:w="0" w:type="dxa"/>
          <w:right w:w="0" w:type="dxa"/>
        </w:tblCellMar>
      </w:tblPr>
      <w:tr>
        <w:trPr>
          <w:trHeight w:val="145"/>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Total Cash and Cash</w:t>
            </w:r>
          </w:p>
        </w:tc>
        <w:tc>
          <w:tcPr>
            <w:tcW w:w="26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2"/>
                <w:szCs w:val="12"/>
                <w:color w:val="auto"/>
              </w:rPr>
            </w:pPr>
          </w:p>
        </w:tc>
        <w:tc>
          <w:tcPr>
            <w:tcW w:w="1480" w:type="dxa"/>
            <w:vAlign w:val="bottom"/>
          </w:tcPr>
          <w:p>
            <w:pPr>
              <w:jc w:val="right"/>
              <w:ind w:right="138"/>
              <w:spacing w:after="0" w:line="145" w:lineRule="exact"/>
              <w:rPr>
                <w:sz w:val="20"/>
                <w:szCs w:val="20"/>
                <w:color w:val="auto"/>
              </w:rPr>
            </w:pPr>
            <w:r>
              <w:rPr>
                <w:rFonts w:ascii="Times New Roman" w:cs="Times New Roman" w:eastAsia="Times New Roman" w:hAnsi="Times New Roman"/>
                <w:sz w:val="14"/>
                <w:szCs w:val="14"/>
                <w:b w:val="1"/>
                <w:bCs w:val="1"/>
                <w:color w:val="auto"/>
              </w:rPr>
              <w:t>Revolver Borrowing</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17"/>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1,355,116</w:t>
            </w:r>
          </w:p>
        </w:tc>
        <w:tc>
          <w:tcPr>
            <w:tcW w:w="0" w:type="dxa"/>
            <w:vAlign w:val="bottom"/>
          </w:tcPr>
          <w:p>
            <w:pPr>
              <w:spacing w:after="0"/>
              <w:rPr>
                <w:sz w:val="1"/>
                <w:szCs w:val="1"/>
                <w:color w:val="auto"/>
              </w:rPr>
            </w:pPr>
          </w:p>
        </w:tc>
      </w:tr>
      <w:tr>
        <w:trPr>
          <w:trHeight w:val="224"/>
        </w:trPr>
        <w:tc>
          <w:tcPr>
            <w:tcW w:w="61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Wynn Resorts Finance, LLC</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1,233,783</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1,463,442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2,588,899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U.S. treasuries and fixed deposits maturing in less than one year and exclude long-term investments of $67.6 million.</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33"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 Revolver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spacing w:after="0" w:line="2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expect to make estimated project capital expenditures between $400 million and $450 million during 2026 and between $425 million and $475 million during 2027 related to enhancements at our Macau Operations. We expect to make maintenance capital expenditures at our Macau Operations between $70 million and $80 million during 2026.</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WML paid cash dividends of HK$0.185 per share in both June 2025 and September 2025 for a total U.S. dollar equivalent of approximately $249.0 million for the year ended December 31, 2025. Our share of these dividends was $177.7 million.</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July 2025, WM Cayman II increased borrowing capacity under the WM Cayman II Revolver by an additional aggregate amount of $1.00 billion equivalent through the exercise of an accordion feature under the existing facility agreement. As a result, the total committed amount of the WM Cayman II Revolver has increased to $2.50 billion equivalent. In connection with the exercise of the accordion feature on the WM Cayman II Revolver, we recorded debt issuance costs of $11.6 million.</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August 2025, WML issued $1.00 billion aggregate principal amount of the 2034 WML Senior Notes. The 2034 WML Senior Notes were issued at par for proceeds of $989.0 million, net of $11.0 million of related fees and expenses.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September 2025, we redeemed in full the outstanding $1.00 billion aggregate principal amount of 2026 WML Senior Notes using net proceeds from the issuance of the 2034 WML Senior Notes, along with cash on hand, at a price equal to 100% of the principal amount.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our portion of cash available for repatriation was repatriated on December 31, 2025, it would be subject to minimal U.S. taxes.</w:t>
      </w:r>
    </w:p>
    <w:p>
      <w:pPr>
        <w:spacing w:after="0" w:line="23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expect to make estimated project capital expenditures between $375 million and $400 million during 2026 and between $150 million and $175 million during 2027 related to enhancements at our Las Vegas Operations. We expect to make total maintenance capital expenditures at our Las Vegas Operations and Encore Boston Harbor between $90 million and $115 million, on a combined basis, during 2026.</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or distributions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June 2025, WRF and certain of its subsidiaries entered into an amendment (the "WRF Credit Facility Amendment") to its existing credit agreement. The WRF Credit Facility Amendment (i) extends the final maturity date with respect to all or a portion of the term loan commitments from September 20, 2027 to June 12, 2030, (ii) extends the termination date with respect to all or a portion of the existing revolving commitments and the maturity date with respect to the corresponding revolving commitments from September 20, 2027 to June 12, 2030 and (iii) allows for $500.0 million of incremental extended revolving commitments with a stated maturity date of June 12, 2030.</w:t>
      </w:r>
    </w:p>
    <w:p>
      <w:pPr>
        <w:spacing w:after="0" w:line="21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2025. We expect to use cash held by Wynn Resorts, Limited and other to service our Retail Term Loan, to fund working capital needs of our subsidiaries, pay dividends, make required capital contributions to the entity which owns Wynn Al Marjan Island, and for general corporate purposes.</w:t>
      </w:r>
    </w:p>
    <w:p>
      <w:pPr>
        <w:spacing w:after="0" w:line="21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ending December 31, 2025, the Company contributed $282.6 million of cash into Island 3 and affiliated ventures, bringing our life-to-date cash contributions to $914.2 million. We estimate our remaining 40% pro-rata share of the required equity for the construction of the Wynn Al Marjan Island integrated resort is between $425 million and $500 million, inclusive of capitalized interest, fees, and certain improvements to the island. Wynn Al Marjan Island is currently expected to open in 2027.</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Island 3 has partnered with Aman Group, a developer and operator of hotels, resorts and branded residences, to construct a second development adjacent to Wynn Al Marjan Island, which will feature a 132-room hotel and a residential tower with one- to five- bedroom units and a limited collection of standalone villas ("Janu Al Marjan Island"). Janu Al Marjan Island, expected to open in late 2028, will be managed and operated by Aman Group and will offer a variety of guest experiences. The Company’s estimated capital contributions to Island 3 for the construction of the Janu Al Marjan Island are between $25 million and $50 million, net of estimated branded residence sales and estimated 50% loan-to-cost financing to fund project costs.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in each of the quarters ended March 31, 2025, June 30, 2025, September 30, 2025, and December 31, 2025 and recorded an aggregate amount of $104.6 million against accumulated deficit in the year ended December 31, 2025.</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12, 2026, the Company's Board of Directors declared a cash dividend of $0.25 per share on its common stock, payable on March 4, 2026 to stockholders of record as of February 23, 2026.</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18,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December 31, 2025, we had $454.9 million in repurchase authority remaining under the program.</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February 2025, Wynn Al Marjan Island FZ-LLC (the "Borrower"), a wholly-owned subsidiary of Island 3, an unconsolidated affiliate, entered into a facility agreement with a syndicate of lenders (the "Al Marjan Facility Agreement") which provides the Borrower with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For additional information, refer to Item 8—"Financial Statements and Supplementary Data," Note 18,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as of December 31, 2025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1"/>
                <w:szCs w:val="11"/>
                <w:color w:val="auto"/>
              </w:rPr>
            </w:pPr>
          </w:p>
        </w:tc>
        <w:tc>
          <w:tcPr>
            <w:tcW w:w="1100" w:type="dxa"/>
            <w:vAlign w:val="bottom"/>
          </w:tcPr>
          <w:p>
            <w:pPr>
              <w:jc w:val="right"/>
              <w:ind w:right="455"/>
              <w:spacing w:after="0" w:line="127" w:lineRule="exact"/>
              <w:rPr>
                <w:sz w:val="20"/>
                <w:szCs w:val="20"/>
                <w:color w:val="auto"/>
              </w:rPr>
            </w:pPr>
            <w:r>
              <w:rPr>
                <w:rFonts w:ascii="Times New Roman" w:cs="Times New Roman" w:eastAsia="Times New Roman" w:hAnsi="Times New Roman"/>
                <w:sz w:val="14"/>
                <w:szCs w:val="14"/>
                <w:b w:val="1"/>
                <w:bCs w:val="1"/>
                <w:color w:val="auto"/>
              </w:rPr>
              <w:t>1 to 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4 to 5</w:t>
            </w: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After</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2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Long-term debt obligations</w:t>
            </w:r>
            <w:r>
              <w:rPr>
                <w:rFonts w:ascii="Times New Roman" w:cs="Times New Roman" w:eastAsia="Times New Roman" w:hAnsi="Times New Roman"/>
                <w:sz w:val="22"/>
                <w:szCs w:val="22"/>
                <w:color w:val="auto"/>
                <w:vertAlign w:val="superscript"/>
              </w:rPr>
              <w:t>(1)</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5,395,468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10,632,410</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interest payments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2,224,242</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Estimated variable interest payments</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386,092</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Macau gaming premium</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Macau Property Transfer Agreement payments</w:t>
            </w:r>
            <w:r>
              <w:rPr>
                <w:rFonts w:ascii="Times New Roman" w:cs="Times New Roman" w:eastAsia="Times New Roman" w:hAnsi="Times New Roman"/>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333,790</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4,294,302</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157,288</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Employment agreements</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241,899</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w w:val="97"/>
              </w:rPr>
              <w:t>Massachusetts surrounding community payments</w:t>
            </w:r>
            <w:r>
              <w:rPr>
                <w:rFonts w:ascii="Times New Roman" w:cs="Times New Roman" w:eastAsia="Times New Roman" w:hAnsi="Times New Roman"/>
                <w:sz w:val="22"/>
                <w:szCs w:val="22"/>
                <w:color w:val="auto"/>
                <w:w w:val="97"/>
                <w:vertAlign w:val="superscript"/>
              </w:rPr>
              <w:t>(6)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121,377</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369,883</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commitments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1,391,733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7,243,921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3,451,608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6,931,332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19,018,594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54"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principal amount of WML Convertible Bonds with a stated maturity of March 7, 2029, which WML may be required to redeem at the option of bond holders on March 7, 2027.</w:t>
      </w:r>
    </w:p>
    <w:p>
      <w:pPr>
        <w:ind w:left="320" w:hanging="315"/>
        <w:spacing w:after="0" w:line="255"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all periods represent our estimated future interest payments on our debt facilities based upon amounts outstanding and SOFR or HIBOR rates as of December 31, 2025. Actual rates will vary.</w:t>
      </w:r>
    </w:p>
    <w:p>
      <w:pPr>
        <w:ind w:left="320" w:hanging="315"/>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fixed and minimum variable gaming premium amounts payable under the Gaming Concession Contract, based on the number and type of gaming tables and machines we operate.</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payable under the Property Transfer Agreements (as defined in Item 8—"Financial Statements and Supplementary Data," Note 5, "Property and Equipment, net").</w:t>
      </w:r>
    </w:p>
    <w:p>
      <w:pPr>
        <w:jc w:val="both"/>
        <w:ind w:left="320" w:hanging="315"/>
        <w:spacing w:after="0" w:line="252"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certain communities surrounding Encore Boston Harbor, required as a condition of the gaming license awarded to Wynn MA, LLC.</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52"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open purchase orders, future charitable contributions, performance contracts and other contracts. As further discussed in Item 8—"Financial Statements and Supplementary Data," Note 14, "Income Taxes," we had $160.4 million of unrecognized tax benefits as of December 31, 2025. Due to the inherent uncertainty of the underlying tax positions, it is not practicable to assign the related potential tax obligations to any particular year and therefore it is not included in the table above as of December 31, 2025.</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December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to the Macau gaming premium and Property Transfer Agreements payment commitments included in the table above, Wynn Macau SA committed to make certain non-gaming and gaming investments in the amount of MOP21.03 billion (approximately $2.62 billion) over the course of the ten-year term of the Gaming Concession Contract. MOP19.80 billion (approximately $2.47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Additionally, Wynn Macau SA committed to make the following payments throughout the term of the Gaming Concession Contract:</w:t>
      </w:r>
    </w:p>
    <w:p>
      <w:pPr>
        <w:spacing w:after="0" w:line="240" w:lineRule="exact"/>
        <w:rPr>
          <w:sz w:val="20"/>
          <w:szCs w:val="20"/>
          <w:color w:val="auto"/>
        </w:rPr>
      </w:pPr>
    </w:p>
    <w:p>
      <w:pPr>
        <w:ind w:firstLine="637"/>
        <w:spacing w:after="0" w:line="268" w:lineRule="auto"/>
        <w:tabs>
          <w:tab w:leader="none" w:pos="8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premium - Wynn Macau SA is obligated to pay a special annual gaming premium if the average of the gross gaming revenues of the Company's gaming tables and gaming machines is lower than a certain minimum amount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determined by the Macau government. A minimum average annual gross gaming revenue of MOP7.0 million (approximately $0.9 million) per gaming table and MOP300,000 (approximately $37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2025 and 2024;</w:t>
      </w:r>
    </w:p>
    <w:p>
      <w:pPr>
        <w:spacing w:after="0" w:line="212" w:lineRule="exact"/>
        <w:rPr>
          <w:sz w:val="20"/>
          <w:szCs w:val="20"/>
          <w:color w:val="auto"/>
        </w:rPr>
      </w:pPr>
    </w:p>
    <w:p>
      <w:pPr>
        <w:jc w:val="both"/>
        <w:ind w:firstLine="637"/>
        <w:spacing w:after="0" w:line="293" w:lineRule="auto"/>
        <w:tabs>
          <w:tab w:leader="none" w:pos="89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180" w:lineRule="exact"/>
        <w:rPr>
          <w:rFonts w:ascii="Times New Roman" w:cs="Times New Roman" w:eastAsia="Times New Roman" w:hAnsi="Times New Roman"/>
          <w:sz w:val="16"/>
          <w:szCs w:val="16"/>
          <w:color w:val="auto"/>
        </w:rPr>
      </w:pPr>
    </w:p>
    <w:p>
      <w:pPr>
        <w:ind w:left="940" w:hanging="303"/>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tax assessed at the rate of 35% of gross gaming revenues.</w:t>
      </w:r>
    </w:p>
    <w:p>
      <w:pPr>
        <w:spacing w:after="0" w:line="2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Item 8—"Financial Statements and Supplementary Data," Note 18, "Commitments and Contingencies," for additional information regarding the amounts owed under the Gaming Concession Contract and Macau Gaming Law.</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Al Marjan Island Funding Commitments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estimate our remaining 40% pro-rata share of the required equity for the construction of Wynn Al Marjan Island integrated resort is between $425 million and $500 million inclusive of capitalized interest, fees, and certain improvements to the island. Wynn Al Marjan Island is currently expected to open in 2027.</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estimate that our capital contributions to Island 3 for the construction of the Janu Al Marjan Island are between $25 million and $50 million, net of estimated branded residence sales and estimated 50% loan-to-cost financing to fund project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1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As of December 31, 2025, we had deferred tax assets of $1.42 billion, including an FTC carryforward of $449.9 million and deferred tax assets related to interest expense carryforwards of $144.1 million and net operating loss carryforwards of $183.8 million.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 The need for valuation allowances against deferred tax assets will be reassessed on a continuous basis in future periods and, as a result, the allowance may increase or decrease based on changes in facts and circumstances.</w:t>
      </w:r>
    </w:p>
    <w:p>
      <w:pPr>
        <w:spacing w:after="0" w:line="1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2025, we recorded a $13.5 million net increase to valuation allowances, including a $38.9 million increase to valuation allowance on FTC carryforwards. The increase primarily relates to U.S. federal tax law changes that increase tax deductions and reduce the utilization of FTC carryforwards. The decrease to valuation allowances primarily relates to NOL carryforwards that were used or expired in the current year.</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we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applicable, we recognize accrued penalties and interest related to unrecognized tax benefits in the provision for income taxes.</w:t>
      </w:r>
    </w:p>
    <w:p>
      <w:pPr>
        <w:spacing w:after="0" w:line="2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Recommendations made by the Organization for Economic Cooperation and Development’s Base Erosion and Profit Shifting 2.0 project have the potential to lead to changes in the tax laws in numerous countries, including the implementation of a global minimum tax. Several countries around the world have enacted or proposed changes to their existing tax laws based on these recommendations.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5, 2026, the Organization for Economic Cooperation and Development released administrative guidance that introduces new safe harbors, providing significant relief for multinational enterprises whose ultimate parent entity is located in the U.S.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monitoring the potential changes in tax laws resulting from the Organization for Economic Cooperation and Development’s multi-jurisdictional plan of action to address base erosion and profit shifting, which could impact our effective tax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 Conversion Option Derivative</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March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is reported at fair value as of the end of each reporting period, with changes recognized in the statements of income.</w:t>
      </w:r>
    </w:p>
    <w:p>
      <w:pPr>
        <w:spacing w:after="0" w:line="18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 The output of the lattice model can be highly sensitive to fluctuations in its inputs.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U.S., and U.S. assets of foreign customers may be used to satisfy judgments entered in the U.S.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U.S. In addition to our internal credit and collection departments, we have a network of legal, accounting and collection professionals to assist us in our determinations regarding enforceability and our overall collection efforts.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309,500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236,642</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casino credit losses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44,197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34,676</w:t>
            </w: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increase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2025 and 2024, 55.9% and 40.3%, respectively, of our outstanding casino accounts receivable balance originated at our Macau Operations.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a 100 basis point change in the allowance for credit losses as a percentage of casino accounts receivable would change the provision for credit losses by approximately $3.1 million.</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and Intangible assets</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Contingency Estimates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provides estimated future cash flow information derived from our best estimates of repayments as of December 31, 2025, of our expected long-term indebtedness and related weighted average interest rates by expected maturity dates. However, we cannot predict the SOFR or HIBOR rates that will be in effect in the future. Actual rates will vary. The one-month SOFR and HIBOR rates as of December 31, 2025 of 3.87% and 3.07%, respectively, were used for all variable rate calculations in the table below.</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is presented in U.S. dollar equivalents as applicable.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1"/>
        </w:trPr>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2,830.0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1,350.0</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1,750.0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2,800.0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8,730.0</w:t>
            </w: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1,187.3</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639.9</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1,902.4</w:t>
            </w: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4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As of December 31, 2025, approximately 82% of our long-term debt was based on fixed rates. 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spacing w:after="0" w:line="17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Based on our outstanding borrowings as of December 31, 2025 and an interest rate swap on the Retail Term Loan, an assumed 100 basis point change in the variable rates would cause our annual interest expense to change by $19.0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currency delineated in Wynn Macau SA's Gaming Concession Contract with the government of Macau is the Macau pataca (see Item 1 - "Business - Regulation and Licensing - 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We expect most of the revenues and expenses for any casino that we operate in Macau will be denominated in Hong Kong dollars or Macau patacas; however, a significant portion of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w:t>
      </w:r>
    </w:p>
    <w:p>
      <w:pPr>
        <w:spacing w:after="0" w:line="17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a party to foreign currency swap agreements with the objective of managing foreign currency exchange rate risk associated with the outstanding U.S. dollar denominated WML Senior Notes. The foreign currency swaps exchange predetermined amounts of Hong Kong dollars for U.S. dollars at a contractual spot rate, and as of December 31, 2025, have an aggregate notional amount of $4.10 billion, and have maturities between October 2027 and August 2030. For additional information, refer to Item 8—"Financial Statements and Supplementary Data," Note 8, "Derivative Instruments."</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Based on our balances as of December 31, 2025 and after giving effect to our foreign currency swaps, an assumed 1% change in the U.S. dollar/Hong Kong dollar exchange rate would cause a foreign currency gain/loss of $4.3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8"/>
        </w:trPr>
        <w:tc>
          <w:tcPr>
            <w:tcW w:w="81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Balance Sheets</w:t>
            </w:r>
          </w:p>
        </w:tc>
        <w:tc>
          <w:tcPr>
            <w:tcW w:w="2140" w:type="dxa"/>
            <w:vAlign w:val="bottom"/>
            <w:gridSpan w:val="7"/>
          </w:tcPr>
          <w:p>
            <w:pPr>
              <w:spacing w:after="0"/>
              <w:rPr>
                <w:sz w:val="17"/>
                <w:szCs w:val="17"/>
                <w:color w:val="auto"/>
              </w:rPr>
            </w:pPr>
          </w:p>
        </w:tc>
        <w:tc>
          <w:tcPr>
            <w:tcW w:w="3980" w:type="dxa"/>
            <w:vAlign w:val="bottom"/>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61</w:t>
            </w:r>
          </w:p>
        </w:tc>
      </w:tr>
      <w:tr>
        <w:trPr>
          <w:trHeight w:val="20"/>
        </w:trPr>
        <w:tc>
          <w:tcPr>
            <w:tcW w:w="20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Income</w:t>
            </w:r>
          </w:p>
        </w:tc>
        <w:tc>
          <w:tcPr>
            <w:tcW w:w="5660" w:type="dxa"/>
            <w:vAlign w:val="bottom"/>
            <w:gridSpan w:val="7"/>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62</w:t>
            </w:r>
          </w:p>
        </w:tc>
      </w:tr>
      <w:tr>
        <w:trPr>
          <w:trHeight w:val="20"/>
        </w:trPr>
        <w:tc>
          <w:tcPr>
            <w:tcW w:w="2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Comprehensive Income</w:t>
            </w:r>
          </w:p>
        </w:tc>
        <w:tc>
          <w:tcPr>
            <w:tcW w:w="4520" w:type="dxa"/>
            <w:vAlign w:val="bottom"/>
            <w:gridSpan w:val="3"/>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4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Stockholders’ Deficit</w:t>
            </w:r>
          </w:p>
        </w:tc>
        <w:tc>
          <w:tcPr>
            <w:tcW w:w="160" w:type="dxa"/>
            <w:vAlign w:val="bottom"/>
          </w:tcPr>
          <w:p>
            <w:pPr>
              <w:spacing w:after="0"/>
              <w:rPr>
                <w:sz w:val="17"/>
                <w:szCs w:val="17"/>
                <w:color w:val="auto"/>
              </w:rPr>
            </w:pPr>
          </w:p>
        </w:tc>
        <w:tc>
          <w:tcPr>
            <w:tcW w:w="4520" w:type="dxa"/>
            <w:vAlign w:val="bottom"/>
            <w:gridSpan w:val="3"/>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64</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8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680" w:type="dxa"/>
            <w:vAlign w:val="bottom"/>
            <w:gridSpan w:val="2"/>
          </w:tcPr>
          <w:p>
            <w:pPr>
              <w:spacing w:after="0"/>
              <w:rPr>
                <w:sz w:val="17"/>
                <w:szCs w:val="17"/>
                <w:color w:val="auto"/>
              </w:rPr>
            </w:pPr>
          </w:p>
        </w:tc>
        <w:tc>
          <w:tcPr>
            <w:tcW w:w="4680" w:type="dxa"/>
            <w:vAlign w:val="bottom"/>
            <w:gridSpan w:val="4"/>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65</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66</w:t>
            </w:r>
          </w:p>
        </w:tc>
      </w:tr>
      <w:tr>
        <w:trPr>
          <w:trHeight w:val="20"/>
        </w:trPr>
        <w:tc>
          <w:tcPr>
            <w:tcW w:w="3060" w:type="dxa"/>
            <w:vAlign w:val="bottom"/>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Quarterly Consolidated Financial Information (Unaudited)</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111</w:t>
            </w:r>
          </w:p>
        </w:tc>
      </w:tr>
      <w:tr>
        <w:trPr>
          <w:trHeight w:val="20"/>
        </w:trPr>
        <w:tc>
          <w:tcPr>
            <w:tcW w:w="2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Wynn Resorts, Limited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2025, based on the COSO criteria.</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deficit and cash flows for each of the three years in the period ended December 31, 2025, and the related notes and financial statement schedule listed in the Index at Item 15(a)2 and our report dated March 2,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2025 and 2024, the related consolidated statements of income, comprehensive income, stockholders' deficit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Valuation of Deferred Tax Assets</w:t>
      </w:r>
    </w:p>
    <w:p>
      <w:pPr>
        <w:spacing w:after="0" w:line="43"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6"/>
          <w:szCs w:val="16"/>
          <w:color w:val="auto"/>
        </w:rPr>
        <w:t>As more fully described in Note 14 to the consolidated financial statements, at December 31, 2025, the Company had U.S. deferred tax</w:t>
      </w:r>
    </w:p>
    <w:p>
      <w:pPr>
        <w:spacing w:after="0" w:line="23" w:lineRule="exact"/>
        <w:rPr>
          <w:sz w:val="20"/>
          <w:szCs w:val="20"/>
          <w:color w:val="auto"/>
        </w:rPr>
      </w:pPr>
    </w:p>
    <w:p>
      <w:pPr>
        <w:jc w:val="both"/>
        <w:ind w:left="1660" w:hanging="1639"/>
        <w:spacing w:after="0" w:line="246" w:lineRule="auto"/>
        <w:tabs>
          <w:tab w:leader="none" w:pos="16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assets, including foreign tax credit carryforwards and other deferred tax assets, of $1.3 billion reduced by a $479.3 million valuation allowance. Deferred tax assets are reduced by a valuation allowance if, based on the weight of all available evidence, in management’s judgment it is more likely than not that some portion, or all, of the deferred tax assets will not be realized.</w:t>
      </w:r>
    </w:p>
    <w:p>
      <w:pPr>
        <w:spacing w:after="0" w:line="188" w:lineRule="exact"/>
        <w:rPr>
          <w:sz w:val="20"/>
          <w:szCs w:val="20"/>
          <w:color w:val="auto"/>
        </w:rPr>
      </w:pPr>
    </w:p>
    <w:p>
      <w:pPr>
        <w:jc w:val="both"/>
        <w:ind w:left="1660"/>
        <w:spacing w:after="0" w:line="250" w:lineRule="auto"/>
        <w:rPr>
          <w:sz w:val="20"/>
          <w:szCs w:val="20"/>
          <w:color w:val="auto"/>
        </w:rPr>
      </w:pPr>
      <w:r>
        <w:rPr>
          <w:rFonts w:ascii="Times New Roman" w:cs="Times New Roman" w:eastAsia="Times New Roman" w:hAnsi="Times New Roman"/>
          <w:sz w:val="18"/>
          <w:szCs w:val="18"/>
          <w:color w:val="auto"/>
        </w:rPr>
        <w:t>Auditing management’s assessment of the realizability of the Company’s deferred tax assets, including foreign tax credit carryforwards, involved complex judgments due to the significant estimation required in estimating the realizability of these deferred tax assets. The realizability of these deferred tax assets is affected by significant assumptions, including forecasted foreign-sourced income, intercompany transactions, and the execution of a tax planning strategy. Fluctuations in actual results from those forecasted can have a material impact on the measurement of deferred tax assets.</w:t>
      </w:r>
    </w:p>
    <w:p>
      <w:pPr>
        <w:spacing w:after="0" w:line="25"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controls over management’s process for</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evaluating the realization of the Company’s deferred tax assets, including controls over management’s review of its significant</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assumptions described above and identification and use of an available tax planning strategy.</w:t>
      </w:r>
    </w:p>
    <w:p>
      <w:pPr>
        <w:spacing w:after="0" w:line="196" w:lineRule="exact"/>
        <w:rPr>
          <w:sz w:val="20"/>
          <w:szCs w:val="20"/>
          <w:color w:val="auto"/>
        </w:rPr>
      </w:pPr>
    </w:p>
    <w:p>
      <w:pPr>
        <w:jc w:val="both"/>
        <w:ind w:left="1660"/>
        <w:spacing w:after="0" w:line="249" w:lineRule="auto"/>
        <w:rPr>
          <w:sz w:val="20"/>
          <w:szCs w:val="20"/>
          <w:color w:val="auto"/>
        </w:rPr>
      </w:pPr>
      <w:r>
        <w:rPr>
          <w:rFonts w:ascii="Times New Roman" w:cs="Times New Roman" w:eastAsia="Times New Roman" w:hAnsi="Times New Roman"/>
          <w:sz w:val="18"/>
          <w:szCs w:val="18"/>
          <w:color w:val="auto"/>
        </w:rPr>
        <w:t>To test the realizability of deferred tax assets, including foreign tax credit carryforwards,we performed audit procedures that included, among others, testing the significant assumptions described above and the underlying data used by the Company in its analysis. We compared the significant assumptions used by management to the Company’s business plans and current industry and economic trends and evaluated whether changes to the Company’s business plans, economic trends and other factors would affect the significant assumptions. We involved our tax professionals to evaluate the Company's application of tax law for the available tax planning strategy and the evaluation of the utilization of the deferred tax assets.</w:t>
      </w:r>
    </w:p>
    <w:p>
      <w:pPr>
        <w:spacing w:after="0" w:line="33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WYNN RESORTS, LIMITED AND SUBSIDIARIES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CONSOLIDATED BALANCE SHEETS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(in thousands, except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2,426,155</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$45,645 and $37,694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324,016</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95,725</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2,683,521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2,921,679</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6,625,922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6,521,283</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95,638</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1,778,052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1,797,276</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507,716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648,217</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274,907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231,555</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12,977,963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205,146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508,651</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Gaming taxes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171,983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229,305</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214,955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250,689</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1,643,178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1,539,534</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10,500,484</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1,629,117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1,623,890</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329,699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282,658</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14,139,396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13,946,566</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19)</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6"/>
                <w:szCs w:val="16"/>
                <w:color w:val="auto"/>
                <w:w w:val="99"/>
              </w:rPr>
              <w:t>Common stock, par value $0.01; 400,000,000 shares authorized; 134,326,464 and 133,584,126 shares issued; 103,989,787</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107,821,567 shares outstanding,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 30,336,677 and 25,762,599 shares,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(2,621,394)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(2,241,607)</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3,801,934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3,698,800</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(1,454,239)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(1,676,990)</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(275,492)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(224,161)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(755,787)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(744,442)</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(1,031,279)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(968,603)</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12,977,963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4,410,328</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4,261,357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3,718,402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1,185,671</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1,028,637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599,187</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7,137,924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7,127,961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2,238,671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307,132</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1,065,022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687,270</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6,019,540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5,995,230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5,691,726</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1,118,384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1,132,731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840,171</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(604,244)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(489,333)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(554,788)</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285,383</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496,834</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782,217</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501,078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0" w:type="dxa"/>
            <w:vAlign w:val="bottom"/>
          </w:tcPr>
          <w:p>
            <w:pPr>
              <w:spacing w:after="0"/>
              <w:rPr>
                <w:sz w:val="1"/>
                <w:szCs w:val="1"/>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782,217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787,514</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Wynn Resorts, Limited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491,972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733,804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Wynn Resorts,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202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Limited</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4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69"/>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January 1, 2023</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113,369,439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1,323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(1,623,872)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3,583,923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(2,711,808)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(750,838)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(889,527)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(1,640,365)</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729,994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729,994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52,223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782,217</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3,810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3,810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1,487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32,284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1,965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727,522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6,638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6,638</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(2,374,925)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held as treasury shares</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(22,578)</w:t>
            </w: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6,181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58,390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5,095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63,485</w:t>
            </w:r>
          </w:p>
        </w:tc>
        <w:tc>
          <w:tcPr>
            <w:tcW w:w="0" w:type="dxa"/>
            <w:vAlign w:val="bottom"/>
          </w:tcPr>
          <w:p>
            <w:pPr>
              <w:spacing w:after="0"/>
              <w:rPr>
                <w:sz w:val="1"/>
                <w:szCs w:val="1"/>
                <w:color w:val="auto"/>
              </w:rPr>
            </w:pPr>
          </w:p>
        </w:tc>
      </w:tr>
      <w:tr>
        <w:trPr>
          <w:trHeight w:val="159"/>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2023</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111,737,245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1,330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(1,836,326)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3,647,161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3,406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(2,066,953)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(251,382)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(849,552)</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(1,100,934)</w:t>
            </w:r>
          </w:p>
        </w:tc>
        <w:tc>
          <w:tcPr>
            <w:tcW w:w="0" w:type="dxa"/>
            <w:vAlign w:val="bottom"/>
          </w:tcPr>
          <w:p>
            <w:pPr>
              <w:spacing w:after="0"/>
              <w:rPr>
                <w:sz w:val="1"/>
                <w:szCs w:val="1"/>
                <w:color w:val="auto"/>
              </w:rPr>
            </w:pPr>
          </w:p>
        </w:tc>
      </w:tr>
      <w:tr>
        <w:trPr>
          <w:trHeight w:val="17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501,078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501,078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138,638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639,716</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(12,700)</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17,285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597,633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8,053</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(4,500,888)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(405,281)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(405,281)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(405,281)</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and held as treasury shares</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(111,115)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(111,115)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(139,894)</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(16,988)</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11,643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54,256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4,152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58,408</w:t>
            </w:r>
          </w:p>
        </w:tc>
        <w:tc>
          <w:tcPr>
            <w:tcW w:w="0" w:type="dxa"/>
            <w:vAlign w:val="bottom"/>
          </w:tcPr>
          <w:p>
            <w:pPr>
              <w:spacing w:after="0"/>
              <w:rPr>
                <w:sz w:val="1"/>
                <w:szCs w:val="1"/>
                <w:color w:val="auto"/>
              </w:rPr>
            </w:pPr>
          </w:p>
        </w:tc>
      </w:tr>
      <w:tr>
        <w:trPr>
          <w:trHeight w:val="170"/>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2024</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107,821,567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(2,241,607)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3,698,800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(1,676,990)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(224,161)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(744,442)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(968,603)</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327,334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327,334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81,801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409,135</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3,735</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6,700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760,715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7,922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7,922</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(4,574,118)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(379,787)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(379,787)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(379,787)</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held as treasury shares</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(175,926)</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(25,672)</w:t>
            </w: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1,356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93,406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4,054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97,460</w:t>
            </w:r>
          </w:p>
        </w:tc>
        <w:tc>
          <w:tcPr>
            <w:tcW w:w="0" w:type="dxa"/>
            <w:vAlign w:val="bottom"/>
          </w:tcPr>
          <w:p>
            <w:pPr>
              <w:spacing w:after="0"/>
              <w:rPr>
                <w:sz w:val="1"/>
                <w:szCs w:val="1"/>
                <w:color w:val="auto"/>
              </w:rPr>
            </w:pPr>
          </w:p>
        </w:tc>
      </w:tr>
      <w:tr>
        <w:trPr>
          <w:trHeight w:val="159"/>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2025</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103,989,787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1,343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(2,621,394)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3,801,934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(3,136)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(1,454,239)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(275,492)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(755,787)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(1,031,279)</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409,135</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639,716</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782,217</w:t>
            </w: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658,895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687,270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(502,784)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64,515</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39,532</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debt financing transactions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derivatives fair value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(45,098)</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94,490</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117,176</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cash from changes in: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6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Receivables,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(123,747)</w:t>
            </w: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Inventories, prepaid expenses and other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(6,025)</w:t>
            </w:r>
          </w:p>
        </w:tc>
      </w:tr>
      <w:tr>
        <w:trPr>
          <w:trHeight w:val="190"/>
        </w:trPr>
        <w:tc>
          <w:tcPr>
            <w:tcW w:w="6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Customer deposits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37,951</w:t>
            </w: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93,663</w:t>
            </w:r>
          </w:p>
        </w:tc>
      </w:tr>
      <w:tr>
        <w:trPr>
          <w:trHeight w:val="184"/>
        </w:trPr>
        <w:tc>
          <w:tcPr>
            <w:tcW w:w="68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1,352,653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1,426,203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1,247,879</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 expenditures, net of construction payables and retention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(442,793)</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(53,631)</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investments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(668,890)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(836,519)</w:t>
            </w:r>
          </w:p>
        </w:tc>
      </w:tr>
      <w:tr>
        <w:trPr>
          <w:trHeight w:val="218"/>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maturity of investments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intangible and other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assets and other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r>
      <w:tr>
        <w:trPr>
          <w:trHeight w:val="184"/>
        </w:trPr>
        <w:tc>
          <w:tcPr>
            <w:tcW w:w="68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(1,657,161)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(83,558)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(1,342,533)</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1,752,812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(1,763,125)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(1,533,124)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(212,455)</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(22,579)</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Dividends paid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(84,733)</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Finance lease payments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(41,240)</w:t>
            </w:r>
          </w:p>
        </w:tc>
      </w:tr>
      <w:tr>
        <w:trPr>
          <w:trHeight w:val="191"/>
        </w:trPr>
        <w:tc>
          <w:tcPr>
            <w:tcW w:w="6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(7,773)</w:t>
            </w:r>
          </w:p>
        </w:tc>
      </w:tr>
      <w:tr>
        <w:trPr>
          <w:trHeight w:val="197"/>
        </w:trPr>
        <w:tc>
          <w:tcPr>
            <w:tcW w:w="68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(653,300)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(1,793,794)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(719,206)</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on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r>
      <w:tr>
        <w:trPr>
          <w:trHeight w:val="20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(961,698)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(447,619)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(813,578)</w:t>
            </w:r>
          </w:p>
        </w:tc>
      </w:tr>
      <w:tr>
        <w:trPr>
          <w:trHeight w:val="204"/>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2,521,793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2,969,412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3,782,990</w:t>
            </w:r>
          </w:p>
        </w:tc>
      </w:tr>
      <w:tr>
        <w:trPr>
          <w:trHeight w:val="184"/>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1,560,095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2,521,793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2,969,412</w:t>
            </w:r>
          </w:p>
        </w:tc>
      </w:tr>
      <w:tr>
        <w:trPr>
          <w:trHeight w:val="26"/>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6"/>
          <w:szCs w:val="16"/>
          <w:b w:val="1"/>
          <w:bCs w:val="1"/>
          <w:color w:val="auto"/>
        </w:rPr>
        <w:t>Organization and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Additionally, the Company has a 40% equity interest in Island 3 AMI FZ-LLC ("Island 3"), an unconsolidated affiliate, which is constructing an integrated resort property ("Wynn Al Marjan Island") in Ras Al Khaimah, United Arab Emirates, currently expected to open in 2027.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Palace features a luxury hotel tower with 1,706 guest rooms, suites and villas, approximately 468,000 square feet of casino space, 12 food and beverage outlets, a food hall which includes a variety of stand-alone restaurants and other food offerings, approximately 37,000 square feet of meeting and convention space, approximately 109,000 square feet of retail space, public attractions including a performance lake, an immersive entertainment center, Western and Asian art displays, and a gondola ride offering convenient street-level access.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1,014 guest rooms and suites, approximately 294,000 square feet of casino space, 11 food and beverage outlets, approximately 31,000 square feet of meeting and convention space, approximately 75,900 square feet of retail space, a performance lake, a rotunda show and recreation and leisure facilities.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December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199,000 square feet of casino space, 35 food and beverage outlets, approximately 510,000 square feet of meeting and convention space, approximately 178,000 square feet of retail space (the majority of which is owned and operated under a joint venture of which the Company owns 50.1%), as well as two theaters, two nightclubs and a beach club and recreation and leisure facilities.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Encore Boston Harbor, an integrated resort in Everett, Massachusetts, adjacent to Boston along the Mystic River, features a luxury hotel tower with a total of 671 guest rooms and suites, approximately 215,000 square feet of casino space, 16 food and beverage outlets, one nightclub, approximately 71,000 square feet of meeting and convention space, and approximately 8,200 square feet of retail space. Public attractions include a waterfront park, floral displays, and water shuttle service to downtown Boston.</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December 2022, the Company sold certain real estate assets related to Encore Boston Harbor and concurrently entered into a lease agreement for the purpose of continuing to operate the Encore Boston Harbor integrated resort (the "EBH Transaction"). For more information on the EBH Transaction, see Note 16, "Leases."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2"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United States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19, "Retail Joint Venture." If the entity does not qualify for consolidation and the Company has significant influence over the operating and financial decisions of the entity, the Company accounts for the entity under the equity method. For more information on the Company's equity method investments, see </w:t>
      </w:r>
      <w:r>
        <w:rPr>
          <w:rFonts w:ascii="Times New Roman" w:cs="Times New Roman" w:eastAsia="Times New Roman" w:hAnsi="Times New Roman"/>
          <w:sz w:val="18"/>
          <w:szCs w:val="18"/>
          <w:i w:val="1"/>
          <w:iCs w:val="1"/>
          <w:color w:val="auto"/>
        </w:rPr>
        <w:t>Investments in Unconsolidated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Affiliates </w:t>
      </w:r>
      <w:r>
        <w:rPr>
          <w:rFonts w:ascii="Times New Roman" w:cs="Times New Roman" w:eastAsia="Times New Roman" w:hAnsi="Times New Roman"/>
          <w:sz w:val="18"/>
          <w:szCs w:val="18"/>
          <w:color w:val="auto"/>
        </w:rPr>
        <w:t>below. All significant intercompany accounts and transactions have been eliminated. Certain amounts in the consolidated balance sheet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have been reclassified to be consistent with the current period presentation. These reclassifications had no effect on previously reported total assets, total liabilities and total stockholders' deficit.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2"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42"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cash held in a trust in accordance with WML's share award plan, and an amount held in the form of a first demand bank guarantee in favor of the Macau government to support Wynn Macau SA's legal and contractual obligations under the Gaming Concession Contract.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Company's investments include financial assets in the form of interest-bearing fixed deposits with original maturities of greater than three months, which are recorded at fair value (see Note 10, "Fair Value Measurements"), and debt securities in the form of U.S. treasuries.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as a separate component of other comprehensive income. Premiums and discounts on debt securities are amortized or accreted into interest income using the effective interest method. All of the Company’s debt securities are classified as held-to-maturity.</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the Company held $475.0 million in fixed deposits, recorded at fair value within Investments, and $127.3 million and $67.6 million in U.S. treasuries (including accrued interest), recorded at amortized cost within Investments and Long-term investments, respectively, in the Consolidated Balance Sheets. The estimated fair value of the Company's U.S. treasuries as of December 31, 2025 was approximately $194.4 million, as determined based on quoted market prices in active markets (Level 1 inputs), and the unrecognized holding loss was $0.5 million.</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proceeds of $300.0 million upon the maturity of its investments in U.S. treasuries and $550.0 million upon the maturity of its investments in fixed deposits. The Company held no investments as of December 31,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years ended December 31, 2025 and 2024, the Company recorded no allowance for credit losses related to its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42" w:lineRule="exact"/>
        <w:rPr>
          <w:sz w:val="20"/>
          <w:szCs w:val="20"/>
          <w:color w:val="auto"/>
        </w:rPr>
      </w:pPr>
    </w:p>
    <w:p>
      <w:pPr>
        <w:ind w:right="2420" w:firstLine="395"/>
        <w:spacing w:after="0" w:line="268" w:lineRule="auto"/>
        <w:rPr>
          <w:sz w:val="20"/>
          <w:szCs w:val="20"/>
          <w:color w:val="auto"/>
        </w:rPr>
      </w:pPr>
      <w:r>
        <w:rPr>
          <w:rFonts w:ascii="Times New Roman" w:cs="Times New Roman" w:eastAsia="Times New Roman" w:hAnsi="Times New Roman"/>
          <w:sz w:val="18"/>
          <w:szCs w:val="18"/>
          <w:color w:val="auto"/>
        </w:rPr>
        <w:t>Purchases of property and equipment are stated at cost, and when placed into service, are depreciated over the estimated useful lives of the assets using the straight-line method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46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4"/>
        </w:trPr>
        <w:tc>
          <w:tcPr>
            <w:tcW w:w="658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3 - 20</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expense in the accompanying Consolidated Statements of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and interest cost associated with equity method investments incurred during the investee's initial development period, is capitalized and included in the cost of the project or investment in unconsolidated affiliates balance.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$49.7 million, $23.0 million, and $5.8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was capitalized for the years ended December 31, 2025, 2024, and 2023, respectively, including $46.4 million and $21.7 million related to equity method investments for the years ended December 31,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intangible assets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the lessee under non-cancelable real estate and equipment leases. The Company determines if an arrangement is or contains a lease at inception or modification of the arrangement. An arrangement is or contains a lease if 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spacing w:after="0" w:line="21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 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is the lessor under non-cancelable operating leases for retail and food and beverage outlet space at its integrated resorts, which represents approximately 105,000, 74,000, 198,000, and 52,000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ten years. The Company records revenue on a straight-line basis over the term of the lease, and recognizes revenue for contingent rentals when the contingency has been resolved. The Company has elected to combine lease and nonlease components for the purpose of measuring lease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accounts for its investment in Island 3 and affiliated ventures (the "Al Marjan Joint Venture") using the equity method. Under the equity method, the investment's carrying value is adjusted for the Company’s share of the investee's earnings and losses, capital contributions to and distributions from this company, and capitalization of interest cost incurred by the Company during the investee's initial development period. As of December 31, 2025 and 2024, the Company’s investment in the Al Marjan Joint Venture was $948.2 million and $648.2 million, respectively, recorded in Investments in unconsolidated affiliates in the accompanying Consolidated Balance Sheets.</w:t>
      </w:r>
    </w:p>
    <w:p>
      <w:pPr>
        <w:spacing w:after="0" w:line="2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Company records its share of income and loss on investments in unconsolidated affiliates as a component of Operating income within the Company's accompanying Consolidated Statements of Income, as the Company’s investments in unconsolidated affiliates are an extension of the Company's core business operations. The Company recognized a loss on investments in unconsolidated affiliates of $29.0 million, $6.1 million and $2.4 million during the years ended December 31, 2025, 2024 and 2023, respectively, recorded in Pre-opening expenses within the Company's accompanying Consolidated Statements of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4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other assets on the Consolidated Balance Sheets. All other debt issuance costs are presented as a direct reduction of long-term debt on the Consolidated Balance Sheets. Approximately $39.9 million, $39.3 million, and $39.5 million was amortized to interest expense during the years ended December 31, 2025,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enters into interest rate protection and foreign currency swap agreements to manage interest rate exposure and foreign currency exchange rate risk, respectively, on certain debt. The fair value of such agreements is recognized as a net asset or liability at each balance sheet date, with changes in fair value recorded in earnings as these agreements do not qualify for hedge accounting. See Note 7, "Long-Term Debt" and Note 8, "Derivative Instruments" for additional information.</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8, "Derivative Instruments" for accounting policy disclosures relating to the WML Convertible Bond Conversion Option Derivative and Foreign Currency Swaps (as defined therein).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revenue from contracts with customers primarily consists of casino wagers and sales of rooms, food and beverage, entertainment, retail and other goods and services.</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Income.</w:t>
      </w:r>
    </w:p>
    <w:p>
      <w:pPr>
        <w:spacing w:after="0" w:line="20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10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Income. These taxes totaled $1.91 billion, $1.83 billion, and $1.57 billion for the years ended December 31, 2025, 2024, and 2023,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cost of advertising is expensed as incurred, and totaled $48.8 million, $50.9 million, and $112.6 million for the years ended December 31, 2025,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Pre-opening expenses represent personnel, advertising, and other costs incurred prior to the opening of new ventures and are expensed as incurred. During the years ended December 31, 2025 and December 31, 2024, pre-opening expenses primarily included the Company's share of net losses from the Al Marjan Joint Venture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year ended December 31, 2023, the Company incurred pre-opening expenses primarily in connection with the launch of sports betting operations in Massachusetts.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1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the Company will recognize accrued penalties and interest related to unrecognized tax benefits in the provision for income taxes.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42"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Gains or losses from foreign currency remeasurements are included in Other income (expense) in the accompanying Consolidated Statements of Income.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and Accumulated Other Comprehensive Income (Loss)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Comprehensive income includes net income and all other non-stockholder changes in equity or other comprehensive income. Components of the Company's comprehensive income are reported in the accompanying Consolidated Statements of Stockholders' Deficit and Consolidated Statements of Comprehensive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08"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Observable inputs such as quoted prices in active markets.</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little or no market data exists, therefore requiring an entity to develop its own assumptions.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2" w:lineRule="exact"/>
        <w:rPr>
          <w:sz w:val="20"/>
          <w:szCs w:val="20"/>
          <w:color w:val="auto"/>
        </w:rPr>
      </w:pPr>
    </w:p>
    <w:p>
      <w:pPr>
        <w:jc w:val="both"/>
        <w:ind w:firstLine="434"/>
        <w:spacing w:after="0" w:line="280" w:lineRule="auto"/>
        <w:rPr>
          <w:sz w:val="20"/>
          <w:szCs w:val="20"/>
          <w:color w:val="auto"/>
        </w:rPr>
      </w:pPr>
      <w:r>
        <w:rPr>
          <w:rFonts w:ascii="Times New Roman" w:cs="Times New Roman" w:eastAsia="Times New Roman" w:hAnsi="Times New Roman"/>
          <w:sz w:val="16"/>
          <w:szCs w:val="16"/>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based on the estimated fair value of the award using the Monte Carlo simulation approach for performance share units,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WRL Omnibus Plan (as defined and discussed in Note 13, "Stock-Based Compensation") and the Hong Kong Exchange Fund rates for stock options issued under the WML Share Option Plan (as defined in Note 13,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WRL Omnibus Plan and WML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13,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0"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(the "FASB") issued Accounting Standards Update ("ASU")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(Subtopic 220-40) </w:t>
      </w:r>
      <w:r>
        <w:rPr>
          <w:rFonts w:ascii="Times New Roman" w:cs="Times New Roman" w:eastAsia="Times New Roman" w:hAnsi="Times New Roman"/>
          <w:sz w:val="18"/>
          <w:szCs w:val="18"/>
          <w:color w:val="auto"/>
        </w:rPr>
        <w:t>("ASU 2024-03"). The standard provides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disclosures related to the disaggregation of income statement expenses. The standard specifically requires additional disclosure of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adoption of ASU 2024-03 will result in additional disclosures and is not expected to have an impact on the Company’s financial condition, results of operations and cash flows.</w:t>
      </w:r>
    </w:p>
    <w:p>
      <w:pPr>
        <w:spacing w:after="0" w:line="213"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for estimating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ASU 2025-05 will be effective for annual periods beginning after December 15, 2025, and interim periods within those annual reporting periods and should be applied prospectively. The Company is currently evaluating the impact that this guidance will have on the Company's consolidated financial statements and related disclosures.</w:t>
      </w:r>
    </w:p>
    <w:p>
      <w:pPr>
        <w:spacing w:after="0" w:line="212"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 — Goodwill and Other — Internal-Use Software (Subtopic 350-40)</w:t>
      </w:r>
      <w:r>
        <w:rPr>
          <w:rFonts w:ascii="Times New Roman" w:cs="Times New Roman" w:eastAsia="Times New Roman" w:hAnsi="Times New Roman"/>
          <w:sz w:val="16"/>
          <w:szCs w:val="16"/>
          <w:color w:val="auto"/>
        </w:rPr>
        <w:t xml:space="preserve"> ("ASU 2025-06"), which revises the approach to accounting for internal-use software costs by eliminating all references to the stages of software development projects, thereby making the guidance adaptable to a variety of software development methodologies. ASU 2025-06 will be effective for annual periods beginning after December 15, 2027, and interim periods within those annual reporting periods, on a prospective, modified or retrospective basis, with early adoption permitted. The Company is currently evaluating the impact that this guidance will have on the Company's consolidated financial statements and related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Restricted Cash</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1,297,417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1,639,151</w:t>
            </w:r>
          </w:p>
        </w:tc>
      </w:tr>
      <w:tr>
        <w:trPr>
          <w:trHeight w:val="224"/>
        </w:trPr>
        <w:tc>
          <w:tcPr>
            <w:tcW w:w="82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787,004</w:t>
            </w:r>
          </w:p>
        </w:tc>
      </w:tr>
      <w:tr>
        <w:trPr>
          <w:trHeight w:val="217"/>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1,463,442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2,426,155</w:t>
            </w:r>
          </w:p>
        </w:tc>
      </w:tr>
      <w:tr>
        <w:trPr>
          <w:trHeight w:val="224"/>
        </w:trPr>
        <w:tc>
          <w:tcPr>
            <w:tcW w:w="82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2"/>
                <w:szCs w:val="22"/>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95,638</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1,560,095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2,521,793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U.S. government treasuries and money market funds, which excludes $601.8 million of short-term investments described in Note 2 - "Basis of Presentation and Significant Accounting Policies."</w:t>
      </w:r>
    </w:p>
    <w:p>
      <w:pPr>
        <w:spacing w:after="0" w:line="1" w:lineRule="exact"/>
        <w:rPr>
          <w:rFonts w:ascii="Times New Roman" w:cs="Times New Roman" w:eastAsia="Times New Roman" w:hAnsi="Times New Roman"/>
          <w:sz w:val="14"/>
          <w:szCs w:val="14"/>
          <w:color w:val="auto"/>
        </w:rPr>
      </w:pPr>
    </w:p>
    <w:p>
      <w:pPr>
        <w:jc w:val="both"/>
        <w:ind w:left="320" w:hanging="315"/>
        <w:spacing w:after="0" w:line="262"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a trust in accordance with WML's share award plan, and as of December 31, 2025 and 2024 includes $87.3 million and $87.5 million, respectively, in the form of a first demand bank guarantee in favor of the Macau government to support Wynn Macau SA's legal and contractual obligations through the term of the Gaming Concession Contract.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disclose the supplemental cash flow disclosures of the Company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688,350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101,729</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arising from obtaining property and equipment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liabilities related to intangible assets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209,410</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settlement of liabilities in connection with an asset sale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0" w:lineRule="exact"/>
        <w:rPr>
          <w:sz w:val="20"/>
          <w:szCs w:val="20"/>
          <w:color w:val="auto"/>
        </w:rPr>
      </w:pPr>
    </w:p>
    <w:p>
      <w:pPr>
        <w:ind w:left="320" w:hanging="315"/>
        <w:spacing w:after="0" w:line="268" w:lineRule="auto"/>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included $206.5 million related to the Macau gaming premium in connection with the Gaming Concession Contract. See Note 6, "Intangible Assets, net" for further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net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45,996</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79,072</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448,286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361,710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402,641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324,016</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and 2024, approximately 77.5% and 70.9%, respectively, of the Company's markers were due from customers residing outside the U.S., primarily in Asia. Business or economic conditions or other significant events in the countries in which the Company's customers reside could affect the collectability of such receivables.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allowance for casino credit losses was 14.3% and 14.7% of gross casino receivables as of December 31, 2025 and 2024,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Although the Company believes that its allowance is adequate, it is possible the estimated amounts of cash collections with respect to receivables could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allowances for credit losses from its hotel and other receivables were not material.</w:t>
      </w:r>
    </w:p>
    <w:p>
      <w:pPr>
        <w:spacing w:after="0" w:line="223"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Borders>
              <w:bottom w:val="single" w:sz="8" w:color="CCEEFF"/>
            </w:tcBorders>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7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0" w:type="dxa"/>
            <w:vAlign w:val="bottom"/>
          </w:tcPr>
          <w:p>
            <w:pPr>
              <w:spacing w:after="0"/>
              <w:rPr>
                <w:sz w:val="1"/>
                <w:szCs w:val="1"/>
                <w:color w:val="auto"/>
              </w:rPr>
            </w:pPr>
          </w:p>
        </w:tc>
      </w:tr>
      <w:tr>
        <w:trPr>
          <w:trHeight w:val="224"/>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3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24"/>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written-off</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37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72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45,645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720" w:type="dxa"/>
            <w:vAlign w:val="bottom"/>
            <w:vMerge w:val="restart"/>
          </w:tcPr>
          <w:p>
            <w:pPr>
              <w:jc w:val="right"/>
              <w:ind w:right="2452"/>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4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8,708,210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8,547,922</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1,210,455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3,424,361</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287,436</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14,135,796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13,580,797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(7,059,514)</w:t>
            </w:r>
          </w:p>
        </w:tc>
      </w:t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6,625,922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6,521,283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and 2024, construction in progress consisted primarily of costs capitalized for various capital enhancements at the Company's properties. During the year ended December 31, 2024, the Company expensed $61.5 million of project costs related to a discontinued development project, inclusive of $4.7 million of internally allocated overhead, that had been previously capitalized. The expense was recorded in Property charges and other expenses in the accompanying Consolidated Statements of Income for the year ended December 31, 2024.</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$568.5 million, $601.4 million, and $625.0 million,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 Property Transfer Agreements</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 Pursuant to the Gaming Concession Contract, Wynn Macau SA will revert to the Macau government the casino areas and gaming equipment, without compensation and free of encumbrance, upon the rescission or termination of the gaming concession on December 31, 2032.</w:t>
      </w:r>
    </w:p>
    <w:p>
      <w:pPr>
        <w:spacing w:after="0" w:line="219"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In exchange for the use of casino areas and gaming equipment in the operations of games of chance at Wynn Macau and Wynn Palace under the Property Transfer Agreements, Wynn Macau SA has agreed to pay the Macau government an annual amount of MOP53.1 million (approximately $6.6 million) in the year ending December 31, 2023, subject to adjustment in each year based on the average price index in Macau for the years ending December 31, 2024, and 2025, and an annual amount of MOP177.0 million (approximately $22.1 million) in the year ending December 31, 2026, subject to adjustment annually based on the average price index in Macau for each of the remaining years of the term of the Gaming Concession Contract through December 31, 2032.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Macau gaming concession</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(42,126)</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168,504</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(43,331)</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74,369</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3,329</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215,845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246,202</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rights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17"/>
        </w:trPr>
        <w:tc>
          <w:tcPr>
            <w:tcW w:w="20" w:type="dxa"/>
            <w:vAlign w:val="bottom"/>
          </w:tcPr>
          <w:p>
            <w:pPr>
              <w:spacing w:after="0"/>
              <w:rPr>
                <w:sz w:val="18"/>
                <w:szCs w:val="18"/>
                <w:color w:val="auto"/>
              </w:rPr>
            </w:pPr>
          </w:p>
        </w:tc>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r>
      <w:tr>
        <w:trPr>
          <w:trHeight w:val="243"/>
        </w:trPr>
        <w:tc>
          <w:tcPr>
            <w:tcW w:w="20" w:type="dxa"/>
            <w:vAlign w:val="bottom"/>
          </w:tcPr>
          <w:p>
            <w:pPr>
              <w:spacing w:after="0"/>
              <w:rPr>
                <w:sz w:val="21"/>
                <w:szCs w:val="21"/>
                <w:color w:val="auto"/>
              </w:rPr>
            </w:pPr>
          </w:p>
        </w:tc>
        <w:tc>
          <w:tcPr>
            <w:tcW w:w="8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42"/>
        </w:trPr>
        <w:tc>
          <w:tcPr>
            <w:tcW w:w="20" w:type="dxa"/>
            <w:vAlign w:val="bottom"/>
          </w:tcPr>
          <w:p>
            <w:pPr>
              <w:spacing w:after="0"/>
              <w:rPr>
                <w:sz w:val="20"/>
                <w:szCs w:val="20"/>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254,599</w:t>
            </w: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Massachusetts Finite-Lived Intangible Assets</w:t>
      </w:r>
    </w:p>
    <w:p>
      <w:pPr>
        <w:spacing w:after="0" w:line="242" w:lineRule="exact"/>
        <w:rPr>
          <w:sz w:val="20"/>
          <w:szCs w:val="20"/>
          <w:color w:val="auto"/>
        </w:rPr>
      </w:pPr>
    </w:p>
    <w:p>
      <w:pPr>
        <w:jc w:val="both"/>
        <w:ind w:left="20" w:firstLine="395"/>
        <w:spacing w:after="0" w:line="268" w:lineRule="auto"/>
        <w:rPr>
          <w:sz w:val="20"/>
          <w:szCs w:val="20"/>
          <w:color w:val="auto"/>
        </w:rPr>
      </w:pPr>
      <w:r>
        <w:rPr>
          <w:rFonts w:ascii="Times New Roman" w:cs="Times New Roman" w:eastAsia="Times New Roman" w:hAnsi="Times New Roman"/>
          <w:sz w:val="18"/>
          <w:szCs w:val="18"/>
          <w:color w:val="auto"/>
        </w:rPr>
        <w:t>The Massachusetts gaming license is a finite-lived intangible asset that is being amortized over the 15 year life of the license. The Company expects that amortization of the Massachusetts gaming license will be $7.8 million each year from 2026 through 2033, and $3.7 million in 2034.</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jc w:val="both"/>
        <w:ind w:left="20" w:firstLine="395"/>
        <w:spacing w:after="0" w:line="247" w:lineRule="auto"/>
        <w:rPr>
          <w:sz w:val="20"/>
          <w:szCs w:val="20"/>
          <w:color w:val="auto"/>
        </w:rPr>
      </w:pPr>
      <w:r>
        <w:rPr>
          <w:rFonts w:ascii="Times New Roman" w:cs="Times New Roman" w:eastAsia="Times New Roman" w:hAnsi="Times New Roman"/>
          <w:sz w:val="18"/>
          <w:szCs w:val="18"/>
          <w:color w:val="auto"/>
        </w:rPr>
        <w:t>On January 1, 2023, the Company recognized an intangible asset and financial liability of MOP1.68 billion (approximately $209.6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Property Transfer Agreements (as described in Note 5, "Property and Equipment, net"). The contractually obligated annual variable premium payments associated with the intangible asset were determined using the total number of gaming tables and gaming machines that Wynn Macau SA is currently approved to operate by the Macau government. In the accompanying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$21.0 million each year from 2026 to 2032.</w:t>
      </w:r>
    </w:p>
    <w:p>
      <w:pPr>
        <w:spacing w:after="0" w:line="215" w:lineRule="exact"/>
        <w:rPr>
          <w:sz w:val="20"/>
          <w:szCs w:val="20"/>
          <w:color w:val="auto"/>
        </w:rPr>
      </w:pPr>
    </w:p>
    <w:p>
      <w:pPr>
        <w:jc w:val="both"/>
        <w:ind w:left="2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Company expects to pay fixed and variable premium payment amounts of $14.5 million in each of the years ending December 31, 2026, 2027, 2028, 2029, and 2030, and an aggregate amount of $30.0 million thereafter through December 31,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WM Cayman II Revolver, due 2028</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1,149,597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1,151,874</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6 3/4% Senior Notes, due 2034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WML 4 1/2% Convertible Bonds, due 2029</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63"/>
        </w:trPr>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WRF Credit Facilities</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WRF Term Loan, due 2027</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763,125</w:t>
            </w:r>
          </w:p>
        </w:tc>
      </w:tr>
      <w:tr>
        <w:trPr>
          <w:trHeight w:val="224"/>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WRF Term Loan, due 2030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6 1/4% Senior Notes, due 2033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4"/>
        </w:trPr>
        <w:tc>
          <w:tcPr>
            <w:tcW w:w="826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Retail Term Loan, due 2027</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10,632,410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10,644,999</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(136,272)</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10,546,812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10,541,734</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10,537,402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10,500,484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320" w:hanging="315"/>
        <w:spacing w:after="0" w:line="254"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$910.5 million of the WM Cayman II Revolver bears interest at a rate of Term SOFR plus 1.975% per year and HIBOR plus 1.875% per year, respectively. As of December 31, 2025 and 2024, the weighted average interest rate was approximately 5.10% and 6.43%, respectively. As of December 31, 2025, the available borrowing capacity under the WM Cayman II Revolver was $1.36 billion.</w:t>
      </w:r>
    </w:p>
    <w:p>
      <w:pPr>
        <w:spacing w:after="0" w:line="2" w:lineRule="exact"/>
        <w:rPr>
          <w:rFonts w:ascii="Times New Roman" w:cs="Times New Roman" w:eastAsia="Times New Roman" w:hAnsi="Times New Roman"/>
          <w:sz w:val="14"/>
          <w:szCs w:val="14"/>
          <w:color w:val="auto"/>
        </w:rPr>
      </w:pPr>
    </w:p>
    <w:p>
      <w:pPr>
        <w:jc w:val="both"/>
        <w:ind w:left="320" w:hanging="315"/>
        <w:spacing w:after="0" w:line="248"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net carrying amount of the WML Convertible Bonds was $519.2 million, with unamortized debt discount and debt issuance costs of $80.8 million. The Company recorded contractual interest expense of $27.0 million, $27.0 million, and $22.1 million and amortization of discounts and issuance costs of $20.8 million, $18.9 million, and $14.2 million during the years ended December 31, 2025, 2024, and 2023.</w:t>
      </w:r>
    </w:p>
    <w:p>
      <w:pPr>
        <w:ind w:left="320" w:hanging="315"/>
        <w:spacing w:after="0" w:line="255"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Term SOFR plus 1.75% per year. As of December 31, 2025 and 2024, the weighted average interest rate was approximately 5.47% and 6.21%, respectively. Additionally, as of December 31, 2025, the available borrowing capacity under the WRF Revolver was $1.23 billion, net of $14.3 million in outstanding letters of credit.</w:t>
      </w:r>
    </w:p>
    <w:p>
      <w:pPr>
        <w:ind w:left="320" w:hanging="315"/>
        <w:spacing w:after="0" w:line="250"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the Retail Term Loan bore interest at a rate of adjusted daily simple secured overnight financing rate ("SOFR") plus 2.15% and had an effective interest rate of 5.54%.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 Cayman II Revolver</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September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a U.S. dollar tranche in an amount of $312.5 million ("Facility A") and a Hong Kong dollar tranche ("Facility B")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 (the "Accordion Feature").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Pursuant to the Facility Agreement, as amended in May 2022, June 2023 and September 2024 (the "Amended and Restated Facility Agreement"), loans provided under Facility A bear interest at a variable rate per annum equal to: (a) Term SOFR, plus a credit adjustment spread of 0.10% (subject to a minimum floor of 0.00%), plus (b) a margin of 1.875% to 2.875% based on the consolidated leverage ratio of WM Cayman II and its subsidiaries (as calculated pursuant to the Amended and Restated Facility Agreement), and loans provided under Facility B bear interest at a variable rate per annum equal to: (i) HIBOR plus (ii) a margin of 1.875% to 2.875% based on the consolidated leverage ratio of WM Cayman II and its subsidiaries (as calculated pursuant to the Amended and Restated Facility Agreement). Loans outstanding under the WM Cayman II Revolver have a maturity date of September 16, 2028, or the immediately preceding business day if September 16, 2028 is not a business day.</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July 2025, WM Cayman II increased borrowing capacity under the WM Cayman II Revolver by an additional aggregate amount of $1.00 billion equivalent through the exercise of the Accordion Feature under the Amended and Restated Facility Agreement. As a result, the total committed amount of the WM Cayman II Revolver has increased to $2.50 billion equivalent. In connection with the exercise of the accordion feature on the WM Cayman II Revolver, the Company recorded debt issuance costs of $11.6 million within the Consolidated Balance Sheet as of December 31, 2025.</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Convertible Bonds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March 2023, WML completed an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w:t>
      </w:r>
    </w:p>
    <w:p>
      <w:pPr>
        <w:spacing w:after="0" w:line="18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$1.32)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As of December 31, 2025, the adjusted conversion price was HK$9.39 (equivalent to approximately $1.21) per share as a result of dividend payments made by WML through December 31, 2025.</w:t>
      </w:r>
    </w:p>
    <w:p>
      <w:pPr>
        <w:spacing w:after="0" w:line="21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Holders of the WML Convertible Bonds have the option to require WML to redeem all or some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("HKSE"), or if applicable, the alternative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exchange, (b) when there is a Change of Control (as defined in the Terms and Conditions), or (c) when less than 25% of WML’s total number of issued Ordinary Shares are held by the public (as interpreted under Rule 8.24 of the Rules Governing the Listing of Securities on the HKSE).</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determined that the conversion feature contained within the WML Convertible Bonds is required to be bifurcated from the debt host contract and accounted for as a free-standing derivative (the "WML Convertible Bond Conversion Option Derivative") recorded within Long-term debt within the accompanying Consolidated Balance Sheet. In accordance with applicable accounting standards, the WML Convertible Bond Conversion Option Derivative is reported at fair value as of the end of each reporting period, with changes recognized in the statements of income. For more information, see Note 8 - "Derivative Instruments."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Senior Notes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August 2025, WML issued $1.00 billion aggregate principal amount of 6 3/4% Senior Notes due 2034 (the "2034 WML Senior Notes") pursuant to an indenture between WML and Deutsche Bank Trust Company Americas, as trustee. The 2034 WML Senior Notes were issued at par for proceeds of $989.0 million, net of $11.0 million of related fees and expenses. In connection with the issuance of the 2034 WML Senior Notes, the Company recorded debt issuance costs of $11.0 million within the Consolidated Balance Sheet.</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September 2025, in accordance with the terms and conditions of the WML 5 1/2% Senior Notes due 2026 ("2026 WML Senior Notes") indenture, WML used the net proceeds from the 2034 WML Senior Notes, along with cash on hand, to redeem in full the outstanding $1.00 billion aggregate principal amount of 2026 WML Senior Notes at a price equal to 100% of the principal amount.</w:t>
      </w:r>
    </w:p>
    <w:p>
      <w:pPr>
        <w:spacing w:after="0" w:line="2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WML 5 1/2% Senior Notes due 2027, WML 5 5/8% Senior Notes due 2028, WML 5 1/8% Senior Notes due 2029 and 2034 WML Senior Notes (collectively, the "WML Senior Notes") bear interest at each of their respective interest rates and interest is payable semi-annually. 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are subject to restrictions on transferability and resale.</w:t>
      </w:r>
    </w:p>
    <w:p>
      <w:pPr>
        <w:spacing w:after="0" w:line="2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Upon the occurrence of (a) any event after which none of WML or any subsidiary of WML has the applicable gaming concessions or authorizations in Macau in substantially the same manner and scope as WML and its subsidiaries are entitled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 Change of Control (as defined in the WML Senior Notes Indentures), it must offer to repurchase the WML Senior Notes at a price equal to 101% of the aggregate principal amount thereof, plus accrued and unpaid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Corporate Related Debt</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WRF Credit Facilities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2019, Wynn Resorts Finance, LLC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May 2023 and September 2024, WRF and certain of its subsidiaries amended the WRF Credit Agreement (the "WRF Facility Amendments" and together the "2024 WRF Credit Agreement"). Following the WRF Facility Amendments, the aggregate principal amount of revolving commitments under the WRF Revolver was reduced from $850.0 million to $750.0 million and the stated maturity date of term loan and revolving commitments was extended from September 20, 2024 to September 20, 2027.</w:t>
      </w:r>
    </w:p>
    <w:p>
      <w:pPr>
        <w:spacing w:after="0" w:line="21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June 2025, WRF and certain of its subsidiaries amended the 2024 WRF Credit Agreement (the "2025 WRF Facility Amendment" and together the "2025 WRF Credit Agreement") to (i) extend the final maturity date with respect to all or a portion of the term loan commitments from September 20, 2027 to June 12, 2030, (ii) extend the termination date with respect to all or a portion of the existing revolving commitments and the maturity date with respect to the corresponding revolving loans from September 20, 2027 to June 12, 2030, and (iii) allow for $500.0 million of incremental extended revolving commitments with a stated maturity date of June 12, 2030. In addition, mandatory quarterly repayments on the outstanding term loans were extended, with quarterly repayments of $4.7 million due beginning in September 2026, increasing to $9.4 million each quarter beginning in September 2027. In connection with the 2025 WRF Facility Amendment, the Company recognized a loss on debt financing transactions of $1.1 million within the accompanying Consolidated Statement of Income for the year ended December 31, 2025, and the Company recorded debt issuance costs of $5.9 million within the Consolidated Balance Sheet as of December 31, 2025.</w:t>
      </w:r>
    </w:p>
    <w:p>
      <w:pPr>
        <w:spacing w:after="0" w:line="21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Subject to certain exceptions, the WRF Credit Facilities bear interest at Term SOFR plus 1.75% per annum. The annual fee required to pay for unborrowed amounts under the WRF Revolver, if any, is 0.25% per annum.</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2025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2025 WRF Credit Agreement. The Consolidated Senior Secured Net Leverage Ratio is not to exceed 3.75 to 1.00.</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April 2020, WRF and its subsidiary Wynn Resorts Capital Corp. (collectively with WRF, the "WRF Issuers"), each an indirect wholly owned subsidiary of the Company, issued $750.0 million aggregate principal amount of 5 1/8% Senior Notes due 2029 (the "2029 WRF Senior Notes").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February 2023, the WRF Issuers issued $600.0 million aggregate principal amount of 7 1/8% Senior Notes due 2031 (the "2031 WRF Senior Notes") in a private offering. The 2031 WRF Senior Notes were issued at par, for net proceeds of $596.2 million, which were used to repurchase WRF senior notes outstanding at that time.</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February 2024, the WRF Issuers issued an additional $400.0 million aggregate principal amount of 7 1/8% Senior Notes due 2031 (the "2031 WRF Add-On Senior Notes"), and collectively with the 7 1/8% Senior Notes due 2031 (the "2031 WRF Senior Notes"). The 2031 WRF Add-On Senior Notes were issued at a price equal to 103.00% of the principal amount plus accrued interest, resulting in net proceeds of $409.5 million.</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September 2024, the WRF Issuers issued $800.0 million aggregate principal amount of 6 1/4% Senior Notes due 2033 (the "2033 WRF Senior Notes") in a private offering exempt from the registration requirements of the Securities Act, as amended. The 2033 WRF Senior Notes were issued at par, for net proceeds of $795.0 million.</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2029 WRF Senior Notes, the 2031 WRF Senior Notes and the 2033 WRF Senior Notes (collectively 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18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U.S. to, or for the account or benefit of, any U.S. person unless the offer or sale would qualify for a registration exemption from the Securities Act and applicable state securities laws.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Las Vegas, LLC and Wynn Las Vegas Capital Corp. ("Capital Corp." and together with Wynn Las Vegas, LLC, the "Issuers") issued $900.0 million 5 1/4% Senior Notes due 2027 (the "2027 WLV Senior Notes") pursuant to an indenture dated May 11, 2017 (the "2027 Indenture"), among the Issuers, the WLV Guarantors (as defined below) and the Trustee.</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2018, Wynn Resorts purchased $20.0 million principal amount of 2027 WLV Senior Notes through open market purchases. As of December 31, 2025, Wynn Resorts holds the 2027 WLV Senior Notes and has not contributed it to its wholly owned subsidiary, WLV.</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2027 WLV Senior Notes are the WLV Issuers' senior unsecured obligations and each rank pari passu in right of payment. The 2027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2027 WLV Senior Notes will be released.</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2027 WLV Senior Notes are jointly and severally guaranteed by all of the WLV Issuers' subsidiaries, other than Capital Corp., which was a co-issuer (the "WLV Guarantors"). The guarantees are senior unsecured obligations of the WLV Guarantors and rank senior in right of payment to all of their existing and future subordinated debt. The guarantees rank equally in right of payment with all existing and future liabilities of the WLV Guarantors that are not so subordinated and will be effectively subordinated in right of payment to all of such WLV Guarantors' existing and future secured debt (to the extent of the collateral securing such debt).</w:t>
      </w:r>
    </w:p>
    <w:p>
      <w:pPr>
        <w:spacing w:after="0" w:line="21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2027 Indenture contains covenants limiting the WLV Issuers' and the WLV Guarantors' ability to create liens on assets to secure debt; enter into sale-leaseback transactions; and merge or consolidate with another company. These covenants are subject to a number of important and significant limitations, qualifications and exceptions. Events of default under the 2027 Indenture includes, among others, the following: default for 30 days in the payment of interest when due on the 2027 WLV Senior Notes; default in payment of the principal or premium, if any, when due on the 2027 WLV Senior Notes; failure to comply with certain covenants in the 2027 Indenture; and certain events of bankruptcy or insolvency. In the case of an event of default arising from certain events of bankruptcy or insolvency with respect to the Issuers or any WLV Guarantor, all 2027 WLV Senior Notes then outstanding will become due and payable immediately without further action or notice.</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2027 WLV Senior Notes were offered pursuant to an exemption under the Securities Act only to qualified institutional buyers in reliance on Rule 144A under the Securities Act. The 2027 WLV Senior Notes have not been and will not be registered under the Securities Act or under any state securities laws. Therefore, the 2027 WLV Senior Notes may not be offered or sold within the U.S. to, or for the account or benefit of, any U.S. person unless the offer or sale would qualify for a registration exemption from the Securities Act and applicable state securities laws.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Retail Term Loan</w:t>
      </w:r>
    </w:p>
    <w:p>
      <w:pPr>
        <w:spacing w:after="0" w:line="24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In 2018, Wynn/CA Plaza Property Owner, LLC and Wynn/CA Property Owner, LLC (collectively, the "Retail Borrowers"), subsidiaries of the Retail Joint Venture, entered into a term loan agreement (together with its subsequent amendments, the "Retail Term Loan Agreement"). On June 2, 2023, the Borrowers entered into an amendment effective as of July 3, 2023, which amended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 The Retail Term Loan Agreement provides for a term loan facility to the Retail Borrowers of $615.0 million (the "Retail Term Loan"). The Retail Term Loan is secured by substantially all of the assets of the Retail Borrowers.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w:t>
      </w:r>
    </w:p>
    <w:p>
      <w:pPr>
        <w:spacing w:after="0" w:line="19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In October 2024, the Retail Borrowers entered into a third amendment (the "Retail Term Loan Amendment") to their existing term loan agreement. The Retail Term Loan Amendment, amends the Retail Term Loan Agreement to, among other things: (i) extend the scheduled maturity date of the term loan to July 24, 2027; (ii) provide for an interest rate on the term loan equal to One Month Term SOFR (as defined in, and determined in accordance with, the Retail Term Loan Agreement) plus a spread of 215 basis points; and (iii) require that the Retail Borrowers meet a specified maximum loan to value ratio annually (which, if not met, triggers a mandatory excess cash sweep until such ratio has been achieved) as well as certain specified minimum debt yields. In connection with, and as provided under, the Retail Term Loan Amendment, the Retail Borrowers made a principal prepayment of the term loan in the amount of $15.0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accordance with the terms of the Retail Term Loan Amendment, the Retail Borrowers entered into an interest rate swap agreement in October 2024 with a notional value of $600.0 million. The interest rate swap effectively fixes the variable component of the interest rate on the Retail Term Loan at 3.385% whereby the Retail Borrowers will pay the counterparty 3.385% and the counterparty will pay the Retail Borrowers one-month SOFR. The interest rate swap settles monthly through the termination date in February 2027. The Company measures the fair value of the interest rate swap at each balance sheet date based on a discounting the future cash flows of both the fixed and variable rate interest payments based on market yield curves, with changes in fair value recorded in earnings. As of December 31, 2025, the fair value of the interest rate swap was a liability of $0.1 million, of which $0.2 million was recorded in Other long-term liabilities and $0.1 million was recorded in Prepaid expenses and other in the accompanying Consolidated Balance Sheets.</w:t>
      </w:r>
    </w:p>
    <w:p>
      <w:pPr>
        <w:spacing w:after="0" w:line="21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management believes the Company was in compliance with all debt covenants.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2025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9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24"/>
        </w:trPr>
        <w:tc>
          <w:tcPr>
            <w:tcW w:w="98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2027</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2,858,231</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2,537,237</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1,787,641</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639,891</w:t>
            </w:r>
          </w:p>
        </w:tc>
      </w:tr>
      <w:tr>
        <w:trPr>
          <w:trHeight w:val="2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2,800,000</w:t>
            </w:r>
          </w:p>
        </w:tc>
      </w:tr>
      <w:tr>
        <w:trPr>
          <w:trHeight w:val="217"/>
        </w:trPr>
        <w:tc>
          <w:tcPr>
            <w:tcW w:w="9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10,632,410</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original issue discounts and premium,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r>
      <w:tr>
        <w:trPr>
          <w:trHeight w:val="217"/>
        </w:trPr>
        <w:tc>
          <w:tcPr>
            <w:tcW w:w="98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10,546,812</w:t>
            </w:r>
          </w:p>
        </w:tc>
      </w:tr>
      <w:tr>
        <w:trPr>
          <w:trHeight w:val="20"/>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right="380" w:hanging="315"/>
        <w:spacing w:after="0" w:line="268" w:lineRule="auto"/>
        <w:tabs>
          <w:tab w:leader="none" w:pos="30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principal amount of WML Convertible Bonds with a stated maturity date of March 7, 2029, which WML may be required to redeem at the option of bond holders on March 7,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December 31, 2025 and 2024, was approximately $10.74 billion and $10.46 billion, respectively, compared to its carrying value, excluding debt issuance costs and original issue discount and premium, of $10.63 billion, and $10.64 billion, respectively. The estimated fair value of the Company's long-term debt is based on recent trades, if available, and indicative pricing from market information (Level 2 inputs).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Instruments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 Conversion Option</w:t>
      </w:r>
    </w:p>
    <w:p>
      <w:pPr>
        <w:spacing w:after="0" w:line="242"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is reported at fair value as of the end of each reporting period, with changes recognized in the statements of income.</w:t>
      </w:r>
    </w:p>
    <w:p>
      <w:pPr>
        <w:spacing w:after="0" w:line="18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inputs to the lattice models that were used to value the embedded derivative: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HK$</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5.39</w:t>
            </w:r>
          </w:p>
        </w:tc>
      </w:tr>
      <w:tr>
        <w:trPr>
          <w:trHeight w:val="22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the completion of the offering of the WML Convertible Bonds in March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December 31, 2025 and 2024, the estimated fair value of the embedded derivative was a liability of $32.6 million and $33.0 million, recorded within Long-term debt within the accompanying Consolidated Balance Sheet. In connection with the change in fair value, the Company recorded a gain of $0.4 million, $40.7 million, and $49.7 million within Change in derivatives fair value in the accompanying Consolidated Statements of Income for the years ended December 31, 2025, 2024, and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foreign currency swap agreements (the "Foreign Currency Swaps") with the objective of managing foreign currency exchange rate risk associated with the outstanding U.S. dollar denominated WML Senior Notes. The Foreign Currency Swaps exchange predetermined amounts of Hong Kong dollars for U.S. dollars at a contractual spot rate, and as of December 31, 2025, have an aggregate notional amount of $4.10 billion, and have maturities between October 2027 and August 2030.</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the net fair value of the Foreign Currency Swaps was a liability of $36.0 million, with $17.0 million recorded in Prepaid expenses and other and $53.0 million recorded in Other long-term liabilities in the accompanying Consolidated Balance Sheets. The fair values of the Foreign Currency Swaps were estimated based on discounted future cash flows, incorporating foreign currency spot rates and market yield curves (Level 2 inputs). Gains and losses on the Foreign Currency Swaps are recorded in earnings, as these instruments are not designated as hedges.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Company recorded a loss of $27.6 million during the year ended December 31, 2025 within Change in derivatives fair value in the accompanying Consolidated Statements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Deficit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the Company to repurchase a total of up to $1.0 billion of the Company’s outstanding shares of common stock, increasing the previously available repurchase authorization by approximately $766.0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4,365,212 shares of its common stock at an average price of $82.06 per share for an aggregate cost of $358.2 million under the equity repurchase program. During the year ended December 31, 2024, the Company repurchased 4,349,779 shares of its common stock at an average price of $88.75 per share for an aggregate cost of $386.0 million under the equity repurchase program. As of December 31, 2025, the Company had $454.9 million in repurchase authority remaining under the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in each of the quarters ended March 31, 2025, June 30, 2025, September 30, 2025, and December 31, 2025 and recorded an aggregate amount of $104.6 million against accumulated deficit in the year ended December 31, 2025.</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in each of the quarters ended March 31, 2024, June 30, 2024, September 30, 2024, and December 31, 2024 and recorded an aggregate amount of $111.1 million against accumulated deficit in the year ended December 31, 2024.</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in each of the quarters ended June 30, 2023, September 30, 2023, and December 31, 2023 and recorded an aggregate amount of $85.1 million against accumulated deficit in the year ended December 31, 2023.</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12, 2026, the Company's Board of Directors declared a cash dividend of $0.25 per share on its common stock, payable on March 4, 2026 to stockholders of record as of February 23,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WML's ordinary shares of common stock are listed on The Stock Exchange of Hong Kong Limited. As of December 31, 2025, the Company owned approximately 72% of this subsidiary's common stock. The shares of WML were not and will not be registered under the Securities Act and may not be offered or sold in the U.S. absent a registration under the Securities Act, or an applicable exception from such registration requirements.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WML paid cash dividends of HK$0.185 per share in both June 2025 and September 2025, a total U.S. dollar equivalent of approximately $249.0 million for the year ended December 31, 2025. The Company's share of these dividends was $177.7 million and the noncontrolling interest holders' share was $71.3 million.</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WML paid cash dividends of HK$0.075 per share in both June 2024 and September 2024, a total U.S. dollar equivalent of approximately $100.9 million for the year ended December 31, 2024. The Company's share of these dividends was $72.1 million and the noncontrolling interest holders' share was $28.8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79,774,985 WML shares under the Securities Lending Agreement.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Retail Joint Venture made aggregate distributions of $25.7 million, $17.0 million, and $22.6 million, respectively, to its non-controlling interest holder. For more information on the Retail Joint Venture, see Note 19,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6"/>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38"/>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166,025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 (see Note 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53,036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7"/>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38"/>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787,004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 (see Note 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33,007</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Benefit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through contributions to this plan. The Company matches 50% of employee contributions, up to 6% of employees' eligible compensation. During the years ended December 31, 2025, 2024 and 2023, the Company recorded matching contribution expenses of $11.2 million, $9.6 million, and $10.2 million, respectively.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2025, 2024 and 2023, the Company recorded matching contribution expenses of $18.3 million, $17.1 million, and $16.3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following table outlines the Company’s participation in multi-employer pension plans. The "EIN/Pension Plan Number" column provides the Employer Identification Number ("EIN") and the three-digit plan number. The most recent Pension Protection Act Zone Status ("Zone Status") is based on information certified by each plan's actuary and represents plan information available for the plans' two most recent fiscal year-ends. Plans certified in the green zone are at least 80% funded and plans certified in the red zone are generally less than 65% funded and require a rehabilitation plan. As of December 31, 2025 and 2024, all plans requiring a rehabilitation plan have had the respective plan implemented.</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participates in the following multi-employer pension plans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Zone Status</w:t>
            </w:r>
          </w:p>
        </w:tc>
        <w:tc>
          <w:tcPr>
            <w:tcW w:w="180" w:type="dxa"/>
            <w:vAlign w:val="bottom"/>
          </w:tcPr>
          <w:p>
            <w:pPr>
              <w:spacing w:after="0"/>
              <w:rPr>
                <w:sz w:val="16"/>
                <w:szCs w:val="16"/>
                <w:color w:val="auto"/>
              </w:rPr>
            </w:pPr>
          </w:p>
        </w:tc>
        <w:tc>
          <w:tcPr>
            <w:tcW w:w="2480" w:type="dxa"/>
            <w:vAlign w:val="bottom"/>
            <w:gridSpan w:val="7"/>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 of</w:t>
            </w:r>
          </w:p>
        </w:tc>
        <w:tc>
          <w:tcPr>
            <w:tcW w:w="0" w:type="dxa"/>
            <w:vAlign w:val="bottom"/>
          </w:tcPr>
          <w:p>
            <w:pPr>
              <w:spacing w:after="0"/>
              <w:rPr>
                <w:sz w:val="1"/>
                <w:szCs w:val="1"/>
                <w:color w:val="auto"/>
              </w:rPr>
            </w:pPr>
          </w:p>
        </w:tc>
      </w:tr>
      <w:tr>
        <w:trPr>
          <w:trHeight w:val="52"/>
        </w:trPr>
        <w:tc>
          <w:tcPr>
            <w:tcW w:w="1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EIN/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145"/>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Contribution &gt;</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97"/>
        </w:trPr>
        <w:tc>
          <w:tcPr>
            <w:tcW w:w="17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Plan Number</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Western UNITE HERE and</w:t>
            </w:r>
          </w:p>
        </w:tc>
        <w:tc>
          <w:tcPr>
            <w:tcW w:w="10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Wynn Las</w:t>
            </w:r>
          </w:p>
        </w:tc>
        <w:tc>
          <w:tcPr>
            <w:tcW w:w="10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93-4160766</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Green</w:t>
            </w:r>
          </w:p>
        </w:tc>
        <w:tc>
          <w:tcPr>
            <w:tcW w:w="7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Green</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18,115</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17,272</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Yes</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11/30/2028</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Employers Pension Plan</w:t>
            </w:r>
            <w:r>
              <w:rPr>
                <w:rFonts w:ascii="Times New Roman" w:cs="Times New Roman" w:eastAsia="Times New Roman" w:hAnsi="Times New Roman"/>
                <w:sz w:val="18"/>
                <w:szCs w:val="18"/>
                <w:color w:val="auto"/>
                <w:vertAlign w:val="superscript"/>
              </w:rPr>
              <w:t>(2)</w:t>
            </w:r>
          </w:p>
        </w:tc>
        <w:tc>
          <w:tcPr>
            <w:tcW w:w="1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Vegas, LLC</w:t>
            </w: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Western Conference of</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Wynn Las</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91-6145047/</w:t>
            </w:r>
          </w:p>
        </w:tc>
        <w:tc>
          <w:tcPr>
            <w:tcW w:w="10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Green</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Green</w:t>
            </w: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7/31/2029</w:t>
            </w:r>
          </w:p>
        </w:tc>
        <w:tc>
          <w:tcPr>
            <w:tcW w:w="0" w:type="dxa"/>
            <w:vAlign w:val="bottom"/>
          </w:tcPr>
          <w:p>
            <w:pPr>
              <w:spacing w:after="0"/>
              <w:rPr>
                <w:sz w:val="1"/>
                <w:szCs w:val="1"/>
                <w:color w:val="auto"/>
              </w:rPr>
            </w:pPr>
          </w:p>
        </w:tc>
      </w:tr>
      <w:tr>
        <w:trPr>
          <w:trHeight w:val="66"/>
        </w:trPr>
        <w:tc>
          <w:tcPr>
            <w:tcW w:w="17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4"/>
                <w:szCs w:val="14"/>
                <w:color w:val="auto"/>
              </w:rPr>
              <w:t>Teamsters Pension Trust</w:t>
            </w:r>
          </w:p>
        </w:tc>
        <w:tc>
          <w:tcPr>
            <w:tcW w:w="112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Vegas, LLC</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217718,217830</w:t>
            </w: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11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7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UNITE HERE! Workers and</w:t>
            </w:r>
          </w:p>
        </w:tc>
        <w:tc>
          <w:tcPr>
            <w:tcW w:w="1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Encore Boston</w:t>
            </w: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Hospitality Employers</w:t>
            </w:r>
          </w:p>
        </w:tc>
        <w:tc>
          <w:tcPr>
            <w:tcW w:w="1120" w:type="dxa"/>
            <w:vAlign w:val="bottom"/>
            <w:gridSpan w:val="2"/>
            <w:vMerge w:val="continue"/>
            <w:shd w:val="clear" w:color="auto" w:fill="CCEEFF"/>
          </w:tcPr>
          <w:p>
            <w:pPr>
              <w:spacing w:after="0"/>
              <w:rPr>
                <w:sz w:val="12"/>
                <w:szCs w:val="12"/>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45-4227067/026</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Green</w:t>
            </w:r>
          </w:p>
        </w:tc>
        <w:tc>
          <w:tcPr>
            <w:tcW w:w="7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Green</w:t>
            </w: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Yes</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8/31/2026</w:t>
            </w:r>
          </w:p>
        </w:tc>
        <w:tc>
          <w:tcPr>
            <w:tcW w:w="0" w:type="dxa"/>
            <w:vAlign w:val="bottom"/>
          </w:tcPr>
          <w:p>
            <w:pPr>
              <w:spacing w:after="0"/>
              <w:rPr>
                <w:sz w:val="1"/>
                <w:szCs w:val="1"/>
                <w:color w:val="auto"/>
              </w:rPr>
            </w:pPr>
          </w:p>
        </w:tc>
      </w:tr>
      <w:tr>
        <w:trPr>
          <w:trHeight w:val="108"/>
        </w:trPr>
        <w:tc>
          <w:tcPr>
            <w:tcW w:w="1740" w:type="dxa"/>
            <w:vAlign w:val="bottom"/>
            <w:vMerge w:val="restart"/>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Variable Defined Benefit</w:t>
            </w:r>
          </w:p>
        </w:tc>
        <w:tc>
          <w:tcPr>
            <w:tcW w:w="1120" w:type="dxa"/>
            <w:vAlign w:val="bottom"/>
            <w:gridSpan w:val="2"/>
            <w:vMerge w:val="restart"/>
            <w:shd w:val="clear" w:color="auto" w:fill="CCEEFF"/>
          </w:tcPr>
          <w:p>
            <w:pPr>
              <w:ind w:left="80"/>
              <w:spacing w:after="0" w:line="143" w:lineRule="exact"/>
              <w:rPr>
                <w:sz w:val="20"/>
                <w:szCs w:val="20"/>
                <w:color w:val="auto"/>
              </w:rPr>
            </w:pPr>
            <w:r>
              <w:rPr>
                <w:rFonts w:ascii="Times New Roman" w:cs="Times New Roman" w:eastAsia="Times New Roman" w:hAnsi="Times New Roman"/>
                <w:sz w:val="14"/>
                <w:szCs w:val="14"/>
                <w:color w:val="auto"/>
              </w:rPr>
              <w:t>Harbor</w:t>
            </w:r>
          </w:p>
        </w:tc>
        <w:tc>
          <w:tcPr>
            <w:tcW w:w="14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740" w:type="dxa"/>
            <w:vAlign w:val="bottom"/>
            <w:vMerge w:val="continue"/>
            <w:shd w:val="clear" w:color="auto" w:fill="CCEEFF"/>
          </w:tcPr>
          <w:p>
            <w:pPr>
              <w:spacing w:after="0"/>
              <w:rPr>
                <w:sz w:val="3"/>
                <w:szCs w:val="3"/>
                <w:color w:val="auto"/>
              </w:rPr>
            </w:pPr>
          </w:p>
        </w:tc>
        <w:tc>
          <w:tcPr>
            <w:tcW w:w="1120" w:type="dxa"/>
            <w:vAlign w:val="bottom"/>
            <w:gridSpan w:val="2"/>
            <w:vMerge w:val="continue"/>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17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4"/>
                <w:szCs w:val="14"/>
                <w:color w:val="auto"/>
              </w:rPr>
              <w:t>Pension Fund</w:t>
            </w:r>
            <w:r>
              <w:rPr>
                <w:rFonts w:ascii="Times New Roman" w:cs="Times New Roman" w:eastAsia="Times New Roman" w:hAnsi="Times New Roman"/>
                <w:sz w:val="18"/>
                <w:szCs w:val="18"/>
                <w:color w:val="auto"/>
                <w:vertAlign w:val="superscript"/>
              </w:rPr>
              <w:t>(3)</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74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New England Teamster</w:t>
            </w:r>
          </w:p>
        </w:tc>
        <w:tc>
          <w:tcPr>
            <w:tcW w:w="11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4"/>
                <w:szCs w:val="14"/>
                <w:color w:val="auto"/>
              </w:rPr>
              <w:t>Encore Boston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04-6372430/001</w:t>
            </w:r>
          </w:p>
        </w:tc>
        <w:tc>
          <w:tcPr>
            <w:tcW w:w="100" w:type="dxa"/>
            <w:vAlign w:val="bottom"/>
          </w:tcPr>
          <w:p>
            <w:pPr>
              <w:spacing w:after="0"/>
              <w:rPr>
                <w:sz w:val="11"/>
                <w:szCs w:val="11"/>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1"/>
                <w:szCs w:val="11"/>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8/31/2026</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Fund</w:t>
            </w:r>
            <w:r>
              <w:rPr>
                <w:rFonts w:ascii="Times New Roman" w:cs="Times New Roman" w:eastAsia="Times New Roman" w:hAnsi="Times New Roman"/>
                <w:sz w:val="18"/>
                <w:szCs w:val="18"/>
                <w:color w:val="auto"/>
                <w:vertAlign w:val="superscript"/>
              </w:rPr>
              <w:t>(3)</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Harbor</w:t>
            </w: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Red</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Red</w:t>
            </w: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40" w:hanging="335"/>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plan status for plan years ending in 2024 and 2023, which are the most recent years for which plan data is available.</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Western UNITE HERE and Employers Pension Plan was formed on January 1, 2024 as a result of the merger of certain plans, including Southern Nevada Culinary and Bartenders Pension Plan, and includes union employees under the terms of the collective-bargaining agreements with the Culinary Workers Union, Local 226, and Bartenders Union, Local 165.</w:t>
      </w:r>
    </w:p>
    <w:p>
      <w:pPr>
        <w:spacing w:after="0" w:line="1"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by the Company began on January 1, 2024.</w:t>
      </w:r>
    </w:p>
    <w:p>
      <w:pPr>
        <w:spacing w:after="0" w:line="10"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has implemented a rehabilitation plan for the plan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Customer Contract Liabilities</w:t>
      </w:r>
    </w:p>
    <w:p>
      <w:pPr>
        <w:spacing w:after="0" w:line="242"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30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w w:val="99"/>
              </w:rPr>
              <w:t>Casino outstanding chips and front money deposits</w:t>
            </w:r>
            <w:r>
              <w:rPr>
                <w:rFonts w:ascii="Times New Roman" w:cs="Times New Roman" w:eastAsia="Times New Roman" w:hAnsi="Times New Roman"/>
                <w:sz w:val="22"/>
                <w:szCs w:val="22"/>
                <w:color w:val="auto"/>
                <w:w w:val="99"/>
                <w:vertAlign w:val="superscript"/>
              </w:rPr>
              <w:t>(1)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Advance room deposits and ticket sales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gaming-related liabilities</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Loyalty program and related liabilities</w:t>
            </w:r>
            <w:r>
              <w:rPr>
                <w:rFonts w:ascii="Times New Roman" w:cs="Times New Roman" w:eastAsia="Times New Roman" w:hAnsi="Times New Roman"/>
                <w:sz w:val="22"/>
                <w:szCs w:val="22"/>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593,361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20" w:hanging="315"/>
        <w:spacing w:after="0" w:line="263" w:lineRule="auto"/>
        <w:tabs>
          <w:tab w:leader="none" w:pos="36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320" w:hanging="315"/>
        <w:spacing w:after="0" w:line="248" w:lineRule="auto"/>
        <w:tabs>
          <w:tab w:leader="none" w:pos="39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20" w:hanging="315"/>
        <w:spacing w:after="0" w:line="255" w:lineRule="auto"/>
        <w:tabs>
          <w:tab w:leader="none" w:pos="37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ind w:left="320" w:hanging="315"/>
        <w:spacing w:after="0" w:line="250" w:lineRule="auto"/>
        <w:tabs>
          <w:tab w:leader="none" w:pos="36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has adopted equity plans that allow for grants of stock-based compensation awards. The following sections describe each of these plans.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Resorts, Limited Second Amended and Restated 2014 Omnibus Incentive Plan (the "WRL Omnibus Plan")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January 2017, the Company adopted the WRL Omnibus Plan after approval from its stockholders, which was adopted for a period of 10 years. From time to time, the Company reserves additional shares of its common stock for issuance under the WRL Omnibus Plan. The WRL Omnibus Plan allows for the grant of stock options, restricted stock, restricted stock units, stock appreciation rights, performance awards, and other share-based awards to eligible participants.</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May 2024, the Company's shareholders approved an amendment to the WRL Omnibus Plan that increases the shares authorized for issuance by 2,000,000 shares, for an aggregate number of shares authorized for issuance to 7,909,390 shares.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2025, the Company had 1,792,076 shares of its common stock available for grant as share-based awards under the WRL Omnibus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Limited Share Option and Share Award Plans</w:t>
      </w:r>
    </w:p>
    <w:p>
      <w:pPr>
        <w:spacing w:after="0" w:line="2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 The maximum number of shares which may be issued pursuant to WML's stock-based compensation plans is a combined aggregate of 523,843,160 shares. As of December 31, 2025, there were 504,297,160 shares available for issuance under WML's stock-based compensation plans.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Share Option Plan ("WML Share Option Plan")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E1F"/>
        </w:rPr>
        <w:t xml:space="preserve">WML </w:t>
      </w:r>
      <w:r>
        <w:rPr>
          <w:rFonts w:ascii="Times New Roman" w:cs="Times New Roman" w:eastAsia="Times New Roman" w:hAnsi="Times New Roman"/>
          <w:sz w:val="18"/>
          <w:szCs w:val="18"/>
          <w:color w:val="000000"/>
        </w:rPr>
        <w:t>adopted</w:t>
      </w:r>
      <w:r>
        <w:rPr>
          <w:rFonts w:ascii="Times New Roman" w:cs="Times New Roman" w:eastAsia="Times New Roman" w:hAnsi="Times New Roman"/>
          <w:sz w:val="18"/>
          <w:szCs w:val="18"/>
          <w:color w:val="231E1F"/>
        </w:rPr>
        <w:t xml:space="preserve"> the WML Share Option Plan in </w:t>
      </w:r>
      <w:r>
        <w:rPr>
          <w:rFonts w:ascii="Times New Roman" w:cs="Times New Roman" w:eastAsia="Times New Roman" w:hAnsi="Times New Roman"/>
          <w:sz w:val="18"/>
          <w:szCs w:val="18"/>
          <w:color w:val="000000"/>
        </w:rPr>
        <w:t>May 2023 to supersede its share option plan adopted in May 2019. The WML Share Option Plan allows</w:t>
      </w:r>
      <w:r>
        <w:rPr>
          <w:rFonts w:ascii="Times New Roman" w:cs="Times New Roman" w:eastAsia="Times New Roman" w:hAnsi="Times New Roman"/>
          <w:sz w:val="18"/>
          <w:szCs w:val="18"/>
          <w:color w:val="231E1F"/>
        </w:rPr>
        <w:t xml:space="preserve"> for the grant of stock options </w:t>
      </w:r>
      <w:r>
        <w:rPr>
          <w:rFonts w:ascii="Times New Roman" w:cs="Times New Roman" w:eastAsia="Times New Roman" w:hAnsi="Times New Roman"/>
          <w:sz w:val="18"/>
          <w:szCs w:val="18"/>
          <w:color w:val="000000"/>
        </w:rPr>
        <w:t>to purchase shares of WML to eligible directors and employees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of WML, its subsidiaries, and related entities, and service providers of WML and its subsidiaries. </w:t>
      </w:r>
      <w:r>
        <w:rPr>
          <w:rFonts w:ascii="Times New Roman" w:cs="Times New Roman" w:eastAsia="Times New Roman" w:hAnsi="Times New Roman"/>
          <w:sz w:val="18"/>
          <w:szCs w:val="18"/>
          <w:color w:val="231E1F"/>
        </w:rPr>
        <w:t>The WML Share Option Plan is administered by WML's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E1F"/>
        </w:rPr>
        <w:t>board of directors, which has the discretion on the vesting and service requirements, exercise price, performance targets to exercise if applicable and other conditions, subject to certain limits</w:t>
      </w:r>
      <w:r>
        <w:rPr>
          <w:rFonts w:ascii="Times New Roman" w:cs="Times New Roman" w:eastAsia="Times New Roman" w:hAnsi="Times New Roman"/>
          <w:sz w:val="18"/>
          <w:szCs w:val="18"/>
          <w:color w:val="000000"/>
        </w:rPr>
        <w:t>. The WML S</w:t>
      </w:r>
      <w:r>
        <w:rPr>
          <w:rFonts w:ascii="Times New Roman" w:cs="Times New Roman" w:eastAsia="Times New Roman" w:hAnsi="Times New Roman"/>
          <w:sz w:val="18"/>
          <w:szCs w:val="18"/>
          <w:color w:val="231E1F"/>
        </w:rPr>
        <w:t xml:space="preserve">hare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8"/>
          <w:szCs w:val="18"/>
          <w:color w:val="231E1F"/>
        </w:rPr>
        <w:t xml:space="preserve">ption </w:t>
      </w:r>
      <w:r>
        <w:rPr>
          <w:rFonts w:ascii="Times New Roman" w:cs="Times New Roman" w:eastAsia="Times New Roman" w:hAnsi="Times New Roman"/>
          <w:sz w:val="18"/>
          <w:szCs w:val="18"/>
          <w:color w:val="000000"/>
        </w:rPr>
        <w:t>P</w:t>
      </w:r>
      <w:r>
        <w:rPr>
          <w:rFonts w:ascii="Times New Roman" w:cs="Times New Roman" w:eastAsia="Times New Roman" w:hAnsi="Times New Roman"/>
          <w:sz w:val="18"/>
          <w:szCs w:val="18"/>
          <w:color w:val="231E1F"/>
        </w:rPr>
        <w:t xml:space="preserve">lan </w:t>
      </w:r>
      <w:r>
        <w:rPr>
          <w:rFonts w:ascii="Times New Roman" w:cs="Times New Roman" w:eastAsia="Times New Roman" w:hAnsi="Times New Roman"/>
          <w:sz w:val="18"/>
          <w:szCs w:val="18"/>
          <w:color w:val="000000"/>
        </w:rPr>
        <w:t>was adopted for a period of 10 years commencing from May 25, 2023.</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Employee Share Ownership Scheme (the "WML Share Award Plan")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WML adopted the WML Share Award Plan in May 2023 to supersede its employee ownership scheme adopted on June 30, 2014. The Share Award Plan allows for the grant of nonvested shares of WML's common stock to eligible directors and employees of WML, its subsidiaries, and related entities, and service providers of WML and its subsidiaries. The WML Share Award Plan was adopted for a period of 10 years commencing from May 25,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stock option activity for the year ended December 31, 2025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00" w:type="dxa"/>
            <w:vAlign w:val="bottom"/>
          </w:tcPr>
          <w:p>
            <w:pPr>
              <w:jc w:val="center"/>
              <w:ind w:left="19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410"/>
              <w:spacing w:after="0" w:line="13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90"/>
              <w:spacing w:after="0" w:line="132"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320" w:type="dxa"/>
            <w:vAlign w:val="bottom"/>
          </w:tcPr>
          <w:p>
            <w:pPr>
              <w:spacing w:after="0"/>
              <w:rPr>
                <w:sz w:val="12"/>
                <w:szCs w:val="12"/>
                <w:color w:val="auto"/>
              </w:rPr>
            </w:pPr>
          </w:p>
        </w:tc>
        <w:tc>
          <w:tcPr>
            <w:tcW w:w="13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980" w:type="dxa"/>
            <w:vAlign w:val="bottom"/>
          </w:tcPr>
          <w:p>
            <w:pPr>
              <w:jc w:val="center"/>
              <w:ind w:left="4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left="1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9"/>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68.25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81.55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68.25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16,241</w:t>
            </w:r>
          </w:p>
        </w:tc>
        <w:tc>
          <w:tcPr>
            <w:tcW w:w="10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81.55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629,826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2025</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16,241</w:t>
            </w:r>
          </w:p>
        </w:tc>
        <w:tc>
          <w:tcPr>
            <w:tcW w:w="1080" w:type="dxa"/>
            <w:vAlign w:val="bottom"/>
            <w:gridSpan w:val="2"/>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81.55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4.3</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629,826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Option Plan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41,559,400</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4,856,000</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(1,014,400)</w:t>
            </w:r>
          </w:p>
        </w:tc>
        <w:tc>
          <w:tcPr>
            <w:tcW w:w="1080" w:type="dxa"/>
            <w:vAlign w:val="bottom"/>
            <w:tcBorders>
              <w:bottom w:val="single" w:sz="8" w:color="CCEEFF"/>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45,401,000</w:t>
            </w:r>
          </w:p>
        </w:tc>
        <w:tc>
          <w:tcPr>
            <w:tcW w:w="10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807,371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2025</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45,401,000</w:t>
            </w:r>
          </w:p>
        </w:tc>
        <w:tc>
          <w:tcPr>
            <w:tcW w:w="1080" w:type="dxa"/>
            <w:vAlign w:val="bottom"/>
            <w:gridSpan w:val="2"/>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6.1</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807,371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29,821,800</w:t>
            </w:r>
          </w:p>
        </w:tc>
        <w:tc>
          <w:tcPr>
            <w:tcW w:w="10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stock options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i w:val="1"/>
                <w:iCs w:val="1"/>
                <w:color w:val="auto"/>
              </w:rPr>
              <w:t>WRL Omnibus Plan</w:t>
            </w:r>
            <w:r>
              <w:rPr>
                <w:rFonts w:ascii="Times New Roman" w:cs="Times New Roman" w:eastAsia="Times New Roman" w:hAnsi="Times New Roman"/>
                <w:sz w:val="22"/>
                <w:szCs w:val="22"/>
                <w:b w:val="1"/>
                <w:bCs w:val="1"/>
                <w:color w:val="auto"/>
                <w:vertAlign w:val="superscript"/>
              </w:rPr>
              <w:t>(1)</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63"/>
        </w:trPr>
        <w:tc>
          <w:tcPr>
            <w:tcW w:w="67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4"/>
        </w:trPr>
        <w:tc>
          <w:tcPr>
            <w:tcW w:w="67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WML Share Option Plan</w:t>
            </w:r>
            <w:r>
              <w:rPr>
                <w:rFonts w:ascii="Times New Roman" w:cs="Times New Roman" w:eastAsia="Times New Roman" w:hAnsi="Times New Roman"/>
                <w:sz w:val="22"/>
                <w:szCs w:val="22"/>
                <w:b w:val="1"/>
                <w:bCs w:val="1"/>
                <w:color w:val="auto"/>
                <w:vertAlign w:val="superscript"/>
              </w:rPr>
              <w:t>(2)</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56"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there was $0.1 million in unamortized compensation expense related to stock options.</w:t>
      </w:r>
    </w:p>
    <w:p>
      <w:pPr>
        <w:spacing w:after="0" w:line="21" w:lineRule="exact"/>
        <w:rPr>
          <w:rFonts w:ascii="Times New Roman" w:cs="Times New Roman" w:eastAsia="Times New Roman" w:hAnsi="Times New Roman"/>
          <w:sz w:val="14"/>
          <w:szCs w:val="14"/>
          <w:color w:val="auto"/>
        </w:rPr>
      </w:pPr>
    </w:p>
    <w:p>
      <w:pPr>
        <w:ind w:left="320" w:hanging="315"/>
        <w:spacing w:after="0" w:line="255" w:lineRule="auto"/>
        <w:tabs>
          <w:tab w:leader="none" w:pos="3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there was $3.8 million of unamortized compensation expense related to stock options, which is expected to be recognized over a weighted average period of 3.46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Option Valuation Inputs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stock options granted under the WRL Omnibus Plan was estimated on the date of grant using the following weighted average assumption:</w:t>
      </w:r>
    </w:p>
    <w:p>
      <w:pPr>
        <w:spacing w:after="0" w:line="22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0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fair value of stock options granted under WML's Share Option Plan was estimated on the date of grant using the following weighted average assumptions:</w:t>
      </w:r>
    </w:p>
    <w:p>
      <w:pPr>
        <w:spacing w:after="0" w:line="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and performance nonvested shares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nonvested and performance nonvested share activity under the Company's stock-based compensation plans for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presented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200" w:type="dxa"/>
            <w:vAlign w:val="bottom"/>
          </w:tcPr>
          <w:p>
            <w:pPr>
              <w:jc w:val="center"/>
              <w:ind w:right="157"/>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1,018,971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(707,772)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1,512,685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9,913,368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23,707,331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2025, all performance nonvested awards were deemed to be probable of vesting; however, none of the performance criteria contingencies have been resolved. The activity for these performance nonvested shares is included in the table above.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the share awards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55,636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w:t>
            </w:r>
          </w:p>
        </w:tc>
      </w:tr>
      <w:tr>
        <w:trPr>
          <w:trHeight w:val="263"/>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there was $61.4 million of unamortized compensation expense related to nonvested shares under the WRL Omnibus Plan, which is expected to be recognized over a weighted average period of 1.40 years. As of December 31, 2025, there was $9.6 million of unamortized compensation expense under the WML Share Award Plan, which is expected to be recognized over a weighted average period of 2.05 years.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 ("PSUs")</w:t>
      </w:r>
    </w:p>
    <w:p>
      <w:pPr>
        <w:spacing w:after="0" w:line="22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Certain members of the Wynn Resorts executive management team receive grants of PSUs that are subject to service and market conditions. Each PSU represents the right to receive between 0 and 1.6 shares of Wynn Resorts common stock depending on the performance of the common stock over a three-year period. The summary of PSU activity during the year ended December 31, 2025 is provided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2"/>
                <w:szCs w:val="12"/>
                <w:color w:val="auto"/>
              </w:rPr>
            </w:pPr>
          </w:p>
        </w:tc>
        <w:tc>
          <w:tcPr>
            <w:tcW w:w="1200" w:type="dxa"/>
            <w:vAlign w:val="bottom"/>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(at target)</w:t>
            </w:r>
          </w:p>
        </w:tc>
        <w:tc>
          <w:tcPr>
            <w:tcW w:w="240" w:type="dxa"/>
            <w:vAlign w:val="bottom"/>
          </w:tcPr>
          <w:p>
            <w:pPr>
              <w:spacing w:after="0"/>
              <w:rPr>
                <w:sz w:val="16"/>
                <w:szCs w:val="16"/>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2"/>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2025</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fair value of PSUs granted under the WRL Omnibus Plan was estimated on the date of grant using the following weighted average assumptions:</w:t>
      </w:r>
    </w:p>
    <w:p>
      <w:pPr>
        <w:spacing w:after="0" w:line="2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w:t>
      </w:r>
    </w:p>
    <w:p>
      <w:pPr>
        <w:spacing w:after="0" w:line="242"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$5.4 million, $7.8 million and $8.0 million for each of the years ended December 31, 2025, 2024 and 2023, respectively. The Company settled its obligations for the 2025, 2024, and 2023 annual incentive bonuses by issuing 46,085, 94,350, and 84,130 of vested shares with a weighted-average grant date fair value of $116.37, $82.45, and $95.26, in January of the respective following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51,686</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91,927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64,515</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97,516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69,783</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income tax benefits related to stock-based compensation expense in the Consolidated Statements of Income of $17.8 million, $9.9 million, and $10.0 million, respectively. Additionally, during the years ended December 31, 2025, 2024, and 2023, the Company realized tax benefits related to stock option exercises and restricted stock vesting of $9.9 million, $5.8 million, and $7.5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income before taxes for U.S. and foreign operations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142,775</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142,608</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514,140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643,398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285,383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818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income tax provision (benefit) attributable to income before income taxes is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6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
        </w:trPr>
        <w:tc>
          <w:tcPr>
            <w:tcW w:w="6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5,895</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(483,786)</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7"/>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97,217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(502,729)</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(496,834)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on a prospective basis for the year ended December 31, 2025. The following table presents the required disclosures pursuant to ASU 2023-09, and reconciles the U.S. federal statutory tax amount and rate to the effective tax amount and rate for the year ended December 31, 2025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6"/>
                <w:szCs w:val="16"/>
                <w:color w:val="auto"/>
              </w:rPr>
            </w:pPr>
          </w:p>
        </w:tc>
      </w:tr>
      <w:tr>
        <w:trPr>
          <w:trHeight w:val="24"/>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income tax effect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Massachusetts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Macau</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4"/>
        </w:trPr>
        <w:tc>
          <w:tcPr>
            <w:tcW w:w="8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(42,944)</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4"/>
        </w:trPr>
        <w:tc>
          <w:tcPr>
            <w:tcW w:w="8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(97,891)</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4"/>
        </w:trPr>
        <w:tc>
          <w:tcPr>
            <w:tcW w:w="8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Cayman Islands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8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in changes in tax laws or rates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tax credits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4"/>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105,005</w:t>
            </w:r>
          </w:p>
        </w:tc>
        <w:tc>
          <w:tcPr>
            <w:tcW w:w="120" w:type="dxa"/>
            <w:vAlign w:val="bottom"/>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20.4 %</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5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required disclosures prior to the adoption of ASU 2023-09 and reconciles the U.S. statutory income tax rate to the effective income tax rate for the following periods:</w:t>
      </w:r>
    </w:p>
    <w:p>
      <w:pPr>
        <w:spacing w:after="0" w:line="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7"/>
                <w:szCs w:val="17"/>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4"/>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 %</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r>
      <w:tr>
        <w:trPr>
          <w:trHeight w:val="22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4"/>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other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24"/>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2024, Wynn Macau SA received an exemption from Macau's 12% Complementary Tax on casino gaming profits from January 1, 2023 through December 31, 2027. For the year ended December 31, 2025, the Company was exempt from the payment of Macau Complementary Tax totaling $77.1 million or $0.74 per diluted share. For the year ended December 31, 2024, the Company was exempt from the payment of Macau Complementary Tax totaling $107.3 million or $0.97 per diluted share. The Company's non-gaming profits remain subject to the Macau Complementary Tax and its casino winnings remain subject to the Macau special gaming tax and other levies in accordance with its concession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449,852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533,473</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Disallowed interest expense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157,586</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169,598</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370,110</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72,286</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36,371</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1,280,894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1,393,355</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(479,854)</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801,596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913,501</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liabilities—U.S.: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(370,110)</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(20,228)</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(391,097)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(405,785)</w:t>
            </w: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assets—Foreign:</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91,884</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126,950</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(124,791)</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liabilities—Foreign: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r>
      <w:tr>
        <w:trPr>
          <w:trHeight w:val="243"/>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409,070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507,716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As of December 31, 2025, the Company had foreign tax credit ("FTC") carryforwards (net of uncertain tax positions) of $449.9 million, all of which will expire in 2027. The Company has a disallowed interest carryforward of $629.4 million which does not expire. As of December 31, 2025, the Company had U.S. federal loss carryforwards of $670.6 million. As of December 31, 2024, the Company had U.S. federal and state tax loss carryforwards of $658.9 million. U.S. federal tax loss carryforwards do not expire. State net operating losses generally carry forward 20 years and will begin to expire in 2040. The Company has foreign tax losses available of $250.7 million, $35.0 million and $55.1 million related to losses incurred in the tax years ended December 31, 2025, 2024, and 2023, respectively. The majority of foreign tax loss carryforwards expire in 2028, 2027, and 2026, respectively.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 back, the reversal of net taxable temporary differences, the duration of statutory carryforward periods and tax planning strategies. The need for valuation allowances against deferred tax assets will be assessed on a continuous basis and, as a result, the allowance may increase or decrease based on changes in facts and circumstances.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2025, the Company recorded a $13.5 million net increase to valuation allowances, including a $38.9 million increase to valuation allowance on FTC carryforwards. The increase primarily relates to U.S. federal tax law changes that increase tax deductions and reduce the utilization of FTC carryforwards. The decrease to valuation allowances primarily relates to NOL carryforwards that were used or expired in the current year.</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the Company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and 2024, the Company had valuation allowances on its deferred tax assets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247,973</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loss carryforwards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U.S. deferred tax assets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loss carryforwards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foreign deferred tax assets</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92,118</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618,153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604,645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The Company had the following activity for unrecognized tax benefits as follows (in thousands):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2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135,979</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the current year</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prior years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due to lapse in statutes of limitations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131,018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135,671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2024 and 2023, unrecognized tax benefits of $160.4 million, $130.9 million and $135.7 million, respectively, were recorded as reductions in deferred income taxes, net. The Company had $0.1 million of unrecognized tax benefits recorded in other long-term liabilities as of December 31, 2024. The Company had no unrecognized tax benefits recorded in other long-term liabilities as of December 31, 2025 and 2023.</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2024 and 2023, $96.6 million, $65.8 million and $69.0 million, respectively, of unrecognized tax benefits would, if recognized, impact the effective tax rate.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recognizes penalties and interest related to unrecognized tax benefits in the provision for income taxes. During each of the years ended December 31, 2025, 2024 and 2023, the Company recognized no interest and penalties.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2002 to 2021 domestic income tax returns remain subject to examination by the IRS to the extent tax attributes carryforward to future years. The Company's 2022 to 2024 domestic income tax returns also remain subject to examination by the IRS. The Company's 2021 to 2024 Macau income tax returns remain subject to examination by the Financial Services Bureau.</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participated in the IRS Compliance Assurance Program ("CAP") for the 2012 through 2025 tax years and will continue to participate in the IRS CAP for the 2026 tax year.</w:t>
      </w:r>
    </w:p>
    <w:p>
      <w:pPr>
        <w:spacing w:after="0" w:line="19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January 2025, the Financial Services Bureau commenced an examination of the 2021 Macau income tax return of Wynn Macau SA and concluded the examination with no changes.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included the following table as a result of adopting ASU 2023-09, which presents income taxes paid, net of refunds received, for the year ended December 31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9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9,243</w:t>
            </w:r>
          </w:p>
        </w:tc>
      </w:tr>
      <w:tr>
        <w:trPr>
          <w:trHeight w:val="20"/>
        </w:trPr>
        <w:tc>
          <w:tcPr>
            <w:tcW w:w="9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Cash paid for income taxes, net of refunds received, was $10.2 million and $10.3 million during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the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share-based awards outstanding under the WRL Omnibus Plan.</w:t>
      </w:r>
    </w:p>
    <w:p>
      <w:pPr>
        <w:spacing w:after="0" w:line="212"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501,078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0" w:type="dxa"/>
            <w:vAlign w:val="bottom"/>
          </w:tcPr>
          <w:p>
            <w:pPr>
              <w:spacing w:after="0"/>
              <w:rPr>
                <w:sz w:val="1"/>
                <w:szCs w:val="1"/>
                <w:color w:val="auto"/>
              </w:rPr>
            </w:pPr>
          </w:p>
        </w:tc>
      </w:tr>
      <w:tr>
        <w:trPr>
          <w:trHeight w:val="204"/>
        </w:trPr>
        <w:tc>
          <w:tcPr>
            <w:tcW w:w="744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Assumed conversion of WML Convertible Bonds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0" w:type="dxa"/>
            <w:vAlign w:val="bottom"/>
          </w:tcPr>
          <w:p>
            <w:pPr>
              <w:spacing w:after="0"/>
              <w:rPr>
                <w:sz w:val="1"/>
                <w:szCs w:val="1"/>
                <w:color w:val="auto"/>
              </w:rPr>
            </w:pPr>
          </w:p>
        </w:tc>
      </w:tr>
      <w:tr>
        <w:trPr>
          <w:trHeight w:val="217"/>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diluted</w:t>
            </w: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327,334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480,073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713,499</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Potential dilutive effect of stock options, nonvested, and performance nonvested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common and common equivalent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112,855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income attributable to Wynn Resorts, Limited per common share, diluted</w:t>
            </w: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 shares excluded from the</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1"/>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of diluted net income per share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40" w:hanging="335"/>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assumed conversion of the WML Convertible Bonds had an anti-dilutive impact for the year ended December 31, 2025.</w:t>
      </w:r>
    </w:p>
    <w:p>
      <w:pPr>
        <w:spacing w:after="0" w:line="200" w:lineRule="exact"/>
        <w:rPr>
          <w:rFonts w:ascii="Times New Roman" w:cs="Times New Roman" w:eastAsia="Times New Roman" w:hAnsi="Times New Roman"/>
          <w:sz w:val="16"/>
          <w:szCs w:val="16"/>
          <w:color w:val="auto"/>
        </w:rPr>
      </w:pPr>
    </w:p>
    <w:p>
      <w:pPr>
        <w:spacing w:after="0" w:line="37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lease assets and liabilities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34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1,797,276</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94,656</w:t>
            </w:r>
          </w:p>
        </w:tc>
        <w:tc>
          <w:tcPr>
            <w:tcW w:w="0" w:type="dxa"/>
            <w:vAlign w:val="bottom"/>
          </w:tcPr>
          <w:p>
            <w:pPr>
              <w:spacing w:after="0"/>
              <w:rPr>
                <w:sz w:val="1"/>
                <w:szCs w:val="1"/>
                <w:color w:val="auto"/>
              </w:rPr>
            </w:pPr>
          </w:p>
        </w:tc>
      </w:tr>
      <w:tr>
        <w:trPr>
          <w:trHeight w:val="263"/>
        </w:trPr>
        <w:tc>
          <w:tcPr>
            <w:tcW w:w="47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63"/>
        </w:trPr>
        <w:tc>
          <w:tcPr>
            <w:tcW w:w="47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1,623,890</w:t>
            </w:r>
          </w:p>
        </w:tc>
        <w:tc>
          <w:tcPr>
            <w:tcW w:w="0" w:type="dxa"/>
            <w:vAlign w:val="bottom"/>
          </w:tcPr>
          <w:p>
            <w:pPr>
              <w:spacing w:after="0"/>
              <w:rPr>
                <w:sz w:val="1"/>
                <w:szCs w:val="1"/>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disclose the components of the Company's lease cost, supplemental cash flow disclosures, and other information regarding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 arrangements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Triple-net operating lease cost related to Encore Boston Harbor</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141,722</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leasehold interests in land</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2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interest cost</w:t>
            </w: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4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204,260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5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operating lease assets</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18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2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operating activities - Operating leases</w:t>
            </w:r>
          </w:p>
        </w:tc>
        <w:tc>
          <w:tcPr>
            <w:tcW w:w="18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143,538</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139,054</w:t>
            </w:r>
          </w:p>
        </w:tc>
      </w:tr>
      <w:tr>
        <w:trPr>
          <w:trHeight w:val="22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 - Finance leases</w:t>
            </w:r>
          </w:p>
        </w:tc>
        <w:tc>
          <w:tcPr>
            <w:tcW w:w="1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19,267</w:t>
            </w:r>
          </w:p>
        </w:tc>
      </w:tr>
      <w:tr>
        <w:trPr>
          <w:trHeight w:val="881"/>
        </w:trPr>
        <w:tc>
          <w:tcPr>
            <w:tcW w:w="526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2"/>
        </w:trPr>
        <w:tc>
          <w:tcPr>
            <w:tcW w:w="5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years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years</w:t>
            </w: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years</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years</w:t>
            </w:r>
          </w:p>
        </w:tc>
      </w:tr>
      <w:tr>
        <w:trPr>
          <w:trHeight w:val="263"/>
        </w:trPr>
        <w:tc>
          <w:tcPr>
            <w:tcW w:w="6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an analysis of lease liability maturities as of December 31, 2025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33,228</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32,964</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3,548,988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0" w:type="dxa"/>
            <w:vAlign w:val="bottom"/>
          </w:tcPr>
          <w:p>
            <w:pPr>
              <w:spacing w:after="0"/>
              <w:rPr>
                <w:sz w:val="1"/>
                <w:szCs w:val="1"/>
                <w:color w:val="auto"/>
              </w:rPr>
            </w:pP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cash flows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4,294,302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157,288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1,643,683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101,559</w:t>
            </w:r>
          </w:p>
        </w:tc>
        <w:tc>
          <w:tcPr>
            <w:tcW w:w="0" w:type="dxa"/>
            <w:vAlign w:val="bottom"/>
          </w:tcPr>
          <w:p>
            <w:pPr>
              <w:spacing w:after="0"/>
              <w:rPr>
                <w:sz w:val="1"/>
                <w:szCs w:val="1"/>
                <w:color w:val="auto"/>
              </w:rPr>
            </w:pP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on lease liabilities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2,650,619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55,729</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Lease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per year, which increases at a fixed rate of 1.75% per year for the first ten years and the greater of 1.75% or change in consumer price index, subject to a cap of 2.5%, each year for the remaining term of the lease. In addition, certain fixed payments in lieu of taxes ("PILOT") made on behalf of the lessor are included in lease payments for the purpose of measuring the associated operating lease assets and liabilities.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lease payments, inclusive of PILOT payments, are $128.8 million in 2026, $131.3 million in 2027, $133.7 million in 2028, $136.3 million in 2029, $138.8 million in 2030, and $3.15 billion thereafter. At December 31, 2025 and 2024, the total liability associated with the lease was $1.51 billion.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Undeveloped Land - Las Vegas</w:t>
      </w:r>
    </w:p>
    <w:p>
      <w:pPr>
        <w:spacing w:after="0" w:line="21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$4.0 million per year from 2026 to 2030 and total payments of $339.8 million thereafter. As of December 31, 2025 and 2024, the liability associated with this lease was $65.6 million and $65.2 million, respectively.</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2025 and 2024, operating lease assets included approximately $80.2 million and $81.3 million, respectively, related to an amount allocated to the leasehold interest in land upon the acquisition of a group of assets in 2018.</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that the amortization of this amount will be $1.1 million each year from 2026 through 2096 and $0.7 million in 2097.</w:t>
      </w: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Land Concessions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$1.5 million per year through 2028, $1.3 million in 2029, $1.0 million in 2030, and total payments of $6.2 million thereafter through 2037. At December 31, 2025 and 2024, the total liability associated with these leases was $9.0 million and $9.8 million, respectively.</w:t>
      </w:r>
    </w:p>
    <w:p>
      <w:pPr>
        <w:spacing w:after="0" w:line="18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December 31, 2025 and 2024, operating lease assets included $116.5 million and $129.5 million of leasehold interests in land related to the Wynn Palace and Wynn Macau land concessions. The Company expects that the amortization associated with these leasehold interests will be approximately $12.6 million per year from 2026 through 2028, approximately $11.2 million in 2029, approximately $9.2 million per year from 2030 through 2036 and approximately $3.1 million in 2037.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131,901</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66,526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96,831</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205,130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228,732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8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The following table presents the future minimum rentals to be received under operating leases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Operating Leases</w:t>
            </w: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96,968</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55,307</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220,490</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rentals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699,751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Al Marjan Island Agreements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2022, the Company, its co-investors in the Al Marjan Joint Venture entered into agreements whereby the Company has agreed to perform certain design and development services with respect to Wynn Al Marjan Island as well as certain related pre-opening services, in exchange for the reimbursement of its costs incurred in performing such services. The Company has additionally agreed to perform management services at Wynn Al Marjan Island upon its opening, expected to be in 2027. The Company billed the Al Marjan Joint Venture $67.0 million and $49.5 million for reimbursable costs during the years ended December 31, 2025 and 2024, respectively. As of December 31, 2025 and 2024, the Company was owed $12.7 million and $6.9 million, respectively, by the Al Marjan Joint Venture, for reimbursable costs recorded in Accounts receivable in the accompanying consolidated balance sheets.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February 2025, a wholly-owned subsidiary of Island 3 entered into a financing arrangement to fund the construction of Wynn Al Marjan Island, in connection with which the Company and the government of Ras Al Khaimah entered into a completion guarantee agreement, as described in Note 18,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42"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 Directors and Former Directors</w:t>
      </w:r>
    </w:p>
    <w:p>
      <w:pPr>
        <w:spacing w:after="0" w:line="22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2025 and 2024, these net deposit balances with the Company were immaterial, as were the services provided.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Macau gaming premium and Property Transfer Agreements payment commitments as described in Note 5, "Property and Equipment, net" and Note 6 "Intangible Assets, net," Wynn Macau SA committed to make certain non-gaming and gaming investments in the amount of MOP21.03 billion (approximately $2.62 billion) over the course of the ten-year term of the Gaming Concession Contract. MOP19.80 billion (approximately $2.47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Additionally, Wynn Macau SA committed to make the following payments throughout the term of the Gaming Concession Contract:</w:t>
      </w:r>
    </w:p>
    <w:p>
      <w:pPr>
        <w:spacing w:after="0" w:line="240" w:lineRule="exact"/>
        <w:rPr>
          <w:sz w:val="20"/>
          <w:szCs w:val="20"/>
          <w:color w:val="auto"/>
        </w:rPr>
      </w:pPr>
    </w:p>
    <w:p>
      <w:pPr>
        <w:jc w:val="both"/>
        <w:ind w:firstLine="400"/>
        <w:spacing w:after="0" w:line="239" w:lineRule="auto"/>
        <w:tabs>
          <w:tab w:leader="none" w:pos="6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premium - Wynn Macau SA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$0.9 million) per gaming table and MOP300,000 (approximately $37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2025 and 2024.</w:t>
      </w:r>
    </w:p>
    <w:p>
      <w:pPr>
        <w:spacing w:after="0" w:line="210" w:lineRule="exact"/>
        <w:rPr>
          <w:rFonts w:ascii="Times New Roman" w:cs="Times New Roman" w:eastAsia="Times New Roman" w:hAnsi="Times New Roman"/>
          <w:sz w:val="18"/>
          <w:szCs w:val="18"/>
          <w:color w:val="auto"/>
        </w:rPr>
      </w:pPr>
    </w:p>
    <w:p>
      <w:pPr>
        <w:jc w:val="both"/>
        <w:ind w:firstLine="400"/>
        <w:spacing w:after="0" w:line="293" w:lineRule="auto"/>
        <w:tabs>
          <w:tab w:leader="none" w:pos="65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180" w:lineRule="exact"/>
        <w:rPr>
          <w:rFonts w:ascii="Times New Roman" w:cs="Times New Roman" w:eastAsia="Times New Roman" w:hAnsi="Times New Roman"/>
          <w:sz w:val="16"/>
          <w:szCs w:val="16"/>
          <w:color w:val="auto"/>
        </w:rPr>
      </w:pPr>
    </w:p>
    <w:p>
      <w:pPr>
        <w:ind w:left="700" w:hanging="300"/>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tax assessed at the rate of 35% of gross gaming revenues.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Island Funding Commitments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 connection with the construction of Wynn Al Marjan Island and surrounding developments, including Janu Al Marjan Island (as defined below), the Company is required to contribute capital to the Al Marjan Joint Venture to fund 40% of the project design and development costs in exchange for a pro-rata share of equity. During the year ended December 31, 2025, the Company contributed $282.6 million of cash into the Al Marjan Joint Venture, bringing our life-to-date cash contributions to $914.2 million. The remaining 40% pro-rata share of the required equity for the construction of Wynn Al Marjan Island is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estimated to be between $425 million and $500 million inclusive of capitalized interest, fees, and certain improvements on the island. Wynn Al Marjan Island is currently expected to open in 2027.</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Island 3 has also partnered with Aman Group, a developer and operator of hotels, resorts and branded residences, to construct a second development adjacent to Wynn Al Marjan Island, which will feature a 132-room hotel and a residential tower with one- to five- bedroom units and a limited collection of standalone villas ("Janu Al Marjan Island"). Janu Al Marjan Island, expected to open in late 2028, will be managed and operated by Aman Group and will offer a variety of guest experiences. The Company’s estimated capital contributions to Island 3 for the construction of the Janu Al Marjan Island are between $25 million and $50 million, net of estimated branded residence sales and estimated 50% loan-to-cost financing to fund project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Facility Completion Guarantee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"Security Agent").</w:t>
      </w:r>
    </w:p>
    <w:p>
      <w:pPr>
        <w:spacing w:after="0" w:line="21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Under the terms of the Completion Guarantee, the Al Marjan Guarantors, irrevocably and unconditionally jointly and severally, (a) have guaranteed to each Secured Party punctual performance by the Borrower of certain of its obligations under the Al Marjan Facility Agreement, and (b) have undertaken with each Secured Party: (i) to provide, within 10 business days upon receiving written demand by the Security Agent, (A) sufficient funds to ensure that practical completion of the project (as provided in the Al Marjan Facility Agreement) takes place no later than June 30, 2028 and (B) to fund amounts equal to any project cost overruns, to the extent the Borrower fails to fund such overruns; and (ii) to pay, whenever the Borrower does not pay, interest, commitment fees and other finance costs payable under the Al Marjan Facility Agreement as well as scheduled payments under any interest rate hedging agreement.</w:t>
      </w:r>
    </w:p>
    <w:p>
      <w:pPr>
        <w:spacing w:after="0" w:line="18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upon the occurrence of certain specified events of default, change of control events or credit rating downgrades under the Al Marjan Facility Agreement or the occurrence of certain commercial gaming license related events (including, among others, the loss of the commercial gaming license permitting the Borrower to conduct commercial gaming at the project and as further provided in the Al Marjan Facility Agreement), the Al Marjan Guarantors, irrevocably and unconditionally jointly and severally, have undertaken to pay, to the extent the Borrower does not pay, all then outstanding principal, interest, hedging liabilities and any and all other amounts and expenses then due and payable under the Al Marjan Facility Agreement and related agreements, within 10 business days upon receiving written demand by the Security Agent (or, in respect of the occurrence of certain commercial gaming license related events, if later, on the date falling 180 days following the occurrence of such event).</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As of December 31, 2025, future payment amounts of $122.2 million, $86.2 million, $30.2 million, $2.3 million, and $1.0 million will be paid during the years ending December 31, 2026, 2027, 2028, 2029, and 2030, respectively.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additional commitments for open purchase orders, construction contracts, payment obligations to communities surrounding Encore Boston Harbor, and performance and other miscellaneous contracts. As of December 31, 2025, the Company was obligated under these arrangements to make future minimum payments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429,529</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186,106</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65,207</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45,303</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47,413</w:t>
            </w:r>
          </w:p>
        </w:tc>
      </w:tr>
      <w:tr>
        <w:trPr>
          <w:trHeight w:val="224"/>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51,491</w:t>
            </w:r>
          </w:p>
        </w:tc>
      </w:tr>
      <w:tr>
        <w:trPr>
          <w:trHeight w:val="24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payments</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825,049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the Company had outstanding letters of credit of $14.3 million.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Retail Joint Venture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Retail Joint Venture had total assets of $96.5 million and $100.3 million, respectively, and total liabilities of $607.3 million and $605.8 million, respectively. The Retail Joint Venture's total liabilities as of December 31, 2025 and 2024 included long-term debt of $598.4 million and $597.3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("CEO"). The primary profitability measure used by the Company's CEO to review segment operating results and allocate resources is Adjusted Property EBITDAR.</w:t>
      </w:r>
    </w:p>
    <w:p>
      <w:pPr>
        <w:spacing w:after="0" w:line="2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Corporate and other is presented solely for the purpose of reconciliation and is not a reportable segment. During the twelve months ended December 31, 2024, Wynn Interactive Ltd. no longer met the requirements for a reportable segment. As a result, its assets and results of operations are presented in Corporate and other.</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00" w:type="dxa"/>
            <w:vAlign w:val="bottom"/>
          </w:tcPr>
          <w:p>
            <w:pPr>
              <w:spacing w:after="0"/>
              <w:rPr>
                <w:sz w:val="11"/>
                <w:szCs w:val="11"/>
                <w:color w:val="auto"/>
              </w:rPr>
            </w:pP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Casino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1,936,715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629,266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4,410,328</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1,141,154</w:t>
            </w:r>
          </w:p>
        </w:tc>
        <w:tc>
          <w:tcPr>
            <w:tcW w:w="0" w:type="dxa"/>
            <w:vAlign w:val="bottom"/>
          </w:tcPr>
          <w:p>
            <w:pPr>
              <w:spacing w:after="0"/>
              <w:rPr>
                <w:sz w:val="1"/>
                <w:szCs w:val="1"/>
                <w:color w:val="auto"/>
              </w:rPr>
            </w:pPr>
          </w:p>
        </w:tc>
      </w:tr>
      <w:tr>
        <w:trPr>
          <w:trHeight w:val="22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1,037,850</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548,592</w:t>
            </w:r>
          </w:p>
        </w:tc>
        <w:tc>
          <w:tcPr>
            <w:tcW w:w="0" w:type="dxa"/>
            <w:vAlign w:val="bottom"/>
          </w:tcPr>
          <w:p>
            <w:pPr>
              <w:spacing w:after="0"/>
              <w:rPr>
                <w:sz w:val="1"/>
                <w:szCs w:val="1"/>
                <w:color w:val="auto"/>
              </w:rPr>
            </w:pP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2,573,035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7,137,924</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2"/>
                <w:szCs w:val="22"/>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682,900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402,125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902,405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236,721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2,224,151</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163,503</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1,118,384</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(625,556)</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0" w:type="dxa"/>
            <w:vAlign w:val="bottom"/>
          </w:tcPr>
          <w:p>
            <w:pPr>
              <w:spacing w:after="0"/>
              <w:rPr>
                <w:sz w:val="1"/>
                <w:szCs w:val="1"/>
                <w:color w:val="auto"/>
              </w:rPr>
            </w:pPr>
          </w:p>
        </w:tc>
      </w:tr>
      <w:tr>
        <w:trPr>
          <w:trHeight w:val="22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(604,244)</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514,140</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(105,005)</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409,135</w:t>
            </w:r>
          </w:p>
        </w:tc>
        <w:tc>
          <w:tcPr>
            <w:tcW w:w="0" w:type="dxa"/>
            <w:vAlign w:val="bottom"/>
          </w:tcPr>
          <w:p>
            <w:pPr>
              <w:spacing w:after="0"/>
              <w:rPr>
                <w:sz w:val="1"/>
                <w:szCs w:val="1"/>
                <w:color w:val="auto"/>
              </w:rPr>
            </w:pPr>
          </w:p>
        </w:tc>
      </w:tr>
      <w:tr>
        <w:trPr>
          <w:trHeight w:val="224"/>
        </w:trPr>
        <w:tc>
          <w:tcPr>
            <w:tcW w:w="5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0" w:type="dxa"/>
            <w:vAlign w:val="bottom"/>
          </w:tcPr>
          <w:p>
            <w:pPr>
              <w:spacing w:after="0"/>
              <w:rPr>
                <w:sz w:val="1"/>
                <w:szCs w:val="1"/>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327,334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16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20" w:type="dxa"/>
            <w:vAlign w:val="bottom"/>
          </w:tcPr>
          <w:p>
            <w:pPr>
              <w:spacing w:after="0"/>
              <w:rPr>
                <w:sz w:val="11"/>
                <w:szCs w:val="11"/>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Casino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600,088</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635,314</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4,261,357</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1,242,058</w:t>
            </w:r>
          </w:p>
        </w:tc>
        <w:tc>
          <w:tcPr>
            <w:tcW w:w="0" w:type="dxa"/>
            <w:vAlign w:val="bottom"/>
          </w:tcPr>
          <w:p>
            <w:pPr>
              <w:spacing w:after="0"/>
              <w:rPr>
                <w:sz w:val="1"/>
                <w:szCs w:val="1"/>
                <w:color w:val="auto"/>
              </w:rPr>
            </w:pP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1,069,117</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538,862</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2,217,671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2,571,913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7,111,394</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7,127,961</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2"/>
                <w:szCs w:val="22"/>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733,710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946,762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2,369,452</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20"/>
          </w:cols>
          <w:pgMar w:left="320" w:top="118" w:right="659"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Pre-opening</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935470" cy="142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35470" cy="14224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Property charges and other</w:t>
      </w:r>
      <w:r>
        <w:rPr>
          <w:rFonts w:ascii="Times New Roman" w:cs="Times New Roman" w:eastAsia="Times New Roman" w:hAnsi="Times New Roman"/>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935470" cy="142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35470" cy="14224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Corporate expense and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Triple-net 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935470" cy="142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35470" cy="14224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loss</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935470" cy="150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35470" cy="1504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9,355</w:t>
      </w:r>
    </w:p>
    <w:p>
      <w:pPr>
        <w:spacing w:after="0" w:line="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658,895</w:t>
      </w:r>
    </w:p>
    <w:p>
      <w:pPr>
        <w:spacing w:after="0" w:line="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215,095</w:t>
      </w:r>
    </w:p>
    <w:p>
      <w:pPr>
        <w:spacing w:after="0" w:line="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148,236</w:t>
      </w:r>
    </w:p>
    <w:p>
      <w:pPr>
        <w:spacing w:after="0" w:line="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59,029</w:t>
      </w:r>
    </w:p>
    <w:p>
      <w:pPr>
        <w:spacing w:after="0" w:line="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141,576</w:t>
      </w:r>
    </w:p>
    <w:p>
      <w:pPr>
        <w:spacing w:after="0" w:line="1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4,535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1,132,731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29845</wp:posOffset>
            </wp:positionV>
            <wp:extent cx="6851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9440" w:space="720"/>
            <w:col w:w="760"/>
          </w:cols>
          <w:pgMar w:left="320" w:top="118" w:right="65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4"/>
        </w:trPr>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130,342</w:t>
            </w:r>
          </w:p>
        </w:tc>
      </w:tr>
      <w:tr>
        <w:trPr>
          <w:trHeight w:val="224"/>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(688,410)</w:t>
            </w:r>
          </w:p>
        </w:tc>
      </w:tr>
      <w:tr>
        <w:trPr>
          <w:trHeight w:val="224"/>
        </w:trPr>
        <w:tc>
          <w:tcPr>
            <w:tcW w:w="9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w:t>
            </w:r>
          </w:p>
        </w:tc>
      </w:tr>
      <w:tr>
        <w:trPr>
          <w:trHeight w:val="224"/>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24"/>
        </w:trPr>
        <w:tc>
          <w:tcPr>
            <w:tcW w:w="9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w:t>
            </w:r>
          </w:p>
        </w:tc>
      </w:tr>
      <w:tr>
        <w:trPr>
          <w:trHeight w:val="217"/>
        </w:trPr>
        <w:tc>
          <w:tcPr>
            <w:tcW w:w="9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(489,333)</w:t>
            </w:r>
          </w:p>
        </w:tc>
      </w:tr>
      <w:tr>
        <w:trPr>
          <w:trHeight w:val="217"/>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643,398</w:t>
            </w:r>
          </w:p>
        </w:tc>
      </w:tr>
      <w:tr>
        <w:trPr>
          <w:trHeight w:val="224"/>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17"/>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639,716</w:t>
            </w:r>
          </w:p>
        </w:tc>
      </w:tr>
      <w:tr>
        <w:trPr>
          <w:trHeight w:val="224"/>
        </w:trPr>
        <w:tc>
          <w:tcPr>
            <w:tcW w:w="9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(138,638)</w:t>
            </w:r>
          </w:p>
        </w:tc>
      </w:tr>
      <w:tr>
        <w:trPr>
          <w:trHeight w:val="217"/>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501,078</w:t>
            </w:r>
          </w:p>
        </w:tc>
      </w:tr>
      <w:tr>
        <w:trPr>
          <w:trHeight w:val="20"/>
        </w:trPr>
        <w:tc>
          <w:tcPr>
            <w:tcW w:w="9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Encore Boston</w:t>
            </w:r>
          </w:p>
        </w:tc>
        <w:tc>
          <w:tcPr>
            <w:tcW w:w="220" w:type="dxa"/>
            <w:vAlign w:val="bottom"/>
          </w:tcPr>
          <w:p>
            <w:pPr>
              <w:spacing w:after="0"/>
              <w:rPr>
                <w:sz w:val="11"/>
                <w:szCs w:val="11"/>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Casino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648,668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3,718,402</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1,185,671</w:t>
            </w: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1,028,637</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514,060</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1,886,844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2,480,606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6,446,770</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784,089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2"/>
                <w:szCs w:val="22"/>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615,846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338,091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946,243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257,409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2,157,589</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687,270</w:t>
            </w: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94,490</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146,430</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141,722</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Other loss</w:t>
            </w:r>
            <w:r>
              <w:rPr>
                <w:rFonts w:ascii="Times New Roman" w:cs="Times New Roman" w:eastAsia="Times New Roman" w:hAnsi="Times New Roman"/>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840,171</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(751,509)</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0" w:type="dxa"/>
            <w:vAlign w:val="bottom"/>
          </w:tcPr>
          <w:p>
            <w:pPr>
              <w:spacing w:after="0"/>
              <w:rPr>
                <w:sz w:val="1"/>
                <w:szCs w:val="1"/>
                <w:color w:val="auto"/>
              </w:rPr>
            </w:pPr>
          </w:p>
        </w:tc>
      </w:tr>
      <w:tr>
        <w:trPr>
          <w:trHeight w:val="22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(554,788)</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285,383</w:t>
            </w:r>
          </w:p>
        </w:tc>
        <w:tc>
          <w:tcPr>
            <w:tcW w:w="0" w:type="dxa"/>
            <w:vAlign w:val="bottom"/>
          </w:tcPr>
          <w:p>
            <w:pPr>
              <w:spacing w:after="0"/>
              <w:rPr>
                <w:sz w:val="1"/>
                <w:szCs w:val="1"/>
                <w:color w:val="auto"/>
              </w:rPr>
            </w:pPr>
          </w:p>
        </w:tc>
      </w:tr>
      <w:tr>
        <w:trPr>
          <w:trHeight w:val="224"/>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496,834</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782,217</w:t>
            </w:r>
          </w:p>
        </w:tc>
        <w:tc>
          <w:tcPr>
            <w:tcW w:w="0" w:type="dxa"/>
            <w:vAlign w:val="bottom"/>
          </w:tcPr>
          <w:p>
            <w:pPr>
              <w:spacing w:after="0"/>
              <w:rPr>
                <w:sz w:val="1"/>
                <w:szCs w:val="1"/>
                <w:color w:val="auto"/>
              </w:rPr>
            </w:pPr>
          </w:p>
        </w:tc>
      </w:tr>
      <w:tr>
        <w:trPr>
          <w:trHeight w:val="224"/>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16, "Leases."</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payroll, cost of goods sold, marketing, promotional, facilities, taxes and licenses (excluding gaming taxes) and other operating expenses.</w:t>
      </w:r>
    </w:p>
    <w:p>
      <w:pPr>
        <w:spacing w:after="0" w:line="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Las Vegas Operations, includes table and slot license fees.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jc w:val="both"/>
        <w:ind w:left="320" w:hanging="315"/>
        <w:spacing w:after="0" w:line="252" w:lineRule="auto"/>
        <w:tabs>
          <w:tab w:leader="none" w:pos="3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operating revenues and losses attributable to Wynn Interactive Limited, which does not meet the quantitative or qualitative thresholds for presentation as a reportable segment.</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53" w:lineRule="auto"/>
        <w:tabs>
          <w:tab w:leader="none" w:pos="3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includes $130.0 million of forfeitures pursuant to the NPA, the Company's $9.4 million contribution towards a legal settlement, $16.9 million of contract termination and other costs related to the closure of Wynn Interactive's digital sports betting and casino gaming business. Property charges and other expenses for the year ended December 31, 2024 also included $61.5 million of expensed project costs related to a discontinued development project, partially offset by a gain of $24.6 million related to the sale of certain Wynn Interactive assets. For the year ended December 31, 2023, includes $94.9 million related to the Company's decision to cease operating Wynn Interactive's online sports betting and iGaming platform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167,199</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66,262</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w:t>
            </w:r>
          </w:p>
        </w:tc>
      </w:tr>
      <w:tr>
        <w:trPr>
          <w:trHeight w:val="21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91,864</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187,150</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93,201</w:t>
            </w:r>
          </w:p>
        </w:tc>
      </w:tr>
      <w:tr>
        <w:trPr>
          <w:trHeight w:val="242"/>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419,929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442,793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2,817,363</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2,936,264</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1,864,211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Macau</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886,175</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5,161,013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5,004,913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5,686,650</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3,173,247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2,006,565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3,129,761</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13,108,117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12,977,963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08"/>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3,040,599</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3,095,411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3,191,134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6,480,969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6,019,723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5,585,943</w:t>
            </w:r>
          </w:p>
        </w:tc>
      </w:tr>
      <w:tr>
        <w:trPr>
          <w:trHeight w:val="217"/>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9,521,568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9,115,134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8,777,077</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Consolidated Financial Information (Unaudited)</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(in thousands, except per share data) present selected quarterly financial information for 2025 and 2024, as previously reported. Because income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1,833,747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7,137,924</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268,589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1,118,384</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409,135</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327,334</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472"/>
        </w:trPr>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7,127,961</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1,132,731</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639,716</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501,078</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and 15d-15(f) under the Exchange Act.</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our assessment, management believes that, as of December 31, 2025, our internal control over financial reporting was effective based on those criteria.</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LLP, an independent registered public accounting firm. Their attestation report appears under "Report of Independent Registered Public Accounting Firm on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Exchange Act) during the quarter ended December 31, 2025 that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2026 Annual Meeting of Shareholders to be filed with the Securities and Exchange Commission within 120 days after December 31, 2025 (the "2026 Proxy Statement") under the captions "Election of Directors," "Executive Officers," "Governance" and "Delinquent Section 16(a) Reports," and is incorporated herein by reference.</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certain provisions of this Code, or the Board of Directors grants any waivers of its requirements for any of our directors or executive officers, we intend to disclose such amendments or waivers on our website at https://wynnresortslimited.gcs-web.com/corporate-governance/code-business-conduct-and-ethics to the extent required by the Nasdaq listing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2026 Proxy Statement under the captions "Non-Employee Director Compensation Table," "Compensation Committee Report," "Executive Compensation Tables," "Summary Compensation Table" and "Compensation Discussion and Analysis" and is incorporated herein by reference. Although the Compensation Committee Report is being incorporated herein by reference, it shall not be deemed to be "filed" for purposes of Section 18 of the Exchange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2026 Proxy Statement under the caption "Certain Beneficial Ownership and Management"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w:t>
      </w:r>
    </w:p>
    <w:tbl>
      <w:tblPr>
        <w:tblLayout w:type="fixed"/>
        <w:tblInd w:w="0" w:type="dxa"/>
        <w:tblCellMar>
          <w:top w:w="0" w:type="dxa"/>
          <w:left w:w="0" w:type="dxa"/>
          <w:bottom w:w="0" w:type="dxa"/>
          <w:right w:w="0" w:type="dxa"/>
        </w:tblCellMar>
      </w:tblP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be Issued</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Upon</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45"/>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22"/>
                <w:szCs w:val="22"/>
                <w:b w:val="1"/>
                <w:bCs w:val="1"/>
                <w:color w:val="auto"/>
                <w:w w:val="98"/>
                <w:vertAlign w:val="subscript"/>
              </w:rPr>
              <w:t>(a)</w:t>
            </w:r>
            <w:r>
              <w:rPr>
                <w:rFonts w:ascii="Times New Roman" w:cs="Times New Roman" w:eastAsia="Times New Roman" w:hAnsi="Times New Roman"/>
                <w:sz w:val="8"/>
                <w:szCs w:val="8"/>
                <w:b w:val="1"/>
                <w:bCs w:val="1"/>
                <w:color w:val="auto"/>
                <w:w w:val="98"/>
              </w:rPr>
              <w:t>(1)</w:t>
            </w:r>
          </w:p>
        </w:tc>
        <w:tc>
          <w:tcPr>
            <w:tcW w:w="300" w:type="dxa"/>
            <w:vAlign w:val="bottom"/>
          </w:tcPr>
          <w:p>
            <w:pPr>
              <w:spacing w:after="0"/>
              <w:rPr>
                <w:sz w:val="17"/>
                <w:szCs w:val="17"/>
                <w:color w:val="auto"/>
              </w:rPr>
            </w:pPr>
          </w:p>
        </w:tc>
        <w:tc>
          <w:tcPr>
            <w:tcW w:w="150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(b)</w:t>
            </w:r>
            <w:r>
              <w:rPr>
                <w:rFonts w:ascii="Times New Roman" w:cs="Times New Roman" w:eastAsia="Times New Roman" w:hAnsi="Times New Roman"/>
                <w:sz w:val="8"/>
                <w:szCs w:val="8"/>
                <w:b w:val="1"/>
                <w:bCs w:val="1"/>
                <w:color w:val="auto"/>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100,319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1,792,076</w:t>
            </w: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100,319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1,792,076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80" w:hanging="296"/>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outstanding options and performance share units at target.</w:t>
      </w:r>
    </w:p>
    <w:p>
      <w:pPr>
        <w:spacing w:after="0" w:line="12" w:lineRule="exact"/>
        <w:rPr>
          <w:rFonts w:ascii="Times New Roman" w:cs="Times New Roman" w:eastAsia="Times New Roman" w:hAnsi="Times New Roman"/>
          <w:sz w:val="14"/>
          <w:szCs w:val="14"/>
          <w:color w:val="auto"/>
        </w:rPr>
      </w:pPr>
    </w:p>
    <w:p>
      <w:pPr>
        <w:ind w:left="380" w:hanging="296"/>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 for outstanding options only.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3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2026 Proxy Statement under the captions "Certain Relationships and Transactions" and "Governance"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2026 Proxy Statement under the caption "Ratification of Appointment of Registered Public Accounting Firm" and is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196" w:lineRule="exact"/>
        <w:rPr>
          <w:sz w:val="20"/>
          <w:szCs w:val="20"/>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2025 and 2024</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December 31, 2025, 2024, and 2023</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Consolidated Financial Information (Unaudited)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(a)2. Financial Statement Schedule filed in Part IV of this report:</w:t>
      </w:r>
    </w:p>
    <w:p>
      <w:pPr>
        <w:spacing w:after="0" w:line="240" w:lineRule="exact"/>
        <w:rPr>
          <w:sz w:val="20"/>
          <w:szCs w:val="20"/>
          <w:color w:val="auto"/>
        </w:rPr>
      </w:pPr>
    </w:p>
    <w:p>
      <w:pPr>
        <w:ind w:left="1260" w:hanging="62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4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3540" w:type="dxa"/>
            <w:vAlign w:val="bottom"/>
          </w:tcPr>
          <w:p>
            <w:pPr>
              <w:jc w:val="center"/>
              <w:ind w:left="19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Write-offs,</w:t>
            </w:r>
          </w:p>
        </w:tc>
        <w:tc>
          <w:tcPr>
            <w:tcW w:w="1140" w:type="dxa"/>
            <w:vAlign w:val="bottom"/>
            <w:vMerge w:val="restart"/>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40" w:type="dxa"/>
            <w:vAlign w:val="bottom"/>
          </w:tcPr>
          <w:p>
            <w:pPr>
              <w:jc w:val="center"/>
              <w:ind w:left="195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0" w:type="dxa"/>
            <w:vAlign w:val="bottom"/>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3540" w:type="dxa"/>
            <w:vAlign w:val="bottom"/>
          </w:tcPr>
          <w:p>
            <w:pPr>
              <w:jc w:val="center"/>
              <w:ind w:left="195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78,842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(34,803)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40,075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604,645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618,153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1,340,581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604,645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2,437,202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96,623</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(1,193,244)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1,340,581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25"/>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8"/>
                <w:szCs w:val="18"/>
                <w:color w:val="auto"/>
                <w:w w:val="97"/>
              </w:rPr>
              <w:t>2.1</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gridSpan w:val="31"/>
          </w:tcPr>
          <w:p>
            <w:pPr>
              <w:spacing w:after="0" w:line="17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Equity Purchase Agreement, dated as of February 14, 2022 by and between Wynn MA, LLC and Realty</w:t>
              </w:r>
            </w:hyperlink>
          </w:p>
        </w:tc>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2/14/2022</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Income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Third Amended and Restated Articles of Incorporation of the Registrant.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5/8/2015</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7"/>
          </w:tcPr>
          <w:p>
            <w:pPr>
              <w:spacing w:after="0" w:line="204"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Ninth Amended and Restated Bylaws of the Registrant.</w:t>
              </w:r>
            </w:hyperlink>
          </w:p>
        </w:tc>
        <w:tc>
          <w:tcPr>
            <w:tcW w:w="1200" w:type="dxa"/>
            <w:vAlign w:val="bottom"/>
            <w:tcBorders>
              <w:top w:val="single" w:sz="8" w:color="0000FF"/>
            </w:tcBorders>
            <w:gridSpan w:val="4"/>
          </w:tcPr>
          <w:p>
            <w:pPr>
              <w:spacing w:after="0"/>
              <w:rPr>
                <w:sz w:val="17"/>
                <w:szCs w:val="17"/>
                <w:color w:val="auto"/>
              </w:rPr>
            </w:pPr>
          </w:p>
        </w:tc>
        <w:tc>
          <w:tcPr>
            <w:tcW w:w="2600" w:type="dxa"/>
            <w:vAlign w:val="bottom"/>
            <w:gridSpan w:val="20"/>
          </w:tcPr>
          <w:p>
            <w:pPr>
              <w:spacing w:after="0"/>
              <w:rPr>
                <w:sz w:val="17"/>
                <w:szCs w:val="17"/>
                <w:color w:val="auto"/>
              </w:rPr>
            </w:pPr>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4.1.0</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 xml:space="preserve">Specimen certificate for shares of Common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par value per share of the Registrant.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10/7/2002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4.1.1</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Indenture, dated as of April 14, 2020, by and among Wynn Resorts Finance, LLC, and Wynn Resorts</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5/8/2020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37">
              <w:r>
                <w:rPr>
                  <w:rFonts w:ascii="Times New Roman" w:cs="Times New Roman" w:eastAsia="Times New Roman" w:hAnsi="Times New Roman"/>
                  <w:sz w:val="18"/>
                  <w:szCs w:val="18"/>
                  <w:color w:val="0000FF"/>
                  <w:w w:val="96"/>
                </w:rPr>
                <w:t>Association, as trustee.</w:t>
              </w:r>
            </w:hyperlink>
          </w:p>
        </w:tc>
        <w:tc>
          <w:tcPr>
            <w:tcW w:w="554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4.1.2</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Indenture, dated as of June 17, 2020, by and between Wynn Macau, Limited and Deutsche Bank Trust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8/6/2020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Company Americas, as trustee, related to senior notes due 2026.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4"/>
              </w:rPr>
              <w:t>4.1.3</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Indenture, dated as of August 26, 2020, by and between Wynn Macau, Limited and Deutsche Bank Trust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Company Americas, as trustee, related to senior notes due 2028.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4"/>
              </w:rPr>
              <w:t>4.1.4</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Supplemental Indenture, dated February 23, 2024, by and among Wynn Resorts Finance, LLC, and Wynn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2/23/2024</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Resorts Capital Corp., as joint and several obligors and the Guarantors named therein and U.S. Bank</w:t>
              </w:r>
            </w:hyperlink>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6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4.1.5</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September 20, 2024, by and among Wynn Resorts Finance, LLC, and Wynn Resorts</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9/20/2024</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41">
              <w:r>
                <w:rPr>
                  <w:rFonts w:ascii="Times New Roman" w:cs="Times New Roman" w:eastAsia="Times New Roman" w:hAnsi="Times New Roman"/>
                  <w:sz w:val="18"/>
                  <w:szCs w:val="18"/>
                  <w:color w:val="0000FF"/>
                  <w:w w:val="96"/>
                </w:rPr>
                <w:t>Association, as trustee.</w:t>
              </w:r>
            </w:hyperlink>
          </w:p>
        </w:tc>
        <w:tc>
          <w:tcPr>
            <w:tcW w:w="55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4.2</w:t>
            </w:r>
          </w:p>
        </w:tc>
        <w:tc>
          <w:tcPr>
            <w:tcW w:w="20" w:type="dxa"/>
            <w:vAlign w:val="bottom"/>
          </w:tcPr>
          <w:p>
            <w:pPr>
              <w:spacing w:after="0"/>
              <w:rPr>
                <w:sz w:val="17"/>
                <w:szCs w:val="17"/>
                <w:color w:val="auto"/>
              </w:rPr>
            </w:pPr>
          </w:p>
        </w:tc>
        <w:tc>
          <w:tcPr>
            <w:tcW w:w="2660" w:type="dxa"/>
            <w:vAlign w:val="bottom"/>
            <w:tcBorders>
              <w:bottom w:val="single" w:sz="8" w:color="0000FF"/>
            </w:tcBorders>
            <w:gridSpan w:val="5"/>
          </w:tcPr>
          <w:p>
            <w:pPr>
              <w:spacing w:after="0" w:line="204" w:lineRule="exact"/>
              <w:rPr>
                <w:rFonts w:ascii="Times New Roman" w:cs="Times New Roman" w:eastAsia="Times New Roman" w:hAnsi="Times New Roman"/>
                <w:sz w:val="18"/>
                <w:szCs w:val="18"/>
                <w:color w:val="0000FF"/>
                <w:w w:val="96"/>
              </w:rPr>
            </w:pPr>
            <w:hyperlink r:id="rId142">
              <w:r>
                <w:rPr>
                  <w:rFonts w:ascii="Times New Roman" w:cs="Times New Roman" w:eastAsia="Times New Roman" w:hAnsi="Times New Roman"/>
                  <w:sz w:val="18"/>
                  <w:szCs w:val="18"/>
                  <w:color w:val="0000FF"/>
                  <w:w w:val="96"/>
                </w:rPr>
                <w:t>Description of Registrant's Securities.</w:t>
              </w:r>
            </w:hyperlink>
          </w:p>
        </w:tc>
        <w:tc>
          <w:tcPr>
            <w:tcW w:w="5040" w:type="dxa"/>
            <w:vAlign w:val="bottom"/>
            <w:gridSpan w:val="26"/>
          </w:tcPr>
          <w:p>
            <w:pPr>
              <w:spacing w:after="0"/>
              <w:rPr>
                <w:sz w:val="17"/>
                <w:szCs w:val="17"/>
                <w:color w:val="auto"/>
              </w:rPr>
            </w:pPr>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2/23/2024</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4.3</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dated as of May 22, 2013,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5/22/2013</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Corp., the Guarantors named therein and U.S. Bank National Association, as trustee.</w:t>
              </w:r>
            </w:hyperlink>
          </w:p>
        </w:tc>
        <w:tc>
          <w:tcPr>
            <w:tcW w:w="116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4.4</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Supplemental Indenture, dated as of February 18, 2015, to Indenture, dated as of May 22, 2013, by and</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among Wynn Las Vegas, LLC, Wynn Las Vegas Capital Corp., the Guarantors named therein and U.S.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Bank National Association, as trustee.</w:t>
              </w:r>
            </w:hyperlink>
          </w:p>
        </w:tc>
        <w:tc>
          <w:tcPr>
            <w:tcW w:w="45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4.5</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Supplemental Indenture, dated as of March 20, 2018, to Indenture, dated as of May 22, 2013, by</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3/21/2018</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and among Wynn Las Vegas, LLC, Wynn Las Vegas Capital Corp., the guarantors party thereto and U.S.</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Bank National Association.</w:t>
              </w:r>
            </w:hyperlink>
          </w:p>
        </w:tc>
        <w:tc>
          <w:tcPr>
            <w:tcW w:w="5400" w:type="dxa"/>
            <w:vAlign w:val="bottom"/>
            <w:gridSpan w:val="24"/>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4.6</w:t>
            </w:r>
          </w:p>
        </w:tc>
        <w:tc>
          <w:tcPr>
            <w:tcW w:w="20" w:type="dxa"/>
            <w:vAlign w:val="bottom"/>
          </w:tcPr>
          <w:p>
            <w:pPr>
              <w:spacing w:after="0"/>
              <w:rPr>
                <w:sz w:val="17"/>
                <w:szCs w:val="17"/>
                <w:color w:val="auto"/>
              </w:rPr>
            </w:pPr>
          </w:p>
        </w:tc>
        <w:tc>
          <w:tcPr>
            <w:tcW w:w="7700" w:type="dxa"/>
            <w:vAlign w:val="bottom"/>
            <w:gridSpan w:val="31"/>
          </w:tcPr>
          <w:p>
            <w:pPr>
              <w:spacing w:after="0" w:line="20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dated as of February 18, 2015,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2/18/2015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Corp., the Guarantors named therein and U.S. Bank National Association, as trustee.</w:t>
              </w:r>
            </w:hyperlink>
          </w:p>
        </w:tc>
        <w:tc>
          <w:tcPr>
            <w:tcW w:w="1460" w:type="dxa"/>
            <w:vAlign w:val="bottom"/>
            <w:tcBorders>
              <w:top w:val="single" w:sz="8" w:color="0000FF"/>
            </w:tcBorders>
            <w:gridSpan w:val="17"/>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4.7</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Indenture, dated as of May 11, 2017, by and among Wynn Las Vegas, LLC, Wynn Las Vegas Capital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5/11/2017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Corp., the Guarantors named therein and U.S. Bank National Association, as trustee.</w:t>
              </w:r>
            </w:hyperlink>
          </w:p>
        </w:tc>
        <w:tc>
          <w:tcPr>
            <w:tcW w:w="1140" w:type="dxa"/>
            <w:vAlign w:val="bottom"/>
            <w:tcBorders>
              <w:top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6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4.8</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Trust Company Americas, as trustee, relating to senior notes due 2024.</w:t>
              </w:r>
            </w:hyperlink>
          </w:p>
        </w:tc>
        <w:tc>
          <w:tcPr>
            <w:tcW w:w="2260" w:type="dxa"/>
            <w:vAlign w:val="bottom"/>
            <w:tcBorders>
              <w:top w:val="single" w:sz="8" w:color="0000FF"/>
            </w:tcBorders>
            <w:gridSpan w:val="13"/>
          </w:tcPr>
          <w:p>
            <w:pPr>
              <w:spacing w:after="0"/>
              <w:rPr>
                <w:sz w:val="13"/>
                <w:szCs w:val="13"/>
                <w:color w:val="auto"/>
              </w:rPr>
            </w:pPr>
          </w:p>
        </w:tc>
        <w:tc>
          <w:tcPr>
            <w:tcW w:w="46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Trust Company Americas, as trustee, relating to senior notes due 2027.</w:t>
              </w:r>
            </w:hyperlink>
          </w:p>
        </w:tc>
        <w:tc>
          <w:tcPr>
            <w:tcW w:w="2260" w:type="dxa"/>
            <w:vAlign w:val="bottom"/>
            <w:tcBorders>
              <w:top w:val="single" w:sz="8" w:color="0000FF"/>
            </w:tcBorders>
            <w:gridSpan w:val="13"/>
          </w:tcPr>
          <w:p>
            <w:pPr>
              <w:spacing w:after="0"/>
              <w:rPr>
                <w:sz w:val="13"/>
                <w:szCs w:val="13"/>
                <w:color w:val="auto"/>
              </w:rPr>
            </w:pPr>
          </w:p>
        </w:tc>
        <w:tc>
          <w:tcPr>
            <w:tcW w:w="46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4.10</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Indenture, dated as of December 17, 2019,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Trust Company Americas, as trustee, related to senior notes due 2029.</w:t>
              </w:r>
            </w:hyperlink>
          </w:p>
        </w:tc>
        <w:tc>
          <w:tcPr>
            <w:tcW w:w="2260" w:type="dxa"/>
            <w:vAlign w:val="bottom"/>
            <w:tcBorders>
              <w:top w:val="single" w:sz="8" w:color="0000FF"/>
            </w:tcBorders>
            <w:gridSpan w:val="11"/>
          </w:tcPr>
          <w:p>
            <w:pPr>
              <w:spacing w:after="0"/>
              <w:rPr>
                <w:sz w:val="13"/>
                <w:szCs w:val="13"/>
                <w:color w:val="auto"/>
              </w:rPr>
            </w:pPr>
          </w:p>
        </w:tc>
        <w:tc>
          <w:tcPr>
            <w:tcW w:w="520" w:type="dxa"/>
            <w:vAlign w:val="bottom"/>
            <w:gridSpan w:val="11"/>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4.11</w:t>
            </w:r>
          </w:p>
        </w:tc>
        <w:tc>
          <w:tcPr>
            <w:tcW w:w="20" w:type="dxa"/>
            <w:vAlign w:val="bottom"/>
          </w:tcPr>
          <w:p>
            <w:pPr>
              <w:spacing w:after="0"/>
              <w:rPr>
                <w:sz w:val="18"/>
                <w:szCs w:val="18"/>
                <w:color w:val="auto"/>
              </w:rPr>
            </w:pPr>
          </w:p>
        </w:tc>
        <w:tc>
          <w:tcPr>
            <w:tcW w:w="7700" w:type="dxa"/>
            <w:vAlign w:val="bottom"/>
            <w:gridSpan w:val="31"/>
          </w:tcPr>
          <w:p>
            <w:pPr>
              <w:spacing w:after="0"/>
              <w:rPr>
                <w:rFonts w:ascii="Times New Roman" w:cs="Times New Roman" w:eastAsia="Times New Roman" w:hAnsi="Times New Roman"/>
                <w:sz w:val="18"/>
                <w:szCs w:val="18"/>
                <w:u w:val="single" w:color="auto"/>
                <w:color w:val="0000FF"/>
                <w:w w:val="99"/>
              </w:rPr>
            </w:pPr>
            <w:hyperlink r:id="rId151">
              <w:r>
                <w:rPr>
                  <w:rFonts w:ascii="Times New Roman" w:cs="Times New Roman" w:eastAsia="Times New Roman" w:hAnsi="Times New Roman"/>
                  <w:sz w:val="18"/>
                  <w:szCs w:val="18"/>
                  <w:u w:val="single" w:color="auto"/>
                  <w:color w:val="0000FF"/>
                  <w:w w:val="99"/>
                </w:rPr>
                <w:t>Indenture, dated as of September 20, 2019, by and among Wynn Resorts Finance, LLC, and Wynn Resorts</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11/6/2019</w:t>
            </w:r>
          </w:p>
        </w:tc>
        <w:tc>
          <w:tcPr>
            <w:tcW w:w="0" w:type="dxa"/>
            <w:vAlign w:val="bottom"/>
          </w:tcPr>
          <w:p>
            <w:pPr>
              <w:spacing w:after="0"/>
              <w:rPr>
                <w:sz w:val="1"/>
                <w:szCs w:val="1"/>
                <w:color w:val="auto"/>
              </w:rPr>
            </w:pPr>
          </w:p>
        </w:tc>
      </w:tr>
    </w:tbl>
    <w:p>
      <w:pPr>
        <w:ind w:left="1300" w:right="2760"/>
        <w:spacing w:after="0" w:line="227"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Capital Corp., as joint and several obligors and the Guarantors named therein and U.S. Bank National</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Association, as trustee.</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5"/>
              </w:rPr>
              <w:t>4.12</w:t>
            </w:r>
          </w:p>
        </w:tc>
        <w:tc>
          <w:tcPr>
            <w:tcW w:w="7720" w:type="dxa"/>
            <w:vAlign w:val="bottom"/>
            <w:gridSpan w:val="4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Indenture, dated as of February 16, 2023, by and among Wynn Resorts Finance, LLC, and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2/16/202</w:t>
            </w:r>
          </w:p>
        </w:tc>
      </w:tr>
      <w:tr>
        <w:trPr>
          <w:trHeight w:val="151"/>
        </w:trPr>
        <w:tc>
          <w:tcPr>
            <w:tcW w:w="940" w:type="dxa"/>
            <w:vAlign w:val="bottom"/>
          </w:tcPr>
          <w:p>
            <w:pPr>
              <w:spacing w:after="0"/>
              <w:rPr>
                <w:sz w:val="13"/>
                <w:szCs w:val="13"/>
                <w:color w:val="auto"/>
              </w:rPr>
            </w:pPr>
          </w:p>
        </w:tc>
        <w:tc>
          <w:tcPr>
            <w:tcW w:w="738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53">
              <w:r>
                <w:rPr>
                  <w:rFonts w:ascii="Times New Roman" w:cs="Times New Roman" w:eastAsia="Times New Roman" w:hAnsi="Times New Roman"/>
                  <w:sz w:val="18"/>
                  <w:szCs w:val="18"/>
                  <w:color w:val="0000FF"/>
                  <w:w w:val="96"/>
                </w:rPr>
                <w:t>Association, as trustee.</w:t>
              </w:r>
            </w:hyperlink>
          </w:p>
        </w:tc>
        <w:tc>
          <w:tcPr>
            <w:tcW w:w="552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392"/>
              <w:spacing w:after="0" w:line="204" w:lineRule="exact"/>
              <w:rPr>
                <w:sz w:val="20"/>
                <w:szCs w:val="20"/>
                <w:color w:val="auto"/>
              </w:rPr>
            </w:pPr>
            <w:r>
              <w:rPr>
                <w:rFonts w:ascii="Times New Roman" w:cs="Times New Roman" w:eastAsia="Times New Roman" w:hAnsi="Times New Roman"/>
                <w:sz w:val="18"/>
                <w:szCs w:val="18"/>
                <w:color w:val="auto"/>
                <w:w w:val="95"/>
              </w:rPr>
              <w:t>4.13</w:t>
            </w:r>
          </w:p>
        </w:tc>
        <w:tc>
          <w:tcPr>
            <w:tcW w:w="7220" w:type="dxa"/>
            <w:vAlign w:val="bottom"/>
            <w:tcBorders>
              <w:bottom w:val="single" w:sz="8" w:color="0000FF"/>
            </w:tcBorders>
            <w:gridSpan w:val="25"/>
          </w:tcPr>
          <w:p>
            <w:pPr>
              <w:spacing w:after="0" w:line="204" w:lineRule="exact"/>
              <w:rPr>
                <w:rFonts w:ascii="Times New Roman" w:cs="Times New Roman" w:eastAsia="Times New Roman" w:hAnsi="Times New Roman"/>
                <w:sz w:val="18"/>
                <w:szCs w:val="18"/>
                <w:color w:val="0000FF"/>
                <w:w w:val="96"/>
              </w:rPr>
            </w:pPr>
            <w:hyperlink r:id="rId154">
              <w:r>
                <w:rPr>
                  <w:rFonts w:ascii="Times New Roman" w:cs="Times New Roman" w:eastAsia="Times New Roman" w:hAnsi="Times New Roman"/>
                  <w:sz w:val="18"/>
                  <w:szCs w:val="18"/>
                  <w:color w:val="0000FF"/>
                  <w:w w:val="96"/>
                </w:rPr>
                <w:t>Trust Deed, dated as of March 7, 2023, by and between Wynn Macau, Limited and DB Trustees (Hong</w:t>
              </w:r>
            </w:hyperlink>
          </w:p>
        </w:tc>
        <w:tc>
          <w:tcPr>
            <w:tcW w:w="500" w:type="dxa"/>
            <w:vAlign w:val="bottom"/>
            <w:gridSpan w:val="16"/>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3/7/2023</w:t>
            </w:r>
          </w:p>
        </w:tc>
      </w:tr>
      <w:tr>
        <w:trPr>
          <w:trHeight w:val="151"/>
        </w:trPr>
        <w:tc>
          <w:tcPr>
            <w:tcW w:w="94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Kong) Limited, as trustee, relating to convertible bonds due 2029 convertible into ordinary shares of Wynn</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116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Macau, Limited.</w:t>
              </w:r>
            </w:hyperlink>
          </w:p>
        </w:tc>
        <w:tc>
          <w:tcPr>
            <w:tcW w:w="6400" w:type="dxa"/>
            <w:vAlign w:val="bottom"/>
            <w:tcBorders>
              <w:top w:val="single" w:sz="8" w:color="0000FF"/>
            </w:tcBorders>
            <w:gridSpan w:val="39"/>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392"/>
              <w:spacing w:after="0" w:line="204" w:lineRule="exact"/>
              <w:rPr>
                <w:sz w:val="20"/>
                <w:szCs w:val="20"/>
                <w:color w:val="auto"/>
              </w:rPr>
            </w:pPr>
            <w:r>
              <w:rPr>
                <w:rFonts w:ascii="Times New Roman" w:cs="Times New Roman" w:eastAsia="Times New Roman" w:hAnsi="Times New Roman"/>
                <w:sz w:val="18"/>
                <w:szCs w:val="18"/>
                <w:color w:val="auto"/>
                <w:w w:val="95"/>
              </w:rPr>
              <w:t>4.14</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Agency Agreement, dated as of March 7, 2023, by and between Wynn Macau, Limited, DB Trustees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3/7/2023</w:t>
            </w:r>
          </w:p>
        </w:tc>
      </w:tr>
      <w:tr>
        <w:trPr>
          <w:trHeight w:val="151"/>
        </w:trPr>
        <w:tc>
          <w:tcPr>
            <w:tcW w:w="940" w:type="dxa"/>
            <w:vAlign w:val="bottom"/>
          </w:tcPr>
          <w:p>
            <w:pPr>
              <w:spacing w:after="0"/>
              <w:rPr>
                <w:sz w:val="13"/>
                <w:szCs w:val="13"/>
                <w:color w:val="auto"/>
              </w:rPr>
            </w:pPr>
          </w:p>
        </w:tc>
        <w:tc>
          <w:tcPr>
            <w:tcW w:w="70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(Hong Kong) Limited, as trustee, and Deutsche Bank Trust Company Americas, as principal paying</w:t>
              </w:r>
            </w:hyperlink>
          </w:p>
        </w:tc>
        <w:tc>
          <w:tcPr>
            <w:tcW w:w="640" w:type="dxa"/>
            <w:vAlign w:val="bottom"/>
            <w:gridSpan w:val="23"/>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agent,</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20" w:type="dxa"/>
            <w:vAlign w:val="bottom"/>
            <w:tcBorders>
              <w:top w:val="single" w:sz="8" w:color="0000FF"/>
            </w:tcBorders>
            <w:gridSpan w:val="38"/>
          </w:tcPr>
          <w:p>
            <w:pPr>
              <w:spacing w:after="0" w:line="164"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principal conversion agent, transfer agent and registrar, relating to convertible bonds due 2029 convertible</w:t>
              </w:r>
            </w:hyperlink>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940" w:type="dxa"/>
            <w:vAlign w:val="bottom"/>
          </w:tcPr>
          <w:p>
            <w:pPr>
              <w:spacing w:after="0"/>
              <w:rPr>
                <w:sz w:val="13"/>
                <w:szCs w:val="13"/>
                <w:color w:val="auto"/>
              </w:rPr>
            </w:pPr>
          </w:p>
        </w:tc>
        <w:tc>
          <w:tcPr>
            <w:tcW w:w="748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into ordinary shares of Wynn Macau, Limited.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392"/>
              <w:spacing w:after="0" w:line="204" w:lineRule="exact"/>
              <w:rPr>
                <w:sz w:val="20"/>
                <w:szCs w:val="20"/>
                <w:color w:val="auto"/>
              </w:rPr>
            </w:pPr>
            <w:r>
              <w:rPr>
                <w:rFonts w:ascii="Times New Roman" w:cs="Times New Roman" w:eastAsia="Times New Roman" w:hAnsi="Times New Roman"/>
                <w:sz w:val="18"/>
                <w:szCs w:val="18"/>
                <w:color w:val="auto"/>
                <w:w w:val="95"/>
              </w:rPr>
              <w:t>4.15</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September 20, 2024, by and among Wynn Resorts Finance, LLC, and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9/20/202</w:t>
            </w:r>
          </w:p>
        </w:tc>
      </w:tr>
      <w:tr>
        <w:trPr>
          <w:trHeight w:val="151"/>
        </w:trPr>
        <w:tc>
          <w:tcPr>
            <w:tcW w:w="940" w:type="dxa"/>
            <w:vAlign w:val="bottom"/>
          </w:tcPr>
          <w:p>
            <w:pPr>
              <w:spacing w:after="0"/>
              <w:rPr>
                <w:sz w:val="13"/>
                <w:szCs w:val="13"/>
                <w:color w:val="auto"/>
              </w:rPr>
            </w:pPr>
          </w:p>
        </w:tc>
        <w:tc>
          <w:tcPr>
            <w:tcW w:w="712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140" w:type="dxa"/>
            <w:vAlign w:val="bottom"/>
            <w:tcBorders>
              <w:top w:val="single" w:sz="8" w:color="0000FF"/>
            </w:tcBorders>
            <w:gridSpan w:val="21"/>
          </w:tcPr>
          <w:p>
            <w:pPr>
              <w:spacing w:after="0" w:line="16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Association, as trustee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392"/>
              <w:spacing w:after="0" w:line="204" w:lineRule="exact"/>
              <w:rPr>
                <w:sz w:val="20"/>
                <w:szCs w:val="20"/>
                <w:color w:val="auto"/>
              </w:rPr>
            </w:pPr>
            <w:r>
              <w:rPr>
                <w:rFonts w:ascii="Times New Roman" w:cs="Times New Roman" w:eastAsia="Times New Roman" w:hAnsi="Times New Roman"/>
                <w:sz w:val="18"/>
                <w:szCs w:val="18"/>
                <w:color w:val="auto"/>
                <w:w w:val="95"/>
              </w:rPr>
              <w:t>4.16</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Indenture, dated as of August 19, 2025, by and between Wynn Macau, Limited and Deutsche Bank Trust</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8/19/202</w:t>
            </w:r>
          </w:p>
        </w:tc>
      </w:tr>
      <w:tr>
        <w:trPr>
          <w:trHeight w:val="151"/>
        </w:trPr>
        <w:tc>
          <w:tcPr>
            <w:tcW w:w="940" w:type="dxa"/>
            <w:vAlign w:val="bottom"/>
          </w:tcPr>
          <w:p>
            <w:pPr>
              <w:spacing w:after="0"/>
              <w:rPr>
                <w:sz w:val="13"/>
                <w:szCs w:val="13"/>
                <w:color w:val="auto"/>
              </w:rPr>
            </w:pPr>
          </w:p>
        </w:tc>
        <w:tc>
          <w:tcPr>
            <w:tcW w:w="736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Company Americas, as trustee, related to the senior notes due 2034.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10.1.0</w:t>
            </w:r>
          </w:p>
        </w:tc>
        <w:tc>
          <w:tcPr>
            <w:tcW w:w="7720" w:type="dxa"/>
            <w:vAlign w:val="bottom"/>
            <w:gridSpan w:val="4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Credit Agreement, dated as of September 20, 2019, by and among Wynn Resorts Finance, LLC, as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940" w:type="dxa"/>
            <w:vAlign w:val="bottom"/>
          </w:tcPr>
          <w:p>
            <w:pPr>
              <w:spacing w:after="0"/>
              <w:rPr>
                <w:sz w:val="13"/>
                <w:szCs w:val="13"/>
                <w:color w:val="auto"/>
              </w:rPr>
            </w:pPr>
          </w:p>
        </w:tc>
        <w:tc>
          <w:tcPr>
            <w:tcW w:w="692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borrower, the subsidiaries of borrower party hereto, as guarantors, Deutsche Bank AG New York</w:t>
              </w:r>
            </w:hyperlink>
          </w:p>
        </w:tc>
        <w:tc>
          <w:tcPr>
            <w:tcW w:w="800" w:type="dxa"/>
            <w:vAlign w:val="bottom"/>
            <w:gridSpan w:val="25"/>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Branch,</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420" w:type="dxa"/>
            <w:vAlign w:val="bottom"/>
            <w:tcBorders>
              <w:top w:val="single" w:sz="8" w:color="0000FF"/>
            </w:tcBorders>
            <w:gridSpan w:val="33"/>
          </w:tcPr>
          <w:p>
            <w:pPr>
              <w:spacing w:after="0" w:line="16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as administrative agent and as collateral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10.1.1</w:t>
            </w:r>
          </w:p>
        </w:tc>
        <w:tc>
          <w:tcPr>
            <w:tcW w:w="7400" w:type="dxa"/>
            <w:vAlign w:val="bottom"/>
            <w:tcBorders>
              <w:bottom w:val="single" w:sz="8" w:color="0000FF"/>
            </w:tcBorders>
            <w:gridSpan w:val="32"/>
          </w:tcPr>
          <w:p>
            <w:pPr>
              <w:spacing w:after="0" w:line="204"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Incremental Joinder Agreement No. 1, dated as of March 8, 2019, by and among Wynn Resorts, Limited,</w:t>
              </w:r>
            </w:hyperlink>
          </w:p>
        </w:tc>
        <w:tc>
          <w:tcPr>
            <w:tcW w:w="320" w:type="dxa"/>
            <w:vAlign w:val="bottom"/>
            <w:gridSpan w:val="9"/>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5/9/2019</w:t>
            </w:r>
          </w:p>
        </w:tc>
      </w:tr>
      <w:tr>
        <w:trPr>
          <w:trHeight w:val="151"/>
        </w:trPr>
        <w:tc>
          <w:tcPr>
            <w:tcW w:w="94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as borrower, Wynn Group Asia, Inc. and Wynn Resorts Holdings, LLC, as Guarantors, and Deutsche Bank</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40" w:type="dxa"/>
            <w:vAlign w:val="bottom"/>
            <w:tcBorders>
              <w:top w:val="single" w:sz="8" w:color="0000FF"/>
            </w:tcBorders>
            <w:gridSpan w:val="39"/>
          </w:tcPr>
          <w:p>
            <w:pPr>
              <w:spacing w:after="0" w:line="16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 New York Branch, as administrative agent.</w:t>
              </w:r>
            </w:hyperlink>
          </w:p>
        </w:tc>
        <w:tc>
          <w:tcPr>
            <w:tcW w:w="18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10.1.2</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Credit Agreement, dated as of April 10, 2020, by and among Wynn Resorts Finance,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5/8/2020</w:t>
            </w:r>
          </w:p>
        </w:tc>
      </w:tr>
      <w:tr>
        <w:trPr>
          <w:trHeight w:val="151"/>
        </w:trPr>
        <w:tc>
          <w:tcPr>
            <w:tcW w:w="94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860" w:type="dxa"/>
            <w:vAlign w:val="bottom"/>
            <w:tcBorders>
              <w:bottom w:val="single" w:sz="8" w:color="0000FF"/>
            </w:tcBorders>
            <w:gridSpan w:val="12"/>
          </w:tcPr>
          <w:p>
            <w:pPr>
              <w:spacing w:after="0" w:line="164"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Branch, as administrative agent and as collateral agent.</w:t>
              </w:r>
            </w:hyperlink>
          </w:p>
        </w:tc>
        <w:tc>
          <w:tcPr>
            <w:tcW w:w="358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10.1.3</w:t>
            </w:r>
          </w:p>
        </w:tc>
        <w:tc>
          <w:tcPr>
            <w:tcW w:w="7100" w:type="dxa"/>
            <w:vAlign w:val="bottom"/>
            <w:tcBorders>
              <w:bottom w:val="single" w:sz="8" w:color="0000FF"/>
            </w:tcBorders>
            <w:gridSpan w:val="19"/>
          </w:tcPr>
          <w:p>
            <w:pPr>
              <w:spacing w:after="0" w:line="204" w:lineRule="exact"/>
              <w:rPr>
                <w:rFonts w:ascii="Times New Roman" w:cs="Times New Roman" w:eastAsia="Times New Roman" w:hAnsi="Times New Roman"/>
                <w:sz w:val="18"/>
                <w:szCs w:val="18"/>
                <w:color w:val="0000FF"/>
                <w:w w:val="96"/>
              </w:rPr>
            </w:pPr>
            <w:hyperlink r:id="rId160">
              <w:r>
                <w:rPr>
                  <w:rFonts w:ascii="Times New Roman" w:cs="Times New Roman" w:eastAsia="Times New Roman" w:hAnsi="Times New Roman"/>
                  <w:sz w:val="18"/>
                  <w:szCs w:val="18"/>
                  <w:color w:val="0000FF"/>
                  <w:w w:val="96"/>
                </w:rPr>
                <w:t>First Amendment to Term Loan Agreement, dated as of May 5, 2020, by and among Wynn/CA Plaza</w:t>
              </w:r>
            </w:hyperlink>
          </w:p>
        </w:tc>
        <w:tc>
          <w:tcPr>
            <w:tcW w:w="620" w:type="dxa"/>
            <w:vAlign w:val="bottom"/>
            <w:gridSpan w:val="22"/>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8/6/2020</w:t>
            </w:r>
          </w:p>
        </w:tc>
      </w:tr>
      <w:tr>
        <w:trPr>
          <w:trHeight w:val="151"/>
        </w:trPr>
        <w:tc>
          <w:tcPr>
            <w:tcW w:w="94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Property Owner, LLC and Wynn/CA Property Owner, LLC, as borrowers, United Overseas Bank Limited,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00" w:type="dxa"/>
            <w:vAlign w:val="bottom"/>
            <w:tcBorders>
              <w:top w:val="single" w:sz="8" w:color="0000FF"/>
            </w:tcBorders>
            <w:gridSpan w:val="37"/>
          </w:tcPr>
          <w:p>
            <w:pPr>
              <w:spacing w:after="0" w:line="16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New York Agency, as administrative agent, and the lenders party thereto.</w:t>
              </w:r>
            </w:hyperlink>
          </w:p>
        </w:tc>
        <w:tc>
          <w:tcPr>
            <w:tcW w:w="22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10.1.4</w:t>
            </w:r>
          </w:p>
        </w:tc>
        <w:tc>
          <w:tcPr>
            <w:tcW w:w="7200" w:type="dxa"/>
            <w:vAlign w:val="bottom"/>
            <w:tcBorders>
              <w:bottom w:val="single" w:sz="8" w:color="0000FF"/>
            </w:tcBorders>
            <w:gridSpan w:val="24"/>
          </w:tcPr>
          <w:p>
            <w:pPr>
              <w:spacing w:after="0" w:line="204"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Amendment No. 2 to Credit Agreement, dated as of November 27, 2020, by and among Wynn Resorts</w:t>
              </w:r>
            </w:hyperlink>
          </w:p>
        </w:tc>
        <w:tc>
          <w:tcPr>
            <w:tcW w:w="520" w:type="dxa"/>
            <w:vAlign w:val="bottom"/>
            <w:gridSpan w:val="17"/>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94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Finance, LLC, as borrower, the subsidiaries of borrower party hereto, as guarantors, Deutsche Bank AG</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6"/>
          </w:tcPr>
          <w:p>
            <w:pPr>
              <w:spacing w:after="0" w:line="164" w:lineRule="exact"/>
              <w:rPr>
                <w:rFonts w:ascii="Times New Roman" w:cs="Times New Roman" w:eastAsia="Times New Roman" w:hAnsi="Times New Roman"/>
                <w:sz w:val="18"/>
                <w:szCs w:val="18"/>
                <w:color w:val="0000FF"/>
                <w:w w:val="96"/>
              </w:rPr>
            </w:pPr>
            <w:hyperlink r:id="rId161">
              <w:r>
                <w:rPr>
                  <w:rFonts w:ascii="Times New Roman" w:cs="Times New Roman" w:eastAsia="Times New Roman" w:hAnsi="Times New Roman"/>
                  <w:sz w:val="18"/>
                  <w:szCs w:val="18"/>
                  <w:color w:val="0000FF"/>
                  <w:w w:val="96"/>
                </w:rPr>
                <w:t>New York Branch, as administrative agent.</w:t>
              </w:r>
            </w:hyperlink>
          </w:p>
        </w:tc>
        <w:tc>
          <w:tcPr>
            <w:tcW w:w="42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260" w:type="dxa"/>
            <w:vAlign w:val="bottom"/>
            <w:gridSpan w:val="6"/>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10.1.5</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3 to Credit Agreement, dated as of May 17, 2023, by and among Wynn Resorts Finance,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5/17/202</w:t>
            </w:r>
          </w:p>
        </w:tc>
      </w:tr>
      <w:tr>
        <w:trPr>
          <w:trHeight w:val="151"/>
        </w:trPr>
        <w:tc>
          <w:tcPr>
            <w:tcW w:w="940" w:type="dxa"/>
            <w:vAlign w:val="bottom"/>
          </w:tcPr>
          <w:p>
            <w:pPr>
              <w:spacing w:after="0"/>
              <w:rPr>
                <w:sz w:val="13"/>
                <w:szCs w:val="13"/>
                <w:color w:val="auto"/>
              </w:rPr>
            </w:pPr>
          </w:p>
        </w:tc>
        <w:tc>
          <w:tcPr>
            <w:tcW w:w="7460" w:type="dxa"/>
            <w:vAlign w:val="bottom"/>
            <w:tcBorders>
              <w:top w:val="single" w:sz="8" w:color="0000FF"/>
            </w:tcBorders>
            <w:gridSpan w:val="35"/>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26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440" w:type="dxa"/>
            <w:vAlign w:val="bottom"/>
            <w:tcBorders>
              <w:top w:val="single" w:sz="8" w:color="0000FF"/>
            </w:tcBorders>
            <w:gridSpan w:val="34"/>
          </w:tcPr>
          <w:p>
            <w:pPr>
              <w:spacing w:after="0" w:line="16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Branch, as administrative agent.</w:t>
              </w:r>
            </w:hyperlink>
          </w:p>
        </w:tc>
        <w:tc>
          <w:tcPr>
            <w:tcW w:w="280" w:type="dxa"/>
            <w:vAlign w:val="bottom"/>
            <w:gridSpan w:val="7"/>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10.1.6</w:t>
            </w:r>
          </w:p>
        </w:tc>
        <w:tc>
          <w:tcPr>
            <w:tcW w:w="7060" w:type="dxa"/>
            <w:vAlign w:val="bottom"/>
            <w:tcBorders>
              <w:bottom w:val="single" w:sz="8" w:color="0000FF"/>
            </w:tcBorders>
            <w:gridSpan w:val="17"/>
          </w:tcPr>
          <w:p>
            <w:pPr>
              <w:spacing w:after="0" w:line="204" w:lineRule="exact"/>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Exhibit A to Amendment No. 3 - Credit Agreement, dated as of September 20, 2019 (as amended by</w:t>
              </w:r>
            </w:hyperlink>
          </w:p>
        </w:tc>
        <w:tc>
          <w:tcPr>
            <w:tcW w:w="660" w:type="dxa"/>
            <w:vAlign w:val="bottom"/>
            <w:gridSpan w:val="24"/>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5/17/202</w:t>
            </w:r>
          </w:p>
        </w:tc>
      </w:tr>
      <w:tr>
        <w:trPr>
          <w:trHeight w:val="151"/>
        </w:trPr>
        <w:tc>
          <w:tcPr>
            <w:tcW w:w="94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Amendment No. 1 dated as of April 10, 2020, Amendment No. 2 dated as of November 27, 2020, and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22"/>
          </w:tcPr>
          <w:p>
            <w:pPr>
              <w:spacing w:after="0" w:line="164" w:lineRule="exact"/>
              <w:rPr>
                <w:rFonts w:ascii="Times New Roman" w:cs="Times New Roman" w:eastAsia="Times New Roman" w:hAnsi="Times New Roman"/>
                <w:sz w:val="18"/>
                <w:szCs w:val="18"/>
                <w:color w:val="0000FF"/>
                <w:w w:val="95"/>
              </w:rPr>
            </w:pPr>
            <w:hyperlink r:id="rId163">
              <w:r>
                <w:rPr>
                  <w:rFonts w:ascii="Times New Roman" w:cs="Times New Roman" w:eastAsia="Times New Roman" w:hAnsi="Times New Roman"/>
                  <w:sz w:val="18"/>
                  <w:szCs w:val="18"/>
                  <w:color w:val="0000FF"/>
                  <w:w w:val="95"/>
                </w:rPr>
                <w:t>Amendment No. 3 dated as of May 17, 2023), by and among Wynn Resorts Finance, LLC, as borrower,</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0" w:type="dxa"/>
            <w:vAlign w:val="bottom"/>
            <w:gridSpan w:val="1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940" w:type="dxa"/>
            <w:vAlign w:val="bottom"/>
          </w:tcPr>
          <w:p>
            <w:pPr>
              <w:spacing w:after="0"/>
              <w:rPr>
                <w:sz w:val="13"/>
                <w:szCs w:val="13"/>
                <w:color w:val="auto"/>
              </w:rPr>
            </w:pPr>
          </w:p>
        </w:tc>
        <w:tc>
          <w:tcPr>
            <w:tcW w:w="7260" w:type="dxa"/>
            <w:vAlign w:val="bottom"/>
            <w:gridSpan w:val="26"/>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the subsidiaries of borrower party hereto, as guarantors, Deutsche Bank AG New York Branch,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1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administrative agent and as collateral agent.</w:t>
              </w:r>
            </w:hyperlink>
          </w:p>
        </w:tc>
        <w:tc>
          <w:tcPr>
            <w:tcW w:w="3780" w:type="dxa"/>
            <w:vAlign w:val="bottom"/>
            <w:tcBorders>
              <w:top w:val="single" w:sz="8" w:color="0000FF"/>
            </w:tcBorders>
            <w:gridSpan w:val="8"/>
          </w:tcPr>
          <w:p>
            <w:pPr>
              <w:spacing w:after="0"/>
              <w:rPr>
                <w:sz w:val="13"/>
                <w:szCs w:val="13"/>
                <w:color w:val="auto"/>
              </w:rPr>
            </w:pPr>
          </w:p>
        </w:tc>
        <w:tc>
          <w:tcPr>
            <w:tcW w:w="320" w:type="dxa"/>
            <w:vAlign w:val="bottom"/>
            <w:gridSpan w:val="8"/>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1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10.1.7</w:t>
            </w:r>
          </w:p>
        </w:tc>
        <w:tc>
          <w:tcPr>
            <w:tcW w:w="7720" w:type="dxa"/>
            <w:vAlign w:val="bottom"/>
            <w:gridSpan w:val="4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Concession Extension Contract for the Operation of Games of Chance or Other Games in Casinos in the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8/9/2022</w:t>
            </w:r>
          </w:p>
        </w:tc>
      </w:tr>
      <w:tr>
        <w:trPr>
          <w:trHeight w:val="151"/>
        </w:trPr>
        <w:tc>
          <w:tcPr>
            <w:tcW w:w="940" w:type="dxa"/>
            <w:vAlign w:val="bottom"/>
          </w:tcPr>
          <w:p>
            <w:pPr>
              <w:spacing w:after="0"/>
              <w:rPr>
                <w:sz w:val="13"/>
                <w:szCs w:val="13"/>
                <w:color w:val="auto"/>
              </w:rPr>
            </w:pPr>
          </w:p>
        </w:tc>
        <w:tc>
          <w:tcPr>
            <w:tcW w:w="732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Macau Special Administrative Region, dated June 23, 2022, between the Macau Special Administrative</w:t>
              </w:r>
            </w:hyperlink>
          </w:p>
        </w:tc>
        <w:tc>
          <w:tcPr>
            <w:tcW w:w="400" w:type="dxa"/>
            <w:vAlign w:val="bottom"/>
            <w:gridSpan w:val="1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280" w:type="dxa"/>
            <w:vAlign w:val="bottom"/>
            <w:tcBorders>
              <w:top w:val="single" w:sz="8" w:color="0000FF"/>
            </w:tcBorders>
            <w:gridSpan w:val="27"/>
          </w:tcPr>
          <w:p>
            <w:pPr>
              <w:spacing w:after="0" w:line="16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Region and Wynn Resorts (Macau), S.A.</w:t>
              </w:r>
            </w:hyperlink>
          </w:p>
        </w:tc>
        <w:tc>
          <w:tcPr>
            <w:tcW w:w="440" w:type="dxa"/>
            <w:vAlign w:val="bottom"/>
            <w:gridSpan w:val="1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54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10.1.8</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Lease, dated as of December 1, 2022 by and among EBH MA Property, LLC, MDC Encore Holdings,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12/1/202</w:t>
            </w:r>
          </w:p>
        </w:tc>
      </w:tr>
      <w:tr>
        <w:trPr>
          <w:trHeight w:val="151"/>
        </w:trPr>
        <w:tc>
          <w:tcPr>
            <w:tcW w:w="940" w:type="dxa"/>
            <w:vAlign w:val="bottom"/>
          </w:tcPr>
          <w:p>
            <w:pPr>
              <w:spacing w:after="0"/>
              <w:rPr>
                <w:sz w:val="13"/>
                <w:szCs w:val="13"/>
                <w:color w:val="auto"/>
              </w:rPr>
            </w:pPr>
          </w:p>
        </w:tc>
        <w:tc>
          <w:tcPr>
            <w:tcW w:w="718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LLC, Wynn MA, LLC and Everett Property, LLC.</w:t>
              </w:r>
            </w:hyperlink>
          </w:p>
        </w:tc>
        <w:tc>
          <w:tcPr>
            <w:tcW w:w="540" w:type="dxa"/>
            <w:vAlign w:val="bottom"/>
            <w:gridSpan w:val="18"/>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gridSpan w:val="11"/>
            <w:shd w:val="clear" w:color="auto" w:fill="0000FF"/>
          </w:tcPr>
          <w:p>
            <w:pPr>
              <w:spacing w:after="0" w:line="20" w:lineRule="exact"/>
              <w:rPr>
                <w:sz w:val="1"/>
                <w:szCs w:val="1"/>
                <w:color w:val="auto"/>
              </w:rPr>
            </w:pPr>
          </w:p>
        </w:tc>
        <w:tc>
          <w:tcPr>
            <w:tcW w:w="4200" w:type="dxa"/>
            <w:vAlign w:val="bottom"/>
            <w:gridSpan w:val="3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8"/>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10.1.9</w:t>
            </w:r>
          </w:p>
        </w:tc>
        <w:tc>
          <w:tcPr>
            <w:tcW w:w="7720" w:type="dxa"/>
            <w:vAlign w:val="bottom"/>
            <w:gridSpan w:val="41"/>
          </w:tcPr>
          <w:p>
            <w:pPr>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Amendment No. 4 to Credit Agreement, dated as of September 16, 2024, by and among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9/16/202</w:t>
            </w:r>
          </w:p>
        </w:tc>
      </w:tr>
    </w:tbl>
    <w:p>
      <w:pPr>
        <w:ind w:left="1740" w:right="2320"/>
        <w:spacing w:after="0" w:line="227"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Finance, LLC, as borrower, the subsidiaries of borrower party hereto, as guarantors, Deutsche Bank AG</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New York Branch,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00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6"/>
              </w:rPr>
              <w:t>10.1.10</w:t>
            </w:r>
          </w:p>
        </w:tc>
        <w:tc>
          <w:tcPr>
            <w:tcW w:w="70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Exhibit A to Amendment No. 4 - Credit Agreement, dated as of September 20, 2019 (as amended by</w:t>
              </w:r>
            </w:hyperlink>
          </w:p>
        </w:tc>
        <w:tc>
          <w:tcPr>
            <w:tcW w:w="640" w:type="dxa"/>
            <w:vAlign w:val="bottom"/>
            <w:gridSpan w:val="23"/>
          </w:tcPr>
          <w:p>
            <w:pPr>
              <w:spacing w:after="0"/>
              <w:rPr>
                <w:sz w:val="17"/>
                <w:szCs w:val="17"/>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9/16/202</w:t>
            </w: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Amendment No. 1 dated as of April 10, 2020, Amendment No. 2 dated as of November 27, 2020, and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14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Amendment No. 3 dated as of May 17, 2023, Amendment No. 4 dated as of September 16, 2024), by</w:t>
              </w:r>
            </w:hyperlink>
          </w:p>
        </w:tc>
        <w:tc>
          <w:tcPr>
            <w:tcW w:w="580" w:type="dxa"/>
            <w:vAlign w:val="bottom"/>
            <w:gridSpan w:val="21"/>
          </w:tcPr>
          <w:p>
            <w:pPr>
              <w:spacing w:after="0" w:line="16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and</w:t>
              </w:r>
            </w:hyperlink>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10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among Wynn Resorts Finance, LLC, as borrower, the subsidiaries of borrower party hereto, as guarantors,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7440" w:type="dxa"/>
            <w:vAlign w:val="bottom"/>
            <w:gridSpan w:val="32"/>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Deutsche Bank AG New York Branch, as administrative agent and as collateral agent</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100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6"/>
              </w:rPr>
              <w:t>10.1.11</w:t>
            </w:r>
          </w:p>
        </w:tc>
        <w:tc>
          <w:tcPr>
            <w:tcW w:w="7720" w:type="dxa"/>
            <w:vAlign w:val="bottom"/>
            <w:gridSpan w:val="4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5 to Credit Agreement, dated as of June 12, 2025, by and among Wynn Resorts Finance,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6/12/202</w:t>
            </w:r>
          </w:p>
        </w:tc>
      </w:tr>
      <w:tr>
        <w:trPr>
          <w:trHeight w:val="151"/>
        </w:trPr>
        <w:tc>
          <w:tcPr>
            <w:tcW w:w="1000" w:type="dxa"/>
            <w:vAlign w:val="bottom"/>
          </w:tcPr>
          <w:p>
            <w:pPr>
              <w:spacing w:after="0"/>
              <w:rPr>
                <w:sz w:val="13"/>
                <w:szCs w:val="13"/>
                <w:color w:val="auto"/>
              </w:rPr>
            </w:pPr>
          </w:p>
        </w:tc>
        <w:tc>
          <w:tcPr>
            <w:tcW w:w="744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420" w:type="dxa"/>
            <w:vAlign w:val="bottom"/>
            <w:tcBorders>
              <w:top w:val="single" w:sz="8" w:color="0000FF"/>
            </w:tcBorders>
            <w:gridSpan w:val="30"/>
          </w:tcPr>
          <w:p>
            <w:pPr>
              <w:spacing w:after="0" w:line="16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Branch, as administrative agent.</w:t>
              </w:r>
            </w:hyperlink>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6"/>
              </w:rPr>
              <w:t>10.1.12</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Exhibit A to Amendment No. 5 - Credit Agreement, dated as of September 20, 2019 (as amended by</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6/12/202</w:t>
            </w:r>
          </w:p>
        </w:tc>
      </w:tr>
      <w:tr>
        <w:trPr>
          <w:trHeight w:val="151"/>
        </w:trPr>
        <w:tc>
          <w:tcPr>
            <w:tcW w:w="1000" w:type="dxa"/>
            <w:vAlign w:val="bottom"/>
          </w:tcPr>
          <w:p>
            <w:pPr>
              <w:spacing w:after="0"/>
              <w:rPr>
                <w:sz w:val="13"/>
                <w:szCs w:val="13"/>
                <w:color w:val="auto"/>
              </w:rPr>
            </w:pPr>
          </w:p>
        </w:tc>
        <w:tc>
          <w:tcPr>
            <w:tcW w:w="70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Amendment No. 1 dated as of April 10, 2020, Amendment No. 2 dated as of November 27, 2020,</w:t>
              </w:r>
            </w:hyperlink>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6840" w:type="dxa"/>
            <w:vAlign w:val="bottom"/>
            <w:tcBorders>
              <w:top w:val="single" w:sz="8" w:color="0000FF"/>
            </w:tcBorders>
            <w:gridSpan w:val="13"/>
          </w:tcPr>
          <w:p>
            <w:pPr>
              <w:spacing w:after="0" w:line="164" w:lineRule="exact"/>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Amendment No. 3 dated as of May 17, 2023, Amendment No. 4 dated as of September 16, 2024,</w:t>
              </w:r>
            </w:hyperlink>
          </w:p>
        </w:tc>
        <w:tc>
          <w:tcPr>
            <w:tcW w:w="880" w:type="dxa"/>
            <w:vAlign w:val="bottom"/>
            <w:gridSpan w:val="28"/>
          </w:tcPr>
          <w:p>
            <w:pPr>
              <w:ind w:left="20"/>
              <w:spacing w:after="0" w:line="164"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w:t>
              </w:r>
            </w:hyperlink>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100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Amendment No. 5 dated as of June 12, 2025), by and among Wynn Resorts Finance, LLC, as borrower,</w:t>
              </w:r>
            </w:hyperlink>
          </w:p>
        </w:tc>
        <w:tc>
          <w:tcPr>
            <w:tcW w:w="12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7260" w:type="dxa"/>
            <w:vAlign w:val="bottom"/>
            <w:gridSpan w:val="22"/>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the subsidiaries of borrower party hereto, as guarantors, Deutsche Bank AG New York Branch,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7"/>
          </w:tcPr>
          <w:p>
            <w:pPr>
              <w:spacing w:after="0" w:line="164" w:lineRule="exact"/>
              <w:rPr>
                <w:rFonts w:ascii="Times New Roman" w:cs="Times New Roman" w:eastAsia="Times New Roman" w:hAnsi="Times New Roman"/>
                <w:sz w:val="18"/>
                <w:szCs w:val="18"/>
                <w:color w:val="0000FF"/>
                <w:w w:val="96"/>
              </w:rPr>
            </w:pPr>
            <w:hyperlink r:id="rId170">
              <w:r>
                <w:rPr>
                  <w:rFonts w:ascii="Times New Roman" w:cs="Times New Roman" w:eastAsia="Times New Roman" w:hAnsi="Times New Roman"/>
                  <w:sz w:val="18"/>
                  <w:szCs w:val="18"/>
                  <w:color w:val="0000FF"/>
                  <w:w w:val="96"/>
                </w:rPr>
                <w:t>administrative agent and as collateral agent.</w:t>
              </w:r>
            </w:hyperlink>
          </w:p>
        </w:tc>
        <w:tc>
          <w:tcPr>
            <w:tcW w:w="3780" w:type="dxa"/>
            <w:vAlign w:val="bottom"/>
            <w:tcBorders>
              <w:top w:val="single" w:sz="8" w:color="0000FF"/>
            </w:tcBorders>
            <w:gridSpan w:val="7"/>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10.2.1</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Common Terms Agreement Sixth Amendment Agreement, dated December 21, 2018, between, among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71">
              <w:r>
                <w:rPr>
                  <w:rFonts w:ascii="Times New Roman" w:cs="Times New Roman" w:eastAsia="Times New Roman" w:hAnsi="Times New Roman"/>
                  <w:sz w:val="18"/>
                  <w:szCs w:val="18"/>
                  <w:color w:val="0000FF"/>
                  <w:w w:val="91"/>
                </w:rPr>
                <w:t>agent.</w:t>
              </w:r>
            </w:hyperlink>
          </w:p>
        </w:tc>
        <w:tc>
          <w:tcPr>
            <w:tcW w:w="7180" w:type="dxa"/>
            <w:vAlign w:val="bottom"/>
            <w:tcBorders>
              <w:top w:val="single" w:sz="8" w:color="0000FF"/>
            </w:tcBorders>
            <w:gridSpan w:val="39"/>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10.2.2</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Term Facility Agreement Fifth Amendment Agreement, dated December 21, 2018,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1000" w:type="dxa"/>
            <w:vAlign w:val="bottom"/>
          </w:tcPr>
          <w:p>
            <w:pPr>
              <w:spacing w:after="0"/>
              <w:rPr>
                <w:sz w:val="13"/>
                <w:szCs w:val="13"/>
                <w:color w:val="auto"/>
              </w:rPr>
            </w:pPr>
          </w:p>
        </w:tc>
        <w:tc>
          <w:tcPr>
            <w:tcW w:w="734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0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Facility Lender.</w:t>
              </w:r>
            </w:hyperlink>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10.2.3</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Revolving Credit Facility Agreement Second Amendment Agreement, dated as of December 21, 2018, by</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1000" w:type="dxa"/>
            <w:vAlign w:val="bottom"/>
          </w:tcPr>
          <w:p>
            <w:pPr>
              <w:spacing w:after="0"/>
              <w:rPr>
                <w:sz w:val="13"/>
                <w:szCs w:val="13"/>
                <w:color w:val="auto"/>
              </w:rPr>
            </w:pPr>
          </w:p>
        </w:tc>
        <w:tc>
          <w:tcPr>
            <w:tcW w:w="746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and among Wynn Resorts (Macau) S.A. and Bank of China Limited, Macau Branch as Revolving Credit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9"/>
          </w:tcPr>
          <w:p>
            <w:pPr>
              <w:spacing w:after="0" w:line="164" w:lineRule="exact"/>
              <w:rPr>
                <w:rFonts w:ascii="Times New Roman" w:cs="Times New Roman" w:eastAsia="Times New Roman" w:hAnsi="Times New Roman"/>
                <w:sz w:val="18"/>
                <w:szCs w:val="18"/>
                <w:color w:val="0000FF"/>
                <w:w w:val="96"/>
              </w:rPr>
            </w:pPr>
            <w:hyperlink r:id="rId173">
              <w:r>
                <w:rPr>
                  <w:rFonts w:ascii="Times New Roman" w:cs="Times New Roman" w:eastAsia="Times New Roman" w:hAnsi="Times New Roman"/>
                  <w:sz w:val="18"/>
                  <w:szCs w:val="18"/>
                  <w:color w:val="0000FF"/>
                  <w:w w:val="96"/>
                </w:rPr>
                <w:t>Facility Agent and Revolving Credit Facility Lender.</w:t>
              </w:r>
            </w:hyperlink>
          </w:p>
        </w:tc>
        <w:tc>
          <w:tcPr>
            <w:tcW w:w="36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10.2.4</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Common Terms Agreement Fifth Amendment Agreement, dated September 30, 2015, between, among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20"/>
        </w:trPr>
        <w:tc>
          <w:tcPr>
            <w:tcW w:w="10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74">
              <w:r>
                <w:rPr>
                  <w:rFonts w:ascii="Times New Roman" w:cs="Times New Roman" w:eastAsia="Times New Roman" w:hAnsi="Times New Roman"/>
                  <w:sz w:val="18"/>
                  <w:szCs w:val="18"/>
                  <w:color w:val="0000FF"/>
                  <w:w w:val="91"/>
                </w:rPr>
                <w:t>agent.</w:t>
              </w:r>
            </w:hyperlink>
          </w:p>
        </w:tc>
        <w:tc>
          <w:tcPr>
            <w:tcW w:w="7180" w:type="dxa"/>
            <w:vAlign w:val="bottom"/>
            <w:tcBorders>
              <w:top w:val="single" w:sz="8" w:color="0000FF"/>
            </w:tcBorders>
            <w:gridSpan w:val="39"/>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10.2.5</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Term Facility Agreement Fourth Amendment Agreement, dated September 30, 2015,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1000" w:type="dxa"/>
            <w:vAlign w:val="bottom"/>
          </w:tcPr>
          <w:p>
            <w:pPr>
              <w:spacing w:after="0"/>
              <w:rPr>
                <w:sz w:val="13"/>
                <w:szCs w:val="13"/>
                <w:color w:val="auto"/>
              </w:rPr>
            </w:pPr>
          </w:p>
        </w:tc>
        <w:tc>
          <w:tcPr>
            <w:tcW w:w="756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0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Facility Lender.</w:t>
              </w:r>
            </w:hyperlink>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10.2.6</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Revolving Credit Facility Agreement Amendment Agreement, dated as of September 30, 2015, by and</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1000" w:type="dxa"/>
            <w:vAlign w:val="bottom"/>
          </w:tcPr>
          <w:p>
            <w:pPr>
              <w:spacing w:after="0"/>
              <w:rPr>
                <w:sz w:val="13"/>
                <w:szCs w:val="13"/>
                <w:color w:val="auto"/>
              </w:rPr>
            </w:pPr>
          </w:p>
        </w:tc>
        <w:tc>
          <w:tcPr>
            <w:tcW w:w="722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among Wynn Resorts (Macau) S.A. and Bank of China Limited, Macau Branch as Revolving Credit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02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Facility Agent and Revolving Credit Facility Lender.</w:t>
              </w:r>
            </w:hyperlink>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10.2.7</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Debenture, dated as of September 14, 2004, between Wynn Resorts (Macau), S.A. and Société Générale,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00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Hong Kong Branch as the Security Agent.</w:t>
              </w:r>
            </w:hyperlink>
          </w:p>
        </w:tc>
        <w:tc>
          <w:tcPr>
            <w:tcW w:w="4420" w:type="dxa"/>
            <w:vAlign w:val="bottom"/>
            <w:tcBorders>
              <w:top w:val="single" w:sz="8" w:color="0000FF"/>
            </w:tcBorders>
            <w:gridSpan w:val="2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0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10.2.8</w:t>
            </w:r>
          </w:p>
        </w:tc>
        <w:tc>
          <w:tcPr>
            <w:tcW w:w="73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Second Amendment Agreement to the Existing Facility Agreement, dated as of September 20, 2024, by</w:t>
              </w:r>
            </w:hyperlink>
          </w:p>
        </w:tc>
        <w:tc>
          <w:tcPr>
            <w:tcW w:w="420" w:type="dxa"/>
            <w:vAlign w:val="bottom"/>
            <w:gridSpan w:val="17"/>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9/23/202</w:t>
            </w: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and among WM Cayman Holdings Limited II, as borrower, Wynn Macau, Limited, as guarantor, and Bank</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580" w:type="dxa"/>
            <w:vAlign w:val="bottom"/>
            <w:tcBorders>
              <w:top w:val="single" w:sz="8" w:color="0000FF"/>
            </w:tcBorders>
            <w:gridSpan w:val="39"/>
          </w:tcPr>
          <w:p>
            <w:pPr>
              <w:spacing w:after="0" w:line="16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of China Limited, Macau Branch, as agent and a syndicate of lenders.</w:t>
              </w:r>
            </w:hyperlink>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10.3.0</w:t>
            </w:r>
          </w:p>
        </w:tc>
        <w:tc>
          <w:tcPr>
            <w:tcW w:w="7720" w:type="dxa"/>
            <w:vAlign w:val="bottom"/>
            <w:gridSpan w:val="41"/>
          </w:tcPr>
          <w:p>
            <w:pPr>
              <w:spacing w:after="0" w:line="20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Term Loan Agreement, dated as of July 25, 2018, by and among Wynn/CA Plaza Property Owner, LLC</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7/30/201</w:t>
            </w:r>
          </w:p>
        </w:tc>
      </w:tr>
      <w:tr>
        <w:trPr>
          <w:trHeight w:val="151"/>
        </w:trPr>
        <w:tc>
          <w:tcPr>
            <w:tcW w:w="1000" w:type="dxa"/>
            <w:vAlign w:val="bottom"/>
          </w:tcPr>
          <w:p>
            <w:pPr>
              <w:spacing w:after="0"/>
              <w:rPr>
                <w:sz w:val="13"/>
                <w:szCs w:val="13"/>
                <w:color w:val="auto"/>
              </w:rPr>
            </w:pPr>
          </w:p>
        </w:tc>
        <w:tc>
          <w:tcPr>
            <w:tcW w:w="728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and Wynn/CA Property Owner, LLC, as borrowers, United Overseas Bank Limited, New York Agency,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16"/>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as</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500" w:type="dxa"/>
            <w:vAlign w:val="bottom"/>
            <w:tcBorders>
              <w:top w:val="single" w:sz="8" w:color="0000FF"/>
              <w:bottom w:val="single" w:sz="8" w:color="0000FF"/>
            </w:tcBorders>
            <w:gridSpan w:val="35"/>
          </w:tcPr>
          <w:p>
            <w:pPr>
              <w:spacing w:after="0" w:line="164"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administrative agent and lead arranger, Fifth Third Bank, as joint lead arranger, Sumitomo Mitsui Banking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1000" w:type="dxa"/>
            <w:vAlign w:val="bottom"/>
          </w:tcPr>
          <w:p>
            <w:pPr>
              <w:spacing w:after="0"/>
              <w:rPr>
                <w:sz w:val="13"/>
                <w:szCs w:val="13"/>
                <w:color w:val="auto"/>
              </w:rPr>
            </w:pPr>
          </w:p>
        </w:tc>
        <w:tc>
          <w:tcPr>
            <w:tcW w:w="7540" w:type="dxa"/>
            <w:vAlign w:val="bottom"/>
            <w:gridSpan w:val="37"/>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Corporation, as joint lead arranger, Credit Agricole Corporate and Investment Bank, as managing agent,</w:t>
              </w:r>
            </w:hyperlink>
          </w:p>
        </w:tc>
        <w:tc>
          <w:tcPr>
            <w:tcW w:w="18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and the lenders party thereto.</w:t>
              </w:r>
            </w:hyperlink>
          </w:p>
        </w:tc>
        <w:tc>
          <w:tcPr>
            <w:tcW w:w="5280" w:type="dxa"/>
            <w:vAlign w:val="bottom"/>
            <w:tcBorders>
              <w:top w:val="single" w:sz="8" w:color="0000FF"/>
            </w:tcBorders>
            <w:gridSpan w:val="21"/>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100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10.3.0.1</w:t>
            </w:r>
          </w:p>
        </w:tc>
        <w:tc>
          <w:tcPr>
            <w:tcW w:w="73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Second Amendment to Term Loan Agreement, dated as of June 2, 2023, by and among Wynn/CA Plaza</w:t>
              </w:r>
            </w:hyperlink>
          </w:p>
        </w:tc>
        <w:tc>
          <w:tcPr>
            <w:tcW w:w="420" w:type="dxa"/>
            <w:vAlign w:val="bottom"/>
            <w:gridSpan w:val="17"/>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6/5/2023</w:t>
            </w: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Property Owner, LLC and Wynn/CA Property Owner, LLC, as borrowers, United Overseas Bank Limited,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7520" w:type="dxa"/>
            <w:vAlign w:val="bottom"/>
            <w:tcBorders>
              <w:top w:val="single" w:sz="8" w:color="0000FF"/>
            </w:tcBorders>
            <w:gridSpan w:val="36"/>
          </w:tcPr>
          <w:p>
            <w:pPr>
              <w:spacing w:after="0" w:line="16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New York Agency, as administrative agent, and the lenders party thereto.</w:t>
              </w:r>
            </w:hyperlink>
          </w:p>
        </w:tc>
        <w:tc>
          <w:tcPr>
            <w:tcW w:w="20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680" w:type="dxa"/>
            <w:vAlign w:val="bottom"/>
            <w:gridSpan w:val="8"/>
            <w:shd w:val="clear" w:color="auto" w:fill="0000FF"/>
          </w:tcPr>
          <w:p>
            <w:pPr>
              <w:spacing w:after="0" w:line="20" w:lineRule="exact"/>
              <w:rPr>
                <w:sz w:val="1"/>
                <w:szCs w:val="1"/>
                <w:color w:val="auto"/>
              </w:rPr>
            </w:pPr>
          </w:p>
        </w:tc>
        <w:tc>
          <w:tcPr>
            <w:tcW w:w="232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1000" w:type="dxa"/>
            <w:vAlign w:val="bottom"/>
          </w:tcPr>
          <w:p>
            <w:pPr>
              <w:jc w:val="center"/>
              <w:ind w:right="352"/>
              <w:spacing w:after="0" w:line="204" w:lineRule="exact"/>
              <w:rPr>
                <w:sz w:val="20"/>
                <w:szCs w:val="20"/>
                <w:color w:val="auto"/>
              </w:rPr>
            </w:pPr>
            <w:r>
              <w:rPr>
                <w:rFonts w:ascii="Times New Roman" w:cs="Times New Roman" w:eastAsia="Times New Roman" w:hAnsi="Times New Roman"/>
                <w:sz w:val="18"/>
                <w:szCs w:val="18"/>
                <w:color w:val="auto"/>
                <w:w w:val="97"/>
              </w:rPr>
              <w:t>10.3.1</w:t>
            </w:r>
          </w:p>
        </w:tc>
        <w:tc>
          <w:tcPr>
            <w:tcW w:w="7440" w:type="dxa"/>
            <w:vAlign w:val="bottom"/>
            <w:tcBorders>
              <w:bottom w:val="single" w:sz="8" w:color="0000FF"/>
            </w:tcBorders>
            <w:gridSpan w:val="32"/>
          </w:tcPr>
          <w:p>
            <w:pPr>
              <w:spacing w:after="0" w:line="204" w:lineRule="exact"/>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Facility Agreement, dated as of September 16, 2021, by and among WM Cayman Holdings Limited II, as</w:t>
              </w:r>
            </w:hyperlink>
          </w:p>
        </w:tc>
        <w:tc>
          <w:tcPr>
            <w:tcW w:w="280" w:type="dxa"/>
            <w:vAlign w:val="bottom"/>
            <w:gridSpan w:val="9"/>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1000" w:type="dxa"/>
            <w:vAlign w:val="bottom"/>
          </w:tcPr>
          <w:p>
            <w:pPr>
              <w:spacing w:after="0"/>
              <w:rPr>
                <w:sz w:val="13"/>
                <w:szCs w:val="13"/>
                <w:color w:val="auto"/>
              </w:rPr>
            </w:pPr>
          </w:p>
        </w:tc>
        <w:tc>
          <w:tcPr>
            <w:tcW w:w="7720" w:type="dxa"/>
            <w:vAlign w:val="bottom"/>
            <w:gridSpan w:val="41"/>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borrower, Wynn Macau, Limited, as guarantor, and Bank of China Limited, Macau Branch, as agent and a</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syndicate of lenders.</w:t>
              </w:r>
            </w:hyperlink>
          </w:p>
        </w:tc>
        <w:tc>
          <w:tcPr>
            <w:tcW w:w="6040" w:type="dxa"/>
            <w:vAlign w:val="bottom"/>
            <w:tcBorders>
              <w:top w:val="single" w:sz="8" w:color="0000FF"/>
            </w:tcBorders>
            <w:gridSpan w:val="31"/>
          </w:tcPr>
          <w:p>
            <w:pPr>
              <w:spacing w:after="0"/>
              <w:rPr>
                <w:sz w:val="14"/>
                <w:szCs w:val="14"/>
                <w:color w:val="auto"/>
              </w:rPr>
            </w:pPr>
          </w:p>
        </w:tc>
        <w:tc>
          <w:tcPr>
            <w:tcW w:w="240" w:type="dxa"/>
            <w:vAlign w:val="bottom"/>
            <w:gridSpan w:val="7"/>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5"/>
        </w:trPr>
        <w:tc>
          <w:tcPr>
            <w:tcW w:w="1000" w:type="dxa"/>
            <w:vAlign w:val="bottom"/>
          </w:tcPr>
          <w:p>
            <w:pPr>
              <w:jc w:val="center"/>
              <w:ind w:right="352"/>
              <w:spacing w:after="0" w:line="206" w:lineRule="exact"/>
              <w:rPr>
                <w:sz w:val="20"/>
                <w:szCs w:val="20"/>
                <w:color w:val="auto"/>
              </w:rPr>
            </w:pPr>
            <w:r>
              <w:rPr>
                <w:rFonts w:ascii="Times New Roman" w:cs="Times New Roman" w:eastAsia="Times New Roman" w:hAnsi="Times New Roman"/>
                <w:sz w:val="18"/>
                <w:szCs w:val="18"/>
                <w:color w:val="auto"/>
                <w:w w:val="97"/>
              </w:rPr>
              <w:t>10.3.2</w:t>
            </w:r>
          </w:p>
        </w:tc>
        <w:tc>
          <w:tcPr>
            <w:tcW w:w="7720" w:type="dxa"/>
            <w:vAlign w:val="bottom"/>
            <w:gridSpan w:val="41"/>
          </w:tcPr>
          <w:p>
            <w:pPr>
              <w:spacing w:after="0" w:line="206" w:lineRule="exact"/>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Amendment to the Facility Agreement, dated as of May 5, 2022, by and among WM Cayman Holdings</w:t>
              </w:r>
            </w:hyperlink>
          </w:p>
        </w:tc>
        <w:tc>
          <w:tcPr>
            <w:tcW w:w="900" w:type="dxa"/>
            <w:vAlign w:val="bottom"/>
          </w:tcPr>
          <w:p>
            <w:pPr>
              <w:jc w:val="center"/>
              <w:ind w:right="12"/>
              <w:spacing w:after="0" w:line="206"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5/10/202</w:t>
            </w:r>
          </w:p>
        </w:tc>
      </w:tr>
    </w:tbl>
    <w:p>
      <w:pPr>
        <w:ind w:left="1740" w:right="2200"/>
        <w:spacing w:after="0" w:line="227"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Limited II, as borrower, Wynn Macau, Limited, as guarantor, and Bank of China Limited, Macau Branch,</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as agent and a syndicate of lenders.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10.3.3</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and Restatement Agreement to Facility Agreement, dated as of June 27, 2023,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6/30/202</w:t>
            </w:r>
          </w:p>
        </w:tc>
      </w:tr>
      <w:tr>
        <w:trPr>
          <w:trHeight w:val="151"/>
        </w:trPr>
        <w:tc>
          <w:tcPr>
            <w:tcW w:w="1740" w:type="dxa"/>
            <w:vAlign w:val="bottom"/>
          </w:tcPr>
          <w:p>
            <w:pPr>
              <w:spacing w:after="0"/>
              <w:rPr>
                <w:sz w:val="13"/>
                <w:szCs w:val="13"/>
                <w:color w:val="auto"/>
              </w:rPr>
            </w:pPr>
          </w:p>
        </w:tc>
        <w:tc>
          <w:tcPr>
            <w:tcW w:w="744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WM Cayman Holdings Limited II, as borrower, Wynn Macau, Limited, as guarantor, Bank of China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02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Limited, Macau Branch, as agent and a syndicate of lenders party thereto.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10.3.4</w:t>
            </w:r>
          </w:p>
        </w:tc>
        <w:tc>
          <w:tcPr>
            <w:tcW w:w="7200" w:type="dxa"/>
            <w:vAlign w:val="bottom"/>
            <w:tcBorders>
              <w:bottom w:val="single" w:sz="8" w:color="0000FF"/>
            </w:tcBorders>
            <w:gridSpan w:val="27"/>
          </w:tcPr>
          <w:p>
            <w:pPr>
              <w:spacing w:after="0" w:line="204" w:lineRule="exact"/>
              <w:rPr>
                <w:rFonts w:ascii="Times New Roman" w:cs="Times New Roman" w:eastAsia="Times New Roman" w:hAnsi="Times New Roman"/>
                <w:sz w:val="18"/>
                <w:szCs w:val="18"/>
                <w:color w:val="0000FF"/>
                <w:w w:val="96"/>
              </w:rPr>
            </w:pPr>
            <w:hyperlink r:id="rId185">
              <w:r>
                <w:rPr>
                  <w:rFonts w:ascii="Times New Roman" w:cs="Times New Roman" w:eastAsia="Times New Roman" w:hAnsi="Times New Roman"/>
                  <w:sz w:val="18"/>
                  <w:szCs w:val="18"/>
                  <w:color w:val="0000FF"/>
                  <w:w w:val="96"/>
                </w:rPr>
                <w:t>Third Amendment to Term Loan Agreement and First Amendment to Recourse Indemnity Agreement,</w:t>
              </w:r>
            </w:hyperlink>
          </w:p>
        </w:tc>
        <w:tc>
          <w:tcPr>
            <w:tcW w:w="520" w:type="dxa"/>
            <w:vAlign w:val="bottom"/>
            <w:gridSpan w:val="17"/>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10/3/202</w:t>
            </w:r>
          </w:p>
        </w:tc>
      </w:tr>
      <w:tr>
        <w:trPr>
          <w:trHeight w:val="151"/>
        </w:trPr>
        <w:tc>
          <w:tcPr>
            <w:tcW w:w="1740" w:type="dxa"/>
            <w:vAlign w:val="bottom"/>
          </w:tcPr>
          <w:p>
            <w:pPr>
              <w:spacing w:after="0"/>
              <w:rPr>
                <w:sz w:val="13"/>
                <w:szCs w:val="13"/>
                <w:color w:val="auto"/>
              </w:rPr>
            </w:pPr>
          </w:p>
        </w:tc>
        <w:tc>
          <w:tcPr>
            <w:tcW w:w="7720" w:type="dxa"/>
            <w:vAlign w:val="bottom"/>
            <w:gridSpan w:val="44"/>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dated as of October 2, 2024, by and among Wynn/CA Plaza Property Owner, LLC and Wynn/CA Property</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00" w:type="dxa"/>
            <w:vAlign w:val="bottom"/>
            <w:tcBorders>
              <w:top w:val="single" w:sz="8" w:color="0000FF"/>
            </w:tcBorders>
            <w:gridSpan w:val="42"/>
          </w:tcPr>
          <w:p>
            <w:pPr>
              <w:spacing w:after="0" w:line="164"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Owner, LLC, as borrowers, United Overseas Bank Limited, New York Agency, as administrative agent,</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174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and the guarantors and lenders party thereto.</w:t>
              </w:r>
            </w:hyperlink>
          </w:p>
        </w:tc>
        <w:tc>
          <w:tcPr>
            <w:tcW w:w="42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10.4.1</w:t>
            </w:r>
          </w:p>
        </w:tc>
        <w:tc>
          <w:tcPr>
            <w:tcW w:w="7720" w:type="dxa"/>
            <w:vAlign w:val="bottom"/>
            <w:gridSpan w:val="44"/>
          </w:tcPr>
          <w:p>
            <w:pPr>
              <w:spacing w:after="0" w:line="204"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Concession Contract for the Operation of Games of Chance or Other Games in Casinos in the Macau</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8/20/200</w:t>
            </w: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1740" w:type="dxa"/>
            <w:vAlign w:val="bottom"/>
          </w:tcPr>
          <w:p>
            <w:pPr>
              <w:spacing w:after="0"/>
              <w:rPr>
                <w:sz w:val="13"/>
                <w:szCs w:val="13"/>
                <w:color w:val="auto"/>
              </w:rPr>
            </w:pPr>
          </w:p>
        </w:tc>
        <w:tc>
          <w:tcPr>
            <w:tcW w:w="7720" w:type="dxa"/>
            <w:vAlign w:val="bottom"/>
            <w:gridSpan w:val="44"/>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Special Administrative Region, dated June 24, 2002, between the Macau Special Administrative Region</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34"/>
          </w:tcPr>
          <w:p>
            <w:pPr>
              <w:spacing w:after="0" w:line="164" w:lineRule="exact"/>
              <w:rPr>
                <w:rFonts w:ascii="Times New Roman" w:cs="Times New Roman" w:eastAsia="Times New Roman" w:hAnsi="Times New Roman"/>
                <w:sz w:val="18"/>
                <w:szCs w:val="18"/>
                <w:color w:val="0000FF"/>
                <w:w w:val="97"/>
              </w:rPr>
            </w:pPr>
            <w:hyperlink r:id="rId186">
              <w:r>
                <w:rPr>
                  <w:rFonts w:ascii="Times New Roman" w:cs="Times New Roman" w:eastAsia="Times New Roman" w:hAnsi="Times New Roman"/>
                  <w:sz w:val="18"/>
                  <w:szCs w:val="18"/>
                  <w:color w:val="0000FF"/>
                  <w:w w:val="97"/>
                </w:rPr>
                <w:t>and Wynn Resorts (Macau), S.A. (English translation of Portuguese version of Concession Agreement).</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10.4.2</w:t>
            </w:r>
          </w:p>
        </w:tc>
        <w:tc>
          <w:tcPr>
            <w:tcW w:w="7720" w:type="dxa"/>
            <w:vAlign w:val="bottom"/>
            <w:gridSpan w:val="44"/>
          </w:tcPr>
          <w:p>
            <w:pPr>
              <w:spacing w:after="0" w:line="20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Concession Contract for Operating Casino Gaming or Other Forms of Gaming in the Macau Special</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9/18/200</w:t>
            </w:r>
          </w:p>
        </w:tc>
      </w:tr>
      <w:tr>
        <w:trPr>
          <w:trHeight w:val="151"/>
        </w:trPr>
        <w:tc>
          <w:tcPr>
            <w:tcW w:w="1740" w:type="dxa"/>
            <w:vAlign w:val="bottom"/>
          </w:tcPr>
          <w:p>
            <w:pPr>
              <w:spacing w:after="0"/>
              <w:rPr>
                <w:sz w:val="13"/>
                <w:szCs w:val="13"/>
                <w:color w:val="auto"/>
              </w:rPr>
            </w:pPr>
          </w:p>
        </w:tc>
        <w:tc>
          <w:tcPr>
            <w:tcW w:w="704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Administrative Region, dated June 24, 2002, between the Macau Special Administrative Region and</w:t>
              </w:r>
            </w:hyperlink>
          </w:p>
        </w:tc>
        <w:tc>
          <w:tcPr>
            <w:tcW w:w="40" w:type="dxa"/>
            <w:vAlign w:val="bottom"/>
          </w:tcPr>
          <w:p>
            <w:pPr>
              <w:spacing w:after="0"/>
              <w:rPr>
                <w:sz w:val="13"/>
                <w:szCs w:val="13"/>
                <w:color w:val="auto"/>
              </w:rPr>
            </w:pPr>
          </w:p>
        </w:tc>
        <w:tc>
          <w:tcPr>
            <w:tcW w:w="640" w:type="dxa"/>
            <w:vAlign w:val="bottom"/>
            <w:gridSpan w:val="22"/>
          </w:tcPr>
          <w:p>
            <w:pPr>
              <w:jc w:val="center"/>
              <w:ind w:right="220"/>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Wynn</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20" w:type="dxa"/>
            <w:vAlign w:val="bottom"/>
            <w:tcBorders>
              <w:top w:val="single" w:sz="8" w:color="0000FF"/>
            </w:tcBorders>
            <w:gridSpan w:val="43"/>
          </w:tcPr>
          <w:p>
            <w:pPr>
              <w:spacing w:after="0" w:line="16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Resorts (Macau), S.A. (English translation of Chinese version of Concession Agreement).</w:t>
              </w:r>
            </w:hyperlink>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10.4.3</w:t>
            </w:r>
          </w:p>
        </w:tc>
        <w:tc>
          <w:tcPr>
            <w:tcW w:w="7720" w:type="dxa"/>
            <w:vAlign w:val="bottom"/>
            <w:gridSpan w:val="44"/>
          </w:tcPr>
          <w:p>
            <w:pPr>
              <w:spacing w:after="0" w:line="204"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Unofficial English translation of Land Concession Contract between the Macau Special Administrative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8/3/2004</w:t>
            </w:r>
          </w:p>
        </w:tc>
      </w:tr>
      <w:tr>
        <w:trPr>
          <w:trHeight w:val="151"/>
        </w:trPr>
        <w:tc>
          <w:tcPr>
            <w:tcW w:w="1740" w:type="dxa"/>
            <w:vAlign w:val="bottom"/>
          </w:tcPr>
          <w:p>
            <w:pPr>
              <w:spacing w:after="0"/>
              <w:rPr>
                <w:sz w:val="13"/>
                <w:szCs w:val="13"/>
                <w:color w:val="auto"/>
              </w:rPr>
            </w:pPr>
          </w:p>
        </w:tc>
        <w:tc>
          <w:tcPr>
            <w:tcW w:w="724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Region and Wynn Resorts (Macau), S.A.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10.4.4</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Land Concession Contract, published on May 2, 2012, by and among Palo Real Estate Company Limited,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5/2/2012</w:t>
            </w:r>
          </w:p>
        </w:tc>
      </w:tr>
      <w:tr>
        <w:trPr>
          <w:trHeight w:val="151"/>
        </w:trPr>
        <w:tc>
          <w:tcPr>
            <w:tcW w:w="1740" w:type="dxa"/>
            <w:vAlign w:val="bottom"/>
          </w:tcPr>
          <w:p>
            <w:pPr>
              <w:spacing w:after="0"/>
              <w:rPr>
                <w:sz w:val="13"/>
                <w:szCs w:val="13"/>
                <w:color w:val="auto"/>
              </w:rPr>
            </w:pPr>
          </w:p>
        </w:tc>
        <w:tc>
          <w:tcPr>
            <w:tcW w:w="742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Wynn Resorts (Macau), S.A. and the Macau Special Administrative Region of the People's Republic of</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14"/>
          </w:tcPr>
          <w:p>
            <w:pPr>
              <w:spacing w:after="0" w:line="164" w:lineRule="exact"/>
              <w:rPr>
                <w:rFonts w:ascii="Times New Roman" w:cs="Times New Roman" w:eastAsia="Times New Roman" w:hAnsi="Times New Roman"/>
                <w:sz w:val="18"/>
                <w:szCs w:val="18"/>
                <w:color w:val="0000FF"/>
                <w:w w:val="96"/>
              </w:rPr>
            </w:pPr>
            <w:hyperlink r:id="rId189">
              <w:r>
                <w:rPr>
                  <w:rFonts w:ascii="Times New Roman" w:cs="Times New Roman" w:eastAsia="Times New Roman" w:hAnsi="Times New Roman"/>
                  <w:sz w:val="18"/>
                  <w:szCs w:val="18"/>
                  <w:color w:val="0000FF"/>
                  <w:w w:val="96"/>
                </w:rPr>
                <w:t>China (translated to English from traditional Chinese and Portuguese).</w:t>
              </w:r>
            </w:hyperlink>
          </w:p>
        </w:tc>
        <w:tc>
          <w:tcPr>
            <w:tcW w:w="23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10.4.5</w:t>
            </w:r>
          </w:p>
        </w:tc>
        <w:tc>
          <w:tcPr>
            <w:tcW w:w="7720" w:type="dxa"/>
            <w:vAlign w:val="bottom"/>
            <w:gridSpan w:val="44"/>
          </w:tcPr>
          <w:p>
            <w:pPr>
              <w:spacing w:after="0" w:line="204"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Bank Guarantee Reimbursement Agreement, dated as of September 14, 2004, between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(Macau), S.A. and Banco Nacional Ultramarino.</w:t>
              </w:r>
            </w:hyperlink>
          </w:p>
        </w:tc>
        <w:tc>
          <w:tcPr>
            <w:tcW w:w="370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10.4.6</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Concession Contract for Operating Casino Gaming or Other Forms of Gaming in the Macau Special</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704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Administrative Region, dated December 16, 2022, between the Macau Special Administrative Region</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18"/>
          </w:tcPr>
          <w:p>
            <w:pPr>
              <w:jc w:val="center"/>
              <w:ind w:right="280"/>
              <w:spacing w:after="0" w:line="15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and</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13"/>
          </w:tcPr>
          <w:p>
            <w:pPr>
              <w:spacing w:after="0" w:line="164"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Wynn Resorts (Macau), S.A. (English translation of Chinese version).</w:t>
              </w:r>
            </w:hyperlink>
          </w:p>
        </w:tc>
        <w:tc>
          <w:tcPr>
            <w:tcW w:w="2560" w:type="dxa"/>
            <w:vAlign w:val="bottom"/>
            <w:tcBorders>
              <w:top w:val="single" w:sz="8" w:color="0000FF"/>
            </w:tcBorders>
            <w:gridSpan w:val="28"/>
          </w:tcPr>
          <w:p>
            <w:pPr>
              <w:spacing w:after="0"/>
              <w:rPr>
                <w:sz w:val="14"/>
                <w:szCs w:val="14"/>
                <w:color w:val="auto"/>
              </w:rPr>
            </w:pPr>
          </w:p>
        </w:tc>
        <w:tc>
          <w:tcPr>
            <w:tcW w:w="24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right"/>
              <w:ind w:right="412"/>
              <w:spacing w:after="0" w:line="204" w:lineRule="exact"/>
              <w:rPr>
                <w:sz w:val="20"/>
                <w:szCs w:val="20"/>
                <w:color w:val="auto"/>
              </w:rPr>
            </w:pPr>
            <w:r>
              <w:rPr>
                <w:rFonts w:ascii="Times New Roman" w:cs="Times New Roman" w:eastAsia="Times New Roman" w:hAnsi="Times New Roman"/>
                <w:sz w:val="18"/>
                <w:szCs w:val="18"/>
                <w:color w:val="auto"/>
              </w:rPr>
              <w:t>10.4.7</w:t>
            </w:r>
          </w:p>
        </w:tc>
        <w:tc>
          <w:tcPr>
            <w:tcW w:w="7720" w:type="dxa"/>
            <w:vAlign w:val="bottom"/>
            <w:gridSpan w:val="44"/>
          </w:tcPr>
          <w:p>
            <w:pPr>
              <w:spacing w:after="0" w:line="204"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Deed of Reversion (Wynn Palace), dated as of December 30, 2022, by and among Wynn Resorts (Macau)</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S.A., Palo Real Estate Company Limited, and the Macau Special Administrative Region.</w:t>
              </w:r>
            </w:hyperlink>
          </w:p>
        </w:tc>
        <w:tc>
          <w:tcPr>
            <w:tcW w:w="11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10.4.8</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Deed of Reversion (Wynn Macau), dated as of December 30, 2022, by and among Wynn Resorts (Macau)</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S.A. and the Macau Special Administrative Region.</w:t>
              </w:r>
            </w:hyperlink>
          </w:p>
        </w:tc>
        <w:tc>
          <w:tcPr>
            <w:tcW w:w="3820" w:type="dxa"/>
            <w:vAlign w:val="bottom"/>
            <w:tcBorders>
              <w:top w:val="single" w:sz="8" w:color="0000FF"/>
            </w:tcBorders>
            <w:gridSpan w:val="30"/>
          </w:tcPr>
          <w:p>
            <w:pPr>
              <w:spacing w:after="0"/>
              <w:rPr>
                <w:sz w:val="13"/>
                <w:szCs w:val="13"/>
                <w:color w:val="auto"/>
              </w:rPr>
            </w:pPr>
          </w:p>
        </w:tc>
        <w:tc>
          <w:tcPr>
            <w:tcW w:w="26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10.4.9</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Handover Deed, dated as of December 30, 2022, by and between Wynn Resorts (Macau) S.A. and the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71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Macau Special Administrative Region.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10.5.1</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Corporate Allocation Agreement, dated as of September 19, 2009, by Wynn Macau, Limited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728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Resorts, Limited.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10.5.2</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Corporate Allocation Agreement, dated as of September 19, 2009, by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Resorts (Macau), S.A., and Wynn Resorts, Limited.</w:t>
              </w:r>
            </w:hyperlink>
          </w:p>
        </w:tc>
        <w:tc>
          <w:tcPr>
            <w:tcW w:w="338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10.5.3</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Management Fee and Corporate Allocation Agreement, dated as of February 26, 2015,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722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Wynn Las Vegas, LLC and Wynn Resorts, Limited.</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10.5.4</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Management Fee and Corporate Allocation Agreement, dated as of November 20, 2014,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Wynn MA, LLC and Wynn Resorts, Limited.</w:t>
              </w:r>
            </w:hyperlink>
          </w:p>
        </w:tc>
        <w:tc>
          <w:tcPr>
            <w:tcW w:w="404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10.6.1</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Intellectual Property License Agreement, dated as of September 19, 2009, by and among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730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Holdings, LLC, Wynn Resorts, Limited and Wynn Macau, Limited.</w:t>
              </w:r>
            </w:hyperlink>
          </w:p>
        </w:tc>
        <w:tc>
          <w:tcPr>
            <w:tcW w:w="80" w:type="dxa"/>
            <w:vAlign w:val="bottom"/>
            <w:gridSpan w:val="4"/>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10.6.2</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Intellectual Property License Agreement, dated as of September 19, 2009, by and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among Wynn Resorts Holdings, LLC, Wynn Resorts, Limited and Wynn Resorts (Macau), S.A.</w:t>
              </w:r>
            </w:hyperlink>
          </w:p>
        </w:tc>
        <w:tc>
          <w:tcPr>
            <w:tcW w:w="680" w:type="dxa"/>
            <w:vAlign w:val="bottom"/>
            <w:tcBorders>
              <w:top w:val="single" w:sz="8" w:color="0000FF"/>
            </w:tcBorders>
            <w:gridSpan w:val="18"/>
          </w:tcPr>
          <w:p>
            <w:pPr>
              <w:spacing w:after="0"/>
              <w:rPr>
                <w:sz w:val="13"/>
                <w:szCs w:val="13"/>
                <w:color w:val="auto"/>
              </w:rPr>
            </w:pPr>
          </w:p>
        </w:tc>
        <w:tc>
          <w:tcPr>
            <w:tcW w:w="34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10.6.3</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2015 Intellectual Property License Agreement, dated as of February 26, 2015,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5/8/2015</w:t>
            </w:r>
          </w:p>
        </w:tc>
      </w:tr>
      <w:tr>
        <w:trPr>
          <w:trHeight w:val="151"/>
        </w:trPr>
        <w:tc>
          <w:tcPr>
            <w:tcW w:w="1740" w:type="dxa"/>
            <w:vAlign w:val="bottom"/>
          </w:tcPr>
          <w:p>
            <w:pPr>
              <w:spacing w:after="0"/>
              <w:rPr>
                <w:sz w:val="13"/>
                <w:szCs w:val="13"/>
                <w:color w:val="auto"/>
              </w:rPr>
            </w:pPr>
          </w:p>
        </w:tc>
        <w:tc>
          <w:tcPr>
            <w:tcW w:w="708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Resorts Holdings, LLC, Wynn Resorts, Limited and Wynn Las Vegas, LLC.</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1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10.6.4</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2014 Intellectual Property License Agreement, dated as of November 20, 2014,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Resorts Holdings, LLC, Wynn Resorts, Limited and Wynn MA, LLC.</w:t>
              </w:r>
            </w:hyperlink>
          </w:p>
        </w:tc>
        <w:tc>
          <w:tcPr>
            <w:tcW w:w="2280" w:type="dxa"/>
            <w:vAlign w:val="bottom"/>
            <w:tcBorders>
              <w:top w:val="single" w:sz="8" w:color="0000FF"/>
            </w:tcBorders>
            <w:gridSpan w:val="14"/>
          </w:tcPr>
          <w:p>
            <w:pPr>
              <w:spacing w:after="0"/>
              <w:rPr>
                <w:sz w:val="13"/>
                <w:szCs w:val="13"/>
                <w:color w:val="auto"/>
              </w:rPr>
            </w:pPr>
          </w:p>
        </w:tc>
        <w:tc>
          <w:tcPr>
            <w:tcW w:w="540" w:type="dxa"/>
            <w:vAlign w:val="bottom"/>
            <w:gridSpan w:val="18"/>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10.6.5</w:t>
            </w:r>
          </w:p>
        </w:tc>
        <w:tc>
          <w:tcPr>
            <w:tcW w:w="7720" w:type="dxa"/>
            <w:vAlign w:val="bottom"/>
            <w:gridSpan w:val="44"/>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Surname Rights Agreement,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Resorts Holdings, LLC.</w:t>
              </w:r>
            </w:hyperlink>
          </w:p>
        </w:tc>
        <w:tc>
          <w:tcPr>
            <w:tcW w:w="560" w:type="dxa"/>
            <w:vAlign w:val="bottom"/>
            <w:gridSpan w:val="19"/>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14"/>
        </w:trPr>
        <w:tc>
          <w:tcPr>
            <w:tcW w:w="1740" w:type="dxa"/>
            <w:vAlign w:val="bottom"/>
          </w:tcPr>
          <w:p>
            <w:pPr>
              <w:spacing w:after="0"/>
              <w:rPr>
                <w:sz w:val="24"/>
                <w:szCs w:val="24"/>
                <w:color w:val="auto"/>
              </w:rPr>
            </w:pPr>
          </w:p>
        </w:tc>
        <w:tc>
          <w:tcPr>
            <w:tcW w:w="1660" w:type="dxa"/>
            <w:vAlign w:val="bottom"/>
            <w:tcBorders>
              <w:top w:val="single" w:sz="8" w:color="0000FF"/>
            </w:tcBorders>
            <w:gridSpan w:val="2"/>
          </w:tcPr>
          <w:p>
            <w:pPr>
              <w:spacing w:after="0"/>
              <w:rPr>
                <w:sz w:val="24"/>
                <w:szCs w:val="24"/>
                <w:color w:val="auto"/>
              </w:rPr>
            </w:pPr>
          </w:p>
        </w:tc>
        <w:tc>
          <w:tcPr>
            <w:tcW w:w="308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10.6.6</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Rights of Publicity License,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2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Resorts Holdings,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10.6.7</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Intellectual Property License Agreement, dated as of January 1, 2025, by and between Wynn NKH, LLC,</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151"/>
        </w:trPr>
        <w:tc>
          <w:tcPr>
            <w:tcW w:w="174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and Wynn Macau, Limited.</w:t>
              </w:r>
            </w:hyperlink>
          </w:p>
        </w:tc>
        <w:tc>
          <w:tcPr>
            <w:tcW w:w="552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10.6.8</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Intellectual Property License Agreement, dated as of January 1, 2025, by and between Wynn NKH, LLC,</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151"/>
        </w:trPr>
        <w:tc>
          <w:tcPr>
            <w:tcW w:w="17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and Wynn Resorts (Macau), S.A.</w:t>
              </w:r>
            </w:hyperlink>
          </w:p>
        </w:tc>
        <w:tc>
          <w:tcPr>
            <w:tcW w:w="51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10.6.9</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Intellectual Property License Agreement, dated as of January 1, 2025,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151"/>
        </w:trPr>
        <w:tc>
          <w:tcPr>
            <w:tcW w:w="17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Holdings, LLC, Wynn Resorts, Limited and Wynn NKH, LLC.</w:t>
              </w:r>
            </w:hyperlink>
          </w:p>
        </w:tc>
        <w:tc>
          <w:tcPr>
            <w:tcW w:w="27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10.7.1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Second Amended and Restated Shareholders' Agreement, dated June 21, 2024, by and among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1740" w:type="dxa"/>
            <w:vAlign w:val="bottom"/>
          </w:tcPr>
          <w:p>
            <w:pPr>
              <w:spacing w:after="0"/>
              <w:rPr>
                <w:sz w:val="13"/>
                <w:szCs w:val="13"/>
                <w:color w:val="auto"/>
              </w:rPr>
            </w:pPr>
          </w:p>
        </w:tc>
        <w:tc>
          <w:tcPr>
            <w:tcW w:w="7720" w:type="dxa"/>
            <w:vAlign w:val="bottom"/>
            <w:gridSpan w:val="46"/>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Resorts, Limited, RAK Hospitality Holding LLC, Al Marjan Island LLC, Wynn Resorts FZ-LLC, RAK</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280" w:type="dxa"/>
            <w:vAlign w:val="bottom"/>
            <w:tcBorders>
              <w:top w:val="single" w:sz="8" w:color="0000FF"/>
            </w:tcBorders>
            <w:gridSpan w:val="32"/>
          </w:tcPr>
          <w:p>
            <w:pPr>
              <w:spacing w:after="0" w:line="164"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HH IR FZ-LLC, AMI Island 3 IR FZ-LLC and Island 3 AMI FZ-LLC.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6"/>
              </w:rPr>
              <w:t>+10.7.2.0</w:t>
            </w:r>
          </w:p>
        </w:tc>
        <w:tc>
          <w:tcPr>
            <w:tcW w:w="7720" w:type="dxa"/>
            <w:vAlign w:val="bottom"/>
            <w:gridSpan w:val="46"/>
          </w:tcPr>
          <w:p>
            <w:pPr>
              <w:spacing w:after="0" w:line="204"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Employment Agreement, dated as of January 27, 2017 by and between Wynn Resorts, Limited and Craig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5/4/2017</w:t>
            </w:r>
          </w:p>
        </w:tc>
      </w:tr>
      <w:tr>
        <w:trPr>
          <w:trHeight w:val="151"/>
        </w:trPr>
        <w:tc>
          <w:tcPr>
            <w:tcW w:w="17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Billings.</w:t>
              </w:r>
            </w:hyperlink>
          </w:p>
        </w:tc>
        <w:tc>
          <w:tcPr>
            <w:tcW w:w="680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First Amendment to Employment Agreement, dated as of April 17, 2018,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5/9/2018</w:t>
            </w:r>
          </w:p>
        </w:tc>
      </w:tr>
      <w:tr>
        <w:trPr>
          <w:trHeight w:val="151"/>
        </w:trPr>
        <w:tc>
          <w:tcPr>
            <w:tcW w:w="1740" w:type="dxa"/>
            <w:vAlign w:val="bottom"/>
          </w:tcPr>
          <w:p>
            <w:pPr>
              <w:spacing w:after="0"/>
              <w:rPr>
                <w:sz w:val="13"/>
                <w:szCs w:val="13"/>
                <w:color w:val="auto"/>
              </w:rPr>
            </w:pPr>
          </w:p>
        </w:tc>
        <w:tc>
          <w:tcPr>
            <w:tcW w:w="738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Limited and Craig S. Billings.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+10.7.2.2</w:t>
            </w:r>
          </w:p>
        </w:tc>
        <w:tc>
          <w:tcPr>
            <w:tcW w:w="7720" w:type="dxa"/>
            <w:vAlign w:val="bottom"/>
            <w:gridSpan w:val="46"/>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Second Amendment to Employment Agreement, dated as of May 29, 2019,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8/8/2019</w:t>
            </w:r>
          </w:p>
        </w:tc>
      </w:tr>
      <w:tr>
        <w:trPr>
          <w:trHeight w:val="151"/>
        </w:trPr>
        <w:tc>
          <w:tcPr>
            <w:tcW w:w="1740" w:type="dxa"/>
            <w:vAlign w:val="bottom"/>
          </w:tcPr>
          <w:p>
            <w:pPr>
              <w:spacing w:after="0"/>
              <w:rPr>
                <w:sz w:val="13"/>
                <w:szCs w:val="13"/>
                <w:color w:val="auto"/>
              </w:rPr>
            </w:pPr>
          </w:p>
        </w:tc>
        <w:tc>
          <w:tcPr>
            <w:tcW w:w="7540" w:type="dxa"/>
            <w:vAlign w:val="bottom"/>
            <w:tcBorders>
              <w:top w:val="single" w:sz="8" w:color="0000FF"/>
            </w:tcBorders>
            <w:gridSpan w:val="45"/>
          </w:tcPr>
          <w:p>
            <w:pPr>
              <w:spacing w:after="0" w:line="152"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Limited and Craig Billings.</w:t>
              </w:r>
            </w:hyperlink>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+10.7.2.3</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Third Amended and Restated Employment Agreement dated as of January 1,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740" w:type="dxa"/>
            <w:vAlign w:val="bottom"/>
          </w:tcPr>
          <w:p>
            <w:pPr>
              <w:spacing w:after="0"/>
              <w:rPr>
                <w:sz w:val="13"/>
                <w:szCs w:val="13"/>
                <w:color w:val="auto"/>
              </w:rPr>
            </w:pPr>
          </w:p>
        </w:tc>
        <w:tc>
          <w:tcPr>
            <w:tcW w:w="7500" w:type="dxa"/>
            <w:vAlign w:val="bottom"/>
            <w:tcBorders>
              <w:top w:val="single" w:sz="8" w:color="0000FF"/>
            </w:tcBorders>
            <w:gridSpan w:val="43"/>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Resorts, Limited and Craig S. Billings.</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+10.7.2.4</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Fourth Amended and Restated Employment Agreement dated as of May 24,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5/24/202</w:t>
            </w:r>
          </w:p>
        </w:tc>
      </w:tr>
      <w:tr>
        <w:trPr>
          <w:trHeight w:val="151"/>
        </w:trPr>
        <w:tc>
          <w:tcPr>
            <w:tcW w:w="1740" w:type="dxa"/>
            <w:vAlign w:val="bottom"/>
          </w:tcPr>
          <w:p>
            <w:pPr>
              <w:spacing w:after="0"/>
              <w:rPr>
                <w:sz w:val="13"/>
                <w:szCs w:val="13"/>
                <w:color w:val="auto"/>
              </w:rPr>
            </w:pPr>
          </w:p>
        </w:tc>
        <w:tc>
          <w:tcPr>
            <w:tcW w:w="742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Resorts, Limited and Craig S. Billings.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+10.7.2.5</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Employment Agreement, dated November 9, 2021, by and between Wynn Resorts, Limited and Craig 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17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Billings.</w:t>
              </w:r>
            </w:hyperlink>
          </w:p>
        </w:tc>
        <w:tc>
          <w:tcPr>
            <w:tcW w:w="6760" w:type="dxa"/>
            <w:vAlign w:val="bottom"/>
            <w:tcBorders>
              <w:top w:val="single" w:sz="8" w:color="0000FF"/>
            </w:tcBorders>
            <w:gridSpan w:val="3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+10.7.2.6</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First Amendment to Employment Agreement, dated as of June 1, 2023,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6/2/2023</w:t>
            </w:r>
          </w:p>
        </w:tc>
      </w:tr>
      <w:tr>
        <w:trPr>
          <w:trHeight w:val="151"/>
        </w:trPr>
        <w:tc>
          <w:tcPr>
            <w:tcW w:w="1740" w:type="dxa"/>
            <w:vAlign w:val="bottom"/>
          </w:tcPr>
          <w:p>
            <w:pPr>
              <w:spacing w:after="0"/>
              <w:rPr>
                <w:sz w:val="13"/>
                <w:szCs w:val="13"/>
                <w:color w:val="auto"/>
              </w:rPr>
            </w:pPr>
          </w:p>
        </w:tc>
        <w:tc>
          <w:tcPr>
            <w:tcW w:w="722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Limited and Craig S. Billings.</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+10.7.3.0</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Employment Agreement, dated as of August 2, 2018, by and between Wynn Resorts, Limited and Ellen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8/8/2018</w:t>
            </w:r>
          </w:p>
        </w:tc>
      </w:tr>
      <w:tr>
        <w:trPr>
          <w:trHeight w:val="151"/>
        </w:trPr>
        <w:tc>
          <w:tcPr>
            <w:tcW w:w="17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Whittemore.</w:t>
              </w:r>
            </w:hyperlink>
          </w:p>
        </w:tc>
        <w:tc>
          <w:tcPr>
            <w:tcW w:w="638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Amendment to Employment Agreement, dated as of May 29, 2019,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8/8/2019</w:t>
            </w:r>
          </w:p>
        </w:tc>
      </w:tr>
      <w:tr>
        <w:trPr>
          <w:trHeight w:val="151"/>
        </w:trPr>
        <w:tc>
          <w:tcPr>
            <w:tcW w:w="1740" w:type="dxa"/>
            <w:vAlign w:val="bottom"/>
          </w:tcPr>
          <w:p>
            <w:pPr>
              <w:spacing w:after="0"/>
              <w:rPr>
                <w:sz w:val="13"/>
                <w:szCs w:val="13"/>
                <w:color w:val="auto"/>
              </w:rPr>
            </w:pPr>
          </w:p>
        </w:tc>
        <w:tc>
          <w:tcPr>
            <w:tcW w:w="732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Limited and Ellen Whittemore.</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+10.7.3.2</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Second Amended and Restated Employment Agreement dated as of January 1, 2021,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7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Wynn Resorts, Limited and Ellen F. Whittemore.</w:t>
              </w:r>
            </w:hyperlink>
          </w:p>
        </w:tc>
        <w:tc>
          <w:tcPr>
            <w:tcW w:w="366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+10.7.3.3</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Third Amended and Restated Employment Agreement dated as of January 12, 2022,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7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Wynn Resorts, Limited and Ellen F. Whittemore.</w:t>
              </w:r>
            </w:hyperlink>
          </w:p>
        </w:tc>
        <w:tc>
          <w:tcPr>
            <w:tcW w:w="36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+10.7.4.0</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Employment Agreement, dated as of December 7, 2021 by and between Wynn Resorts, Limited and Julie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74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Cameron-Doe.</w:t>
              </w:r>
            </w:hyperlink>
          </w:p>
        </w:tc>
        <w:tc>
          <w:tcPr>
            <w:tcW w:w="64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First Amendment to Employment Agreement, dated as of April 13, 2022,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5/10/202</w:t>
            </w:r>
          </w:p>
        </w:tc>
      </w:tr>
      <w:tr>
        <w:trPr>
          <w:trHeight w:val="151"/>
        </w:trPr>
        <w:tc>
          <w:tcPr>
            <w:tcW w:w="1740" w:type="dxa"/>
            <w:vAlign w:val="bottom"/>
          </w:tcPr>
          <w:p>
            <w:pPr>
              <w:spacing w:after="0"/>
              <w:rPr>
                <w:sz w:val="13"/>
                <w:szCs w:val="13"/>
                <w:color w:val="auto"/>
              </w:rPr>
            </w:pPr>
          </w:p>
        </w:tc>
        <w:tc>
          <w:tcPr>
            <w:tcW w:w="738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Limited and Julie Cameron-Doe.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+10.7.4.2</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Second Amendment to Employment Agreement, dated as of June 1, 2023,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6/2/2023</w:t>
            </w:r>
          </w:p>
        </w:tc>
      </w:tr>
      <w:tr>
        <w:trPr>
          <w:trHeight w:val="151"/>
        </w:trPr>
        <w:tc>
          <w:tcPr>
            <w:tcW w:w="1740" w:type="dxa"/>
            <w:vAlign w:val="bottom"/>
          </w:tcPr>
          <w:p>
            <w:pPr>
              <w:spacing w:after="0"/>
              <w:rPr>
                <w:sz w:val="13"/>
                <w:szCs w:val="13"/>
                <w:color w:val="auto"/>
              </w:rPr>
            </w:pPr>
          </w:p>
        </w:tc>
        <w:tc>
          <w:tcPr>
            <w:tcW w:w="7480" w:type="dxa"/>
            <w:vAlign w:val="bottom"/>
            <w:tcBorders>
              <w:top w:val="single" w:sz="8" w:color="0000FF"/>
            </w:tcBorders>
            <w:gridSpan w:val="42"/>
          </w:tcPr>
          <w:p>
            <w:pPr>
              <w:spacing w:after="0" w:line="152" w:lineRule="exact"/>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Limited and Julie Cameron-Doe.</w:t>
              </w:r>
            </w:hyperlink>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+10.7.5.1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Employment Agreement, dated as of September 15, 2024 by and between Wynn Resorts, Limited and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151"/>
        </w:trPr>
        <w:tc>
          <w:tcPr>
            <w:tcW w:w="1740" w:type="dxa"/>
            <w:vAlign w:val="bottom"/>
          </w:tcPr>
          <w:p>
            <w:pPr>
              <w:spacing w:after="0"/>
              <w:rPr>
                <w:sz w:val="13"/>
                <w:szCs w:val="13"/>
                <w:color w:val="auto"/>
              </w:rPr>
            </w:pPr>
          </w:p>
        </w:tc>
        <w:tc>
          <w:tcPr>
            <w:tcW w:w="94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Jacqui Krum.</w:t>
              </w:r>
            </w:hyperlink>
          </w:p>
        </w:tc>
        <w:tc>
          <w:tcPr>
            <w:tcW w:w="62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+10.7.5.2</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First Amendment to Employment Agreement, dated as of November 25, 2024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2/13/202</w:t>
            </w:r>
          </w:p>
        </w:tc>
      </w:tr>
      <w:tr>
        <w:trPr>
          <w:trHeight w:val="151"/>
        </w:trPr>
        <w:tc>
          <w:tcPr>
            <w:tcW w:w="1740" w:type="dxa"/>
            <w:vAlign w:val="bottom"/>
          </w:tcPr>
          <w:p>
            <w:pPr>
              <w:spacing w:after="0"/>
              <w:rPr>
                <w:sz w:val="13"/>
                <w:szCs w:val="13"/>
                <w:color w:val="auto"/>
              </w:rPr>
            </w:pPr>
          </w:p>
        </w:tc>
        <w:tc>
          <w:tcPr>
            <w:tcW w:w="708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Resorts, Limited and Jacqui Krum.</w:t>
              </w:r>
            </w:hyperlink>
          </w:p>
        </w:tc>
        <w:tc>
          <w:tcPr>
            <w:tcW w:w="10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+10.7.5.3</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Employment Agreement, dated as of January 8, 2026, by and between Wynn Resorts, Limited and Craig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1/9/2026</w:t>
            </w:r>
          </w:p>
        </w:tc>
      </w:tr>
      <w:tr>
        <w:trPr>
          <w:trHeight w:val="151"/>
        </w:trPr>
        <w:tc>
          <w:tcPr>
            <w:tcW w:w="17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Fullalove.</w:t>
              </w:r>
            </w:hyperlink>
          </w:p>
        </w:tc>
        <w:tc>
          <w:tcPr>
            <w:tcW w:w="6640" w:type="dxa"/>
            <w:vAlign w:val="bottom"/>
            <w:tcBorders>
              <w:top w:val="single" w:sz="8" w:color="0000FF"/>
            </w:tcBorders>
            <w:gridSpan w:val="32"/>
          </w:tcPr>
          <w:p>
            <w:pPr>
              <w:spacing w:after="0"/>
              <w:rPr>
                <w:sz w:val="13"/>
                <w:szCs w:val="13"/>
                <w:color w:val="auto"/>
              </w:rPr>
            </w:pPr>
          </w:p>
        </w:tc>
        <w:tc>
          <w:tcPr>
            <w:tcW w:w="18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5"/>
              </w:rPr>
              <w:t>+10.8</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2014 Omnibus Incentive Plan, dated January 1, 2017.</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2/24/201</w:t>
            </w: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5"/>
              </w:rPr>
              <w:t>+10.9</w:t>
            </w:r>
          </w:p>
        </w:tc>
        <w:tc>
          <w:tcPr>
            <w:tcW w:w="4320" w:type="dxa"/>
            <w:vAlign w:val="bottom"/>
            <w:tcBorders>
              <w:top w:val="single" w:sz="8" w:color="0000FF"/>
              <w:bottom w:val="single" w:sz="8" w:color="0000FF"/>
            </w:tcBorders>
            <w:gridSpan w:val="18"/>
          </w:tcPr>
          <w:p>
            <w:pPr>
              <w:spacing w:after="0" w:line="204" w:lineRule="exact"/>
              <w:rPr>
                <w:rFonts w:ascii="Times New Roman" w:cs="Times New Roman" w:eastAsia="Times New Roman" w:hAnsi="Times New Roman"/>
                <w:sz w:val="18"/>
                <w:szCs w:val="18"/>
                <w:color w:val="0000FF"/>
                <w:w w:val="96"/>
              </w:rPr>
            </w:pPr>
            <w:hyperlink r:id="rId229">
              <w:r>
                <w:rPr>
                  <w:rFonts w:ascii="Times New Roman" w:cs="Times New Roman" w:eastAsia="Times New Roman" w:hAnsi="Times New Roman"/>
                  <w:sz w:val="18"/>
                  <w:szCs w:val="18"/>
                  <w:color w:val="0000FF"/>
                  <w:w w:val="96"/>
                </w:rPr>
                <w:t>Second Amended and Restated 2014 Omnibus Incentive Plan</w:t>
              </w:r>
            </w:hyperlink>
          </w:p>
        </w:tc>
        <w:tc>
          <w:tcPr>
            <w:tcW w:w="1100" w:type="dxa"/>
            <w:vAlign w:val="bottom"/>
            <w:tcBorders>
              <w:top w:val="single" w:sz="8" w:color="0000FF"/>
            </w:tcBorders>
            <w:gridSpan w:val="3"/>
          </w:tcPr>
          <w:p>
            <w:pPr>
              <w:spacing w:after="0"/>
              <w:rPr>
                <w:sz w:val="17"/>
                <w:szCs w:val="17"/>
                <w:color w:val="auto"/>
              </w:rPr>
            </w:pPr>
          </w:p>
        </w:tc>
        <w:tc>
          <w:tcPr>
            <w:tcW w:w="2300" w:type="dxa"/>
            <w:vAlign w:val="bottom"/>
            <w:gridSpan w:val="25"/>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8/12/202</w:t>
            </w: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8"/>
              </w:rPr>
              <w:t>10.10</w:t>
            </w:r>
          </w:p>
        </w:tc>
        <w:tc>
          <w:tcPr>
            <w:tcW w:w="7720" w:type="dxa"/>
            <w:vAlign w:val="bottom"/>
            <w:gridSpan w:val="46"/>
          </w:tcPr>
          <w:p>
            <w:pPr>
              <w:spacing w:after="0" w:line="204"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Cooperation Agreement, dated as of August 3, 2018, by and between Wynn Resorts, Limited and Elaine P.</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8/6/2018</w:t>
            </w:r>
          </w:p>
        </w:tc>
      </w:tr>
      <w:tr>
        <w:trPr>
          <w:trHeight w:val="151"/>
        </w:trPr>
        <w:tc>
          <w:tcPr>
            <w:tcW w:w="17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Wynn.</w:t>
              </w:r>
            </w:hyperlink>
          </w:p>
        </w:tc>
        <w:tc>
          <w:tcPr>
            <w:tcW w:w="7060" w:type="dxa"/>
            <w:vAlign w:val="bottom"/>
            <w:tcBorders>
              <w:top w:val="single" w:sz="8" w:color="0000FF"/>
            </w:tcBorders>
            <w:gridSpan w:val="43"/>
          </w:tcPr>
          <w:p>
            <w:pPr>
              <w:spacing w:after="0"/>
              <w:rPr>
                <w:sz w:val="13"/>
                <w:szCs w:val="13"/>
                <w:color w:val="auto"/>
              </w:rPr>
            </w:pPr>
          </w:p>
        </w:tc>
        <w:tc>
          <w:tcPr>
            <w:tcW w:w="20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3"/>
              </w:rPr>
              <w:t>10.11</w:t>
            </w:r>
          </w:p>
        </w:tc>
        <w:tc>
          <w:tcPr>
            <w:tcW w:w="7720" w:type="dxa"/>
            <w:vAlign w:val="bottom"/>
            <w:gridSpan w:val="46"/>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Second Amended and Restated Shareholders' Agreement, dated as of January 14, 2016,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174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Wynn Resorts (Macau), Ltd., Wynn Resorts International, Ltd., Chen Chi Ling Linda and Wynn Resorts</w:t>
              </w:r>
            </w:hyperlink>
          </w:p>
        </w:tc>
        <w:tc>
          <w:tcPr>
            <w:tcW w:w="120" w:type="dxa"/>
            <w:vAlign w:val="bottom"/>
            <w:tcBorders>
              <w:bottom w:val="single" w:sz="8" w:color="0000FF"/>
            </w:tcBorders>
            <w:gridSpan w:val="4"/>
          </w:tcPr>
          <w:p>
            <w:pPr>
              <w:spacing w:after="0"/>
              <w:rPr>
                <w:sz w:val="13"/>
                <w:szCs w:val="13"/>
                <w:color w:val="auto"/>
              </w:rPr>
            </w:pPr>
          </w:p>
        </w:tc>
        <w:tc>
          <w:tcPr>
            <w:tcW w:w="420" w:type="dxa"/>
            <w:vAlign w:val="bottom"/>
            <w:gridSpan w:val="13"/>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300" w:type="dxa"/>
            <w:vAlign w:val="bottom"/>
            <w:gridSpan w:val="33"/>
          </w:tcPr>
          <w:p>
            <w:pPr>
              <w:spacing w:after="0" w:line="164"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(Macau), S.A.</w:t>
              </w:r>
            </w:hyperlink>
          </w:p>
        </w:tc>
        <w:tc>
          <w:tcPr>
            <w:tcW w:w="420" w:type="dxa"/>
            <w:vAlign w:val="bottom"/>
            <w:gridSpan w:val="13"/>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5520" w:type="dxa"/>
            <w:vAlign w:val="bottom"/>
            <w:gridSpan w:val="3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8"/>
              </w:rPr>
              <w:t>10.12</w:t>
            </w:r>
          </w:p>
        </w:tc>
        <w:tc>
          <w:tcPr>
            <w:tcW w:w="2200" w:type="dxa"/>
            <w:vAlign w:val="bottom"/>
            <w:tcBorders>
              <w:bottom w:val="single" w:sz="8" w:color="0000FF"/>
            </w:tcBorders>
            <w:gridSpan w:val="12"/>
          </w:tcPr>
          <w:p>
            <w:pPr>
              <w:spacing w:after="0" w:line="204" w:lineRule="exact"/>
              <w:rPr>
                <w:rFonts w:ascii="Times New Roman" w:cs="Times New Roman" w:eastAsia="Times New Roman" w:hAnsi="Times New Roman"/>
                <w:sz w:val="18"/>
                <w:szCs w:val="18"/>
                <w:color w:val="0000FF"/>
                <w:w w:val="96"/>
              </w:rPr>
            </w:pPr>
            <w:hyperlink r:id="rId232">
              <w:r>
                <w:rPr>
                  <w:rFonts w:ascii="Times New Roman" w:cs="Times New Roman" w:eastAsia="Times New Roman" w:hAnsi="Times New Roman"/>
                  <w:sz w:val="18"/>
                  <w:szCs w:val="18"/>
                  <w:color w:val="0000FF"/>
                  <w:w w:val="96"/>
                </w:rPr>
                <w:t>Form of Indemnity Agreement.</w:t>
              </w:r>
            </w:hyperlink>
          </w:p>
        </w:tc>
        <w:tc>
          <w:tcPr>
            <w:tcW w:w="5520" w:type="dxa"/>
            <w:vAlign w:val="bottom"/>
            <w:gridSpan w:val="34"/>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9/18/200</w:t>
            </w:r>
          </w:p>
        </w:tc>
      </w:tr>
      <w:tr>
        <w:trPr>
          <w:trHeight w:val="900"/>
        </w:trPr>
        <w:tc>
          <w:tcPr>
            <w:tcW w:w="1740" w:type="dxa"/>
            <w:vAlign w:val="bottom"/>
          </w:tcPr>
          <w:p>
            <w:pPr>
              <w:spacing w:after="0"/>
              <w:rPr>
                <w:sz w:val="24"/>
                <w:szCs w:val="24"/>
                <w:color w:val="auto"/>
              </w:rPr>
            </w:pPr>
          </w:p>
        </w:tc>
        <w:tc>
          <w:tcPr>
            <w:tcW w:w="4320" w:type="dxa"/>
            <w:vAlign w:val="bottom"/>
            <w:gridSpan w:val="18"/>
          </w:tcPr>
          <w:p>
            <w:pPr>
              <w:ind w:left="376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+10.13</w:t>
            </w:r>
          </w:p>
        </w:tc>
        <w:tc>
          <w:tcPr>
            <w:tcW w:w="60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6"/>
              </w:rPr>
            </w:pPr>
            <w:hyperlink r:id="rId235">
              <w:r>
                <w:rPr>
                  <w:rFonts w:ascii="Times New Roman" w:cs="Times New Roman" w:eastAsia="Times New Roman" w:hAnsi="Times New Roman"/>
                  <w:sz w:val="18"/>
                  <w:szCs w:val="18"/>
                  <w:color w:val="0000FF"/>
                  <w:w w:val="96"/>
                </w:rPr>
                <w:t>Wynn Resorts, Limited Executive Retirement Plan, as amended on November 3, 2025.</w:t>
              </w:r>
            </w:hyperlink>
          </w:p>
        </w:tc>
        <w:tc>
          <w:tcPr>
            <w:tcW w:w="1600" w:type="dxa"/>
            <w:vAlign w:val="bottom"/>
            <w:gridSpan w:val="6"/>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11/6/202</w:t>
            </w:r>
          </w:p>
        </w:tc>
      </w:tr>
      <w:tr>
        <w:trPr>
          <w:trHeight w:val="204"/>
        </w:trPr>
        <w:tc>
          <w:tcPr>
            <w:tcW w:w="960" w:type="dxa"/>
            <w:vAlign w:val="bottom"/>
          </w:tcPr>
          <w:p>
            <w:pPr>
              <w:jc w:val="center"/>
              <w:ind w:right="392"/>
              <w:spacing w:after="0" w:line="204" w:lineRule="exact"/>
              <w:rPr>
                <w:sz w:val="20"/>
                <w:szCs w:val="20"/>
                <w:color w:val="auto"/>
              </w:rPr>
            </w:pPr>
            <w:r>
              <w:rPr>
                <w:rFonts w:ascii="Times New Roman" w:cs="Times New Roman" w:eastAsia="Times New Roman" w:hAnsi="Times New Roman"/>
                <w:sz w:val="18"/>
                <w:szCs w:val="18"/>
                <w:color w:val="auto"/>
                <w:w w:val="98"/>
              </w:rPr>
              <w:t>10.14</w:t>
            </w:r>
          </w:p>
        </w:tc>
        <w:tc>
          <w:tcPr>
            <w:tcW w:w="7680" w:type="dxa"/>
            <w:vAlign w:val="bottom"/>
            <w:gridSpan w:val="14"/>
          </w:tcPr>
          <w:p>
            <w:pPr>
              <w:spacing w:after="0" w:line="204"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Guarantee, dated as of February 5, 2025, between the Government of Ras Al Khaimah acting through the</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93"/>
              </w:rPr>
              <w:t>2/6/2025</w:t>
            </w:r>
          </w:p>
        </w:tc>
      </w:tr>
      <w:tr>
        <w:trPr>
          <w:trHeight w:val="151"/>
        </w:trPr>
        <w:tc>
          <w:tcPr>
            <w:tcW w:w="96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Investment and Development Office of Ras Al Khaimah and Wynn Resorts, Limited in favor of First Abu</w:t>
              </w:r>
            </w:hyperlink>
          </w:p>
        </w:tc>
        <w:tc>
          <w:tcPr>
            <w:tcW w:w="40" w:type="dxa"/>
            <w:vAlign w:val="bottom"/>
            <w:tcBorders>
              <w:bottom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5500" w:type="dxa"/>
            <w:vAlign w:val="bottom"/>
            <w:tcBorders>
              <w:bottom w:val="single" w:sz="8" w:color="0000FF"/>
            </w:tcBorders>
            <w:gridSpan w:val="7"/>
          </w:tcPr>
          <w:p>
            <w:pPr>
              <w:spacing w:after="0" w:line="164" w:lineRule="exact"/>
              <w:rPr>
                <w:rFonts w:ascii="Times New Roman" w:cs="Times New Roman" w:eastAsia="Times New Roman" w:hAnsi="Times New Roman"/>
                <w:sz w:val="18"/>
                <w:szCs w:val="18"/>
                <w:color w:val="0000FF"/>
                <w:w w:val="96"/>
              </w:rPr>
            </w:pPr>
            <w:hyperlink r:id="rId236">
              <w:r>
                <w:rPr>
                  <w:rFonts w:ascii="Times New Roman" w:cs="Times New Roman" w:eastAsia="Times New Roman" w:hAnsi="Times New Roman"/>
                  <w:sz w:val="18"/>
                  <w:szCs w:val="18"/>
                  <w:color w:val="0000FF"/>
                  <w:w w:val="96"/>
                </w:rPr>
                <w:t>Dhabi Bank PJSC for itself and as security agent for the other Secured Parties.</w:t>
              </w:r>
            </w:hyperlink>
          </w:p>
        </w:tc>
        <w:tc>
          <w:tcPr>
            <w:tcW w:w="1920" w:type="dxa"/>
            <w:vAlign w:val="bottom"/>
            <w:gridSpan w:val="6"/>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60" w:type="dxa"/>
            <w:vAlign w:val="bottom"/>
          </w:tcPr>
          <w:p>
            <w:pPr>
              <w:jc w:val="center"/>
              <w:ind w:right="372"/>
              <w:spacing w:after="0" w:line="204" w:lineRule="exact"/>
              <w:rPr>
                <w:sz w:val="20"/>
                <w:szCs w:val="20"/>
                <w:color w:val="auto"/>
              </w:rPr>
            </w:pPr>
            <w:r>
              <w:rPr>
                <w:rFonts w:ascii="Times New Roman" w:cs="Times New Roman" w:eastAsia="Times New Roman" w:hAnsi="Times New Roman"/>
                <w:sz w:val="18"/>
                <w:szCs w:val="18"/>
                <w:color w:val="auto"/>
                <w:w w:val="95"/>
              </w:rPr>
              <w:t>19.1</w:t>
            </w:r>
          </w:p>
        </w:tc>
        <w:tc>
          <w:tcPr>
            <w:tcW w:w="3280" w:type="dxa"/>
            <w:vAlign w:val="bottom"/>
            <w:tcBorders>
              <w:bottom w:val="single" w:sz="8" w:color="0000FF"/>
            </w:tcBorders>
            <w:gridSpan w:val="5"/>
          </w:tcPr>
          <w:p>
            <w:pPr>
              <w:spacing w:after="0" w:line="204" w:lineRule="exact"/>
              <w:rPr>
                <w:rFonts w:ascii="Times New Roman" w:cs="Times New Roman" w:eastAsia="Times New Roman" w:hAnsi="Times New Roman"/>
                <w:sz w:val="18"/>
                <w:szCs w:val="18"/>
                <w:color w:val="0000FF"/>
                <w:w w:val="96"/>
              </w:rPr>
            </w:pPr>
            <w:hyperlink r:id="rId237">
              <w:r>
                <w:rPr>
                  <w:rFonts w:ascii="Times New Roman" w:cs="Times New Roman" w:eastAsia="Times New Roman" w:hAnsi="Times New Roman"/>
                  <w:sz w:val="18"/>
                  <w:szCs w:val="18"/>
                  <w:color w:val="0000FF"/>
                  <w:w w:val="96"/>
                </w:rPr>
                <w:t>Wynn Resorts, Limited Insider Trading Policy.</w:t>
              </w:r>
            </w:hyperlink>
          </w:p>
        </w:tc>
        <w:tc>
          <w:tcPr>
            <w:tcW w:w="4400" w:type="dxa"/>
            <w:vAlign w:val="bottom"/>
            <w:gridSpan w:val="9"/>
          </w:tcPr>
          <w:p>
            <w:pPr>
              <w:spacing w:after="0"/>
              <w:rPr>
                <w:sz w:val="17"/>
                <w:szCs w:val="17"/>
                <w:color w:val="auto"/>
              </w:rPr>
            </w:pPr>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2/13/202</w:t>
            </w:r>
          </w:p>
        </w:tc>
      </w:tr>
      <w:tr>
        <w:trPr>
          <w:trHeight w:val="204"/>
        </w:trPr>
        <w:tc>
          <w:tcPr>
            <w:tcW w:w="960" w:type="dxa"/>
            <w:vAlign w:val="bottom"/>
          </w:tcPr>
          <w:p>
            <w:pPr>
              <w:jc w:val="center"/>
              <w:ind w:right="372"/>
              <w:spacing w:after="0" w:line="204" w:lineRule="exact"/>
              <w:rPr>
                <w:sz w:val="20"/>
                <w:szCs w:val="20"/>
                <w:color w:val="auto"/>
              </w:rPr>
            </w:pPr>
            <w:r>
              <w:rPr>
                <w:rFonts w:ascii="Times New Roman" w:cs="Times New Roman" w:eastAsia="Times New Roman" w:hAnsi="Times New Roman"/>
                <w:sz w:val="18"/>
                <w:szCs w:val="18"/>
                <w:color w:val="auto"/>
                <w:w w:val="95"/>
              </w:rPr>
              <w:t>21.1</w:t>
            </w:r>
          </w:p>
        </w:tc>
        <w:tc>
          <w:tcPr>
            <w:tcW w:w="768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60" w:type="dxa"/>
            <w:vAlign w:val="bottom"/>
          </w:tcPr>
          <w:p>
            <w:pPr>
              <w:jc w:val="center"/>
              <w:ind w:right="372"/>
              <w:spacing w:after="0" w:line="204" w:lineRule="exact"/>
              <w:rPr>
                <w:sz w:val="20"/>
                <w:szCs w:val="20"/>
                <w:color w:val="auto"/>
              </w:rPr>
            </w:pPr>
            <w:r>
              <w:rPr>
                <w:rFonts w:ascii="Times New Roman" w:cs="Times New Roman" w:eastAsia="Times New Roman" w:hAnsi="Times New Roman"/>
                <w:sz w:val="18"/>
                <w:szCs w:val="18"/>
                <w:color w:val="auto"/>
                <w:w w:val="95"/>
              </w:rPr>
              <w:t>23.1</w:t>
            </w:r>
          </w:p>
        </w:tc>
        <w:tc>
          <w:tcPr>
            <w:tcW w:w="5240" w:type="dxa"/>
            <w:vAlign w:val="bottom"/>
            <w:tcBorders>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Consent of Ernst &amp; Young LLP, Independent Registered Accounting Firm.</w:t>
            </w:r>
          </w:p>
        </w:tc>
        <w:tc>
          <w:tcPr>
            <w:tcW w:w="2440" w:type="dxa"/>
            <w:vAlign w:val="bottom"/>
            <w:gridSpan w:val="8"/>
          </w:tcPr>
          <w:p>
            <w:pPr>
              <w:spacing w:after="0"/>
              <w:rPr>
                <w:sz w:val="17"/>
                <w:szCs w:val="17"/>
                <w:color w:val="auto"/>
              </w:rPr>
            </w:pPr>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204"/>
        </w:trPr>
        <w:tc>
          <w:tcPr>
            <w:tcW w:w="960" w:type="dxa"/>
            <w:vAlign w:val="bottom"/>
          </w:tcPr>
          <w:p>
            <w:pPr>
              <w:jc w:val="center"/>
              <w:ind w:right="372"/>
              <w:spacing w:after="0" w:line="204" w:lineRule="exact"/>
              <w:rPr>
                <w:sz w:val="20"/>
                <w:szCs w:val="20"/>
                <w:color w:val="auto"/>
              </w:rPr>
            </w:pPr>
            <w:r>
              <w:rPr>
                <w:rFonts w:ascii="Times New Roman" w:cs="Times New Roman" w:eastAsia="Times New Roman" w:hAnsi="Times New Roman"/>
                <w:sz w:val="18"/>
                <w:szCs w:val="18"/>
                <w:color w:val="auto"/>
                <w:w w:val="95"/>
              </w:rPr>
              <w:t>31.1</w:t>
            </w:r>
          </w:p>
        </w:tc>
        <w:tc>
          <w:tcPr>
            <w:tcW w:w="768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Chief Executive Officer of Periodic Report Pursuant to Rule 13a – 14(a) and Rule 15d –</w:t>
            </w:r>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960" w:type="dxa"/>
            <w:vAlign w:val="bottom"/>
          </w:tcPr>
          <w:p>
            <w:pPr>
              <w:spacing w:after="0"/>
              <w:rPr>
                <w:sz w:val="13"/>
                <w:szCs w:val="13"/>
                <w:color w:val="auto"/>
              </w:rPr>
            </w:pPr>
          </w:p>
        </w:tc>
        <w:tc>
          <w:tcPr>
            <w:tcW w:w="7320" w:type="dxa"/>
            <w:vAlign w:val="bottom"/>
            <w:tcBorders>
              <w:top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36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5"/>
              </w:rPr>
              <w:t>31.2</w:t>
            </w:r>
          </w:p>
        </w:tc>
        <w:tc>
          <w:tcPr>
            <w:tcW w:w="7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Periodic Report pursuant to Rule 13a – 14(a) and Rule 15d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960" w:type="dxa"/>
            <w:vAlign w:val="bottom"/>
          </w:tcPr>
          <w:p>
            <w:pPr>
              <w:spacing w:after="0"/>
              <w:rPr>
                <w:sz w:val="13"/>
                <w:szCs w:val="13"/>
                <w:color w:val="auto"/>
              </w:rPr>
            </w:pPr>
          </w:p>
        </w:tc>
        <w:tc>
          <w:tcPr>
            <w:tcW w:w="7240" w:type="dxa"/>
            <w:vAlign w:val="bottom"/>
            <w:tcBorders>
              <w:top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6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9"/>
              </w:rPr>
              <w:t>32</w:t>
            </w:r>
          </w:p>
        </w:tc>
        <w:tc>
          <w:tcPr>
            <w:tcW w:w="7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88"/>
              </w:rPr>
              <w:t>*</w:t>
            </w:r>
          </w:p>
        </w:tc>
      </w:tr>
      <w:tr>
        <w:trPr>
          <w:trHeight w:val="151"/>
        </w:trPr>
        <w:tc>
          <w:tcPr>
            <w:tcW w:w="9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(furnished herewith)</w:t>
            </w:r>
          </w:p>
        </w:tc>
        <w:tc>
          <w:tcPr>
            <w:tcW w:w="5860" w:type="dxa"/>
            <w:vAlign w:val="bottom"/>
            <w:tcBorders>
              <w:top w:val="single" w:sz="8" w:color="0000FF"/>
            </w:tcBorders>
            <w:gridSpan w:val="8"/>
          </w:tcPr>
          <w:p>
            <w:pPr>
              <w:spacing w:after="0"/>
              <w:rPr>
                <w:sz w:val="13"/>
                <w:szCs w:val="13"/>
                <w:color w:val="auto"/>
              </w:rPr>
            </w:pPr>
          </w:p>
        </w:tc>
        <w:tc>
          <w:tcPr>
            <w:tcW w:w="38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9"/>
              </w:rPr>
              <w:t>97</w:t>
            </w:r>
          </w:p>
        </w:tc>
        <w:tc>
          <w:tcPr>
            <w:tcW w:w="7680" w:type="dxa"/>
            <w:vAlign w:val="bottom"/>
            <w:gridSpan w:val="1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Wynn Resorts, Limited Clawback Policy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2/23/202</w:t>
            </w:r>
          </w:p>
        </w:tc>
      </w:tr>
      <w:tr>
        <w:trPr>
          <w:trHeight w:val="20"/>
        </w:trPr>
        <w:tc>
          <w:tcPr>
            <w:tcW w:w="96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1"/>
        </w:trPr>
        <w:tc>
          <w:tcPr>
            <w:tcW w:w="960" w:type="dxa"/>
            <w:vAlign w:val="bottom"/>
          </w:tcPr>
          <w:p>
            <w:pPr>
              <w:jc w:val="center"/>
              <w:ind w:right="372"/>
              <w:spacing w:after="0" w:line="190" w:lineRule="exact"/>
              <w:rPr>
                <w:sz w:val="20"/>
                <w:szCs w:val="20"/>
                <w:color w:val="auto"/>
              </w:rPr>
            </w:pPr>
            <w:r>
              <w:rPr>
                <w:rFonts w:ascii="Times New Roman" w:cs="Times New Roman" w:eastAsia="Times New Roman" w:hAnsi="Times New Roman"/>
                <w:sz w:val="18"/>
                <w:szCs w:val="18"/>
                <w:color w:val="auto"/>
                <w:w w:val="96"/>
              </w:rPr>
              <w:t>101</w:t>
            </w:r>
          </w:p>
        </w:tc>
        <w:tc>
          <w:tcPr>
            <w:tcW w:w="7680" w:type="dxa"/>
            <w:vAlign w:val="bottom"/>
            <w:gridSpan w:val="14"/>
          </w:tcPr>
          <w:p>
            <w:pPr>
              <w:spacing w:after="0" w:line="190" w:lineRule="exact"/>
              <w:rPr>
                <w:sz w:val="20"/>
                <w:szCs w:val="20"/>
                <w:color w:val="auto"/>
              </w:rPr>
            </w:pPr>
            <w:r>
              <w:rPr>
                <w:rFonts w:ascii="Times New Roman" w:cs="Times New Roman" w:eastAsia="Times New Roman" w:hAnsi="Times New Roman"/>
                <w:sz w:val="18"/>
                <w:szCs w:val="18"/>
                <w:color w:val="auto"/>
              </w:rPr>
              <w:t>The following material from Wynn Resorts, Limited's Annual Report on Form 10-K, formatted in Inline</w:t>
            </w:r>
          </w:p>
        </w:tc>
        <w:tc>
          <w:tcPr>
            <w:tcW w:w="94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ind w:left="292"/>
              <w:spacing w:after="0" w:line="190" w:lineRule="exact"/>
              <w:rPr>
                <w:sz w:val="20"/>
                <w:szCs w:val="20"/>
                <w:color w:val="auto"/>
              </w:rPr>
            </w:pPr>
            <w:r>
              <w:rPr>
                <w:rFonts w:ascii="Times New Roman" w:cs="Times New Roman" w:eastAsia="Times New Roman" w:hAnsi="Times New Roman"/>
                <w:sz w:val="18"/>
                <w:szCs w:val="18"/>
                <w:color w:val="auto"/>
                <w:w w:val="88"/>
              </w:rPr>
              <w:t>*</w:t>
            </w:r>
          </w:p>
        </w:tc>
      </w:tr>
      <w:tr>
        <w:trPr>
          <w:trHeight w:val="199"/>
        </w:trPr>
        <w:tc>
          <w:tcPr>
            <w:tcW w:w="960" w:type="dxa"/>
            <w:vAlign w:val="bottom"/>
          </w:tcPr>
          <w:p>
            <w:pPr>
              <w:spacing w:after="0"/>
              <w:rPr>
                <w:sz w:val="17"/>
                <w:szCs w:val="17"/>
                <w:color w:val="auto"/>
              </w:rPr>
            </w:pPr>
          </w:p>
        </w:tc>
        <w:tc>
          <w:tcPr>
            <w:tcW w:w="7680" w:type="dxa"/>
            <w:vAlign w:val="bottom"/>
            <w:gridSpan w:val="14"/>
          </w:tcPr>
          <w:p>
            <w:pPr>
              <w:spacing w:after="0" w:line="199" w:lineRule="exact"/>
              <w:rPr>
                <w:sz w:val="20"/>
                <w:szCs w:val="20"/>
                <w:color w:val="auto"/>
              </w:rPr>
            </w:pPr>
            <w:r>
              <w:rPr>
                <w:rFonts w:ascii="Times New Roman" w:cs="Times New Roman" w:eastAsia="Times New Roman" w:hAnsi="Times New Roman"/>
                <w:sz w:val="18"/>
                <w:szCs w:val="18"/>
                <w:color w:val="auto"/>
              </w:rPr>
              <w:t>XBRL (Inline Extensible Business Reporting Language): (i) the Consolidated Balance Sheets as of</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ind w:left="1740" w:right="2100"/>
        <w:spacing w:after="0" w:line="228" w:lineRule="auto"/>
        <w:rPr>
          <w:sz w:val="20"/>
          <w:szCs w:val="20"/>
          <w:color w:val="auto"/>
        </w:rPr>
      </w:pPr>
      <w:r>
        <w:rPr>
          <w:rFonts w:ascii="Times New Roman" w:cs="Times New Roman" w:eastAsia="Times New Roman" w:hAnsi="Times New Roman"/>
          <w:sz w:val="16"/>
          <w:szCs w:val="16"/>
          <w:color w:val="auto"/>
        </w:rPr>
        <w:t>December 31, 2025 and December 31, 2024; (ii) the Consolidated Statements of Income for the years ended December 31, 2025, 2024, and 2023; (iii) the Consolidated Statements of Comprehensive Income for the years ended December 31, 2025, 2024, and 2023; (iv) the Consolidated Statements of Stockholders'</w:t>
      </w:r>
    </w:p>
    <w:p>
      <w:pPr>
        <w:spacing w:after="0" w:line="2" w:lineRule="exact"/>
        <w:rPr>
          <w:sz w:val="20"/>
          <w:szCs w:val="20"/>
          <w:color w:val="auto"/>
        </w:rPr>
      </w:pPr>
    </w:p>
    <w:p>
      <w:pPr>
        <w:ind w:left="1740" w:right="2160"/>
        <w:spacing w:after="0" w:line="228" w:lineRule="auto"/>
        <w:rPr>
          <w:sz w:val="20"/>
          <w:szCs w:val="20"/>
          <w:color w:val="auto"/>
        </w:rPr>
      </w:pPr>
      <w:r>
        <w:rPr>
          <w:rFonts w:ascii="Times New Roman" w:cs="Times New Roman" w:eastAsia="Times New Roman" w:hAnsi="Times New Roman"/>
          <w:sz w:val="16"/>
          <w:szCs w:val="16"/>
          <w:color w:val="auto"/>
        </w:rPr>
        <w:t>Deficit for the years ended December 31, 2025, 2024, and 2023; (v) the Consolidated Statements of Cash Flows for the years ended December 31, 2025, 2024, and 2023; and (vi) Notes to Consolidated Financial Statements. The instance document does not appear in the Interactive Data File because its XBRL tags are</w:t>
      </w: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1" w:lineRule="exact"/>
        <w:rPr>
          <w:sz w:val="20"/>
          <w:szCs w:val="20"/>
          <w:color w:val="auto"/>
        </w:rPr>
      </w:pPr>
    </w:p>
    <w:p>
      <w:pPr>
        <w:ind w:left="1740" w:right="2500" w:hanging="847"/>
        <w:spacing w:after="0" w:line="228" w:lineRule="auto"/>
        <w:tabs>
          <w:tab w:leader="none" w:pos="17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5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Denotes management contract or compensatory plan or arrangement.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94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 2026</w:t>
            </w:r>
          </w:p>
        </w:tc>
        <w:tc>
          <w:tcPr>
            <w:tcW w:w="17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12"/>
        </w:trPr>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28"/>
        </w:trPr>
        <w:tc>
          <w:tcPr>
            <w:tcW w:w="2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32" w:lineRule="exact"/>
        <w:rPr>
          <w:sz w:val="20"/>
          <w:szCs w:val="20"/>
          <w:color w:val="auto"/>
        </w:rPr>
      </w:pPr>
    </w:p>
    <w:p>
      <w:pPr>
        <w:ind w:right="100" w:firstLine="947"/>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5"/>
        </w:trPr>
        <w:tc>
          <w:tcPr>
            <w:tcW w:w="2080" w:type="dxa"/>
            <w:vAlign w:val="bottom"/>
          </w:tcPr>
          <w:p>
            <w:pPr>
              <w:spacing w:after="0"/>
              <w:rPr>
                <w:sz w:val="13"/>
                <w:szCs w:val="13"/>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Signature</w:t>
            </w:r>
          </w:p>
        </w:tc>
        <w:tc>
          <w:tcPr>
            <w:tcW w:w="4360" w:type="dxa"/>
            <w:vAlign w:val="bottom"/>
            <w:gridSpan w:val="3"/>
          </w:tcPr>
          <w:p>
            <w:pPr>
              <w:ind w:left="2020"/>
              <w:spacing w:after="0" w:line="155" w:lineRule="exact"/>
              <w:rPr>
                <w:sz w:val="20"/>
                <w:szCs w:val="20"/>
                <w:color w:val="auto"/>
              </w:rPr>
            </w:pPr>
            <w:r>
              <w:rPr>
                <w:rFonts w:ascii="Times New Roman" w:cs="Times New Roman" w:eastAsia="Times New Roman" w:hAnsi="Times New Roman"/>
                <w:sz w:val="14"/>
                <w:szCs w:val="14"/>
                <w:color w:val="auto"/>
              </w:rPr>
              <w:t>Title</w:t>
            </w:r>
          </w:p>
        </w:tc>
        <w:tc>
          <w:tcPr>
            <w:tcW w:w="1660" w:type="dxa"/>
            <w:vAlign w:val="bottom"/>
            <w:gridSpan w:val="3"/>
          </w:tcPr>
          <w:p>
            <w:pPr>
              <w:jc w:val="center"/>
              <w:ind w:left="514"/>
              <w:spacing w:after="0" w:line="155" w:lineRule="exact"/>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2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6"/>
        </w:trPr>
        <w:tc>
          <w:tcPr>
            <w:tcW w:w="2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9"/>
        </w:trPr>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Julie Cameron-Doe</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Philip G. Satre</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Non-Executive Chair of the Board and 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Philip G. Satre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Betsy S. Atkins</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Betsy S. Atkins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Richard J. Byrne</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J. Byrne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Paul Liu</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Paul Liu</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Patricia Mulroy</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Patricia Mulroy</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Anthony M. Sanfilippo</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Anthony M. Sanfilippo</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Darnell Strom</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Darnell Strom</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Winifred Webb</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3"/>
          </w:tcPr>
          <w:p>
            <w:pPr>
              <w:jc w:val="center"/>
              <w:ind w:left="534"/>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Winifred Webb</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18" w:right="3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Las Vegas Jet Hangar,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 Property,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49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55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57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80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82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98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103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127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Gardner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68 Tremont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East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EBH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Everett Broadway, LLC (a Massachusetts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Realty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Indonesia Marketing,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International Marketing, Ltd. (an Isle of Man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WIML International Marketing (Portugal), Unipessoal Lda. (a Portugal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 Insurance,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WDD Massachusetts Purchasing,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WestWynn,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WLV Labs,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WSI Holdco,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ectPr>
          <w:pgSz w:w="11900" w:h="16838" w:orient="portrait"/>
          <w:cols w:equalWidth="0" w:num="1">
            <w:col w:w="11240"/>
          </w:cols>
          <w:pgMar w:left="320" w:top="10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Wynn Aircraft II,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Energy,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ME,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FZ-LLC (a United Arab Emirates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DCP AMI 3 FZ-LLC (a United Arab Emirates company and a 40% owned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Island 3 Infra Enterprises FZ-LLC (a United Arab Emirates company and a 40% owned company)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Island 3 AMI FZ-LLC (a United Arab Emirates company and a 40% owned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Island 3 Logistics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South West Island 3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South East Island 3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North West Island 3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North East Island 3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Al Marjan Island FZ-LLC (a United Arab Emirates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AMI Services, L.L.C. (a United Arab Emirates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Design and Development FZ-LLC (a United Arab Emirates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Holdings,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MA Interactive,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NV Interactive,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WSI Investment,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Interactive, LTD. (a Bermuda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Betbull Limited (a Malta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Sosyal Yazilim ve Danismanlik Hizmetleri A.S. (a Turkey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Betbull Games Limited (a Malta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Social Games Limited (a Malta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Social Sports Global</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Social Sports US</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Wynn Social Gaming,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Investments,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IOM Holdco II, Ltd. (an Isle of Man company)</w:t>
      </w:r>
    </w:p>
    <w:p>
      <w:pPr>
        <w:ind w:left="880"/>
        <w:spacing w:after="0" w:line="235" w:lineRule="auto"/>
        <w:rPr>
          <w:sz w:val="20"/>
          <w:szCs w:val="20"/>
          <w:color w:val="auto"/>
        </w:rPr>
      </w:pPr>
      <w:r>
        <w:rPr>
          <w:rFonts w:ascii="Times New Roman" w:cs="Times New Roman" w:eastAsia="Times New Roman" w:hAnsi="Times New Roman"/>
          <w:sz w:val="18"/>
          <w:szCs w:val="18"/>
          <w:color w:val="auto"/>
        </w:rPr>
        <w:t>SH – Macau Hotel Limited (a Macau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 Hoteleria Hong Kong Limited (a Hong Kong company)</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Manpower, Limited (a Macau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Harthor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Harthor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Lumini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Lumini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SAC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SAC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Palo Marketing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Palo Hong Kong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Palo Manpower Hong Kong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Lunimi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Lunimi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Miluni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Miluni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Minilu Hospitality Services Limited (a Macau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Minilu Hospitality Services HK Limited (a Hong Kong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Nightlife,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North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Online Store,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Development, LLC</w:t>
      </w:r>
    </w:p>
    <w:p>
      <w:pPr>
        <w:sectPr>
          <w:pgSz w:w="11900" w:h="16838" w:orient="portrait"/>
          <w:cols w:equalWidth="0" w:num="1">
            <w:col w:w="10139"/>
          </w:cols>
          <w:pgMar w:left="320" w:top="871" w:right="1440"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8"/>
          <w:szCs w:val="18"/>
          <w:color w:val="auto"/>
        </w:rPr>
        <w:t>Wynn Resorts Development (Japan) Godo Kaisha (a Japan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Finance,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America Group, LLC</w:t>
      </w:r>
    </w:p>
    <w:p>
      <w:pPr>
        <w:spacing w:after="0" w:line="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Everett Property, LLC (a Massachusetts company)</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MA,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EBH Holdings, LLC</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Las Vegas Holdings,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Kevyn,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WLV Events,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Clinic, LLC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NKH, LLC</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Wynn Macau, Limited (a Cayman Islands company and a 72% owned company)</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WML Corp. Ltd. (a Cayman Islands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Wynn Resorts (Macau) Holdings, Ltd. (an Isle of Man company)</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Wynn Resorts (Macau) Ltd. (a Hong Kong company)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Wynn Resorts (Macau) S.A. (a Macau company)</w:t>
      </w:r>
    </w:p>
    <w:p>
      <w:pPr>
        <w:spacing w:after="0" w:line="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Palo Real Estate Company Limited (a Macau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WML Finance I Limited (a Cayman Islands Company)</w:t>
      </w:r>
    </w:p>
    <w:p>
      <w:pPr>
        <w:spacing w:after="0" w:line="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8"/>
          <w:szCs w:val="18"/>
          <w:color w:val="auto"/>
        </w:rPr>
        <w:t>Sierra International Management and Services Limited (a Macau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Resorts Capital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Retail,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JV, LLC (a 50.1% owned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Plaza,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Plaza JV, LLC (a 50.1% owned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Plaza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Esplanade,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Esplanade JV, LLC (a 50.1% owned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Esplanade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ME,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ME Management,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Al Marjan Management FZ-LLC (a United Arab Emirates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NYC Investment, LLC (a Delaware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MFC,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Aspinall's Club Limited (a United Kingdom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WTM Limited (a Cayman Islands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 owned unless otherwise specifically identified.</w:t>
      </w:r>
    </w:p>
    <w:p>
      <w:pPr>
        <w:sectPr>
          <w:pgSz w:w="11900" w:h="16838" w:orient="portrait"/>
          <w:cols w:equalWidth="0" w:num="1">
            <w:col w:w="10139"/>
          </w:cols>
          <w:pgMar w:left="320" w:top="871"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1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0" w:lineRule="exact"/>
        <w:rPr>
          <w:sz w:val="20"/>
          <w:szCs w:val="20"/>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333-291264) of Wynn Resorts, Limited,</w:t>
      </w:r>
    </w:p>
    <w:p>
      <w:pPr>
        <w:spacing w:after="0" w:line="10" w:lineRule="exact"/>
        <w:rPr>
          <w:rFonts w:ascii="Times New Roman" w:cs="Times New Roman" w:eastAsia="Times New Roman" w:hAnsi="Times New Roman"/>
          <w:sz w:val="18"/>
          <w:szCs w:val="18"/>
          <w:color w:val="auto"/>
        </w:rPr>
      </w:pPr>
    </w:p>
    <w:p>
      <w:pPr>
        <w:ind w:left="640" w:hanging="319"/>
        <w:spacing w:after="0" w:line="228"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333-239579) pertaining to the 2014 Omnibus Incentive Plan of Wynn Resorts, Limited,</w:t>
      </w: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333-196113) pertaining to the 2014 Omnibus Incentive Plan of Wynn Resorts, Limited, and</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333-281485) pertaining to the 2014 Omnibus Incentive Plan of Wynn Resorts, Limited;</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of our reports dated March 2, 2026,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2025.</w:t>
      </w: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86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56" w:lineRule="exact"/>
        <w:rPr>
          <w:sz w:val="20"/>
          <w:szCs w:val="20"/>
          <w:color w:val="auto"/>
        </w:rPr>
      </w:pPr>
    </w:p>
    <w:p>
      <w:pPr>
        <w:ind w:left="960" w:hanging="955"/>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260" w:hanging="955"/>
        <w:spacing w:after="0" w:line="308" w:lineRule="auto"/>
        <w:tabs>
          <w:tab w:leader="none" w:pos="9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900" w:right="100" w:hanging="947"/>
        <w:spacing w:after="0" w:line="308" w:lineRule="auto"/>
        <w:tabs>
          <w:tab w:leader="none" w:pos="18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20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1"/>
        </w:trPr>
        <w:tc>
          <w:tcPr>
            <w:tcW w:w="5860" w:type="dxa"/>
            <w:vAlign w:val="bottom"/>
          </w:tcPr>
          <w:p>
            <w:pPr>
              <w:spacing w:after="0"/>
              <w:rPr>
                <w:sz w:val="14"/>
                <w:szCs w:val="14"/>
                <w:color w:val="auto"/>
              </w:rPr>
            </w:pPr>
          </w:p>
        </w:tc>
        <w:tc>
          <w:tcPr>
            <w:tcW w:w="20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58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Executive Officer)</w:t>
            </w:r>
          </w:p>
        </w:tc>
      </w:tr>
    </w:tbl>
    <w:p>
      <w:pPr>
        <w:sectPr>
          <w:pgSz w:w="11900" w:h="16838" w:orient="portrait"/>
          <w:cols w:equalWidth="0" w:num="1">
            <w:col w:w="11240"/>
          </w:cols>
          <w:pgMar w:left="320" w:top="102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56" w:lineRule="exact"/>
        <w:rPr>
          <w:sz w:val="20"/>
          <w:szCs w:val="20"/>
          <w:color w:val="auto"/>
        </w:rPr>
      </w:pPr>
    </w:p>
    <w:p>
      <w:pPr>
        <w:ind w:left="960" w:hanging="955"/>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260" w:hanging="955"/>
        <w:spacing w:after="0" w:line="308" w:lineRule="auto"/>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900" w:right="100" w:hanging="947"/>
        <w:spacing w:after="0" w:line="308" w:lineRule="auto"/>
        <w:tabs>
          <w:tab w:leader="none" w:pos="189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Cameron-Doe</w:t>
            </w:r>
          </w:p>
        </w:tc>
        <w:tc>
          <w:tcPr>
            <w:tcW w:w="10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31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Julie Cameron-Doe</w:t>
            </w:r>
          </w:p>
        </w:tc>
      </w:tr>
      <w:tr>
        <w:trPr>
          <w:trHeight w:val="171"/>
        </w:trPr>
        <w:tc>
          <w:tcPr>
            <w:tcW w:w="5860" w:type="dxa"/>
            <w:vAlign w:val="bottom"/>
          </w:tcPr>
          <w:p>
            <w:pPr>
              <w:spacing w:after="0"/>
              <w:rPr>
                <w:sz w:val="14"/>
                <w:szCs w:val="14"/>
                <w:color w:val="auto"/>
              </w:rPr>
            </w:pPr>
          </w:p>
        </w:tc>
        <w:tc>
          <w:tcPr>
            <w:tcW w:w="31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86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Financial and Accounting Officer)</w:t>
            </w:r>
          </w:p>
        </w:tc>
      </w:tr>
    </w:tbl>
    <w:p>
      <w:pPr>
        <w:sectPr>
          <w:pgSz w:w="11900" w:h="16838" w:orient="portrait"/>
          <w:cols w:equalWidth="0" w:num="1">
            <w:col w:w="11240"/>
          </w:cols>
          <w:pgMar w:left="320" w:top="10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4" w:lineRule="exact"/>
        <w:rPr>
          <w:sz w:val="20"/>
          <w:szCs w:val="20"/>
          <w:color w:val="auto"/>
        </w:rPr>
      </w:pPr>
    </w:p>
    <w:p>
      <w:pPr>
        <w:ind w:right="80" w:firstLine="947"/>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2025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31" w:lineRule="exact"/>
        <w:rPr>
          <w:sz w:val="20"/>
          <w:szCs w:val="20"/>
          <w:color w:val="auto"/>
        </w:rPr>
      </w:pPr>
    </w:p>
    <w:p>
      <w:pPr>
        <w:ind w:left="960" w:hanging="955"/>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60" w:hanging="955"/>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Roman"/>
      <w:start w:val="3"/>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4"/>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lvl w:ilvl="1">
      <w:lvlJc w:val="left"/>
      <w:lvlText w:val="%2"/>
      <w:numFmt w:val="decimal"/>
      <w:start w:val="104"/>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2" Type="http://schemas.openxmlformats.org/officeDocument/2006/relationships/image" Target="media/image126.png"/><Relationship Id="rId167" Type="http://schemas.openxmlformats.org/officeDocument/2006/relationships/image" Target="media/image127.png"/><Relationship Id="rId18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33" Type="http://schemas.openxmlformats.org/officeDocument/2006/relationships/image" Target="media/image131.png"/><Relationship Id="rId234" Type="http://schemas.openxmlformats.org/officeDocument/2006/relationships/image" Target="media/image132.png"/><Relationship Id="rId239" Type="http://schemas.openxmlformats.org/officeDocument/2006/relationships/image" Target="media/image133.png"/><Relationship Id="rId133" Type="http://schemas.openxmlformats.org/officeDocument/2006/relationships/hyperlink" Target="https://www.sec.gov/Archives/edgar/data/0001174922/000119312522043373/d308862dex21.htm" TargetMode="External"/><Relationship Id="rId134" Type="http://schemas.openxmlformats.org/officeDocument/2006/relationships/hyperlink" Target="https://www.sec.gov/Archives/edgar/data/1174922/000117492215000044/ex-31.htm" TargetMode="External"/><Relationship Id="rId135" Type="http://schemas.openxmlformats.org/officeDocument/2006/relationships/hyperlink" Target="https://www.sec.gov/Archives/edgar/data/1174922/000117492220000024/ex32-bylaws.htm" TargetMode="External"/><Relationship Id="rId136" Type="http://schemas.openxmlformats.org/officeDocument/2006/relationships/hyperlink" Target="https://www.sec.gov/Archives/edgar/data/1174922/000091205702037826/a2089719zex-4_1.htm" TargetMode="External"/><Relationship Id="rId137" Type="http://schemas.openxmlformats.org/officeDocument/2006/relationships/hyperlink" Target="https://www.sec.gov/Archives/edgar/data/1174922/000117492220000085/ex41-wynnresortsfinanc.htm" TargetMode="External"/><Relationship Id="rId138" Type="http://schemas.openxmlformats.org/officeDocument/2006/relationships/hyperlink" Target="https://www.sec.gov/Archives/edgar/data/1174922/000117492220000143/ex41-macauindenture.htm" TargetMode="External"/><Relationship Id="rId139" Type="http://schemas.openxmlformats.org/officeDocument/2006/relationships/hyperlink" Target="https://www.sec.gov/Archives/edgar/data/1174922/000117492220000199/ex41-wmlindenturedated.htm" TargetMode="External"/><Relationship Id="rId140" Type="http://schemas.openxmlformats.org/officeDocument/2006/relationships/hyperlink" Target="https://www.sec.gov/Archives/edgar/data/1174922/000117492224000044/ex42-supplementalindenture.htm" TargetMode="External"/><Relationship Id="rId141" Type="http://schemas.openxmlformats.org/officeDocument/2006/relationships/hyperlink" Target="https://www.sec.gov/Archives/edgar/data/1174922/000117492224000141/ex41-indenturewynnxseptemb.htm" TargetMode="External"/><Relationship Id="rId142" Type="http://schemas.openxmlformats.org/officeDocument/2006/relationships/hyperlink" Target="https://www.sec.gov/Archives/edgar/data/1174922/000117492224000046/ex42-descriptionofregistra.htm" TargetMode="External"/><Relationship Id="rId143" Type="http://schemas.openxmlformats.org/officeDocument/2006/relationships/hyperlink" Target="https://www.sec.gov/Archives/edgar/data/1174922/000119312513231532/d542917dex41.htm" TargetMode="External"/><Relationship Id="rId144" Type="http://schemas.openxmlformats.org/officeDocument/2006/relationships/hyperlink" Target="https://www.sec.gov/Archives/edgar/data/1174922/000117492215000021/ex410-supplementalindentur.htm" TargetMode="External"/><Relationship Id="rId145" Type="http://schemas.openxmlformats.org/officeDocument/2006/relationships/hyperlink" Target="https://www.sec.gov/Archives/edgar/data/1174922/000117492218000042/ex41x032118x8k.htm" TargetMode="External"/><Relationship Id="rId146" Type="http://schemas.openxmlformats.org/officeDocument/2006/relationships/hyperlink" Target="https://www.sec.gov/Archives/edgar/data/1174922/000117492215000017/ex41-indenture.htm" TargetMode="External"/><Relationship Id="rId147" Type="http://schemas.openxmlformats.org/officeDocument/2006/relationships/hyperlink" Target="https://www.sec.gov/Archives/edgar/data/1174922/000117492217000107/ex41x8k51117.htm" TargetMode="External"/><Relationship Id="rId148" Type="http://schemas.openxmlformats.org/officeDocument/2006/relationships/hyperlink" Target="https://www.sec.gov/Archives/edgar/data/1174922/000117492217000177/ex10x3-20170930.htm" TargetMode="External"/><Relationship Id="rId149" Type="http://schemas.openxmlformats.org/officeDocument/2006/relationships/hyperlink" Target="https://www.sec.gov/Archives/edgar/data/1174922/000117492217000177/ex10x4-20170930.htm" TargetMode="External"/><Relationship Id="rId150" Type="http://schemas.openxmlformats.org/officeDocument/2006/relationships/hyperlink" Target="https://www.sec.gov/Archives/edgar/data/1174922/000117492220000024/ex410-20191231.htm" TargetMode="External"/><Relationship Id="rId151" Type="http://schemas.openxmlformats.org/officeDocument/2006/relationships/hyperlink" Target="https://www.sec.gov/Archives/edgar/data/1174922/000117492219000115/ex41-seniornotesindent.htm" TargetMode="External"/><Relationship Id="rId153" Type="http://schemas.openxmlformats.org/officeDocument/2006/relationships/hyperlink" Target="https://www.sec.gov/Archives/edgar/data/1174922/000117492223000036/ex41-wrf2023seniornotesind.htm" TargetMode="External"/><Relationship Id="rId154" Type="http://schemas.openxmlformats.org/officeDocument/2006/relationships/hyperlink" Target="https://www.sec.gov/Archives/edgar/data/1174922/000117492223000060/ex41trustdeed.htm" TargetMode="External"/><Relationship Id="rId155" Type="http://schemas.openxmlformats.org/officeDocument/2006/relationships/hyperlink" Target="https://www.sec.gov/Archives/edgar/data/1174922/000117492223000060/ex42-agencyagreement.htm" TargetMode="External"/><Relationship Id="rId156" Type="http://schemas.openxmlformats.org/officeDocument/2006/relationships/hyperlink" Target="https://www.sec.gov/Archives/edgar/data/1174922/000117492225000122/ex41-wmlindenture.htm" TargetMode="External"/><Relationship Id="rId157" Type="http://schemas.openxmlformats.org/officeDocument/2006/relationships/hyperlink" Target="https://www.sec.gov/Archives/edgar/data/1174922/000117492219000115/ex101-wynn2019xcredita.htm" TargetMode="External"/><Relationship Id="rId158" Type="http://schemas.openxmlformats.org/officeDocument/2006/relationships/hyperlink" Target="https://www.sec.gov/Archives/edgar/data/1174922/000117492219000065/wynn-incrementaljoinderagr.htm" TargetMode="External"/><Relationship Id="rId159" Type="http://schemas.openxmlformats.org/officeDocument/2006/relationships/hyperlink" Target="https://www.sec.gov/Archives/edgar/data/1174922/000117492220000085/ex101-wynnxamendmentno.htm" TargetMode="External"/><Relationship Id="rId160" Type="http://schemas.openxmlformats.org/officeDocument/2006/relationships/hyperlink" Target="https://www.sec.gov/Archives/edgar/data/1174922/000117492220000143/ex101-retailamendment.htm" TargetMode="External"/><Relationship Id="rId161" Type="http://schemas.openxmlformats.org/officeDocument/2006/relationships/hyperlink" Target="https://www.sec.gov/Archives/edgar/data/1174922/000117492221000029/ex1014-amendmentno2tocredi.htm" TargetMode="External"/><Relationship Id="rId162" Type="http://schemas.openxmlformats.org/officeDocument/2006/relationships/hyperlink" Target="https://www.sec.gov/Archives/edgar/data/1174922/000117492223000111/wynn-amendmentno3tocredita.htm" TargetMode="External"/><Relationship Id="rId163" Type="http://schemas.openxmlformats.org/officeDocument/2006/relationships/hyperlink" Target="https://www.sec.gov/Archives/edgar/data/1174922/000117492223000111/exhibitatoamendmentno3v2.htm" TargetMode="External"/><Relationship Id="rId164" Type="http://schemas.openxmlformats.org/officeDocument/2006/relationships/hyperlink" Target="https://www.sec.gov/Archives/edgar/data/1174922/000117492222000130/ex101-concessionextensiona.htm" TargetMode="External"/><Relationship Id="rId165" Type="http://schemas.openxmlformats.org/officeDocument/2006/relationships/hyperlink" Target="https://www.sec.gov/Archives/edgar/data/1174922/000117492222000158/exhibit101-ebhlease.htm" TargetMode="External"/><Relationship Id="rId166" Type="http://schemas.openxmlformats.org/officeDocument/2006/relationships/hyperlink" Target="https://www.sec.gov/Archives/edgar/data/1174922/000117492224000135/ex101-wrfcreditagreementam.htm" TargetMode="External"/><Relationship Id="rId168" Type="http://schemas.openxmlformats.org/officeDocument/2006/relationships/hyperlink" Target="https://www.sec.gov/Archives/edgar/data/1174922/000117492224000135/ex1011-exatoamendmentno4am.htm" TargetMode="External"/><Relationship Id="rId169" Type="http://schemas.openxmlformats.org/officeDocument/2006/relationships/hyperlink" Target="https://www.sec.gov/Archives/edgar/data/1174922/000117492225000095/wynn-amendmentno5tocredita.htm" TargetMode="External"/><Relationship Id="rId170" Type="http://schemas.openxmlformats.org/officeDocument/2006/relationships/hyperlink" Target="https://www.sec.gov/Archives/edgar/data/1174922/000117492225000095/wynn-exatoamendmentno5amen.htm" TargetMode="External"/><Relationship Id="rId171" Type="http://schemas.openxmlformats.org/officeDocument/2006/relationships/hyperlink" Target="https://www.sec.gov/Archives/edgar/data/1174922/000117492219000021/a1021-commontermsagreement.htm" TargetMode="External"/><Relationship Id="rId172" Type="http://schemas.openxmlformats.org/officeDocument/2006/relationships/hyperlink" Target="https://www.sec.gov/Archives/edgar/data/1174922/000117492219000021/a1022-termfacilityagreemen.htm" TargetMode="External"/><Relationship Id="rId173" Type="http://schemas.openxmlformats.org/officeDocument/2006/relationships/hyperlink" Target="https://www.sec.gov/Archives/edgar/data/1174922/000117492219000021/a1023-revolvingcreditfacil.htm" TargetMode="External"/><Relationship Id="rId174" Type="http://schemas.openxmlformats.org/officeDocument/2006/relationships/hyperlink" Target="https://www.sec.gov/Archives/edgar/data/1174922/000117492215000106/ex-101.htm" TargetMode="External"/><Relationship Id="rId175" Type="http://schemas.openxmlformats.org/officeDocument/2006/relationships/hyperlink" Target="https://www.sec.gov/Archives/edgar/data/1174922/000117492215000106/ex-102.htm" TargetMode="External"/><Relationship Id="rId176" Type="http://schemas.openxmlformats.org/officeDocument/2006/relationships/hyperlink" Target="https://www.sec.gov/Archives/edgar/data/1174922/000117492215000106/ex-103.htm" TargetMode="External"/><Relationship Id="rId177" Type="http://schemas.openxmlformats.org/officeDocument/2006/relationships/hyperlink" Target="https://www.sec.gov/Archives/edgar/data/1174922/000119312504186496/dex1026.htm" TargetMode="External"/><Relationship Id="rId178" Type="http://schemas.openxmlformats.org/officeDocument/2006/relationships/hyperlink" Target="https://www.sec.gov/Archives/edgar/data/1174922/000117492224000143/ex101-secondamendmentagree.htm" TargetMode="External"/><Relationship Id="rId179" Type="http://schemas.openxmlformats.org/officeDocument/2006/relationships/hyperlink" Target="https://www.sec.gov/Archives/edgar/data/1174922/000117492218000133/ex101x072518x8k.htm" TargetMode="External"/><Relationship Id="rId180" Type="http://schemas.openxmlformats.org/officeDocument/2006/relationships/hyperlink" Target="https://www.sec.gov/Archives/edgar/data/1174922/000117492223000120/ex101-wynnretailxsecondame.htm" TargetMode="External"/><Relationship Id="rId181" Type="http://schemas.openxmlformats.org/officeDocument/2006/relationships/hyperlink" Target="https://www.sec.gov/Archives/edgar/data/1174922/000117492221000160/wynn2021-macaufacilityagre.htm" TargetMode="External"/><Relationship Id="rId182" Type="http://schemas.openxmlformats.org/officeDocument/2006/relationships/hyperlink" Target="https://www.sec.gov/Archives/edgar/data/1174922/000117492222000085/ex1032-amendmenttothefacil.htm" TargetMode="External"/><Relationship Id="rId184" Type="http://schemas.openxmlformats.org/officeDocument/2006/relationships/hyperlink" Target="https://www.sec.gov/Archives/edgar/data/1174922/000117492223000124/ex101-wmcaymaniirevolveram.htm" TargetMode="External"/><Relationship Id="rId185" Type="http://schemas.openxmlformats.org/officeDocument/2006/relationships/hyperlink" Target="https://www.sec.gov/Archives/edgar/data/1174922/000117492224000150/ex101-wynnretailxthirdamen.htm" TargetMode="External"/><Relationship Id="rId186" Type="http://schemas.openxmlformats.org/officeDocument/2006/relationships/hyperlink" Target="https://www.sec.gov/Archives/edgar/data/1174922/000091205702032887/a2085104zex-10_24.htm" TargetMode="External"/><Relationship Id="rId187" Type="http://schemas.openxmlformats.org/officeDocument/2006/relationships/hyperlink" Target="https://www.sec.gov/Archives/edgar/data/1174922/000091205702035839/a2088833zex-10_27.htm" TargetMode="External"/><Relationship Id="rId188" Type="http://schemas.openxmlformats.org/officeDocument/2006/relationships/hyperlink" Target="https://www.sec.gov/Archives/edgar/data/1174922/000119312504130300/dex108.htm" TargetMode="External"/><Relationship Id="rId189" Type="http://schemas.openxmlformats.org/officeDocument/2006/relationships/hyperlink" Target="https://www.sec.gov/Archives/edgar/data/1174922/000119312512203005/d342364dex101.htm" TargetMode="External"/><Relationship Id="rId190" Type="http://schemas.openxmlformats.org/officeDocument/2006/relationships/hyperlink" Target="https://www.sec.gov/Archives/edgar/data/1174922/000119312504186496/dex1030.htm" TargetMode="External"/><Relationship Id="rId191" Type="http://schemas.openxmlformats.org/officeDocument/2006/relationships/hyperlink" Target="https://www.sec.gov/Archives/edgar/data/1174922/000117492223000048/ex1046-macaugamingconcessi.htm" TargetMode="External"/><Relationship Id="rId192" Type="http://schemas.openxmlformats.org/officeDocument/2006/relationships/hyperlink" Target="https://www.sec.gov/Archives/edgar/data/1174922/000117492223000048/ex1047-statementofproperty.htm" TargetMode="External"/><Relationship Id="rId193" Type="http://schemas.openxmlformats.org/officeDocument/2006/relationships/hyperlink" Target="https://www.sec.gov/Archives/edgar/data/1174922/000117492223000048/ex1048-statementofproperty.htm" TargetMode="External"/><Relationship Id="rId194" Type="http://schemas.openxmlformats.org/officeDocument/2006/relationships/hyperlink" Target="https://www.sec.gov/Archives/edgar/data/1174922/000117492223000048/ex1049-handoverstatement.htm" TargetMode="External"/><Relationship Id="rId195" Type="http://schemas.openxmlformats.org/officeDocument/2006/relationships/hyperlink" Target="https://www.sec.gov/Archives/edgar/data/1174922/000117492215000021/ex10110-corporateallocatio.htm" TargetMode="External"/><Relationship Id="rId196" Type="http://schemas.openxmlformats.org/officeDocument/2006/relationships/hyperlink" Target="https://www.sec.gov/Archives/edgar/data/1174922/000117492215000021/ex10111-amendedandrestated.htm" TargetMode="External"/><Relationship Id="rId197" Type="http://schemas.openxmlformats.org/officeDocument/2006/relationships/hyperlink" Target="https://www.sec.gov/Archives/edgar/data/1174922/000117492215000021/ex10112-managementfeecorpo.htm" TargetMode="External"/><Relationship Id="rId198" Type="http://schemas.openxmlformats.org/officeDocument/2006/relationships/hyperlink" Target="https://www.sec.gov/Archives/edgar/data/1174922/000117492216000144/ex10113.htm" TargetMode="External"/><Relationship Id="rId199" Type="http://schemas.openxmlformats.org/officeDocument/2006/relationships/hyperlink" Target="https://www.sec.gov/Archives/edgar/data/1174922/000117492215000021/ex10113-intellectualproper.htm" TargetMode="External"/><Relationship Id="rId200" Type="http://schemas.openxmlformats.org/officeDocument/2006/relationships/hyperlink" Target="https://www.sec.gov/Archives/edgar/data/1174922/000117492215000021/ex10114-amendedandrestated.htm" TargetMode="External"/><Relationship Id="rId201" Type="http://schemas.openxmlformats.org/officeDocument/2006/relationships/hyperlink" Target="https://www.sec.gov/Archives/edgar/data/1174922/000117492215000044/ex-108.htm" TargetMode="External"/><Relationship Id="rId202" Type="http://schemas.openxmlformats.org/officeDocument/2006/relationships/hyperlink" Target="https://www.sec.gov/Archives/edgar/data/1174922/000117492216000144/ex10524.htm" TargetMode="External"/><Relationship Id="rId203" Type="http://schemas.openxmlformats.org/officeDocument/2006/relationships/hyperlink" Target="https://www.sec.gov/Archives/edgar/data/1174922/000119312504186496/dex102.htm" TargetMode="External"/><Relationship Id="rId206" Type="http://schemas.openxmlformats.org/officeDocument/2006/relationships/hyperlink" Target="https://www.sec.gov/Archives/edgar/data/1174922/000119312504186496/dex103.htm" TargetMode="External"/><Relationship Id="rId207" Type="http://schemas.openxmlformats.org/officeDocument/2006/relationships/hyperlink" Target="https://www.sec.gov/Archives/edgar/data/1174922/000117492225000039/ex1067-wmllicenseagreement.htm" TargetMode="External"/><Relationship Id="rId208" Type="http://schemas.openxmlformats.org/officeDocument/2006/relationships/hyperlink" Target="https://www.sec.gov/Archives/edgar/data/1174922/000117492225000039/ex1068-wrmsalicenseagreeme.htm" TargetMode="External"/><Relationship Id="rId209" Type="http://schemas.openxmlformats.org/officeDocument/2006/relationships/hyperlink" Target="https://www.sec.gov/Archives/edgar/data/1174922/000117492225000039/ex1069-wrhlicenseagreement.htm" TargetMode="External"/><Relationship Id="rId210" Type="http://schemas.openxmlformats.org/officeDocument/2006/relationships/hyperlink" Target="https://www.sec.gov/Archives/edgar/data/1174922/000117492225000039/ex1071-secondamendedandres.htm" TargetMode="External"/><Relationship Id="rId211" Type="http://schemas.openxmlformats.org/officeDocument/2006/relationships/hyperlink" Target="https://www.sec.gov/Archives/edgar/data/1174922/000117492217000098/ex103.htm" TargetMode="External"/><Relationship Id="rId212" Type="http://schemas.openxmlformats.org/officeDocument/2006/relationships/hyperlink" Target="https://www.sec.gov/Archives/edgar/data/1174922/000117492218000100/ex107-20180331.htm" TargetMode="External"/><Relationship Id="rId213" Type="http://schemas.openxmlformats.org/officeDocument/2006/relationships/hyperlink" Target="https://www.sec.gov/Archives/edgar/data/1174922/000117492219000080/ex102-billingscraig2nd.htm" TargetMode="External"/><Relationship Id="rId214" Type="http://schemas.openxmlformats.org/officeDocument/2006/relationships/hyperlink" Target="https://www.sec.gov/Archives/edgar/data/1174922/000117492221000029/ex10723-billingsemployment.htm" TargetMode="External"/><Relationship Id="rId215" Type="http://schemas.openxmlformats.org/officeDocument/2006/relationships/hyperlink" Target="https://www.sec.gov/Archives/edgar/data/1174922/000117492221000083/ex101-billingsemploymentam.htm" TargetMode="External"/><Relationship Id="rId216" Type="http://schemas.openxmlformats.org/officeDocument/2006/relationships/hyperlink" Target="https://www.sec.gov/Archives/edgar/data/1174922/000117492221000160/billingsagreement.htm" TargetMode="External"/><Relationship Id="rId217" Type="http://schemas.openxmlformats.org/officeDocument/2006/relationships/hyperlink" Target="https://www.sec.gov/Archives/edgar/data/1174922/000117492223000116/ex101-craigsbillingsamendm.htm" TargetMode="External"/><Relationship Id="rId218" Type="http://schemas.openxmlformats.org/officeDocument/2006/relationships/hyperlink" Target="https://www.sec.gov/Archives/edgar/data/1174922/000117492218000160/ex10x6-20180630.htm" TargetMode="External"/><Relationship Id="rId219" Type="http://schemas.openxmlformats.org/officeDocument/2006/relationships/hyperlink" Target="https://www.sec.gov/Archives/edgar/data/1174922/000117492219000080/ex103-whittemoreellen1.htm" TargetMode="External"/><Relationship Id="rId220" Type="http://schemas.openxmlformats.org/officeDocument/2006/relationships/hyperlink" Target="https://www.sec.gov/Archives/edgar/data/1174922/000117492221000029/ex10732-whittemoreemployme.htm" TargetMode="External"/><Relationship Id="rId221" Type="http://schemas.openxmlformats.org/officeDocument/2006/relationships/hyperlink" Target="https://www.sec.gov/Archives/edgar/data/1174922/000117492222000031/ex10733-whittemoreellenemp.htm" TargetMode="External"/><Relationship Id="rId222" Type="http://schemas.openxmlformats.org/officeDocument/2006/relationships/hyperlink" Target="https://www.sec.gov/Archives/edgar/data/1174922/000117492222000031/ex10740-cameronxdoejuliewr.htm" TargetMode="External"/><Relationship Id="rId223" Type="http://schemas.openxmlformats.org/officeDocument/2006/relationships/hyperlink" Target="https://www.sec.gov/Archives/edgar/data/1174922/000117492222000085/ex10741-cameronxdoejuliexa.htm" TargetMode="External"/><Relationship Id="rId224" Type="http://schemas.openxmlformats.org/officeDocument/2006/relationships/hyperlink" Target="https://www.sec.gov/Archives/edgar/data/1174922/000117492223000116/ex102-juliecameronxdoeamen.htm" TargetMode="External"/><Relationship Id="rId225" Type="http://schemas.openxmlformats.org/officeDocument/2006/relationships/hyperlink" Target="https://www.sec.gov/Archives/edgar/data/1174922/000117492225000039/ex10751-jacquikrumagreement.htm" TargetMode="External"/><Relationship Id="rId226" Type="http://schemas.openxmlformats.org/officeDocument/2006/relationships/hyperlink" Target="https://www.sec.gov/Archives/edgar/data/1174922/000117492225000039/ex10752-jacquikrumamendeda.htm" TargetMode="External"/><Relationship Id="rId227" Type="http://schemas.openxmlformats.org/officeDocument/2006/relationships/hyperlink" Target="https://www.sec.gov/Archives/edgar/data/1174922/000117492226000004/ex101craigfullaloveea.htm" TargetMode="External"/><Relationship Id="rId228" Type="http://schemas.openxmlformats.org/officeDocument/2006/relationships/hyperlink" Target="https://www.sec.gov/Archives/edgar/data/1174922/000117492217000027/ex1021.htm" TargetMode="External"/><Relationship Id="rId229" Type="http://schemas.openxmlformats.org/officeDocument/2006/relationships/hyperlink" Target="https://www.sec.gov/Archives/edgar/data/1174922/000117492224000101/ex101-secondamendedandrest.htm" TargetMode="External"/><Relationship Id="rId230" Type="http://schemas.openxmlformats.org/officeDocument/2006/relationships/hyperlink" Target="https://www.sec.gov/Archives/edgar/data/1174922/000119312518239080/d534193dex101.htm" TargetMode="External"/><Relationship Id="rId231" Type="http://schemas.openxmlformats.org/officeDocument/2006/relationships/hyperlink" Target="https://www.sec.gov/Archives/edgar/data/1174922/000117492218000019/ex10320-20171231.htm" TargetMode="External"/><Relationship Id="rId232" Type="http://schemas.openxmlformats.org/officeDocument/2006/relationships/hyperlink" Target="https://www.sec.gov/Archives/edgar/data/1174922/000091205702035839/a2088833zex-10_15.htm" TargetMode="External"/><Relationship Id="rId235" Type="http://schemas.openxmlformats.org/officeDocument/2006/relationships/hyperlink" Target="https://www.sec.gov/Archives/edgar/data/1174922/000117492225000151/ex101-wynnxexecutiveretire.htm" TargetMode="External"/><Relationship Id="rId236" Type="http://schemas.openxmlformats.org/officeDocument/2006/relationships/hyperlink" Target="https://www.sec.gov/Archives/edgar/data/1174922/000117492225000032/ex101-completionguaranteex.htm" TargetMode="External"/><Relationship Id="rId237" Type="http://schemas.openxmlformats.org/officeDocument/2006/relationships/hyperlink" Target="https://www.sec.gov/Archives/edgar/data/1174922/000117492225000039/ex191-tradingpolicyamended.htm" TargetMode="External"/><Relationship Id="rId238" Type="http://schemas.openxmlformats.org/officeDocument/2006/relationships/hyperlink" Target="https://www.sec.gov/Archives/edgar/data/1174922/000117492224000046/ex97-clawbackpolicyxame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2026-03-04T13:28:02Z</dcterms:created>
  <dcterms:modified xsi:type="dcterms:W3CDTF">2026-03-04T13:28:02Z</dcterms:modified>
</cp:coreProperties>
</file>