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170180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63500</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83820</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5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6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4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52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 w:type="dxa"/>
            <w:vAlign w:val="bottom"/>
          </w:tcPr>
          <w:p>
            <w:pPr>
              <w:spacing w:after="0"/>
              <w:rPr>
                <w:sz w:val="12"/>
                <w:szCs w:val="12"/>
                <w:color w:val="auto"/>
              </w:rPr>
            </w:pPr>
          </w:p>
        </w:tc>
        <w:tc>
          <w:tcPr>
            <w:tcW w:w="2760" w:type="dxa"/>
            <w:vAlign w:val="bottom"/>
            <w:gridSpan w:val="2"/>
          </w:tcPr>
          <w:p>
            <w:pPr>
              <w:ind w:left="124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Pr>
          <w:p>
            <w:pPr>
              <w:jc w:val="center"/>
              <w:ind w:left="39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940" w:type="dxa"/>
            <w:vAlign w:val="bottom"/>
          </w:tcPr>
          <w:p>
            <w:pPr>
              <w:spacing w:after="0"/>
              <w:rPr>
                <w:sz w:val="12"/>
                <w:szCs w:val="12"/>
                <w:color w:val="auto"/>
              </w:rPr>
            </w:pPr>
          </w:p>
        </w:tc>
      </w:tr>
      <w:tr>
        <w:trPr>
          <w:trHeight w:val="185"/>
        </w:trPr>
        <w:tc>
          <w:tcPr>
            <w:tcW w:w="860" w:type="dxa"/>
            <w:vAlign w:val="bottom"/>
          </w:tcPr>
          <w:p>
            <w:pPr>
              <w:spacing w:after="0"/>
              <w:rPr>
                <w:sz w:val="16"/>
                <w:szCs w:val="16"/>
                <w:color w:val="auto"/>
              </w:rPr>
            </w:pPr>
          </w:p>
        </w:tc>
        <w:tc>
          <w:tcPr>
            <w:tcW w:w="2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480" w:type="dxa"/>
            <w:vAlign w:val="bottom"/>
          </w:tcPr>
          <w:p>
            <w:pPr>
              <w:spacing w:after="0"/>
              <w:rPr>
                <w:sz w:val="16"/>
                <w:szCs w:val="16"/>
                <w:color w:val="auto"/>
              </w:rPr>
            </w:pPr>
          </w:p>
        </w:tc>
        <w:tc>
          <w:tcPr>
            <w:tcW w:w="27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940" w:type="dxa"/>
            <w:vAlign w:val="bottom"/>
          </w:tcPr>
          <w:p>
            <w:pPr>
              <w:spacing w:after="0"/>
              <w:rPr>
                <w:sz w:val="16"/>
                <w:szCs w:val="16"/>
                <w:color w:val="auto"/>
              </w:rPr>
            </w:pPr>
          </w:p>
        </w:tc>
      </w:tr>
      <w:tr>
        <w:trPr>
          <w:trHeight w:val="227"/>
        </w:trPr>
        <w:tc>
          <w:tcPr>
            <w:tcW w:w="3380" w:type="dxa"/>
            <w:vAlign w:val="bottom"/>
            <w:gridSpan w:val="3"/>
          </w:tcPr>
          <w:p>
            <w:pPr>
              <w:jc w:val="center"/>
              <w:ind w:left="157"/>
              <w:spacing w:after="0"/>
              <w:rPr>
                <w:sz w:val="20"/>
                <w:szCs w:val="20"/>
                <w:color w:val="auto"/>
              </w:rPr>
            </w:pPr>
            <w:r>
              <w:rPr>
                <w:rFonts w:ascii="Times New Roman" w:cs="Times New Roman" w:eastAsia="Times New Roman" w:hAnsi="Times New Roman"/>
                <w:sz w:val="18"/>
                <w:szCs w:val="18"/>
                <w:b w:val="1"/>
                <w:bCs w:val="1"/>
                <w:color w:val="auto"/>
                <w:w w:val="97"/>
              </w:rPr>
              <w:t>3131 Las Vegas Boulevard South</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40" w:type="dxa"/>
            <w:vAlign w:val="bottom"/>
          </w:tcPr>
          <w:p>
            <w:pPr>
              <w:spacing w:after="0"/>
              <w:rPr>
                <w:sz w:val="19"/>
                <w:szCs w:val="19"/>
                <w:color w:val="auto"/>
              </w:rPr>
            </w:pPr>
          </w:p>
        </w:tc>
      </w:tr>
      <w:tr>
        <w:trPr>
          <w:trHeight w:val="185"/>
        </w:trPr>
        <w:tc>
          <w:tcPr>
            <w:tcW w:w="338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940" w:type="dxa"/>
            <w:vAlign w:val="bottom"/>
          </w:tcPr>
          <w:p>
            <w:pPr>
              <w:spacing w:after="0"/>
              <w:rPr>
                <w:sz w:val="16"/>
                <w:szCs w:val="16"/>
                <w:color w:val="auto"/>
              </w:rPr>
            </w:pP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gridSpan w:val="3"/>
          </w:tcPr>
          <w:p>
            <w:pPr>
              <w:jc w:val="center"/>
              <w:ind w:left="11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40" w:type="dxa"/>
            <w:vAlign w:val="bottom"/>
            <w:gridSpan w:val="5"/>
          </w:tcPr>
          <w:p>
            <w:pPr>
              <w:jc w:val="center"/>
              <w:ind w:right="285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940" w:type="dxa"/>
            <w:vAlign w:val="bottom"/>
          </w:tcPr>
          <w:p>
            <w:pPr>
              <w:spacing w:after="0"/>
              <w:rPr>
                <w:sz w:val="16"/>
                <w:szCs w:val="16"/>
                <w:color w:val="auto"/>
              </w:rPr>
            </w:pP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gridSpan w:val="2"/>
          </w:tcPr>
          <w:p>
            <w:pPr>
              <w:jc w:val="center"/>
              <w:ind w:left="68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920" w:type="dxa"/>
            <w:vAlign w:val="bottom"/>
            <w:gridSpan w:val="6"/>
          </w:tcPr>
          <w:p>
            <w:pPr>
              <w:jc w:val="center"/>
              <w:ind w:right="237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940" w:type="dxa"/>
            <w:vAlign w:val="bottom"/>
          </w:tcPr>
          <w:p>
            <w:pPr>
              <w:spacing w:after="0"/>
              <w:rPr>
                <w:sz w:val="16"/>
                <w:szCs w:val="16"/>
                <w:color w:val="auto"/>
              </w:rPr>
            </w:pPr>
          </w:p>
        </w:tc>
      </w:tr>
      <w:tr>
        <w:trPr>
          <w:trHeight w:val="37"/>
        </w:trPr>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558"/>
        </w:trPr>
        <w:tc>
          <w:tcPr>
            <w:tcW w:w="6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1360" w:type="dxa"/>
            <w:vAlign w:val="bottom"/>
          </w:tcPr>
          <w:p>
            <w:pPr>
              <w:spacing w:after="0"/>
              <w:rPr>
                <w:sz w:val="18"/>
                <w:szCs w:val="18"/>
                <w:color w:val="auto"/>
              </w:rPr>
            </w:pPr>
          </w:p>
        </w:tc>
        <w:tc>
          <w:tcPr>
            <w:tcW w:w="368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c>
          <w:tcPr>
            <w:tcW w:w="9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480" w:type="dxa"/>
            <w:vAlign w:val="bottom"/>
          </w:tcPr>
          <w:p>
            <w:pPr>
              <w:spacing w:after="0"/>
              <w:rPr>
                <w:sz w:val="21"/>
                <w:szCs w:val="21"/>
                <w:color w:val="auto"/>
              </w:rPr>
            </w:pPr>
          </w:p>
        </w:tc>
        <w:tc>
          <w:tcPr>
            <w:tcW w:w="27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WYNN</w:t>
            </w:r>
          </w:p>
        </w:tc>
        <w:tc>
          <w:tcPr>
            <w:tcW w:w="420" w:type="dxa"/>
            <w:vAlign w:val="bottom"/>
          </w:tcPr>
          <w:p>
            <w:pPr>
              <w:spacing w:after="0"/>
              <w:rPr>
                <w:sz w:val="21"/>
                <w:szCs w:val="21"/>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c>
          <w:tcPr>
            <w:tcW w:w="94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663575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60"/>
        <w:spacing w:after="0" w:line="232"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40"/>
            <w:col w:w="9860"/>
          </w:cols>
          <w:pgMar w:left="320" w:top="909" w:right="359" w:bottom="1440" w:gutter="0" w:footer="0" w:header="0"/>
        </w:sectPr>
      </w:pPr>
    </w:p>
    <w:p>
      <w:pPr>
        <w:spacing w:after="0" w:line="126" w:lineRule="exact"/>
        <w:rPr>
          <w:sz w:val="20"/>
          <w:szCs w:val="20"/>
          <w:color w:val="auto"/>
        </w:rPr>
      </w:pPr>
    </w:p>
    <w:p>
      <w:pPr>
        <w:ind w:right="500" w:firstLine="395"/>
        <w:spacing w:after="0" w:line="332" w:lineRule="auto"/>
        <w:rPr>
          <w:sz w:val="20"/>
          <w:szCs w:val="20"/>
          <w:color w:val="auto"/>
        </w:rPr>
      </w:pPr>
      <w:r>
        <w:rPr>
          <w:rFonts w:ascii="Times New Roman" w:cs="Times New Roman" w:eastAsia="Times New Roman" w:hAnsi="Times New Roman"/>
          <w:sz w:val="16"/>
          <w:szCs w:val="16"/>
          <w:color w:val="auto"/>
        </w:rPr>
        <w:t>On January 7, 2026, Julie Cameron-Doe notified Wynn Resorts, Limited (the “Company”) of her decision to retire from her role as Chief Financial Officer of the Company, effective as of March 31, 2026, and to retire from the Company as an officer of the Company, effective as of June 1, 2026.</w:t>
      </w:r>
    </w:p>
    <w:p>
      <w:pPr>
        <w:spacing w:after="0" w:line="149"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her retirement, Ms. Cameron-Doe will be entitled to receive certain payments and benefits as provided under the Wynn Resorts, Limited Executive Retirement Plan, a copy of which is filed as Exhibit 10.1 to the Company’s Quarterly Report on Form 10-Q filed with the Securities and Exchange Commission on November 6, 2025. In accordance with the Executive Retirement Plan, Ms. Cameron-Doe will enter into a consulting agreement with the Company to support the continued transition of her duties and responsibilities to her successor and to provide other services, as may be requested by the Company.</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On January 9, 2026, the Company announced the appointment of Craig Fullalove as Chief Financial Officer of the Company, effective as of April 1, 2026. Mr. Fullalove, age 44, currently serves as Chief Financial Officer and Chief Administrative Officer of Wynn Macau, Limited, which includes the operations of the Wynn Palace and Wynn Macau resorts, a position which he has held since July 2022, and prior to that, served as the Chief Financial Officer of Wynn Macau, Limited, since January 2020.</w:t>
      </w:r>
    </w:p>
    <w:p>
      <w:pPr>
        <w:spacing w:after="0" w:line="21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his appointment, on January 8, 2026, the Company entered into an employment agreement (the “Agreement”) with Mr. Fullalove, consistent with its historical practice of confirming the terms of its executive officers’ employment with the Company in written agreements. The Agreement has a term consisting of three (3) years commencing on April 1, 2026. Following the expiration of the Agreement, and in the absence of the parties entering into a new written agreement, any continued employment of Mr. Fullalove at such time would be “at-will” with his employment relationship with the Company terminable at any time by either party, with or without cause.</w:t>
      </w:r>
    </w:p>
    <w:p>
      <w:pPr>
        <w:spacing w:after="0" w:line="212"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Pursuant to and during the term of the Agreement, Mr. Fullalove will be entitled to receive the following compensation effective upon commencement of service as Chief Financial Officer of the Company: (i) an annual base salary of not less than $800,000; (ii) a target bonus opportunity under the Company’s annual incentive plan of 200% of his base salary; and (iii) an annual restricted stock grant under the Company’s Amended and Restated 2014 Omnibus Incentive Plan (as it may be amended from time to time) with a target value equal to 135% of his annual base salary.</w:t>
      </w:r>
    </w:p>
    <w:p>
      <w:pPr>
        <w:spacing w:after="0" w:line="21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Upon a termination by the Company without “cause” or upon a termination by Mr. Fullalove due to a “material breach” of the Agreement at any time by the Company or for “good reason” following a “change of control” (as each of these terms are defined in the Agreement), and subject in each case to the execution and non-revocation of a release of claims, Mr. Fullalove will be entitled to a separation payment equal to the sum of the following: (a) base salary for the remainder of the term of the Agreement, but not less than 12 months, (b) any bonus amount projected for all bonus periods through the end of the term of the Agreement (based upon the last bonus paid pursuant to the Agreement), but not less than the preceding bonus that was paid; and (c) any accrued but unpaid vacation pay. In each such case, Mr. Fullalove would also be entitled to health benefits coverage under the same plan or arrangement he had immediately prior to termination, and such health benefits would be provided through the remainder of the term of the Agreement, or until he was covered by a plan of another employer, whichever occurs first.</w:t>
      </w:r>
    </w:p>
    <w:p>
      <w:pPr>
        <w:spacing w:after="0" w:line="217"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hereto and incorporated by reference into this Item 5.02.</w:t>
      </w:r>
    </w:p>
    <w:p>
      <w:pPr>
        <w:spacing w:after="0" w:line="196" w:lineRule="exact"/>
        <w:rPr>
          <w:sz w:val="20"/>
          <w:szCs w:val="20"/>
          <w:color w:val="auto"/>
        </w:rPr>
      </w:pPr>
    </w:p>
    <w:p>
      <w:pPr>
        <w:ind w:right="320" w:firstLine="395"/>
        <w:spacing w:after="0" w:line="250" w:lineRule="auto"/>
        <w:rPr>
          <w:sz w:val="20"/>
          <w:szCs w:val="20"/>
          <w:color w:val="auto"/>
        </w:rPr>
      </w:pPr>
      <w:r>
        <w:rPr>
          <w:rFonts w:ascii="Times New Roman" w:cs="Times New Roman" w:eastAsia="Times New Roman" w:hAnsi="Times New Roman"/>
          <w:sz w:val="18"/>
          <w:szCs w:val="18"/>
          <w:color w:val="auto"/>
        </w:rPr>
        <w:t>Except as described above pursuant to the Agreement, there are no other arrangements or understandings between Mr. Fullalove and any other person pursuant to which he was appointed as Chief Financial Officer of the Company. There is no family relationship between Mr. Fullalove and any of the Company’s other executive officers or directors or other person nominated or chosen by the Company to become a director or executive officer of the Company. In addition, the Company is not aware of any transaction in which Mr. Fullalove has a direct or indirect material interest that would require disclosure pursuant to Item 404(a) of Regulation S-K.</w:t>
      </w:r>
    </w:p>
    <w:p>
      <w:pPr>
        <w:spacing w:after="0" w:line="249"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308" w:lineRule="exact"/>
        <w:rPr>
          <w:sz w:val="20"/>
          <w:szCs w:val="20"/>
          <w:color w:val="auto"/>
        </w:rPr>
      </w:pPr>
    </w:p>
    <w:p>
      <w:pPr>
        <w:ind w:right="540" w:firstLine="395"/>
        <w:spacing w:after="0" w:line="253" w:lineRule="auto"/>
        <w:rPr>
          <w:sz w:val="20"/>
          <w:szCs w:val="20"/>
          <w:color w:val="auto"/>
        </w:rPr>
      </w:pPr>
      <w:r>
        <w:rPr>
          <w:rFonts w:ascii="Times New Roman" w:cs="Times New Roman" w:eastAsia="Times New Roman" w:hAnsi="Times New Roman"/>
          <w:sz w:val="18"/>
          <w:szCs w:val="18"/>
          <w:color w:val="auto"/>
        </w:rPr>
        <w:t>On January 9, 2026, the Company issued a press release announcing the appointment of Mr. Fullalove as its Chief Financial Officer. A copy of the Company’s press release is attached as Exhibit 99.1 hereto and incorporated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515620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14" w:lineRule="exact"/>
        <w:rPr>
          <w:sz w:val="20"/>
          <w:szCs w:val="20"/>
          <w:color w:val="auto"/>
        </w:rPr>
      </w:pPr>
    </w:p>
    <w:p>
      <w:pPr>
        <w:ind w:right="360" w:firstLine="395"/>
        <w:spacing w:after="0" w:line="235"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attached hereto, shall not be deemed “filed” for purposes of Section 18 of Securities Exchange Act of 1934, as amended, nor shall it be deemed incorporated by reference in any filing under the Securities Act of 1933, as amended, except as shall be expressly set forth by specific reference in such filing.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3"/>
                <w:szCs w:val="23"/>
                <w:color w:val="auto"/>
              </w:rPr>
            </w:pPr>
          </w:p>
        </w:tc>
        <w:tc>
          <w:tcPr>
            <w:tcW w:w="8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Employment Agreement, dated as of January 8, 2026, by and between Wynn Resorts, Limited and Craig Fullalove.</w:t>
            </w:r>
          </w:p>
        </w:tc>
        <w:tc>
          <w:tcPr>
            <w:tcW w:w="1800" w:type="dxa"/>
            <w:vAlign w:val="bottom"/>
          </w:tcPr>
          <w:p>
            <w:pPr>
              <w:spacing w:after="0"/>
              <w:rPr>
                <w:sz w:val="23"/>
                <w:szCs w:val="23"/>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88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rPr>
              <w:t>Press Release, dated January 9, 2026.</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Dated: January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13970</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Jacqui Krum</w:t>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EVP and General Counsel</w:t>
      </w:r>
    </w:p>
    <w:p>
      <w:pPr>
        <w:sectPr>
          <w:pgSz w:w="11900" w:h="16838" w:orient="portrait"/>
          <w:cols w:equalWidth="0" w:num="1">
            <w:col w:w="11240"/>
          </w:cols>
          <w:pgMar w:left="320" w:top="86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4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5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EMPLOYMENT AGREEMENT</w:t>
      </w:r>
    </w:p>
    <w:p>
      <w:pPr>
        <w:spacing w:after="0" w:line="2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(“Agreement”)</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 by and between -</w:t>
      </w: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WYNN RESORTS, LIMITED</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(“Employer”)</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 and -</w:t>
      </w: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CRAIG FULLALOVE</w:t>
      </w:r>
    </w:p>
    <w:p>
      <w:pPr>
        <w:spacing w:after="0" w:line="2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(“Employee”)</w:t>
      </w:r>
    </w:p>
    <w:p>
      <w:pPr>
        <w:spacing w:after="0" w:line="18" w:lineRule="exact"/>
        <w:rPr>
          <w:sz w:val="20"/>
          <w:szCs w:val="20"/>
          <w:color w:val="auto"/>
        </w:rPr>
      </w:pPr>
    </w:p>
    <w:p>
      <w:pPr>
        <w:ind w:left="214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 xml:space="preserve">DATED: </w:t>
      </w:r>
      <w:r>
        <w:rPr>
          <w:rFonts w:ascii="Arial" w:cs="Arial" w:eastAsia="Arial" w:hAnsi="Arial"/>
          <w:sz w:val="19"/>
          <w:szCs w:val="19"/>
          <w:color w:val="auto"/>
        </w:rPr>
        <w:t>January 8, 2026</w:t>
      </w:r>
    </w:p>
    <w:p>
      <w:pPr>
        <w:spacing w:after="0" w:line="25" w:lineRule="exact"/>
        <w:rPr>
          <w:sz w:val="20"/>
          <w:szCs w:val="20"/>
          <w:color w:val="auto"/>
        </w:rPr>
      </w:pPr>
    </w:p>
    <w:p>
      <w:pPr>
        <w:ind w:left="214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ectPr>
          <w:pgSz w:w="11900" w:h="16838" w:orient="portrait"/>
          <w:cols w:equalWidth="0" w:num="1">
            <w:col w:w="10120"/>
          </w:cols>
          <w:pgMar w:left="1440" w:top="96" w:right="339" w:bottom="1440" w:gutter="0" w:footer="0" w:header="0"/>
        </w:sectPr>
      </w:pPr>
    </w:p>
    <w:bookmarkStart w:id="5" w:name="page6"/>
    <w:bookmarkEnd w:id="5"/>
    <w:p>
      <w:pPr>
        <w:spacing w:after="0" w:line="177" w:lineRule="exact"/>
        <w:rPr>
          <w:sz w:val="20"/>
          <w:szCs w:val="20"/>
          <w:color w:val="auto"/>
        </w:rPr>
      </w:pPr>
    </w:p>
    <w:p>
      <w:pPr>
        <w:ind w:left="4060"/>
        <w:spacing w:after="0"/>
        <w:rPr>
          <w:sz w:val="20"/>
          <w:szCs w:val="20"/>
          <w:color w:val="auto"/>
        </w:rPr>
      </w:pPr>
      <w:r>
        <w:rPr>
          <w:rFonts w:ascii="Arial" w:cs="Arial" w:eastAsia="Arial" w:hAnsi="Arial"/>
          <w:sz w:val="19"/>
          <w:szCs w:val="19"/>
          <w:b w:val="1"/>
          <w:bCs w:val="1"/>
          <w:u w:val="single" w:color="auto"/>
          <w:color w:val="auto"/>
        </w:rPr>
        <w:t>_____________________________</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EMPLOYMENT AGREEMENT</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9"/>
          <w:szCs w:val="19"/>
          <w:b w:val="1"/>
          <w:bCs w:val="1"/>
          <w:u w:val="single" w:color="auto"/>
          <w:color w:val="auto"/>
        </w:rPr>
        <w:t>_____________________________</w:t>
      </w:r>
    </w:p>
    <w:p>
      <w:pPr>
        <w:spacing w:after="0" w:line="235" w:lineRule="exact"/>
        <w:rPr>
          <w:sz w:val="20"/>
          <w:szCs w:val="20"/>
          <w:color w:val="auto"/>
        </w:rPr>
      </w:pPr>
    </w:p>
    <w:p>
      <w:pPr>
        <w:jc w:val="both"/>
        <w:ind w:firstLine="346"/>
        <w:spacing w:after="0" w:line="298" w:lineRule="auto"/>
        <w:rPr>
          <w:sz w:val="20"/>
          <w:szCs w:val="20"/>
          <w:color w:val="auto"/>
        </w:rPr>
      </w:pPr>
      <w:r>
        <w:rPr>
          <w:rFonts w:ascii="Arial" w:cs="Arial" w:eastAsia="Arial" w:hAnsi="Arial"/>
          <w:sz w:val="19"/>
          <w:szCs w:val="19"/>
          <w:b w:val="1"/>
          <w:bCs w:val="1"/>
          <w:color w:val="auto"/>
        </w:rPr>
        <w:t xml:space="preserve">THIS EMPLOYMENT AGREEMENT </w:t>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the 8th day of January, 2026, by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between </w:t>
      </w:r>
      <w:r>
        <w:rPr>
          <w:rFonts w:ascii="Arial" w:cs="Arial" w:eastAsia="Arial" w:hAnsi="Arial"/>
          <w:sz w:val="19"/>
          <w:szCs w:val="19"/>
          <w:b w:val="1"/>
          <w:bCs w:val="1"/>
          <w:color w:val="auto"/>
        </w:rPr>
        <w:t>WYNN RESORTS, LIMITED</w:t>
      </w:r>
      <w:r>
        <w:rPr>
          <w:rFonts w:ascii="Arial" w:cs="Arial" w:eastAsia="Arial" w:hAnsi="Arial"/>
          <w:sz w:val="19"/>
          <w:szCs w:val="19"/>
          <w:color w:val="auto"/>
        </w:rPr>
        <w:t xml:space="preserve"> (“</w:t>
      </w:r>
      <w:r>
        <w:rPr>
          <w:rFonts w:ascii="Arial" w:cs="Arial" w:eastAsia="Arial" w:hAnsi="Arial"/>
          <w:sz w:val="19"/>
          <w:szCs w:val="19"/>
          <w:b w:val="1"/>
          <w:bCs w:val="1"/>
          <w:color w:val="auto"/>
        </w:rPr>
        <w:t>Employer</w:t>
      </w:r>
      <w:r>
        <w:rPr>
          <w:rFonts w:ascii="Arial" w:cs="Arial" w:eastAsia="Arial" w:hAnsi="Arial"/>
          <w:sz w:val="19"/>
          <w:szCs w:val="19"/>
          <w:color w:val="auto"/>
        </w:rPr>
        <w:t xml:space="preserve">”) and </w:t>
      </w:r>
      <w:r>
        <w:rPr>
          <w:rFonts w:ascii="Arial" w:cs="Arial" w:eastAsia="Arial" w:hAnsi="Arial"/>
          <w:sz w:val="19"/>
          <w:szCs w:val="19"/>
          <w:b w:val="1"/>
          <w:bCs w:val="1"/>
          <w:color w:val="auto"/>
        </w:rPr>
        <w:t>CRAIG FULLALOVE</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w:t>
      </w:r>
      <w:r>
        <w:rPr>
          <w:rFonts w:ascii="Arial" w:cs="Arial" w:eastAsia="Arial" w:hAnsi="Arial"/>
          <w:sz w:val="19"/>
          <w:szCs w:val="19"/>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u w:val="single" w:color="auto"/>
          <w:color w:val="auto"/>
        </w:rPr>
        <w:t>W I T N E S S E T H</w:t>
      </w:r>
      <w:r>
        <w:rPr>
          <w:rFonts w:ascii="Arial" w:cs="Arial" w:eastAsia="Arial" w:hAnsi="Arial"/>
          <w:sz w:val="19"/>
          <w:szCs w:val="19"/>
          <w:b w:val="1"/>
          <w:bCs w:val="1"/>
          <w:i w:val="1"/>
          <w:iCs w:val="1"/>
          <w:color w:val="auto"/>
        </w:rPr>
        <w:t>:</w:t>
      </w:r>
    </w:p>
    <w:p>
      <w:pPr>
        <w:spacing w:after="0" w:line="255"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Employer is a corporation duly organized and existing under the laws of the State of Nevada, maintains its principal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place of business at 3131 Las Vegas Boulevard South, Las Vegas, Nevada 89109, and is engaged in the business of developing, owning and operating casino resorts;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furtherance of its business, Employer has need of qualified, experienced personnel;</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is an adult individual residing at [intentionally omitted];</w:t>
      </w:r>
    </w:p>
    <w:p>
      <w:pPr>
        <w:spacing w:after="0" w:line="242" w:lineRule="exact"/>
        <w:rPr>
          <w:sz w:val="20"/>
          <w:szCs w:val="20"/>
          <w:color w:val="auto"/>
        </w:rPr>
      </w:pPr>
    </w:p>
    <w:p>
      <w:pPr>
        <w:jc w:val="both"/>
        <w:ind w:firstLine="227"/>
        <w:spacing w:after="0" w:line="310"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color w:val="auto"/>
        </w:rPr>
        <w:t>, Employee currently serves as Chief Financial Officer and Chief Administrative Officer for Employer’s Affiliate, Wynn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Macau, Limited, pursuant to the terms of an Employment Agreement effective as of July 18, 2022 (the “</w:t>
      </w:r>
      <w:r>
        <w:rPr>
          <w:rFonts w:ascii="Arial" w:cs="Arial" w:eastAsia="Arial" w:hAnsi="Arial"/>
          <w:sz w:val="19"/>
          <w:szCs w:val="19"/>
          <w:b w:val="1"/>
          <w:bCs w:val="1"/>
          <w:color w:val="auto"/>
        </w:rPr>
        <w:t>Prior Agreement</w:t>
      </w:r>
      <w:r>
        <w:rPr>
          <w:rFonts w:ascii="Arial" w:cs="Arial" w:eastAsia="Arial" w:hAnsi="Arial"/>
          <w:sz w:val="19"/>
          <w:szCs w:val="19"/>
          <w:color w:val="auto"/>
        </w:rPr>
        <w:t>”);</w:t>
      </w:r>
    </w:p>
    <w:p>
      <w:pPr>
        <w:spacing w:after="0" w:line="133" w:lineRule="exact"/>
        <w:rPr>
          <w:sz w:val="20"/>
          <w:szCs w:val="20"/>
          <w:color w:val="auto"/>
        </w:rPr>
      </w:pPr>
    </w:p>
    <w:p>
      <w:pPr>
        <w:jc w:val="both"/>
        <w:ind w:firstLine="267"/>
        <w:spacing w:after="0" w:line="299"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color w:val="auto"/>
        </w:rPr>
        <w:t>, the Prior Agreement would have terminated by its terms on July 18, 2026, and Employee and Employer desire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enter into this Agreement to supersede the Prior Agreement and transfer employment of Employee to Employer;</w:t>
      </w:r>
    </w:p>
    <w:p>
      <w:pPr>
        <w:spacing w:after="0" w:line="166" w:lineRule="exact"/>
        <w:rPr>
          <w:sz w:val="20"/>
          <w:szCs w:val="20"/>
          <w:color w:val="auto"/>
        </w:rPr>
      </w:pPr>
    </w:p>
    <w:p>
      <w:pPr>
        <w:jc w:val="both"/>
        <w:ind w:firstLine="359"/>
        <w:spacing w:after="0" w:line="285"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has represented and warranted to Employer that Employee possesses sufficient qualifications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expertise to fulfill the terms of the employment stated in this Agreement;</w:t>
      </w:r>
    </w:p>
    <w:p>
      <w:pPr>
        <w:spacing w:after="0" w:line="179" w:lineRule="exact"/>
        <w:rPr>
          <w:sz w:val="20"/>
          <w:szCs w:val="20"/>
          <w:color w:val="auto"/>
        </w:rPr>
      </w:pPr>
    </w:p>
    <w:p>
      <w:pPr>
        <w:jc w:val="both"/>
        <w:ind w:firstLine="241"/>
        <w:spacing w:after="0" w:line="285"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Employer is willing to employ Employee, and Employee is desirous of accepting employment from Employer,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terms and pursuant to the conditions set forth herein.</w:t>
      </w:r>
    </w:p>
    <w:p>
      <w:pPr>
        <w:spacing w:after="0" w:line="179" w:lineRule="exact"/>
        <w:rPr>
          <w:sz w:val="20"/>
          <w:szCs w:val="20"/>
          <w:color w:val="auto"/>
        </w:rPr>
      </w:pPr>
    </w:p>
    <w:p>
      <w:pPr>
        <w:jc w:val="both"/>
        <w:ind w:firstLine="425"/>
        <w:spacing w:after="0" w:line="272" w:lineRule="auto"/>
        <w:rPr>
          <w:sz w:val="20"/>
          <w:szCs w:val="20"/>
          <w:color w:val="auto"/>
        </w:rPr>
      </w:pPr>
      <w:r>
        <w:rPr>
          <w:rFonts w:ascii="Arial" w:cs="Arial" w:eastAsia="Arial" w:hAnsi="Arial"/>
          <w:sz w:val="19"/>
          <w:szCs w:val="19"/>
          <w:b w:val="1"/>
          <w:bCs w:val="1"/>
          <w:i w:val="1"/>
          <w:iCs w:val="1"/>
          <w:color w:val="auto"/>
        </w:rPr>
        <w:t xml:space="preserve">NOW, THEREFORE, </w:t>
      </w:r>
      <w:r>
        <w:rPr>
          <w:rFonts w:ascii="Arial" w:cs="Arial" w:eastAsia="Arial" w:hAnsi="Arial"/>
          <w:sz w:val="19"/>
          <w:szCs w:val="19"/>
          <w:color w:val="auto"/>
        </w:rPr>
        <w:t>for and in consideration of the foregoing recitals, and in consideration of the mutual covenants,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agreements, understandings, undertakings, representations, warranties and promises hereinafter set forth, and intending to be legally bound thereby, Employer and Employee do hereby covenant and agree as follows:</w:t>
      </w:r>
    </w:p>
    <w:p>
      <w:pPr>
        <w:spacing w:after="0" w:line="191" w:lineRule="exact"/>
        <w:rPr>
          <w:sz w:val="20"/>
          <w:szCs w:val="20"/>
          <w:color w:val="auto"/>
        </w:rPr>
      </w:pPr>
    </w:p>
    <w:p>
      <w:pPr>
        <w:ind w:firstLine="637"/>
        <w:spacing w:after="0" w:line="285" w:lineRule="auto"/>
        <w:tabs>
          <w:tab w:leader="none" w:pos="1253"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DEFINITIONS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used in this Agreement, the words and terms hereinafter defined have the respective meanings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ascribed to them, unless a different meaning clearly appears from the context:</w:t>
      </w:r>
    </w:p>
    <w:p>
      <w:pPr>
        <w:spacing w:after="0" w:line="176" w:lineRule="exact"/>
        <w:rPr>
          <w:rFonts w:ascii="Arial" w:cs="Arial" w:eastAsia="Arial" w:hAnsi="Arial"/>
          <w:sz w:val="19"/>
          <w:szCs w:val="19"/>
          <w:b w:val="1"/>
          <w:bCs w:val="1"/>
          <w:color w:val="auto"/>
        </w:rPr>
      </w:pPr>
    </w:p>
    <w:p>
      <w:pPr>
        <w:ind w:left="640" w:firstLine="628"/>
        <w:spacing w:after="0" w:line="287" w:lineRule="auto"/>
        <w:tabs>
          <w:tab w:leader="none" w:pos="1902" w:val="left"/>
        </w:tabs>
        <w:numPr>
          <w:ilvl w:val="1"/>
          <w:numId w:val="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means with respect to a specified Person, any other Person who or which is directly or indirectly controlling, controlled by or under common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9"/>
          <w:szCs w:val="19"/>
          <w:color w:val="auto"/>
        </w:rPr>
        <w:t>with the specified Person. For purposes of this definition only, “control”, “controlling” and “controlled” mean the right to exercise, directly or indirectly, more than fifty percent (50%) of the voting power of the stockholders, members, partners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99" w:lineRule="exact"/>
        <w:rPr>
          <w:sz w:val="20"/>
          <w:szCs w:val="20"/>
          <w:color w:val="auto"/>
        </w:rPr>
      </w:pPr>
    </w:p>
    <w:p>
      <w:pPr>
        <w:ind w:firstLine="628"/>
        <w:spacing w:after="0" w:line="287" w:lineRule="auto"/>
        <w:tabs>
          <w:tab w:leader="none" w:pos="1262" w:val="left"/>
        </w:tabs>
        <w:numPr>
          <w:ilvl w:val="0"/>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Anniversary</w:t>
      </w:r>
      <w:r>
        <w:rPr>
          <w:rFonts w:ascii="Arial" w:cs="Arial" w:eastAsia="Arial" w:hAnsi="Arial"/>
          <w:sz w:val="19"/>
          <w:szCs w:val="19"/>
          <w:color w:val="auto"/>
        </w:rPr>
        <w:t>” means each annual anniversary date of the Effective Date during the Term (as defined in Section 5 hereof).</w:t>
      </w:r>
    </w:p>
    <w:p>
      <w:pPr>
        <w:spacing w:after="0" w:line="174" w:lineRule="exact"/>
        <w:rPr>
          <w:rFonts w:ascii="Arial" w:cs="Arial" w:eastAsia="Arial" w:hAnsi="Arial"/>
          <w:sz w:val="19"/>
          <w:szCs w:val="19"/>
          <w:color w:val="auto"/>
        </w:rPr>
      </w:pPr>
    </w:p>
    <w:p>
      <w:pPr>
        <w:ind w:left="1240" w:hanging="612"/>
        <w:spacing w:after="0"/>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means any of the following:</w:t>
      </w:r>
    </w:p>
    <w:p>
      <w:pPr>
        <w:spacing w:after="0" w:line="244" w:lineRule="exact"/>
        <w:rPr>
          <w:rFonts w:ascii="Arial" w:cs="Arial" w:eastAsia="Arial" w:hAnsi="Arial"/>
          <w:sz w:val="19"/>
          <w:szCs w:val="19"/>
          <w:color w:val="auto"/>
        </w:rPr>
      </w:pPr>
    </w:p>
    <w:p>
      <w:pPr>
        <w:ind w:left="620" w:firstLine="798"/>
        <w:spacing w:after="0" w:line="299" w:lineRule="auto"/>
        <w:tabs>
          <w:tab w:leader="none" w:pos="187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failure to satisfactorily pass Employer’s pre-employment drug test and background investigation conducted in accordance with the Employer’s standard policies and procedures;</w:t>
      </w:r>
    </w:p>
    <w:p>
      <w:pPr>
        <w:spacing w:after="0" w:line="139" w:lineRule="exact"/>
        <w:rPr>
          <w:rFonts w:ascii="Arial" w:cs="Arial" w:eastAsia="Arial" w:hAnsi="Arial"/>
          <w:sz w:val="19"/>
          <w:szCs w:val="19"/>
          <w:color w:val="auto"/>
        </w:rPr>
      </w:pPr>
    </w:p>
    <w:p>
      <w:pPr>
        <w:jc w:val="both"/>
        <w:ind w:left="620" w:firstLine="798"/>
        <w:spacing w:after="0" w:line="263" w:lineRule="auto"/>
        <w:tabs>
          <w:tab w:leader="none" w:pos="1874"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inability or failure to secure and/or maintain any licenses or permits required by any Government Agency with jurisdiction over the business of Employer or any of its Affiliates, including those set forth in Section 8 of this Agreement (including the License), or disapproval of this Agreement by the Gaming Authorities as provided therein;</w:t>
      </w:r>
    </w:p>
    <w:p>
      <w:pPr>
        <w:spacing w:after="0" w:line="173" w:lineRule="exact"/>
        <w:rPr>
          <w:rFonts w:ascii="Arial" w:cs="Arial" w:eastAsia="Arial" w:hAnsi="Arial"/>
          <w:sz w:val="19"/>
          <w:szCs w:val="19"/>
          <w:color w:val="auto"/>
        </w:rPr>
      </w:pPr>
    </w:p>
    <w:p>
      <w:pPr>
        <w:ind w:left="620" w:firstLine="798"/>
        <w:spacing w:after="0" w:line="299" w:lineRule="auto"/>
        <w:tabs>
          <w:tab w:leader="none" w:pos="1877"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willful misuse or destruction by Employee of the property of Employer or any of its Affiliates having a material value to Employer or such Affiliate;</w:t>
      </w:r>
    </w:p>
    <w:p>
      <w:pPr>
        <w:spacing w:after="0" w:line="126" w:lineRule="exact"/>
        <w:rPr>
          <w:rFonts w:ascii="Arial" w:cs="Arial" w:eastAsia="Arial" w:hAnsi="Arial"/>
          <w:sz w:val="19"/>
          <w:szCs w:val="19"/>
          <w:color w:val="auto"/>
        </w:rPr>
      </w:pPr>
    </w:p>
    <w:p>
      <w:pPr>
        <w:ind w:left="1880" w:hanging="462"/>
        <w:spacing w:after="0"/>
        <w:tabs>
          <w:tab w:leader="none" w:pos="1880" w:val="left"/>
        </w:tabs>
        <w:numPr>
          <w:ilvl w:val="1"/>
          <w:numId w:val="3"/>
        </w:numPr>
        <w:rPr>
          <w:rFonts w:ascii="Arial" w:cs="Arial" w:eastAsia="Arial" w:hAnsi="Arial"/>
          <w:sz w:val="19"/>
          <w:szCs w:val="19"/>
          <w:color w:val="auto"/>
        </w:rPr>
      </w:pPr>
      <w:r>
        <w:rPr>
          <w:rFonts w:ascii="Arial" w:cs="Arial" w:eastAsia="Arial" w:hAnsi="Arial"/>
          <w:sz w:val="19"/>
          <w:szCs w:val="19"/>
          <w:color w:val="auto"/>
        </w:rPr>
        <w:t>fraud, embezzlement, theft and/or dishonest activity committed by Employee;</w:t>
      </w:r>
    </w:p>
    <w:p>
      <w:pPr>
        <w:spacing w:after="0" w:line="228" w:lineRule="exact"/>
        <w:rPr>
          <w:rFonts w:ascii="Arial" w:cs="Arial" w:eastAsia="Arial" w:hAnsi="Arial"/>
          <w:sz w:val="19"/>
          <w:szCs w:val="19"/>
          <w:color w:val="auto"/>
        </w:rPr>
      </w:pPr>
    </w:p>
    <w:p>
      <w:pPr>
        <w:jc w:val="both"/>
        <w:ind w:left="620" w:firstLine="798"/>
        <w:spacing w:after="0" w:line="272" w:lineRule="auto"/>
        <w:tabs>
          <w:tab w:leader="none" w:pos="1871"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conviction of or entering a plea of guilty or nolo contendere to any crime constituting a felony or any misdemeanor involving fraud, dishonesty and/or moral turpitude (excluding acts involving a de minimis dollar value and not related in any manner whatsoever to Employer or its Affiliate or their respective businesses);</w:t>
      </w:r>
    </w:p>
    <w:p>
      <w:pPr>
        <w:spacing w:after="0" w:line="151" w:lineRule="exact"/>
        <w:rPr>
          <w:rFonts w:ascii="Arial" w:cs="Arial" w:eastAsia="Arial" w:hAnsi="Arial"/>
          <w:sz w:val="19"/>
          <w:szCs w:val="19"/>
          <w:color w:val="auto"/>
        </w:rPr>
      </w:pPr>
    </w:p>
    <w:p>
      <w:pPr>
        <w:ind w:left="1880" w:hanging="462"/>
        <w:spacing w:after="0"/>
        <w:tabs>
          <w:tab w:leader="none" w:pos="188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material breach of this Agreement;</w:t>
      </w:r>
    </w:p>
    <w:p>
      <w:pPr>
        <w:spacing w:after="0" w:line="228" w:lineRule="exact"/>
        <w:rPr>
          <w:rFonts w:ascii="Arial" w:cs="Arial" w:eastAsia="Arial" w:hAnsi="Arial"/>
          <w:sz w:val="19"/>
          <w:szCs w:val="19"/>
          <w:color w:val="auto"/>
        </w:rPr>
      </w:pPr>
    </w:p>
    <w:p>
      <w:pPr>
        <w:ind w:left="620" w:firstLine="798"/>
        <w:spacing w:after="0" w:line="299" w:lineRule="auto"/>
        <w:tabs>
          <w:tab w:leader="none" w:pos="1878"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neglect, refusal, or failure to discharge Employee’s duties commensurate with Employee’s title and function, or Employee’s failure to comply with a lawful direction of Employer;</w:t>
      </w:r>
    </w:p>
    <w:p>
      <w:pPr>
        <w:spacing w:after="0" w:line="126" w:lineRule="exact"/>
        <w:rPr>
          <w:rFonts w:ascii="Arial" w:cs="Arial" w:eastAsia="Arial" w:hAnsi="Arial"/>
          <w:sz w:val="19"/>
          <w:szCs w:val="19"/>
          <w:color w:val="auto"/>
        </w:rPr>
      </w:pPr>
    </w:p>
    <w:p>
      <w:pPr>
        <w:ind w:left="1880" w:hanging="462"/>
        <w:spacing w:after="0"/>
        <w:tabs>
          <w:tab w:leader="none" w:pos="188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 making a knowing material misrepresentation to Employer;</w:t>
      </w:r>
    </w:p>
    <w:p>
      <w:pPr>
        <w:spacing w:after="0" w:line="228" w:lineRule="exact"/>
        <w:rPr>
          <w:rFonts w:ascii="Arial" w:cs="Arial" w:eastAsia="Arial" w:hAnsi="Arial"/>
          <w:sz w:val="19"/>
          <w:szCs w:val="19"/>
          <w:color w:val="auto"/>
        </w:rPr>
      </w:pPr>
    </w:p>
    <w:p>
      <w:pPr>
        <w:ind w:left="1880" w:hanging="462"/>
        <w:spacing w:after="0"/>
        <w:tabs>
          <w:tab w:leader="none" w:pos="188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Employee’s failure to follow a material policy or procedure of Employer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600"/>
          </w:cols>
          <w:pgMar w:left="960" w:top="1381" w:right="339" w:bottom="1440" w:gutter="0" w:footer="0" w:header="0"/>
        </w:sectPr>
      </w:pPr>
    </w:p>
    <w:bookmarkStart w:id="7" w:name="page8"/>
    <w:bookmarkEnd w:id="7"/>
    <w:p>
      <w:pPr>
        <w:jc w:val="both"/>
        <w:ind w:left="140" w:firstLine="798"/>
        <w:spacing w:after="0" w:line="272" w:lineRule="auto"/>
        <w:tabs>
          <w:tab w:leader="none" w:pos="1391" w:val="left"/>
        </w:tabs>
        <w:numPr>
          <w:ilvl w:val="0"/>
          <w:numId w:val="4"/>
        </w:numPr>
        <w:rPr>
          <w:rFonts w:ascii="Arial" w:cs="Arial" w:eastAsia="Arial" w:hAnsi="Arial"/>
          <w:sz w:val="19"/>
          <w:szCs w:val="19"/>
          <w:color w:val="auto"/>
        </w:rPr>
      </w:pPr>
      <w:r>
        <w:rPr>
          <w:rFonts w:ascii="Arial" w:cs="Arial" w:eastAsia="Arial" w:hAnsi="Arial"/>
          <w:sz w:val="19"/>
          <w:szCs w:val="19"/>
          <w:color w:val="auto"/>
        </w:rPr>
        <w:t>Employee’s violation of Employer’s Preventing Harassment and Discrimination Policy that has been substantiated by an independent investigation by external counsel, which the board of directors, in good faith, determines requires termination as opposed to other disciplinary action;</w:t>
      </w:r>
    </w:p>
    <w:p>
      <w:pPr>
        <w:spacing w:after="0" w:line="165" w:lineRule="exact"/>
        <w:rPr>
          <w:rFonts w:ascii="Arial" w:cs="Arial" w:eastAsia="Arial" w:hAnsi="Arial"/>
          <w:sz w:val="19"/>
          <w:szCs w:val="19"/>
          <w:color w:val="auto"/>
        </w:rPr>
      </w:pPr>
    </w:p>
    <w:p>
      <w:pPr>
        <w:jc w:val="both"/>
        <w:ind w:left="140" w:firstLine="798"/>
        <w:spacing w:after="0" w:line="272" w:lineRule="auto"/>
        <w:tabs>
          <w:tab w:leader="none" w:pos="1395" w:val="left"/>
        </w:tabs>
        <w:numPr>
          <w:ilvl w:val="0"/>
          <w:numId w:val="4"/>
        </w:numPr>
        <w:rPr>
          <w:rFonts w:ascii="Arial" w:cs="Arial" w:eastAsia="Arial" w:hAnsi="Arial"/>
          <w:sz w:val="19"/>
          <w:szCs w:val="19"/>
          <w:color w:val="auto"/>
        </w:rPr>
      </w:pPr>
      <w:r>
        <w:rPr>
          <w:rFonts w:ascii="Arial" w:cs="Arial" w:eastAsia="Arial" w:hAnsi="Arial"/>
          <w:sz w:val="19"/>
          <w:szCs w:val="19"/>
          <w:color w:val="auto"/>
        </w:rPr>
        <w:t>Employee’s violation, as determined by a court or Governmental Agency, of a statute, regulation or law, whether federal, state or local, which applies to and/or governs the business of Employer or any of its Affiliates (including any gaming, financial or anti-money laundering laws and regulations);</w:t>
      </w:r>
    </w:p>
    <w:p>
      <w:pPr>
        <w:spacing w:after="0" w:line="165" w:lineRule="exact"/>
        <w:rPr>
          <w:rFonts w:ascii="Arial" w:cs="Arial" w:eastAsia="Arial" w:hAnsi="Arial"/>
          <w:sz w:val="19"/>
          <w:szCs w:val="19"/>
          <w:color w:val="auto"/>
        </w:rPr>
      </w:pPr>
    </w:p>
    <w:p>
      <w:pPr>
        <w:ind w:left="140" w:firstLine="798"/>
        <w:spacing w:after="0" w:line="285" w:lineRule="auto"/>
        <w:tabs>
          <w:tab w:leader="none" w:pos="1398" w:val="left"/>
        </w:tabs>
        <w:numPr>
          <w:ilvl w:val="0"/>
          <w:numId w:val="4"/>
        </w:numPr>
        <w:rPr>
          <w:rFonts w:ascii="Arial" w:cs="Arial" w:eastAsia="Arial" w:hAnsi="Arial"/>
          <w:sz w:val="19"/>
          <w:szCs w:val="19"/>
          <w:color w:val="auto"/>
        </w:rPr>
      </w:pPr>
      <w:r>
        <w:rPr>
          <w:rFonts w:ascii="Arial" w:cs="Arial" w:eastAsia="Arial" w:hAnsi="Arial"/>
          <w:sz w:val="19"/>
          <w:szCs w:val="19"/>
          <w:color w:val="auto"/>
        </w:rPr>
        <w:t>Employee’s breach of a statutory or common law duty of loyalty or fiduciary duty to Employer or any of its Affiliates, including Employer’s or any of its Affiliates’ conflict of interest policy; or</w:t>
      </w:r>
    </w:p>
    <w:p>
      <w:pPr>
        <w:spacing w:after="0" w:line="152" w:lineRule="exact"/>
        <w:rPr>
          <w:rFonts w:ascii="Arial" w:cs="Arial" w:eastAsia="Arial" w:hAnsi="Arial"/>
          <w:sz w:val="19"/>
          <w:szCs w:val="19"/>
          <w:color w:val="auto"/>
        </w:rPr>
      </w:pPr>
    </w:p>
    <w:p>
      <w:pPr>
        <w:ind w:left="140" w:firstLine="798"/>
        <w:spacing w:after="0" w:line="285" w:lineRule="auto"/>
        <w:tabs>
          <w:tab w:leader="none" w:pos="1401"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conduct by Employee which adversely and materially reflects upon the business, affairs or reputation of Employer and or any of its Affiliates,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i w:val="1"/>
          <w:iCs w:val="1"/>
          <w:color w:val="auto"/>
        </w:rPr>
        <w:t xml:space="preserve">, </w:t>
      </w:r>
      <w:r>
        <w:rPr>
          <w:rFonts w:ascii="Arial" w:cs="Arial" w:eastAsia="Arial" w:hAnsi="Arial"/>
          <w:sz w:val="19"/>
          <w:szCs w:val="19"/>
          <w:color w:val="auto"/>
        </w:rPr>
        <w:t>that Employee’s Complete Disability shall not constitute “Cause” as defined herein.</w:t>
      </w:r>
    </w:p>
    <w:p>
      <w:pPr>
        <w:spacing w:after="0" w:line="253" w:lineRule="exact"/>
        <w:rPr>
          <w:sz w:val="20"/>
          <w:szCs w:val="20"/>
          <w:color w:val="auto"/>
        </w:rPr>
      </w:pPr>
    </w:p>
    <w:p>
      <w:pPr>
        <w:ind w:left="780" w:hanging="632"/>
        <w:spacing w:after="0"/>
        <w:tabs>
          <w:tab w:leader="none" w:pos="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Change of Control</w:t>
      </w:r>
      <w:r>
        <w:rPr>
          <w:rFonts w:ascii="Arial" w:cs="Arial" w:eastAsia="Arial" w:hAnsi="Arial"/>
          <w:sz w:val="19"/>
          <w:szCs w:val="19"/>
          <w:color w:val="auto"/>
        </w:rPr>
        <w:t>” means the occurrence, after the Effective Date, of any of the following events:</w:t>
      </w:r>
    </w:p>
    <w:p>
      <w:pPr>
        <w:spacing w:after="0" w:line="244" w:lineRule="exact"/>
        <w:rPr>
          <w:rFonts w:ascii="Arial" w:cs="Arial" w:eastAsia="Arial" w:hAnsi="Arial"/>
          <w:sz w:val="19"/>
          <w:szCs w:val="19"/>
          <w:color w:val="auto"/>
        </w:rPr>
      </w:pPr>
    </w:p>
    <w:p>
      <w:pPr>
        <w:jc w:val="both"/>
        <w:ind w:left="140" w:firstLine="640"/>
        <w:spacing w:after="0" w:line="263" w:lineRule="auto"/>
        <w:tabs>
          <w:tab w:leader="none" w:pos="1207" w:val="left"/>
        </w:tabs>
        <w:numPr>
          <w:ilvl w:val="1"/>
          <w:numId w:val="5"/>
        </w:numPr>
        <w:rPr>
          <w:rFonts w:ascii="Arial" w:cs="Arial" w:eastAsia="Arial" w:hAnsi="Arial"/>
          <w:sz w:val="19"/>
          <w:szCs w:val="19"/>
          <w:color w:val="auto"/>
        </w:rPr>
      </w:pPr>
      <w:r>
        <w:rPr>
          <w:rFonts w:ascii="Arial" w:cs="Arial" w:eastAsia="Arial" w:hAnsi="Arial"/>
          <w:sz w:val="19"/>
          <w:szCs w:val="19"/>
          <w:color w:val="auto"/>
        </w:rPr>
        <w:t>any “Person” or “Group” (as such terms are defined in Section 13(d) of the Securities Exchange Act of 1934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and regulations promulgated thereunder) is or becomes the “Beneficial Owner” (within the meaning of Rule 13d-3 promulgated under the Exchange Act), directly or indirectly, of securities of Wynn Resorts, Limited (“</w:t>
      </w:r>
      <w:r>
        <w:rPr>
          <w:rFonts w:ascii="Arial" w:cs="Arial" w:eastAsia="Arial" w:hAnsi="Arial"/>
          <w:sz w:val="19"/>
          <w:szCs w:val="19"/>
          <w:b w:val="1"/>
          <w:bCs w:val="1"/>
          <w:color w:val="auto"/>
        </w:rPr>
        <w:t>WRL</w:t>
      </w:r>
      <w:r>
        <w:rPr>
          <w:rFonts w:ascii="Arial" w:cs="Arial" w:eastAsia="Arial" w:hAnsi="Arial"/>
          <w:sz w:val="19"/>
          <w:szCs w:val="19"/>
          <w:color w:val="auto"/>
        </w:rPr>
        <w:t>”), or of any entity resulting from a merger or consolidation involving WRL, representing more than fifty percent (50%) of the combined voting power of the then outstanding securities of WRL or such entity;</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140" w:firstLine="640"/>
        <w:spacing w:after="0" w:line="258" w:lineRule="auto"/>
        <w:tabs>
          <w:tab w:leader="none" w:pos="125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individuals who, as of the Effective Date, are members of WRL’s Board of Directors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Directors</w:t>
      </w:r>
      <w:r>
        <w:rPr>
          <w:rFonts w:ascii="Arial" w:cs="Arial" w:eastAsia="Arial" w:hAnsi="Arial"/>
          <w:sz w:val="19"/>
          <w:szCs w:val="19"/>
          <w:color w:val="auto"/>
        </w:rPr>
        <w:t>”) cease, for any reason, to constitute more than fifty percent (50%) of the number of authorized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9"/>
          <w:szCs w:val="19"/>
          <w:b w:val="1"/>
          <w:bCs w:val="1"/>
          <w:color w:val="auto"/>
        </w:rPr>
        <w:t>Proxy Contest</w:t>
      </w:r>
      <w:r>
        <w:rPr>
          <w:rFonts w:ascii="Arial" w:cs="Arial" w:eastAsia="Arial" w:hAnsi="Arial"/>
          <w:sz w:val="19"/>
          <w:szCs w:val="19"/>
          <w:color w:val="auto"/>
        </w:rPr>
        <w:t>"), including by reason of any agreement intended to avoid or settle any Election Contest or Proxy Contest; or</w:t>
      </w:r>
    </w:p>
    <w:p>
      <w:pPr>
        <w:spacing w:after="0" w:line="206" w:lineRule="exact"/>
        <w:rPr>
          <w:rFonts w:ascii="Arial" w:cs="Arial" w:eastAsia="Arial" w:hAnsi="Arial"/>
          <w:sz w:val="19"/>
          <w:szCs w:val="19"/>
          <w:color w:val="auto"/>
        </w:rPr>
      </w:pPr>
    </w:p>
    <w:p>
      <w:pPr>
        <w:ind w:left="140" w:firstLine="640"/>
        <w:spacing w:after="0" w:line="285" w:lineRule="auto"/>
        <w:tabs>
          <w:tab w:leader="none" w:pos="1277"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20"/>
          </w:cols>
          <w:pgMar w:left="1440" w:top="1408" w:right="339" w:bottom="1440" w:gutter="0" w:footer="0" w:header="0"/>
        </w:sectPr>
      </w:pPr>
    </w:p>
    <w:bookmarkStart w:id="8" w:name="page9"/>
    <w:bookmarkEnd w:id="8"/>
    <w:p>
      <w:pPr>
        <w:jc w:val="both"/>
        <w:ind w:left="140"/>
        <w:spacing w:after="0" w:line="257" w:lineRule="auto"/>
        <w:rPr>
          <w:sz w:val="20"/>
          <w:szCs w:val="20"/>
          <w:color w:val="auto"/>
        </w:rPr>
      </w:pPr>
      <w:r>
        <w:rPr>
          <w:rFonts w:ascii="Arial" w:cs="Arial" w:eastAsia="Arial" w:hAnsi="Arial"/>
          <w:sz w:val="19"/>
          <w:szCs w:val="19"/>
          <w:color w:val="auto"/>
        </w:rPr>
        <w:t>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w:t>
      </w:r>
      <w:r>
        <w:rPr>
          <w:rFonts w:ascii="Arial" w:cs="Arial" w:eastAsia="Arial" w:hAnsi="Arial"/>
          <w:sz w:val="19"/>
          <w:szCs w:val="19"/>
          <w:b w:val="1"/>
          <w:bCs w:val="1"/>
          <w:color w:val="auto"/>
        </w:rPr>
        <w:t>Transaction</w:t>
      </w:r>
      <w:r>
        <w:rPr>
          <w:rFonts w:ascii="Arial" w:cs="Arial" w:eastAsia="Arial" w:hAnsi="Arial"/>
          <w:sz w:val="19"/>
          <w:szCs w:val="19"/>
          <w:color w:val="auto"/>
        </w:rPr>
        <w:t>") does not otherwise result in a "Change of Control" pursuant to subparagraph (i) of this definition of "Change of Control"; provided, however, that no such Transaction shall constitute a "Change of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96" w:lineRule="exact"/>
        <w:rPr>
          <w:sz w:val="20"/>
          <w:szCs w:val="20"/>
          <w:color w:val="auto"/>
        </w:rPr>
      </w:pPr>
    </w:p>
    <w:p>
      <w:pPr>
        <w:jc w:val="both"/>
        <w:ind w:left="-480" w:firstLine="628"/>
        <w:spacing w:after="0" w:line="281" w:lineRule="auto"/>
        <w:tabs>
          <w:tab w:leader="none" w:pos="782"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Complete Disability</w:t>
      </w:r>
      <w:r>
        <w:rPr>
          <w:rFonts w:ascii="Arial" w:cs="Arial" w:eastAsia="Arial" w:hAnsi="Arial"/>
          <w:sz w:val="19"/>
          <w:szCs w:val="19"/>
          <w:color w:val="auto"/>
        </w:rPr>
        <w:t>” means the total inability of Employee, due to illness or accident or other mental or physical incapacity, to perform Employee’s obligations under this Agreement (with or without a reasonable accommodation) for a period as determined under Employer’s applicable disability plan or plans.</w:t>
      </w:r>
    </w:p>
    <w:p>
      <w:pPr>
        <w:spacing w:after="0" w:line="166" w:lineRule="exact"/>
        <w:rPr>
          <w:rFonts w:ascii="Arial" w:cs="Arial" w:eastAsia="Arial" w:hAnsi="Arial"/>
          <w:sz w:val="19"/>
          <w:szCs w:val="19"/>
          <w:color w:val="auto"/>
        </w:rPr>
      </w:pPr>
    </w:p>
    <w:p>
      <w:pPr>
        <w:jc w:val="both"/>
        <w:ind w:left="-480" w:firstLine="628"/>
        <w:spacing w:after="0" w:line="257" w:lineRule="auto"/>
        <w:tabs>
          <w:tab w:leader="none" w:pos="781"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means any information that is possessed or developed by or for Employer or any of its Affiliates and that relates to Employer’s or any such Affiliate’s existing or potential business or technology, which is not generally known to the public, or which Employer or any of its Affiliates seeks to protect from disclosure to its existing or potential competitors or others, and includes know how, business and technical plans, strategies, existing and proposed bids, costs, technical developments, purchasing history, existing and proposed research projects, designs, concepts,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any of its Affiliates, any trademarks, service marks, trade names, patents, logos, slogans, domain names, uniform resource locators and other source identifiers, and any other proprietary material of Employer or any of its Affiliates. Confidential Information also includes information received by Employer or any of its Affiliates from others that Employer or any of its Affiliates has an obligation to treat as confidential.</w:t>
      </w:r>
    </w:p>
    <w:p>
      <w:pPr>
        <w:spacing w:after="0" w:line="208" w:lineRule="exact"/>
        <w:rPr>
          <w:rFonts w:ascii="Arial" w:cs="Arial" w:eastAsia="Arial" w:hAnsi="Arial"/>
          <w:sz w:val="19"/>
          <w:szCs w:val="19"/>
          <w:color w:val="auto"/>
        </w:rPr>
      </w:pPr>
    </w:p>
    <w:p>
      <w:pPr>
        <w:ind w:left="780" w:hanging="632"/>
        <w:spacing w:after="0"/>
        <w:tabs>
          <w:tab w:leader="none" w:pos="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means April 1, 2026.</w:t>
      </w:r>
    </w:p>
    <w:p>
      <w:pPr>
        <w:spacing w:after="0" w:line="242" w:lineRule="exact"/>
        <w:rPr>
          <w:rFonts w:ascii="Arial" w:cs="Arial" w:eastAsia="Arial" w:hAnsi="Arial"/>
          <w:sz w:val="19"/>
          <w:szCs w:val="19"/>
          <w:color w:val="auto"/>
        </w:rPr>
      </w:pPr>
    </w:p>
    <w:p>
      <w:pPr>
        <w:ind w:left="-480" w:firstLine="628"/>
        <w:spacing w:after="0" w:line="302" w:lineRule="auto"/>
        <w:tabs>
          <w:tab w:leader="none" w:pos="782"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Foreign Government Official</w:t>
      </w:r>
      <w:r>
        <w:rPr>
          <w:rFonts w:ascii="Arial" w:cs="Arial" w:eastAsia="Arial" w:hAnsi="Arial"/>
          <w:sz w:val="19"/>
          <w:szCs w:val="19"/>
          <w:color w:val="auto"/>
        </w:rPr>
        <w:t>” means any officers, office holders, or employees, whether full or part time, regardless of rank, of any foreign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20"/>
          </w:cols>
          <w:pgMar w:left="1440" w:top="1381"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9"/>
          <w:szCs w:val="19"/>
          <w:color w:val="auto"/>
        </w:rPr>
        <w:t>Agency, or any companies wholly- or partially-owned or controlled by a foreign government, or any international organizations, such as the United Nations or World Bank, including any political parties, party officials, candidates for public office, and family members of any of the foregoing.</w:t>
      </w:r>
    </w:p>
    <w:p>
      <w:pPr>
        <w:spacing w:after="0" w:line="189" w:lineRule="exact"/>
        <w:rPr>
          <w:sz w:val="20"/>
          <w:szCs w:val="20"/>
          <w:color w:val="auto"/>
        </w:rPr>
      </w:pPr>
    </w:p>
    <w:p>
      <w:pPr>
        <w:jc w:val="both"/>
        <w:ind w:firstLine="628"/>
        <w:spacing w:after="0" w:line="273" w:lineRule="auto"/>
        <w:tabs>
          <w:tab w:leader="none" w:pos="1250"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on or after the occurrence of a Change of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0" w:lineRule="exact"/>
        <w:rPr>
          <w:rFonts w:ascii="Arial" w:cs="Arial" w:eastAsia="Arial" w:hAnsi="Arial"/>
          <w:sz w:val="19"/>
          <w:szCs w:val="19"/>
          <w:color w:val="auto"/>
        </w:rPr>
      </w:pPr>
    </w:p>
    <w:p>
      <w:pPr>
        <w:ind w:left="1640" w:hanging="380"/>
        <w:spacing w:after="0"/>
        <w:tabs>
          <w:tab w:leader="none" w:pos="1640" w:val="left"/>
        </w:tabs>
        <w:numPr>
          <w:ilvl w:val="1"/>
          <w:numId w:val="7"/>
        </w:numPr>
        <w:rPr>
          <w:rFonts w:ascii="Arial" w:cs="Arial" w:eastAsia="Arial" w:hAnsi="Arial"/>
          <w:sz w:val="19"/>
          <w:szCs w:val="19"/>
          <w:color w:val="auto"/>
        </w:rPr>
      </w:pPr>
      <w:r>
        <w:rPr>
          <w:rFonts w:ascii="Arial" w:cs="Arial" w:eastAsia="Arial" w:hAnsi="Arial"/>
          <w:sz w:val="19"/>
          <w:szCs w:val="19"/>
          <w:color w:val="auto"/>
        </w:rPr>
        <w:t>Employer or an Affiliate reduces Employee’s Base Salary (as defined in Subparagraph 7(a) below);</w:t>
      </w:r>
    </w:p>
    <w:p>
      <w:pPr>
        <w:spacing w:after="0" w:line="242" w:lineRule="exact"/>
        <w:rPr>
          <w:rFonts w:ascii="Arial" w:cs="Arial" w:eastAsia="Arial" w:hAnsi="Arial"/>
          <w:sz w:val="19"/>
          <w:szCs w:val="19"/>
          <w:color w:val="auto"/>
        </w:rPr>
      </w:pPr>
    </w:p>
    <w:p>
      <w:pPr>
        <w:jc w:val="both"/>
        <w:ind w:left="620" w:firstLine="640"/>
        <w:spacing w:after="0" w:line="268" w:lineRule="auto"/>
        <w:tabs>
          <w:tab w:leader="none" w:pos="1689" w:val="left"/>
        </w:tabs>
        <w:numPr>
          <w:ilvl w:val="1"/>
          <w:numId w:val="7"/>
        </w:numPr>
        <w:rPr>
          <w:rFonts w:ascii="Arial" w:cs="Arial" w:eastAsia="Arial" w:hAnsi="Arial"/>
          <w:sz w:val="19"/>
          <w:szCs w:val="19"/>
          <w:color w:val="auto"/>
        </w:rPr>
      </w:pPr>
      <w:r>
        <w:rPr>
          <w:rFonts w:ascii="Arial" w:cs="Arial" w:eastAsia="Arial" w:hAnsi="Arial"/>
          <w:sz w:val="19"/>
          <w:szCs w:val="19"/>
          <w:color w:val="auto"/>
        </w:rPr>
        <w:t>Employer discontinues its bonus plan in which Employee participates as in effect immediately before the Change of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95" w:lineRule="exact"/>
        <w:rPr>
          <w:rFonts w:ascii="Arial" w:cs="Arial" w:eastAsia="Arial" w:hAnsi="Arial"/>
          <w:sz w:val="19"/>
          <w:szCs w:val="19"/>
          <w:color w:val="auto"/>
        </w:rPr>
      </w:pPr>
    </w:p>
    <w:p>
      <w:pPr>
        <w:ind w:left="620" w:firstLine="640"/>
        <w:spacing w:after="0" w:line="285" w:lineRule="auto"/>
        <w:tabs>
          <w:tab w:leader="none" w:pos="1845" w:val="left"/>
        </w:tabs>
        <w:numPr>
          <w:ilvl w:val="1"/>
          <w:numId w:val="7"/>
        </w:numPr>
        <w:rPr>
          <w:rFonts w:ascii="Arial" w:cs="Arial" w:eastAsia="Arial" w:hAnsi="Arial"/>
          <w:sz w:val="19"/>
          <w:szCs w:val="19"/>
          <w:color w:val="auto"/>
        </w:rPr>
      </w:pPr>
      <w:r>
        <w:rPr>
          <w:rFonts w:ascii="Arial" w:cs="Arial" w:eastAsia="Arial" w:hAnsi="Arial"/>
          <w:sz w:val="19"/>
          <w:szCs w:val="19"/>
          <w:color w:val="auto"/>
        </w:rPr>
        <w:t>Employer materially reduces the aggregate benefits and perquisites to Employee from those being provided immediately before the Change of Control;</w:t>
      </w:r>
    </w:p>
    <w:p>
      <w:pPr>
        <w:spacing w:after="0" w:line="178" w:lineRule="exact"/>
        <w:rPr>
          <w:rFonts w:ascii="Arial" w:cs="Arial" w:eastAsia="Arial" w:hAnsi="Arial"/>
          <w:sz w:val="19"/>
          <w:szCs w:val="19"/>
          <w:color w:val="auto"/>
        </w:rPr>
      </w:pPr>
    </w:p>
    <w:p>
      <w:pPr>
        <w:jc w:val="both"/>
        <w:ind w:left="620" w:firstLine="640"/>
        <w:spacing w:after="0" w:line="272" w:lineRule="auto"/>
        <w:tabs>
          <w:tab w:leader="none" w:pos="1784" w:val="left"/>
        </w:tabs>
        <w:numPr>
          <w:ilvl w:val="1"/>
          <w:numId w:val="7"/>
        </w:numPr>
        <w:rPr>
          <w:rFonts w:ascii="Arial" w:cs="Arial" w:eastAsia="Arial" w:hAnsi="Arial"/>
          <w:sz w:val="19"/>
          <w:szCs w:val="19"/>
          <w:color w:val="auto"/>
        </w:rPr>
      </w:pPr>
      <w:r>
        <w:rPr>
          <w:rFonts w:ascii="Arial" w:cs="Arial" w:eastAsia="Arial" w:hAnsi="Arial"/>
          <w:sz w:val="19"/>
          <w:szCs w:val="19"/>
          <w:color w:val="auto"/>
        </w:rPr>
        <w:t>Employer or any of its Affiliates requires Employee to change the location of Employee’s job or office, so that Employee will be based at a location more than 25 miles from the location of Employee’s job or office immediately before the Change of Control;</w:t>
      </w:r>
    </w:p>
    <w:p>
      <w:pPr>
        <w:spacing w:after="0" w:line="191" w:lineRule="exact"/>
        <w:rPr>
          <w:rFonts w:ascii="Arial" w:cs="Arial" w:eastAsia="Arial" w:hAnsi="Arial"/>
          <w:sz w:val="19"/>
          <w:szCs w:val="19"/>
          <w:color w:val="auto"/>
        </w:rPr>
      </w:pPr>
    </w:p>
    <w:p>
      <w:pPr>
        <w:jc w:val="both"/>
        <w:ind w:left="620" w:firstLine="640"/>
        <w:spacing w:after="0" w:line="272" w:lineRule="auto"/>
        <w:tabs>
          <w:tab w:leader="none" w:pos="1741" w:val="left"/>
        </w:tabs>
        <w:numPr>
          <w:ilvl w:val="1"/>
          <w:numId w:val="7"/>
        </w:numPr>
        <w:rPr>
          <w:rFonts w:ascii="Arial" w:cs="Arial" w:eastAsia="Arial" w:hAnsi="Arial"/>
          <w:sz w:val="19"/>
          <w:szCs w:val="19"/>
          <w:color w:val="auto"/>
        </w:rPr>
      </w:pPr>
      <w:r>
        <w:rPr>
          <w:rFonts w:ascii="Arial" w:cs="Arial" w:eastAsia="Arial" w:hAnsi="Arial"/>
          <w:sz w:val="19"/>
          <w:szCs w:val="19"/>
          <w:color w:val="auto"/>
        </w:rPr>
        <w:t>Employer or any of its Affiliates reduces Employee’s responsibilities or directs Employee to report to a person of lower rank or responsibilities than the person to whom Employee reported immediately before the Change of Control; or</w:t>
      </w:r>
    </w:p>
    <w:p>
      <w:pPr>
        <w:spacing w:after="0" w:line="178" w:lineRule="exact"/>
        <w:rPr>
          <w:rFonts w:ascii="Arial" w:cs="Arial" w:eastAsia="Arial" w:hAnsi="Arial"/>
          <w:sz w:val="19"/>
          <w:szCs w:val="19"/>
          <w:color w:val="auto"/>
        </w:rPr>
      </w:pPr>
    </w:p>
    <w:p>
      <w:pPr>
        <w:ind w:left="620" w:firstLine="640"/>
        <w:spacing w:after="0" w:line="299" w:lineRule="auto"/>
        <w:tabs>
          <w:tab w:leader="none" w:pos="1789"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successor to Employer fails or refuses expressly to assume in writing the obligations of Employer under this Agreement.</w:t>
      </w:r>
    </w:p>
    <w:p>
      <w:pPr>
        <w:spacing w:after="0" w:line="153" w:lineRule="exact"/>
        <w:rPr>
          <w:sz w:val="20"/>
          <w:szCs w:val="20"/>
          <w:color w:val="auto"/>
        </w:rPr>
      </w:pPr>
    </w:p>
    <w:p>
      <w:pPr>
        <w:ind w:left="620"/>
        <w:spacing w:after="0" w:line="299" w:lineRule="auto"/>
        <w:rPr>
          <w:sz w:val="20"/>
          <w:szCs w:val="20"/>
          <w:color w:val="auto"/>
        </w:rPr>
      </w:pPr>
      <w:r>
        <w:rPr>
          <w:rFonts w:ascii="Arial" w:cs="Arial" w:eastAsia="Arial" w:hAnsi="Arial"/>
          <w:sz w:val="19"/>
          <w:szCs w:val="19"/>
          <w:color w:val="auto"/>
        </w:rPr>
        <w:t>For purposes of this Agreement, a determination by Employee that Employee has “Good Reason” shall be final and binding on Employer and Employee absent a showing of bad faith on Employee’s part.</w:t>
      </w:r>
    </w:p>
    <w:p>
      <w:pPr>
        <w:spacing w:after="0" w:line="164" w:lineRule="exact"/>
        <w:rPr>
          <w:sz w:val="20"/>
          <w:szCs w:val="20"/>
          <w:color w:val="auto"/>
        </w:rPr>
      </w:pPr>
    </w:p>
    <w:p>
      <w:pPr>
        <w:jc w:val="both"/>
        <w:ind w:firstLine="628"/>
        <w:spacing w:after="0" w:line="264" w:lineRule="auto"/>
        <w:tabs>
          <w:tab w:leader="none" w:pos="125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Governmental Agency</w:t>
      </w:r>
      <w:r>
        <w:rPr>
          <w:rFonts w:ascii="Arial" w:cs="Arial" w:eastAsia="Arial" w:hAnsi="Arial"/>
          <w:sz w:val="19"/>
          <w:szCs w:val="19"/>
          <w:color w:val="auto"/>
        </w:rPr>
        <w:t>” means any federal, state, local, provincial, or foreign agency, authority, commission, bureau, division, body, tribunal, department, instrumentality or court exercising executive, legislative, regulatory or administrative functions of or pertaining to any federal, state, local, provincial or foreign government, or any political subdivision thereof, or any other governmental or regulatory agency or authority, domestic 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600"/>
          </w:cols>
          <w:pgMar w:left="960" w:top="1381" w:right="339" w:bottom="1440" w:gutter="0" w:footer="0" w:header="0"/>
        </w:sectPr>
      </w:pPr>
    </w:p>
    <w:bookmarkStart w:id="10" w:name="page11"/>
    <w:bookmarkEnd w:id="10"/>
    <w:p>
      <w:pPr>
        <w:ind w:left="760" w:hanging="612"/>
        <w:spacing w:after="0"/>
        <w:tabs>
          <w:tab w:leader="none" w:pos="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Original Hire Date</w:t>
      </w:r>
      <w:r>
        <w:rPr>
          <w:rFonts w:ascii="Arial" w:cs="Arial" w:eastAsia="Arial" w:hAnsi="Arial"/>
          <w:sz w:val="19"/>
          <w:szCs w:val="19"/>
          <w:color w:val="auto"/>
        </w:rPr>
        <w:t>” means January 13, 2020.</w:t>
      </w:r>
    </w:p>
    <w:p>
      <w:pPr>
        <w:spacing w:after="0" w:line="255" w:lineRule="exact"/>
        <w:rPr>
          <w:rFonts w:ascii="Arial" w:cs="Arial" w:eastAsia="Arial" w:hAnsi="Arial"/>
          <w:sz w:val="19"/>
          <w:szCs w:val="19"/>
          <w:color w:val="auto"/>
        </w:rPr>
      </w:pPr>
    </w:p>
    <w:p>
      <w:pPr>
        <w:jc w:val="both"/>
        <w:ind w:left="-480" w:firstLine="628"/>
        <w:spacing w:after="0" w:line="264" w:lineRule="auto"/>
        <w:tabs>
          <w:tab w:leader="none" w:pos="770"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Restricted Period</w:t>
      </w:r>
      <w:r>
        <w:rPr>
          <w:rFonts w:ascii="Arial" w:cs="Arial" w:eastAsia="Arial" w:hAnsi="Arial"/>
          <w:sz w:val="19"/>
          <w:szCs w:val="19"/>
          <w:color w:val="auto"/>
        </w:rPr>
        <w:t>” means the period Employer employs or compensates Employee, and (x) in the event that Employee is entitled to the Separation Payment, the greater of 12 months following the termination of Employee’s employment or the number of months remaining in the Term but for such termination of employment, or (y) in the event that Employee is not entitled to the Separation Payment, one year following the termination of Employee’s employment.</w:t>
      </w:r>
    </w:p>
    <w:p>
      <w:pPr>
        <w:spacing w:after="0" w:line="196" w:lineRule="exact"/>
        <w:rPr>
          <w:rFonts w:ascii="Arial" w:cs="Arial" w:eastAsia="Arial" w:hAnsi="Arial"/>
          <w:sz w:val="19"/>
          <w:szCs w:val="19"/>
          <w:color w:val="auto"/>
        </w:rPr>
      </w:pPr>
    </w:p>
    <w:p>
      <w:pPr>
        <w:jc w:val="both"/>
        <w:ind w:left="-480" w:firstLine="628"/>
        <w:spacing w:after="0" w:line="262" w:lineRule="auto"/>
        <w:tabs>
          <w:tab w:leader="none" w:pos="783"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Separation Payment</w:t>
      </w:r>
      <w:r>
        <w:rPr>
          <w:rFonts w:ascii="Arial" w:cs="Arial" w:eastAsia="Arial" w:hAnsi="Arial"/>
          <w:sz w:val="19"/>
          <w:szCs w:val="19"/>
          <w:color w:val="auto"/>
        </w:rPr>
        <w:t>” means a lump sum equal to (A) Employee’s Base Salary for the remainder of the Term, but not less than twelve (12) months (as defined in Subparagraph 7(a) of this Agreement), plus (B) an amount equal to the greater of (x) the bonus that was paid to Employee under Subparagraph 7(b) for the immediately preceding bonus period, projected over the remainder of the Term (which for avoidance of doubt may be less than 12 months), or (y) the bonus that was paid to Employee under Subparagraph 7(b) for the bonus period preceding the bonus period referred to in (x), projected over the remainder of the Term (which for avoidance of doubt may be less than 12 months), plus (C) any accrued but unpaid vacation pay.</w:t>
      </w:r>
    </w:p>
    <w:p>
      <w:pPr>
        <w:spacing w:after="0" w:line="185" w:lineRule="exact"/>
        <w:rPr>
          <w:rFonts w:ascii="Arial" w:cs="Arial" w:eastAsia="Arial" w:hAnsi="Arial"/>
          <w:sz w:val="19"/>
          <w:szCs w:val="19"/>
          <w:color w:val="auto"/>
        </w:rPr>
      </w:pPr>
    </w:p>
    <w:p>
      <w:pPr>
        <w:jc w:val="both"/>
        <w:ind w:left="-480" w:firstLine="628"/>
        <w:spacing w:after="0" w:line="259" w:lineRule="auto"/>
        <w:tabs>
          <w:tab w:leader="none" w:pos="782"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Trade Secrets</w:t>
      </w:r>
      <w:r>
        <w:rPr>
          <w:rFonts w:ascii="Arial" w:cs="Arial" w:eastAsia="Arial" w:hAnsi="Arial"/>
          <w:sz w:val="19"/>
          <w:szCs w:val="19"/>
          <w:color w:val="auto"/>
        </w:rPr>
        <w:t>” as used in this Agreement, shall be given its broadest possible interpretation under applicable federal and state law and means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(i) Employer has taken reasonable measures to keep secret, and that (ii) derives independent economic value, actual or potential, from not being generally known to, and not being readily ascertainable through proper means by, another person who can obtain economic value from the disclosure or use of the information.</w:t>
      </w:r>
    </w:p>
    <w:p>
      <w:pPr>
        <w:spacing w:after="0" w:line="205" w:lineRule="exact"/>
        <w:rPr>
          <w:rFonts w:ascii="Arial" w:cs="Arial" w:eastAsia="Arial" w:hAnsi="Arial"/>
          <w:sz w:val="19"/>
          <w:szCs w:val="19"/>
          <w:color w:val="auto"/>
        </w:rPr>
      </w:pPr>
    </w:p>
    <w:p>
      <w:pPr>
        <w:jc w:val="both"/>
        <w:ind w:left="-480" w:firstLine="628"/>
        <w:spacing w:after="0" w:line="259" w:lineRule="auto"/>
        <w:tabs>
          <w:tab w:leader="none" w:pos="782"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Work of Authorship</w:t>
      </w:r>
      <w:r>
        <w:rPr>
          <w:rFonts w:ascii="Arial" w:cs="Arial" w:eastAsia="Arial" w:hAnsi="Arial"/>
          <w:sz w:val="19"/>
          <w:szCs w:val="19"/>
          <w:color w:val="auto"/>
        </w:rPr>
        <w:t>” means any computer program, code or system as well as any literary, pictorial, sculptural, graphic or audio visual work, whether published or unpublished, and whether copyrightable or not, or other intellectual and industrial property rights of every kind and nature, in whatever form and jointly with others that relates to (i) any of Employer’s or any of its Affiliates’ existing or potential products, practices, processes, formulas, formulations, models, manufacturing techniques, engineering, research, equipment, applications or other business or technical activities or investigations; or (ii) any ideas, work, algorithms, data, technology, specifications, designs, drawings, images, samples, information, know-how, compositions, or investigations conceived or carried on by Employer or any of its Affiliates or by Employee in connection with or because of performing services for Employer or any of its Affiliates.</w:t>
      </w:r>
    </w:p>
    <w:p>
      <w:pPr>
        <w:spacing w:after="0" w:line="205" w:lineRule="exact"/>
        <w:rPr>
          <w:rFonts w:ascii="Arial" w:cs="Arial" w:eastAsia="Arial" w:hAnsi="Arial"/>
          <w:sz w:val="19"/>
          <w:szCs w:val="19"/>
          <w:color w:val="auto"/>
        </w:rPr>
      </w:pPr>
    </w:p>
    <w:p>
      <w:pPr>
        <w:jc w:val="both"/>
        <w:ind w:left="-480" w:firstLine="628"/>
        <w:spacing w:after="0" w:line="263" w:lineRule="auto"/>
        <w:tabs>
          <w:tab w:leader="none" w:pos="782"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means any and all of the following made, conceived or developed by Employee, including any and all intellectual property rights, derivatives or embodiments associated therewith: (i) Works of Authorship; (ii) inventions, whether or not patentable, improvements, and technology; (iii) proprietary and confidential information, including, but not limited to, know how, compositions, development tools, techniques, procedures, methodologies, technical data, customer or vendor lists,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20"/>
          </w:cols>
          <w:pgMar w:left="1440" w:top="1379" w:right="339" w:bottom="1440" w:gutter="0" w:footer="0" w:header="0"/>
        </w:sectPr>
      </w:pPr>
    </w:p>
    <w:bookmarkStart w:id="11" w:name="page12"/>
    <w:bookmarkEnd w:id="11"/>
    <w:p>
      <w:pPr>
        <w:jc w:val="both"/>
        <w:ind w:left="640"/>
        <w:spacing w:after="0" w:line="262" w:lineRule="auto"/>
        <w:rPr>
          <w:sz w:val="20"/>
          <w:szCs w:val="20"/>
          <w:color w:val="auto"/>
        </w:rPr>
      </w:pPr>
      <w:r>
        <w:rPr>
          <w:rFonts w:ascii="Arial" w:cs="Arial" w:eastAsia="Arial" w:hAnsi="Arial"/>
          <w:sz w:val="19"/>
          <w:szCs w:val="19"/>
          <w:color w:val="auto"/>
        </w:rPr>
        <w:t>or cost information, business or marketing plans or proposals, databases and data compilations and collections; (iv) websites, Internet addresses, urls and domain names and social media accounts; and (v) materials or concepts conceived, developed, originated, fixed or reduced to practice, in any medium, created or designed by Employee, including, without limitation, drawings, sketches, notes, photographs, brand concepts, discoveries, ideas, improvements, disclosures, documentation and related work in progress and supplies.</w:t>
      </w:r>
    </w:p>
    <w:p>
      <w:pPr>
        <w:spacing w:after="0" w:line="202" w:lineRule="exact"/>
        <w:rPr>
          <w:sz w:val="20"/>
          <w:szCs w:val="20"/>
          <w:color w:val="auto"/>
        </w:rPr>
      </w:pPr>
    </w:p>
    <w:p>
      <w:pPr>
        <w:jc w:val="both"/>
        <w:ind w:firstLine="637"/>
        <w:spacing w:after="0" w:line="262" w:lineRule="auto"/>
        <w:tabs>
          <w:tab w:leader="none" w:pos="1253"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BASIC EMPLOYMENT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the terms and pursuant to the conditions hereinafter set forth,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Employer hereby employs Employee during the Term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As of the Effective Date, this Agreement supersedes and replaces any and all prior employment agreements (including the Prior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02" w:lineRule="exact"/>
        <w:rPr>
          <w:sz w:val="20"/>
          <w:szCs w:val="20"/>
          <w:color w:val="auto"/>
        </w:rPr>
      </w:pPr>
    </w:p>
    <w:p>
      <w:pPr>
        <w:jc w:val="both"/>
        <w:ind w:firstLine="637"/>
        <w:spacing w:after="0" w:line="256" w:lineRule="auto"/>
        <w:tabs>
          <w:tab w:leader="none" w:pos="1253"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DUTIES OF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shall perform such duties assigned to Employee by Employer as are generally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associated with the duties of </w:t>
      </w:r>
      <w:r>
        <w:rPr>
          <w:rFonts w:ascii="Arial" w:cs="Arial" w:eastAsia="Arial" w:hAnsi="Arial"/>
          <w:sz w:val="19"/>
          <w:szCs w:val="19"/>
          <w:b w:val="1"/>
          <w:bCs w:val="1"/>
          <w:color w:val="auto"/>
        </w:rPr>
        <w:t>Chief Financial Officer</w:t>
      </w:r>
      <w:r>
        <w:rPr>
          <w:rFonts w:ascii="Arial" w:cs="Arial" w:eastAsia="Arial" w:hAnsi="Arial"/>
          <w:sz w:val="19"/>
          <w:szCs w:val="19"/>
          <w:color w:val="auto"/>
        </w:rPr>
        <w:t xml:space="preserve"> for Employer or such similar duties as may be assigned to Employee by Employer as Employer may determine. Employee’s duties shall include: (i) the efficient and continuous operation of Employer and any of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the Employer and any of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provided such duties are not inconsistent with Employee’s primary duties to Employer hereunder. The foregoing notwithstanding, Employee shall devote such time to Employer or its Affiliates as may be required by Employer.</w:t>
      </w:r>
    </w:p>
    <w:p>
      <w:pPr>
        <w:spacing w:after="0" w:line="212" w:lineRule="exact"/>
        <w:rPr>
          <w:rFonts w:ascii="Arial" w:cs="Arial" w:eastAsia="Arial" w:hAnsi="Arial"/>
          <w:sz w:val="19"/>
          <w:szCs w:val="19"/>
          <w:b w:val="1"/>
          <w:bCs w:val="1"/>
          <w:color w:val="auto"/>
        </w:rPr>
      </w:pPr>
    </w:p>
    <w:p>
      <w:pPr>
        <w:jc w:val="both"/>
        <w:ind w:firstLine="637"/>
        <w:spacing w:after="0" w:line="262" w:lineRule="auto"/>
        <w:tabs>
          <w:tab w:leader="none" w:pos="1253"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ACCEPTANCE OF 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hereby unconditionally accepts the employment set forth hereunder,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81" w:right="3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9"/>
          <w:szCs w:val="19"/>
          <w:color w:val="auto"/>
        </w:rPr>
        <w:t>Employee represents and warrants to Employer that the execution and delivery of this Agreement and the performance of Employee’s duties hereunder do not violate the terms or conditions of any employment agreement or arrangement or any other agreement to which Employee is a party.</w:t>
      </w:r>
    </w:p>
    <w:p>
      <w:pPr>
        <w:spacing w:after="0" w:line="189" w:lineRule="exact"/>
        <w:rPr>
          <w:sz w:val="20"/>
          <w:szCs w:val="20"/>
          <w:color w:val="auto"/>
        </w:rPr>
      </w:pPr>
    </w:p>
    <w:p>
      <w:pPr>
        <w:jc w:val="both"/>
        <w:ind w:firstLine="637"/>
        <w:spacing w:after="0" w:line="256" w:lineRule="auto"/>
        <w:tabs>
          <w:tab w:leader="none" w:pos="1253"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TERM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Unless sooner terminated as provided in this Agreement, the term of this Agreement (the “</w:t>
      </w:r>
      <w:r>
        <w:rPr>
          <w:rFonts w:ascii="Arial" w:cs="Arial" w:eastAsia="Arial" w:hAnsi="Arial"/>
          <w:sz w:val="19"/>
          <w:szCs w:val="19"/>
          <w:b w:val="1"/>
          <w:bCs w:val="1"/>
          <w:color w:val="auto"/>
        </w:rPr>
        <w:t>Term</w:t>
      </w:r>
      <w:r>
        <w:rPr>
          <w:rFonts w:ascii="Arial" w:cs="Arial" w:eastAsia="Arial" w:hAnsi="Arial"/>
          <w:sz w:val="19"/>
          <w:szCs w:val="19"/>
          <w:color w:val="auto"/>
        </w:rPr>
        <w:t>”)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cause or notice, and</w:t>
      </w:r>
    </w:p>
    <w:p>
      <w:pPr>
        <w:spacing w:after="0" w:line="3" w:lineRule="exact"/>
        <w:rPr>
          <w:rFonts w:ascii="Arial" w:cs="Arial" w:eastAsia="Arial" w:hAnsi="Arial"/>
          <w:sz w:val="19"/>
          <w:szCs w:val="19"/>
          <w:b w:val="1"/>
          <w:bCs w:val="1"/>
          <w:color w:val="auto"/>
        </w:rPr>
      </w:pPr>
    </w:p>
    <w:p>
      <w:pPr>
        <w:ind w:left="280" w:hanging="275"/>
        <w:spacing w:after="0"/>
        <w:tabs>
          <w:tab w:leader="none" w:pos="2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employment relationship may be terminated at any time by either party, with or without cause or notice.</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60" w:hanging="623"/>
        <w:spacing w:after="0"/>
        <w:tabs>
          <w:tab w:leader="none" w:pos="126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SPECIAL TERMINATION PROVISIONS</w:t>
      </w:r>
      <w:r>
        <w:rPr>
          <w:rFonts w:ascii="Arial" w:cs="Arial" w:eastAsia="Arial" w:hAnsi="Arial"/>
          <w:sz w:val="19"/>
          <w:szCs w:val="19"/>
          <w:b w:val="1"/>
          <w:bCs w:val="1"/>
          <w:i w:val="1"/>
          <w:iCs w:val="1"/>
          <w:color w:val="auto"/>
        </w:rPr>
        <w:t>.</w:t>
      </w:r>
    </w:p>
    <w:p>
      <w:pPr>
        <w:spacing w:after="0" w:line="242" w:lineRule="exact"/>
        <w:rPr>
          <w:rFonts w:ascii="Arial" w:cs="Arial" w:eastAsia="Arial" w:hAnsi="Arial"/>
          <w:sz w:val="19"/>
          <w:szCs w:val="19"/>
          <w:b w:val="1"/>
          <w:bCs w:val="1"/>
          <w:color w:val="auto"/>
        </w:rPr>
      </w:pPr>
    </w:p>
    <w:p>
      <w:pPr>
        <w:ind w:left="640" w:firstLine="628"/>
        <w:spacing w:after="0" w:line="299" w:lineRule="auto"/>
        <w:tabs>
          <w:tab w:leader="none" w:pos="1902" w:val="left"/>
        </w:tabs>
        <w:numPr>
          <w:ilvl w:val="1"/>
          <w:numId w:val="14"/>
        </w:numPr>
        <w:rPr>
          <w:rFonts w:ascii="Arial" w:cs="Arial" w:eastAsia="Arial" w:hAnsi="Arial"/>
          <w:sz w:val="19"/>
          <w:szCs w:val="19"/>
          <w:color w:val="auto"/>
        </w:rPr>
      </w:pPr>
      <w:r>
        <w:rPr>
          <w:rFonts w:ascii="Arial" w:cs="Arial" w:eastAsia="Arial" w:hAnsi="Arial"/>
          <w:sz w:val="19"/>
          <w:szCs w:val="19"/>
          <w:color w:val="auto"/>
        </w:rPr>
        <w:t>Notwithstanding the provisions of Section 5, this Agreement shall terminate upon the occurrence of any of the following events:</w:t>
      </w:r>
    </w:p>
    <w:p>
      <w:pPr>
        <w:spacing w:after="0" w:line="166" w:lineRule="exact"/>
        <w:rPr>
          <w:rFonts w:ascii="Arial" w:cs="Arial" w:eastAsia="Arial" w:hAnsi="Arial"/>
          <w:sz w:val="19"/>
          <w:szCs w:val="19"/>
          <w:color w:val="auto"/>
        </w:rPr>
      </w:pPr>
    </w:p>
    <w:p>
      <w:pPr>
        <w:ind w:left="2520" w:hanging="462"/>
        <w:spacing w:after="0"/>
        <w:tabs>
          <w:tab w:leader="none" w:pos="2520"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death of Employee;</w:t>
      </w:r>
    </w:p>
    <w:p>
      <w:pPr>
        <w:spacing w:after="0" w:line="242" w:lineRule="exact"/>
        <w:rPr>
          <w:rFonts w:ascii="Arial" w:cs="Arial" w:eastAsia="Arial" w:hAnsi="Arial"/>
          <w:sz w:val="19"/>
          <w:szCs w:val="19"/>
          <w:color w:val="auto"/>
        </w:rPr>
      </w:pPr>
    </w:p>
    <w:p>
      <w:pPr>
        <w:ind w:left="1260" w:firstLine="798"/>
        <w:spacing w:after="0" w:line="299" w:lineRule="auto"/>
        <w:tabs>
          <w:tab w:leader="none" w:pos="2514"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giving of written notice from Employer to Employee of the termination of this Agreement upon the Complete Disability of Employee;</w:t>
      </w:r>
    </w:p>
    <w:p>
      <w:pPr>
        <w:spacing w:after="0" w:line="153" w:lineRule="exact"/>
        <w:rPr>
          <w:rFonts w:ascii="Arial" w:cs="Arial" w:eastAsia="Arial" w:hAnsi="Arial"/>
          <w:sz w:val="19"/>
          <w:szCs w:val="19"/>
          <w:color w:val="auto"/>
        </w:rPr>
      </w:pPr>
    </w:p>
    <w:p>
      <w:pPr>
        <w:jc w:val="both"/>
        <w:ind w:left="1260" w:firstLine="798"/>
        <w:spacing w:after="0" w:line="259" w:lineRule="auto"/>
        <w:tabs>
          <w:tab w:leader="none" w:pos="2517"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giving of written notice by Employer to Employee of the termination of this Agreement upon the discharge of Employee for Cause (Employer’s right to terminate for Cause shall survive the expiration of this Agreement)). It is expressly acknowledged and agreed that the decision as to whether Cause exists for termination of the employment relationship by Employer is delegated to Employer’s Chief Executive Officer. If Employee disagrees with the decision reached by Employer’s Chief Executive Officer, any dispute as to the Cause determination will be limited to whether Employer’s Chief Executive Officer reached his/her decision in good faith, based upon facts reasonably believed by Employer’s Chief Executive Officer to be true, and not for any arbitrary, capricious or illegal reason. This shall be the standard applied by any fact finder, and Employee shall bear the burden to prove that Cause, under this standard, did not exist;</w:t>
      </w:r>
    </w:p>
    <w:p>
      <w:pPr>
        <w:spacing w:after="0" w:line="207" w:lineRule="exact"/>
        <w:rPr>
          <w:rFonts w:ascii="Arial" w:cs="Arial" w:eastAsia="Arial" w:hAnsi="Arial"/>
          <w:sz w:val="19"/>
          <w:szCs w:val="19"/>
          <w:color w:val="auto"/>
        </w:rPr>
      </w:pPr>
    </w:p>
    <w:p>
      <w:pPr>
        <w:ind w:left="1260" w:firstLine="798"/>
        <w:spacing w:after="0" w:line="285" w:lineRule="auto"/>
        <w:tabs>
          <w:tab w:leader="none" w:pos="2515"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giving of written notice by Employer to Employee of the termination of this Agreement following a disapproval of this Agreement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81" w:right="339" w:bottom="1440" w:gutter="0" w:footer="0" w:header="0"/>
        </w:sectPr>
      </w:pPr>
    </w:p>
    <w:bookmarkStart w:id="13" w:name="page14"/>
    <w:bookmarkEnd w:id="13"/>
    <w:p>
      <w:pPr>
        <w:ind w:left="140"/>
        <w:spacing w:after="0"/>
        <w:rPr>
          <w:sz w:val="20"/>
          <w:szCs w:val="20"/>
          <w:color w:val="auto"/>
        </w:rPr>
      </w:pPr>
      <w:r>
        <w:rPr>
          <w:rFonts w:ascii="Arial" w:cs="Arial" w:eastAsia="Arial" w:hAnsi="Arial"/>
          <w:sz w:val="19"/>
          <w:szCs w:val="19"/>
          <w:color w:val="auto"/>
        </w:rPr>
        <w:t>denial, suspension, limitation or revocation of Employee’s License (as defined in Section 8(b) of this Agreement);</w:t>
      </w:r>
    </w:p>
    <w:p>
      <w:pPr>
        <w:spacing w:after="0" w:line="255" w:lineRule="exact"/>
        <w:rPr>
          <w:sz w:val="20"/>
          <w:szCs w:val="20"/>
          <w:color w:val="auto"/>
        </w:rPr>
      </w:pPr>
    </w:p>
    <w:p>
      <w:pPr>
        <w:jc w:val="both"/>
        <w:ind w:left="140" w:firstLine="798"/>
        <w:spacing w:after="0" w:line="257" w:lineRule="auto"/>
        <w:tabs>
          <w:tab w:leader="none" w:pos="1391"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giving of written notice by Employee to Employer upon a material breach of this Agreement by Employer, which material breach remains uncured for a period of thirty (30) days after the giving of such notice, but only if Employee resigns within thirty (30) days immediately following the expiration of such 30-day period.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and if such position is the only position with Employer or with any of its Affiliates (irrespective of the title of the position), or a material reduction in Employee’s Base Salary; provided, however, that “material breach” shall not be construed to include any change, reduction or failure of Employer to which Employee consents, any change reporting structure alone with no material change to title, duties and responsibilities, any changes to Employee’s duties pursuant to Section 6(a)(vi), any changes to Employee’s duties and responsibilities as a result of a request by the Gaming Authorities under Section 8, or the temporary suspension of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191" w:lineRule="exact"/>
        <w:rPr>
          <w:rFonts w:ascii="Arial" w:cs="Arial" w:eastAsia="Arial" w:hAnsi="Arial"/>
          <w:sz w:val="19"/>
          <w:szCs w:val="19"/>
          <w:color w:val="auto"/>
        </w:rPr>
      </w:pPr>
    </w:p>
    <w:p>
      <w:pPr>
        <w:jc w:val="both"/>
        <w:ind w:left="140" w:firstLine="798"/>
        <w:spacing w:after="0" w:line="258" w:lineRule="auto"/>
        <w:tabs>
          <w:tab w:leader="none" w:pos="1395"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giving of written ninety (90) day notice by Employer to Employee of Employer’s intention to terminate this Agreement without Cause for any reason deemed sufficient by Employer to be effective at the end of such ninety (90) day period. During such ninety (90) day notice period, Employer shall be permitted to reduce Employee’s responsibilities and time commitment to Employer; provided however, Employer may not reduce Employee’s Base Salary or benefits during such ninety (90) day period. At the end of such ninety (90) day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ninety (90) day period. If Employee elects to resign in lieu of termination, Employee must exercise this option in writing within 72 hours of receipt of Employer’s notice of intention to terminate this Agreement without Cause. Employee’s written resignation in lieu of termination must be transmitted to Employer by email or hand delivery; or</w:t>
      </w:r>
    </w:p>
    <w:p>
      <w:pPr>
        <w:spacing w:after="0" w:line="206" w:lineRule="exact"/>
        <w:rPr>
          <w:rFonts w:ascii="Arial" w:cs="Arial" w:eastAsia="Arial" w:hAnsi="Arial"/>
          <w:sz w:val="19"/>
          <w:szCs w:val="19"/>
          <w:color w:val="auto"/>
        </w:rPr>
      </w:pPr>
    </w:p>
    <w:p>
      <w:pPr>
        <w:jc w:val="both"/>
        <w:ind w:left="140" w:firstLine="798"/>
        <w:spacing w:after="0" w:line="272" w:lineRule="auto"/>
        <w:tabs>
          <w:tab w:leader="none" w:pos="1398" w:val="left"/>
        </w:tabs>
        <w:numPr>
          <w:ilvl w:val="0"/>
          <w:numId w:val="15"/>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20"/>
          </w:cols>
          <w:pgMar w:left="1440" w:top="1381" w:right="339" w:bottom="1440" w:gutter="0" w:footer="0" w:header="0"/>
        </w:sectPr>
      </w:pPr>
    </w:p>
    <w:bookmarkStart w:id="14" w:name="page15"/>
    <w:bookmarkEnd w:id="14"/>
    <w:p>
      <w:pPr>
        <w:ind w:left="780" w:hanging="632"/>
        <w:spacing w:after="0"/>
        <w:tabs>
          <w:tab w:leader="none" w:pos="78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Consequences of Termination</w:t>
      </w:r>
      <w:r>
        <w:rPr>
          <w:rFonts w:ascii="Arial" w:cs="Arial" w:eastAsia="Arial" w:hAnsi="Arial"/>
          <w:sz w:val="19"/>
          <w:szCs w:val="19"/>
          <w:color w:val="auto"/>
        </w:rPr>
        <w:t>.</w:t>
      </w:r>
    </w:p>
    <w:p>
      <w:pPr>
        <w:spacing w:after="0" w:line="255" w:lineRule="exact"/>
        <w:rPr>
          <w:rFonts w:ascii="Arial" w:cs="Arial" w:eastAsia="Arial" w:hAnsi="Arial"/>
          <w:sz w:val="19"/>
          <w:szCs w:val="19"/>
          <w:color w:val="auto"/>
        </w:rPr>
      </w:pPr>
    </w:p>
    <w:p>
      <w:pPr>
        <w:jc w:val="both"/>
        <w:ind w:left="140" w:firstLine="798"/>
        <w:spacing w:after="0" w:line="255" w:lineRule="auto"/>
        <w:tabs>
          <w:tab w:leader="none" w:pos="1390"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at Employee’s election, under Section 7(c), or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or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140" w:firstLine="798"/>
        <w:spacing w:after="0" w:line="299" w:lineRule="auto"/>
        <w:tabs>
          <w:tab w:leader="none" w:pos="1394"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 the event of a termination of this Agreement pursuant to Sections 6(a)(i), 6(a)(ii) or 6(a)(iv), Employer shall not be required to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20"/>
          </w:cols>
          <w:pgMar w:left="1440" w:top="1381" w:right="339" w:bottom="1440" w:gutter="0" w:footer="0" w:header="0"/>
        </w:sectPr>
      </w:pPr>
    </w:p>
    <w:bookmarkStart w:id="15" w:name="page16"/>
    <w:bookmarkEnd w:id="15"/>
    <w:p>
      <w:pPr>
        <w:jc w:val="both"/>
        <w:ind w:left="1260"/>
        <w:spacing w:after="0" w:line="272" w:lineRule="auto"/>
        <w:rPr>
          <w:sz w:val="20"/>
          <w:szCs w:val="20"/>
          <w:color w:val="auto"/>
        </w:rPr>
      </w:pPr>
      <w:r>
        <w:rPr>
          <w:rFonts w:ascii="Arial" w:cs="Arial" w:eastAsia="Arial" w:hAnsi="Arial"/>
          <w:sz w:val="19"/>
          <w:szCs w:val="19"/>
          <w:color w:val="auto"/>
        </w:rPr>
        <w:t>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191" w:lineRule="exact"/>
        <w:rPr>
          <w:sz w:val="20"/>
          <w:szCs w:val="20"/>
          <w:color w:val="auto"/>
        </w:rPr>
      </w:pPr>
    </w:p>
    <w:p>
      <w:pPr>
        <w:jc w:val="both"/>
        <w:ind w:left="1260" w:firstLine="798"/>
        <w:spacing w:after="0" w:line="268" w:lineRule="auto"/>
        <w:tabs>
          <w:tab w:leader="none" w:pos="2517" w:val="left"/>
        </w:tabs>
        <w:numPr>
          <w:ilvl w:val="2"/>
          <w:numId w:val="17"/>
        </w:numPr>
        <w:rPr>
          <w:rFonts w:ascii="Arial" w:cs="Arial" w:eastAsia="Arial" w:hAnsi="Arial"/>
          <w:sz w:val="19"/>
          <w:szCs w:val="19"/>
          <w:color w:val="auto"/>
        </w:rPr>
      </w:pPr>
      <w:r>
        <w:rPr>
          <w:rFonts w:ascii="Arial" w:cs="Arial" w:eastAsia="Arial" w:hAnsi="Arial"/>
          <w:sz w:val="19"/>
          <w:szCs w:val="19"/>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182" w:lineRule="exact"/>
        <w:rPr>
          <w:rFonts w:ascii="Arial" w:cs="Arial" w:eastAsia="Arial" w:hAnsi="Arial"/>
          <w:sz w:val="19"/>
          <w:szCs w:val="19"/>
          <w:color w:val="auto"/>
        </w:rPr>
      </w:pPr>
    </w:p>
    <w:p>
      <w:pPr>
        <w:jc w:val="both"/>
        <w:ind w:firstLine="637"/>
        <w:spacing w:after="0" w:line="272" w:lineRule="auto"/>
        <w:tabs>
          <w:tab w:leader="none" w:pos="1253"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COMPENSATION TO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and in complete consideration of Employee's full and faithful performance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duties under this Agreement, Employer hereby covenants and agrees to pay to Employee, and Employee hereby covenants and agrees to accept from Employer, the following items of compensation:</w:t>
      </w:r>
    </w:p>
    <w:p>
      <w:pPr>
        <w:spacing w:after="0" w:line="189" w:lineRule="exact"/>
        <w:rPr>
          <w:rFonts w:ascii="Arial" w:cs="Arial" w:eastAsia="Arial" w:hAnsi="Arial"/>
          <w:sz w:val="19"/>
          <w:szCs w:val="19"/>
          <w:b w:val="1"/>
          <w:bCs w:val="1"/>
          <w:color w:val="auto"/>
        </w:rPr>
      </w:pPr>
    </w:p>
    <w:p>
      <w:pPr>
        <w:jc w:val="both"/>
        <w:ind w:left="640" w:firstLine="628"/>
        <w:spacing w:after="0" w:line="259" w:lineRule="auto"/>
        <w:tabs>
          <w:tab w:leader="none" w:pos="1902" w:val="left"/>
        </w:tabs>
        <w:numPr>
          <w:ilvl w:val="1"/>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and effective upon the approval of the Compensation Committee of Wynn Resorts,</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Employer hereby covenants and agrees to pay to Employee, and Employee hereby covenants and agrees to accept from Employer, a base salary at the rate of Eight Hundred Thousand Dollars ($800,000.00) per annum,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205" w:lineRule="exact"/>
        <w:rPr>
          <w:rFonts w:ascii="Arial" w:cs="Arial" w:eastAsia="Arial" w:hAnsi="Arial"/>
          <w:sz w:val="19"/>
          <w:szCs w:val="19"/>
          <w:color w:val="auto"/>
        </w:rPr>
      </w:pPr>
    </w:p>
    <w:p>
      <w:pPr>
        <w:jc w:val="both"/>
        <w:ind w:left="640" w:firstLine="628"/>
        <w:spacing w:after="0" w:line="259" w:lineRule="auto"/>
        <w:tabs>
          <w:tab w:leader="none" w:pos="1902" w:val="left"/>
        </w:tabs>
        <w:numPr>
          <w:ilvl w:val="1"/>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Bonus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will participate in Employer’s Amended and Restated Annual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Based Incentive Plan for Executive Officers (the “</w:t>
      </w:r>
      <w:r>
        <w:rPr>
          <w:rFonts w:ascii="Arial" w:cs="Arial" w:eastAsia="Arial" w:hAnsi="Arial"/>
          <w:sz w:val="19"/>
          <w:szCs w:val="19"/>
          <w:b w:val="1"/>
          <w:bCs w:val="1"/>
          <w:color w:val="auto"/>
        </w:rPr>
        <w:t>Annual Bonus Plan</w:t>
      </w:r>
      <w:r>
        <w:rPr>
          <w:rFonts w:ascii="Arial" w:cs="Arial" w:eastAsia="Arial" w:hAnsi="Arial"/>
          <w:sz w:val="19"/>
          <w:szCs w:val="19"/>
          <w:color w:val="auto"/>
        </w:rPr>
        <w:t>”) with an annual target bonus of no less than 200% of the Base Salary. Any annual bonus Employee may be eligible to earn under the Annual Bonus Plan shall be conditioned on Employee’s continued employment through the applicable bonus performance period and may be subject to forfeiture in whole or in part upon Employee’s knowing and material violation of Employer’s Code of Business Conduct and Ethics or the Preventing Harassment and Discrimination Policy.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192" w:lineRule="exact"/>
        <w:rPr>
          <w:rFonts w:ascii="Arial" w:cs="Arial" w:eastAsia="Arial" w:hAnsi="Arial"/>
          <w:sz w:val="19"/>
          <w:szCs w:val="19"/>
          <w:color w:val="auto"/>
        </w:rPr>
      </w:pPr>
    </w:p>
    <w:p>
      <w:pPr>
        <w:jc w:val="both"/>
        <w:ind w:left="640" w:firstLine="628"/>
        <w:spacing w:after="0" w:line="267" w:lineRule="auto"/>
        <w:tabs>
          <w:tab w:leader="none" w:pos="1891" w:val="left"/>
        </w:tabs>
        <w:numPr>
          <w:ilvl w:val="1"/>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Equity Grant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be eligible to receive an annual restricted share grant of Wynn</w:t>
      </w:r>
      <w:r>
        <w:rPr>
          <w:rFonts w:ascii="Arial" w:cs="Arial" w:eastAsia="Arial" w:hAnsi="Arial"/>
          <w:sz w:val="19"/>
          <w:szCs w:val="19"/>
          <w:b w:val="1"/>
          <w:bCs w:val="1"/>
          <w:color w:val="auto"/>
        </w:rPr>
        <w:t xml:space="preserve"> </w:t>
      </w:r>
      <w:r>
        <w:rPr>
          <w:rFonts w:ascii="Arial" w:cs="Arial" w:eastAsia="Arial" w:hAnsi="Arial"/>
          <w:sz w:val="19"/>
          <w:szCs w:val="19"/>
          <w:color w:val="auto"/>
        </w:rPr>
        <w:t>Resorts, Limited common stock with a target value equivalent to no less than 135% of the annual Base Salary for Employee in effect at the end of the applicable year, with vesting requirements consistent with comparable positions in the Company. Employee and Employer will enter into a separate restricted stock agreement incorporating the terms and conditions of each grant, including the grant date, vesting schedule, and termination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81" w:right="339" w:bottom="1440" w:gutter="0" w:footer="0" w:header="0"/>
        </w:sectPr>
      </w:pPr>
    </w:p>
    <w:bookmarkStart w:id="16" w:name="page17"/>
    <w:bookmarkEnd w:id="16"/>
    <w:p>
      <w:pPr>
        <w:spacing w:after="0" w:line="177" w:lineRule="exact"/>
        <w:rPr>
          <w:sz w:val="20"/>
          <w:szCs w:val="20"/>
          <w:color w:val="auto"/>
        </w:rPr>
      </w:pPr>
    </w:p>
    <w:p>
      <w:pPr>
        <w:jc w:val="both"/>
        <w:ind w:firstLine="628"/>
        <w:spacing w:after="0" w:line="260" w:lineRule="auto"/>
        <w:tabs>
          <w:tab w:leader="none" w:pos="1262"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Benefit Plans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that it shall include Employee, if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in any profit-sharing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Employee shall also participate in the senior executive health program at all times while employed by Employer and for the twelve-month period subsequent to (i) the Term, or (ii) the termination of the Agreement pursuant to Sections 6(a)(v), 6(a) (vi), or 6(a)(vii).</w:t>
      </w:r>
    </w:p>
    <w:p>
      <w:pPr>
        <w:spacing w:after="0" w:line="189" w:lineRule="exact"/>
        <w:rPr>
          <w:sz w:val="20"/>
          <w:szCs w:val="20"/>
          <w:color w:val="auto"/>
        </w:rPr>
      </w:pPr>
    </w:p>
    <w:p>
      <w:pPr>
        <w:jc w:val="both"/>
        <w:ind w:firstLine="628"/>
        <w:spacing w:after="0" w:line="263" w:lineRule="auto"/>
        <w:tabs>
          <w:tab w:leader="none" w:pos="1262"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Expense Reimbursement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and provided the same are authorized in advance by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97" w:lineRule="exact"/>
        <w:rPr>
          <w:rFonts w:ascii="Arial" w:cs="Arial" w:eastAsia="Arial" w:hAnsi="Arial"/>
          <w:sz w:val="19"/>
          <w:szCs w:val="19"/>
          <w:color w:val="auto"/>
        </w:rPr>
      </w:pPr>
    </w:p>
    <w:p>
      <w:pPr>
        <w:jc w:val="both"/>
        <w:ind w:firstLine="628"/>
        <w:spacing w:after="0" w:line="258" w:lineRule="auto"/>
        <w:tabs>
          <w:tab w:leader="none" w:pos="1261"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Relocation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receive a single lump sum payment in the amount of One Hundred Thousand</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($100,000.00), net after tax withholdings, to relocate Employee’s primary residence to Las Vegas, Nevada (“</w:t>
      </w:r>
      <w:r>
        <w:rPr>
          <w:rFonts w:ascii="Arial" w:cs="Arial" w:eastAsia="Arial" w:hAnsi="Arial"/>
          <w:sz w:val="19"/>
          <w:szCs w:val="19"/>
          <w:b w:val="1"/>
          <w:bCs w:val="1"/>
          <w:color w:val="auto"/>
        </w:rPr>
        <w:t>Relocation Payment</w:t>
      </w:r>
      <w:r>
        <w:rPr>
          <w:rFonts w:ascii="Arial" w:cs="Arial" w:eastAsia="Arial" w:hAnsi="Arial"/>
          <w:sz w:val="19"/>
          <w:szCs w:val="19"/>
          <w:color w:val="auto"/>
        </w:rPr>
        <w:t>”). Additionally, Employer shall provide Employee one (1), one-way business class airline ticket for each of Employee and Employee’s immediate family from Macau to Las Vegas, Nevada. Employee agrees that no additional relocation amount or travel is owed to Employee, including any relocation amount identified in the Prior Agreement. Employee agrees that in the event that Employee’s employment with Employer is terminated for any reason other than as contemplated by Sections 6(a)(i), (ii) or (vi), Employee shall repay to Employer a pro-rated portion of the Relocation Payment equal to the number of full calendar months between the effective date of such termination of employment and the expiration of the Term of the Agreement divided by 36. Such pro rata amount shall be become payable within 30 days following such termination of employment.</w:t>
      </w:r>
    </w:p>
    <w:p>
      <w:pPr>
        <w:spacing w:after="0" w:line="190" w:lineRule="exact"/>
        <w:rPr>
          <w:rFonts w:ascii="Arial" w:cs="Arial" w:eastAsia="Arial" w:hAnsi="Arial"/>
          <w:sz w:val="19"/>
          <w:szCs w:val="19"/>
          <w:color w:val="auto"/>
        </w:rPr>
      </w:pPr>
    </w:p>
    <w:p>
      <w:pPr>
        <w:jc w:val="both"/>
        <w:ind w:firstLine="628"/>
        <w:spacing w:after="0" w:line="269" w:lineRule="auto"/>
        <w:tabs>
          <w:tab w:leader="none" w:pos="1262"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Vacations and Holidays</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as of the Effective Date, Employee shall be entitled to (i) not less</w:t>
      </w:r>
      <w:r>
        <w:rPr>
          <w:rFonts w:ascii="Arial" w:cs="Arial" w:eastAsia="Arial" w:hAnsi="Arial"/>
          <w:sz w:val="19"/>
          <w:szCs w:val="19"/>
          <w:b w:val="1"/>
          <w:bCs w:val="1"/>
          <w:color w:val="auto"/>
        </w:rPr>
        <w:t xml:space="preserve"> </w:t>
      </w:r>
      <w:r>
        <w:rPr>
          <w:rFonts w:ascii="Arial" w:cs="Arial" w:eastAsia="Arial" w:hAnsi="Arial"/>
          <w:sz w:val="19"/>
          <w:szCs w:val="19"/>
          <w:color w:val="auto"/>
        </w:rPr>
        <w:t>than four (4) weeks paid vacation leave during each twelve (12) month period of employment in accordance with Employer’s standard policy, to be taken at such times as selected by Employee and approved by Employer, and (ii) paid holidays (or, at Employer’s option, an equivalent number of paid days off) in accordance with Employer’s respective standard policies.</w:t>
      </w:r>
    </w:p>
    <w:p>
      <w:pPr>
        <w:spacing w:after="0" w:line="191" w:lineRule="exact"/>
        <w:rPr>
          <w:rFonts w:ascii="Arial" w:cs="Arial" w:eastAsia="Arial" w:hAnsi="Arial"/>
          <w:sz w:val="19"/>
          <w:szCs w:val="19"/>
          <w:color w:val="auto"/>
        </w:rPr>
      </w:pPr>
    </w:p>
    <w:p>
      <w:pPr>
        <w:jc w:val="both"/>
        <w:ind w:firstLine="628"/>
        <w:spacing w:after="0" w:line="273" w:lineRule="auto"/>
        <w:tabs>
          <w:tab w:leader="none" w:pos="1262"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Provision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of the Agreement to the contrary, if, at the time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termination of employment with the Employer, he or she is a “specified employee” as defined in Section 409A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600"/>
          </w:cols>
          <w:pgMar w:left="960" w:top="1440" w:right="339" w:bottom="1440" w:gutter="0" w:footer="0" w:header="0"/>
        </w:sectPr>
      </w:pPr>
    </w:p>
    <w:bookmarkStart w:id="17" w:name="page18"/>
    <w:bookmarkEnd w:id="17"/>
    <w:p>
      <w:pPr>
        <w:jc w:val="both"/>
        <w:ind w:left="3"/>
        <w:spacing w:after="0" w:line="259" w:lineRule="auto"/>
        <w:rPr>
          <w:sz w:val="20"/>
          <w:szCs w:val="20"/>
          <w:color w:val="auto"/>
        </w:rPr>
      </w:pPr>
      <w:r>
        <w:rPr>
          <w:rFonts w:ascii="Arial" w:cs="Arial" w:eastAsia="Arial" w:hAnsi="Arial"/>
          <w:sz w:val="19"/>
          <w:szCs w:val="19"/>
          <w:color w:val="auto"/>
        </w:rPr>
        <w:t>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92" w:lineRule="exact"/>
        <w:rPr>
          <w:sz w:val="20"/>
          <w:szCs w:val="20"/>
          <w:color w:val="auto"/>
        </w:rPr>
      </w:pPr>
    </w:p>
    <w:p>
      <w:pPr>
        <w:ind w:left="3" w:firstLine="628"/>
        <w:spacing w:after="0" w:line="302" w:lineRule="auto"/>
        <w:tabs>
          <w:tab w:leader="none" w:pos="1254" w:val="left"/>
        </w:tabs>
        <w:numPr>
          <w:ilvl w:val="1"/>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Tax Preparation Assistance</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Term of the Agreement, Employee shall be entitled to the standard tax</w:t>
      </w:r>
      <w:r>
        <w:rPr>
          <w:rFonts w:ascii="Arial" w:cs="Arial" w:eastAsia="Arial" w:hAnsi="Arial"/>
          <w:sz w:val="19"/>
          <w:szCs w:val="19"/>
          <w:b w:val="1"/>
          <w:bCs w:val="1"/>
          <w:color w:val="auto"/>
        </w:rPr>
        <w:t xml:space="preserve"> </w:t>
      </w:r>
      <w:r>
        <w:rPr>
          <w:rFonts w:ascii="Arial" w:cs="Arial" w:eastAsia="Arial" w:hAnsi="Arial"/>
          <w:sz w:val="19"/>
          <w:szCs w:val="19"/>
          <w:color w:val="auto"/>
        </w:rPr>
        <w:t>preparation assistance available to employees with both Macau and United States tax filing requirements.</w:t>
      </w:r>
    </w:p>
    <w:p>
      <w:pPr>
        <w:spacing w:after="0" w:line="160" w:lineRule="exact"/>
        <w:rPr>
          <w:rFonts w:ascii="Arial" w:cs="Arial" w:eastAsia="Arial" w:hAnsi="Arial"/>
          <w:sz w:val="19"/>
          <w:szCs w:val="19"/>
          <w:color w:val="auto"/>
        </w:rPr>
      </w:pPr>
    </w:p>
    <w:p>
      <w:pPr>
        <w:ind w:left="1243" w:hanging="612"/>
        <w:spacing w:after="0"/>
        <w:tabs>
          <w:tab w:leader="none" w:pos="1243" w:val="left"/>
        </w:tabs>
        <w:numPr>
          <w:ilvl w:val="1"/>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Tax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agrees to make Employee whole for any additional United States tax liability incurred</w:t>
      </w:r>
    </w:p>
    <w:p>
      <w:pPr>
        <w:spacing w:after="0" w:line="25" w:lineRule="exact"/>
        <w:rPr>
          <w:rFonts w:ascii="Arial" w:cs="Arial" w:eastAsia="Arial" w:hAnsi="Arial"/>
          <w:sz w:val="19"/>
          <w:szCs w:val="19"/>
          <w:color w:val="auto"/>
        </w:rPr>
      </w:pPr>
    </w:p>
    <w:p>
      <w:pPr>
        <w:jc w:val="both"/>
        <w:ind w:left="3"/>
        <w:spacing w:after="0" w:line="262" w:lineRule="auto"/>
        <w:rPr>
          <w:rFonts w:ascii="Arial" w:cs="Arial" w:eastAsia="Arial" w:hAnsi="Arial"/>
          <w:sz w:val="19"/>
          <w:szCs w:val="19"/>
          <w:color w:val="auto"/>
        </w:rPr>
      </w:pPr>
      <w:r>
        <w:rPr>
          <w:rFonts w:ascii="Arial" w:cs="Arial" w:eastAsia="Arial" w:hAnsi="Arial"/>
          <w:sz w:val="19"/>
          <w:szCs w:val="19"/>
          <w:color w:val="auto"/>
        </w:rPr>
        <w:t>by Employee: (i) as a result of any cash bonus paid in January 2026; (ii) for compensation received by Employee from Employer’s affiliate between January 1, 2026 and the Effective Date; and (iii) related to the vesting of Wynn Macau, Limited or Wynn Resorts, Limited common stock through December 31, 2026.</w:t>
      </w:r>
    </w:p>
    <w:p>
      <w:pPr>
        <w:spacing w:after="0" w:line="198" w:lineRule="exact"/>
        <w:rPr>
          <w:rFonts w:ascii="Arial" w:cs="Arial" w:eastAsia="Arial" w:hAnsi="Arial"/>
          <w:sz w:val="19"/>
          <w:szCs w:val="19"/>
          <w:color w:val="auto"/>
        </w:rPr>
      </w:pPr>
    </w:p>
    <w:p>
      <w:pPr>
        <w:ind w:left="3" w:firstLine="628"/>
        <w:spacing w:after="0" w:line="302" w:lineRule="auto"/>
        <w:tabs>
          <w:tab w:leader="none" w:pos="1254" w:val="left"/>
        </w:tabs>
        <w:numPr>
          <w:ilvl w:val="1"/>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Withholdings and Deductions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compensation provided to Employee by Employer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applicable federal, state or local employment-related withholdings and deductions.</w:t>
      </w:r>
    </w:p>
    <w:p>
      <w:pPr>
        <w:spacing w:after="0" w:line="147" w:lineRule="exact"/>
        <w:rPr>
          <w:rFonts w:ascii="Arial" w:cs="Arial" w:eastAsia="Arial" w:hAnsi="Arial"/>
          <w:sz w:val="19"/>
          <w:szCs w:val="19"/>
          <w:color w:val="auto"/>
        </w:rPr>
      </w:pPr>
    </w:p>
    <w:p>
      <w:pPr>
        <w:ind w:left="1243" w:hanging="612"/>
        <w:spacing w:after="0"/>
        <w:tabs>
          <w:tab w:leader="none" w:pos="1243" w:val="left"/>
        </w:tabs>
        <w:numPr>
          <w:ilvl w:val="1"/>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Original Hire Date</w:t>
      </w:r>
      <w:r>
        <w:rPr>
          <w:rFonts w:ascii="Arial" w:cs="Arial" w:eastAsia="Arial" w:hAnsi="Arial"/>
          <w:sz w:val="19"/>
          <w:szCs w:val="19"/>
          <w:color w:val="auto"/>
        </w:rPr>
        <w:t>. Employee’s Original Hire Date shall be used for determining other benefits.</w:t>
      </w:r>
    </w:p>
    <w:p>
      <w:pPr>
        <w:spacing w:after="0" w:line="257" w:lineRule="exact"/>
        <w:rPr>
          <w:rFonts w:ascii="Arial" w:cs="Arial" w:eastAsia="Arial" w:hAnsi="Arial"/>
          <w:sz w:val="19"/>
          <w:szCs w:val="19"/>
          <w:color w:val="auto"/>
        </w:rPr>
      </w:pPr>
    </w:p>
    <w:p>
      <w:pPr>
        <w:ind w:left="623" w:hanging="623"/>
        <w:spacing w:after="0"/>
        <w:tabs>
          <w:tab w:leader="none" w:pos="623"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LICENSING REQUIREMENTS</w:t>
      </w:r>
      <w:r>
        <w:rPr>
          <w:rFonts w:ascii="Arial" w:cs="Arial" w:eastAsia="Arial" w:hAnsi="Arial"/>
          <w:sz w:val="19"/>
          <w:szCs w:val="19"/>
          <w:b w:val="1"/>
          <w:bCs w:val="1"/>
          <w:i w:val="1"/>
          <w:iCs w:val="1"/>
          <w:color w:val="auto"/>
        </w:rPr>
        <w:t>.</w:t>
      </w:r>
    </w:p>
    <w:p>
      <w:pPr>
        <w:spacing w:after="0" w:line="242" w:lineRule="exact"/>
        <w:rPr>
          <w:rFonts w:ascii="Arial" w:cs="Arial" w:eastAsia="Arial" w:hAnsi="Arial"/>
          <w:sz w:val="19"/>
          <w:szCs w:val="19"/>
          <w:b w:val="1"/>
          <w:bCs w:val="1"/>
          <w:color w:val="auto"/>
        </w:rPr>
      </w:pPr>
    </w:p>
    <w:p>
      <w:pPr>
        <w:jc w:val="both"/>
        <w:ind w:left="3" w:firstLine="628"/>
        <w:spacing w:after="0" w:line="259" w:lineRule="auto"/>
        <w:tabs>
          <w:tab w:leader="none" w:pos="1265" w:val="left"/>
        </w:tabs>
        <w:numPr>
          <w:ilvl w:val="1"/>
          <w:numId w:val="22"/>
        </w:numPr>
        <w:rPr>
          <w:rFonts w:ascii="Arial" w:cs="Arial" w:eastAsia="Arial" w:hAnsi="Arial"/>
          <w:sz w:val="19"/>
          <w:szCs w:val="19"/>
          <w:color w:val="auto"/>
        </w:rPr>
      </w:pPr>
      <w:r>
        <w:rPr>
          <w:rFonts w:ascii="Arial" w:cs="Arial" w:eastAsia="Arial" w:hAnsi="Arial"/>
          <w:sz w:val="19"/>
          <w:szCs w:val="19"/>
          <w:color w:val="auto"/>
        </w:rPr>
        <w:t>Employer and Employee hereby covenant and agree that this Agreement and/or Employee’s employment may be subject to the approval of one or more gaming or other regulatory authorities (the “</w:t>
      </w:r>
      <w:r>
        <w:rPr>
          <w:rFonts w:ascii="Arial" w:cs="Arial" w:eastAsia="Arial" w:hAnsi="Arial"/>
          <w:sz w:val="19"/>
          <w:szCs w:val="19"/>
          <w:b w:val="1"/>
          <w:bCs w:val="1"/>
          <w:color w:val="auto"/>
        </w:rPr>
        <w:t>Gaming Authorities</w:t>
      </w:r>
      <w:r>
        <w:rPr>
          <w:rFonts w:ascii="Arial" w:cs="Arial" w:eastAsia="Arial" w:hAnsi="Arial"/>
          <w:sz w:val="19"/>
          <w:szCs w:val="19"/>
          <w:color w:val="auto"/>
        </w:rPr>
        <w:t>”) pursuant to the provisions of any applicable gaming and liquor statutes and other laws in any jurisdiction in which Employer or any of its Affiliates conduct or may conduct business (collectively, the “</w:t>
      </w:r>
      <w:r>
        <w:rPr>
          <w:rFonts w:ascii="Arial" w:cs="Arial" w:eastAsia="Arial" w:hAnsi="Arial"/>
          <w:sz w:val="19"/>
          <w:szCs w:val="19"/>
          <w:b w:val="1"/>
          <w:bCs w:val="1"/>
          <w:color w:val="auto"/>
        </w:rPr>
        <w:t>Gaming Acts</w:t>
      </w:r>
      <w:r>
        <w:rPr>
          <w:rFonts w:ascii="Arial" w:cs="Arial" w:eastAsia="Arial" w:hAnsi="Arial"/>
          <w:sz w:val="19"/>
          <w:szCs w:val="19"/>
          <w:color w:val="auto"/>
        </w:rPr>
        <w:t>”) and the regulations promulgated thereunder (collectively, the “</w:t>
      </w:r>
      <w:r>
        <w:rPr>
          <w:rFonts w:ascii="Arial" w:cs="Arial" w:eastAsia="Arial" w:hAnsi="Arial"/>
          <w:sz w:val="19"/>
          <w:szCs w:val="19"/>
          <w:b w:val="1"/>
          <w:bCs w:val="1"/>
          <w:color w:val="auto"/>
        </w:rPr>
        <w:t>Gaming Regulations</w:t>
      </w:r>
      <w:r>
        <w:rPr>
          <w:rFonts w:ascii="Arial" w:cs="Arial" w:eastAsia="Arial" w:hAnsi="Arial"/>
          <w:sz w:val="19"/>
          <w:szCs w:val="19"/>
          <w:color w:val="auto"/>
        </w:rPr>
        <w:t>”). Employer and Employee hereby covenant and agree to use their best efforts to obtain any and all approvals required by the Gaming Acts and/or Gaming Regulations. In the event that (i) an approval of this Agreement or Employee’s employment by the Gaming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Gaming Authorities, then this Agreement shall immediately terminate and shall be null and void, thus extinguishing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83"/>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603"/>
          </w:cols>
          <w:pgMar w:left="957" w:top="1381" w:right="339" w:bottom="1440" w:gutter="0" w:footer="0" w:header="0"/>
        </w:sectPr>
      </w:pPr>
    </w:p>
    <w:bookmarkStart w:id="18" w:name="page19"/>
    <w:bookmarkEnd w:id="18"/>
    <w:p>
      <w:pPr>
        <w:ind w:left="3"/>
        <w:spacing w:after="0" w:line="299" w:lineRule="auto"/>
        <w:rPr>
          <w:sz w:val="20"/>
          <w:szCs w:val="20"/>
          <w:color w:val="auto"/>
        </w:rPr>
      </w:pPr>
      <w:r>
        <w:rPr>
          <w:rFonts w:ascii="Arial" w:cs="Arial" w:eastAsia="Arial" w:hAnsi="Arial"/>
          <w:sz w:val="19"/>
          <w:szCs w:val="19"/>
          <w:color w:val="auto"/>
        </w:rPr>
        <w:t>and all obligations of either party, subject to any surviving obligations of Employee under Sections 9, 10, 11 and 21, notwithstanding any other provisions of this Agreement.</w:t>
      </w:r>
    </w:p>
    <w:p>
      <w:pPr>
        <w:spacing w:after="0" w:line="153" w:lineRule="exact"/>
        <w:rPr>
          <w:sz w:val="20"/>
          <w:szCs w:val="20"/>
          <w:color w:val="auto"/>
        </w:rPr>
      </w:pPr>
    </w:p>
    <w:p>
      <w:pPr>
        <w:jc w:val="both"/>
        <w:ind w:left="3" w:firstLine="628"/>
        <w:spacing w:after="0" w:line="258" w:lineRule="auto"/>
        <w:tabs>
          <w:tab w:leader="none" w:pos="1265"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applicable, Employer and Employee hereby covenant and agree that, in order for Employee to discharge the duties required under this Agreement, Employee may be required to apply for, obtain, or hold a license, registration, permit or other approval (a “</w:t>
      </w:r>
      <w:r>
        <w:rPr>
          <w:rFonts w:ascii="Arial" w:cs="Arial" w:eastAsia="Arial" w:hAnsi="Arial"/>
          <w:sz w:val="19"/>
          <w:szCs w:val="19"/>
          <w:b w:val="1"/>
          <w:bCs w:val="1"/>
          <w:color w:val="auto"/>
        </w:rPr>
        <w:t>License</w:t>
      </w:r>
      <w:r>
        <w:rPr>
          <w:rFonts w:ascii="Arial" w:cs="Arial" w:eastAsia="Arial" w:hAnsi="Arial"/>
          <w:sz w:val="19"/>
          <w:szCs w:val="19"/>
          <w:color w:val="auto"/>
        </w:rPr>
        <w:t>”) issued by the Gaming Authorities pursuant to the terms of the relevant Gaming Act or Gaming Regulations and as otherwise required by this Agreement. If required, in the event Employee fails to apply for and secure, or the Gaming Authorities refuse to issue or renew Employee’s License, Employee, at Employer’s sole cost and expense, shall promptly defend such action and shall take such reasonable steps as may be required to either remove the objections or secure or reinstate the Gaming Authorities’ approval, respectively. The foregoing notwithstanding, if the source of the objections or the Gaming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206" w:lineRule="exact"/>
        <w:rPr>
          <w:rFonts w:ascii="Arial" w:cs="Arial" w:eastAsia="Arial" w:hAnsi="Arial"/>
          <w:sz w:val="19"/>
          <w:szCs w:val="19"/>
          <w:color w:val="auto"/>
        </w:rPr>
      </w:pPr>
    </w:p>
    <w:p>
      <w:pPr>
        <w:jc w:val="both"/>
        <w:ind w:left="3" w:firstLine="628"/>
        <w:spacing w:after="0" w:line="272" w:lineRule="auto"/>
        <w:tabs>
          <w:tab w:leader="none" w:pos="1254"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Employer and Employee hereby covenant and agree that the provisions of this Section 8 shall apply in the event Employee’s duties require that Employee also be licensed by any Governmental Agency other than the Gaming Authorities.</w:t>
      </w:r>
    </w:p>
    <w:p>
      <w:pPr>
        <w:spacing w:after="0" w:line="191" w:lineRule="exact"/>
        <w:rPr>
          <w:rFonts w:ascii="Arial" w:cs="Arial" w:eastAsia="Arial" w:hAnsi="Arial"/>
          <w:sz w:val="19"/>
          <w:szCs w:val="19"/>
          <w:color w:val="auto"/>
        </w:rPr>
      </w:pPr>
    </w:p>
    <w:p>
      <w:pPr>
        <w:ind w:left="3" w:firstLine="628"/>
        <w:spacing w:after="0" w:line="285" w:lineRule="auto"/>
        <w:tabs>
          <w:tab w:leader="none" w:pos="1265"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Employer agrees to maintain the work authorizations and approvals required by Employee to maintain employment under the Prior Agreement through August 31, 2026.</w:t>
      </w:r>
    </w:p>
    <w:p>
      <w:pPr>
        <w:spacing w:after="0" w:line="178" w:lineRule="exact"/>
        <w:rPr>
          <w:rFonts w:ascii="Arial" w:cs="Arial" w:eastAsia="Arial" w:hAnsi="Arial"/>
          <w:sz w:val="19"/>
          <w:szCs w:val="19"/>
          <w:color w:val="auto"/>
        </w:rPr>
      </w:pPr>
    </w:p>
    <w:p>
      <w:pPr>
        <w:ind w:left="623" w:hanging="623"/>
        <w:spacing w:after="0"/>
        <w:tabs>
          <w:tab w:leader="none" w:pos="623"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OWNERSHIP; CONFIDENTIALITY</w:t>
      </w:r>
      <w:r>
        <w:rPr>
          <w:rFonts w:ascii="Arial" w:cs="Arial" w:eastAsia="Arial" w:hAnsi="Arial"/>
          <w:sz w:val="19"/>
          <w:szCs w:val="19"/>
          <w:b w:val="1"/>
          <w:bCs w:val="1"/>
          <w:i w:val="1"/>
          <w:iCs w:val="1"/>
          <w:color w:val="auto"/>
        </w:rPr>
        <w:t>.</w:t>
      </w:r>
    </w:p>
    <w:p>
      <w:pPr>
        <w:spacing w:after="0" w:line="242" w:lineRule="exact"/>
        <w:rPr>
          <w:rFonts w:ascii="Arial" w:cs="Arial" w:eastAsia="Arial" w:hAnsi="Arial"/>
          <w:sz w:val="19"/>
          <w:szCs w:val="19"/>
          <w:b w:val="1"/>
          <w:bCs w:val="1"/>
          <w:color w:val="auto"/>
        </w:rPr>
      </w:pPr>
    </w:p>
    <w:p>
      <w:pPr>
        <w:jc w:val="both"/>
        <w:ind w:left="3" w:firstLine="628"/>
        <w:spacing w:after="0" w:line="257" w:lineRule="auto"/>
        <w:tabs>
          <w:tab w:leader="none" w:pos="1265" w:val="left"/>
        </w:tabs>
        <w:numPr>
          <w:ilvl w:val="1"/>
          <w:numId w:val="24"/>
        </w:numPr>
        <w:rPr>
          <w:rFonts w:ascii="Arial" w:cs="Arial" w:eastAsia="Arial" w:hAnsi="Arial"/>
          <w:sz w:val="19"/>
          <w:szCs w:val="19"/>
          <w:color w:val="auto"/>
        </w:rPr>
      </w:pPr>
      <w:r>
        <w:rPr>
          <w:rFonts w:ascii="Arial" w:cs="Arial" w:eastAsia="Arial" w:hAnsi="Arial"/>
          <w:sz w:val="19"/>
          <w:szCs w:val="19"/>
          <w:color w:val="auto"/>
        </w:rPr>
        <w:t>All Confidential Information, Trade Secrets, or Work Product are the sole and exclusive property of Employer or its Affiliates. Employer will have the entire right and title and interest in and to any Work Product provided or prepared by Employee and/or its agents under this Agreement, and Employee will receive no license or other rights from Employer with respect to such Work Product. The Work Product will be deemed to be “works made for hire” under United States copyright law (17 U.S.C. sections 101, et seq.) and made in the course of employment. To the extent the Work Product may not, by operation of law, vest in Employer, or if any of the Work Product is determined not to be a “work made for hire,” Employee hereby assigns to Employer in perpetuity all right, title and interest in and to the Work Product, including, without limitation, all copyrights in the Work Product (and all renewals and extensions thereof). Without limitation, Employer may exploit the Work Product in any and all media, now known or hereafter devised, throughout the world, in perpetuity. Employer’s rights in the Work Product may be freely assigned and licensed and any such assignment or license will be binding upon Employee and will inure to the benefit of such assignee or licensee. Employee waives any moral rights it may have in the Work Product, including without limitation any right to integrity, association, credit or identification. Employee acknowledges that subsequent to the date of this Agreement, it may not claim to possess any right, title or interest in and to the Work Product and will take no actions jeopardizing the existence or enforceability of the Work Product or Employer’s rights therein. Employee agrees to assist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83"/>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603"/>
          </w:cols>
          <w:pgMar w:left="957" w:top="1381" w:right="3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9"/>
          <w:szCs w:val="19"/>
          <w:color w:val="auto"/>
        </w:rPr>
        <w:t>in every legal way to evidence, record and perfect this assignment and to apply for and obtain recordation of and from time to time enforce, maintain, and defend the assigned rights. If Employer is unable for any reason whatsoever to secure Employee’s signature to any document to which it is entitled under this assignment, Employee hereby irrevocably designates and appoints Employer and its duly authorized officers and agents to act as Employee’s agents and attorneys-in-fact, with full power of substitution to act for and on its behalf and instead of Employee, to execute and file any such document or documents and to do all other lawfully permitted acts to further the purposes of the foregoing with the same legal force and effect as if executed by Employee. The foregoing is deemed a power coupled with an interest and is irrevocable.</w:t>
      </w:r>
    </w:p>
    <w:p>
      <w:pPr>
        <w:spacing w:after="0" w:line="200" w:lineRule="exact"/>
        <w:rPr>
          <w:sz w:val="20"/>
          <w:szCs w:val="20"/>
          <w:color w:val="auto"/>
        </w:rPr>
      </w:pPr>
    </w:p>
    <w:p>
      <w:pPr>
        <w:spacing w:after="0" w:line="235" w:lineRule="exact"/>
        <w:rPr>
          <w:sz w:val="20"/>
          <w:szCs w:val="20"/>
          <w:color w:val="auto"/>
        </w:rPr>
      </w:pPr>
    </w:p>
    <w:p>
      <w:pPr>
        <w:ind w:left="1260" w:hanging="632"/>
        <w:spacing w:after="0"/>
        <w:tabs>
          <w:tab w:leader="none" w:pos="12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Employee hereby warrants, covenants and agrees that:</w:t>
      </w:r>
    </w:p>
    <w:p>
      <w:pPr>
        <w:spacing w:after="0" w:line="23" w:lineRule="exact"/>
        <w:rPr>
          <w:rFonts w:ascii="Arial" w:cs="Arial" w:eastAsia="Arial" w:hAnsi="Arial"/>
          <w:sz w:val="19"/>
          <w:szCs w:val="19"/>
          <w:color w:val="auto"/>
        </w:rPr>
      </w:pPr>
    </w:p>
    <w:p>
      <w:pPr>
        <w:ind w:left="1880" w:hanging="462"/>
        <w:spacing w:after="0"/>
        <w:tabs>
          <w:tab w:leader="none" w:pos="18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Section 9(d), Employee shall not directly or indirectly use or disclose any Confidential</w:t>
      </w:r>
    </w:p>
    <w:p>
      <w:pPr>
        <w:spacing w:after="0" w:line="18" w:lineRule="exact"/>
        <w:rPr>
          <w:sz w:val="20"/>
          <w:szCs w:val="20"/>
          <w:color w:val="auto"/>
        </w:rPr>
      </w:pPr>
    </w:p>
    <w:p>
      <w:pPr>
        <w:jc w:val="both"/>
        <w:ind w:left="620"/>
        <w:spacing w:after="0" w:line="259" w:lineRule="auto"/>
        <w:rPr>
          <w:sz w:val="20"/>
          <w:szCs w:val="20"/>
          <w:color w:val="auto"/>
        </w:rPr>
      </w:pPr>
      <w:r>
        <w:rPr>
          <w:rFonts w:ascii="Arial" w:cs="Arial" w:eastAsia="Arial" w:hAnsi="Arial"/>
          <w:sz w:val="19"/>
          <w:szCs w:val="19"/>
          <w:color w:val="auto"/>
        </w:rPr>
        <w:t>Information, Trade Secrets, or Work Product,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 Product. Employee acknowledges and agrees that such Confidential Information, Trade Secrets, and Work Product are the sole and exclusive property of Employer or its Affiliates.</w:t>
      </w:r>
    </w:p>
    <w:p>
      <w:pPr>
        <w:spacing w:after="0" w:line="200" w:lineRule="exact"/>
        <w:rPr>
          <w:sz w:val="20"/>
          <w:szCs w:val="20"/>
          <w:color w:val="auto"/>
        </w:rPr>
      </w:pPr>
    </w:p>
    <w:p>
      <w:pPr>
        <w:spacing w:after="0" w:line="235" w:lineRule="exact"/>
        <w:rPr>
          <w:sz w:val="20"/>
          <w:szCs w:val="20"/>
          <w:color w:val="auto"/>
        </w:rPr>
      </w:pPr>
    </w:p>
    <w:p>
      <w:pPr>
        <w:jc w:val="both"/>
        <w:ind w:left="620" w:firstLine="798"/>
        <w:spacing w:after="0" w:line="262" w:lineRule="auto"/>
        <w:tabs>
          <w:tab w:leader="none" w:pos="1874" w:val="left"/>
        </w:tabs>
        <w:numPr>
          <w:ilvl w:val="1"/>
          <w:numId w:val="26"/>
        </w:numPr>
        <w:rPr>
          <w:rFonts w:ascii="Arial" w:cs="Arial" w:eastAsia="Arial" w:hAnsi="Arial"/>
          <w:sz w:val="19"/>
          <w:szCs w:val="19"/>
          <w:color w:val="auto"/>
        </w:rPr>
      </w:pPr>
      <w:r>
        <w:rPr>
          <w:rFonts w:ascii="Arial" w:cs="Arial" w:eastAsia="Arial" w:hAnsi="Arial"/>
          <w:sz w:val="19"/>
          <w:szCs w:val="19"/>
          <w:color w:val="auto"/>
        </w:rPr>
        <w:t>Employee shall not remove from Employer’s premises any Confidential Information, Trade Secrets, Work Product,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189" w:lineRule="exact"/>
        <w:rPr>
          <w:rFonts w:ascii="Arial" w:cs="Arial" w:eastAsia="Arial" w:hAnsi="Arial"/>
          <w:sz w:val="19"/>
          <w:szCs w:val="19"/>
          <w:color w:val="auto"/>
        </w:rPr>
      </w:pPr>
    </w:p>
    <w:p>
      <w:pPr>
        <w:jc w:val="both"/>
        <w:ind w:left="620" w:firstLine="798"/>
        <w:spacing w:after="0" w:line="258" w:lineRule="auto"/>
        <w:tabs>
          <w:tab w:leader="none" w:pos="1877" w:val="left"/>
        </w:tabs>
        <w:numPr>
          <w:ilvl w:val="1"/>
          <w:numId w:val="26"/>
        </w:numPr>
        <w:rPr>
          <w:rFonts w:ascii="Arial" w:cs="Arial" w:eastAsia="Arial" w:hAnsi="Arial"/>
          <w:sz w:val="19"/>
          <w:szCs w:val="19"/>
          <w:color w:val="auto"/>
        </w:rPr>
      </w:pPr>
      <w:r>
        <w:rPr>
          <w:rFonts w:ascii="Arial" w:cs="Arial" w:eastAsia="Arial" w:hAnsi="Arial"/>
          <w:sz w:val="19"/>
          <w:szCs w:val="19"/>
          <w:color w:val="auto"/>
        </w:rPr>
        <w:t>Upon termination of Employee’s employment with Employer for any reason, Employee shall return to Employer the originals and all copies (in electronic or paper form)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Product; or</w:t>
      </w:r>
    </w:p>
    <w:p>
      <w:pPr>
        <w:spacing w:after="0" w:line="5" w:lineRule="exact"/>
        <w:rPr>
          <w:rFonts w:ascii="Arial" w:cs="Arial" w:eastAsia="Arial" w:hAnsi="Arial"/>
          <w:sz w:val="19"/>
          <w:szCs w:val="19"/>
          <w:color w:val="auto"/>
        </w:rPr>
      </w:pPr>
    </w:p>
    <w:p>
      <w:pPr>
        <w:ind w:left="620" w:firstLine="8"/>
        <w:spacing w:after="0" w:line="265" w:lineRule="auto"/>
        <w:tabs>
          <w:tab w:leader="none" w:pos="947" w:val="left"/>
        </w:tabs>
        <w:numPr>
          <w:ilvl w:val="0"/>
          <w:numId w:val="27"/>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197" w:lineRule="exact"/>
        <w:rPr>
          <w:sz w:val="20"/>
          <w:szCs w:val="20"/>
          <w:color w:val="auto"/>
        </w:rPr>
      </w:pPr>
    </w:p>
    <w:p>
      <w:pPr>
        <w:jc w:val="both"/>
        <w:ind w:firstLine="628"/>
        <w:spacing w:after="0" w:line="272" w:lineRule="auto"/>
        <w:tabs>
          <w:tab w:leader="none" w:pos="1251" w:val="left"/>
        </w:tabs>
        <w:numPr>
          <w:ilvl w:val="0"/>
          <w:numId w:val="28"/>
        </w:numPr>
        <w:rPr>
          <w:rFonts w:ascii="Arial" w:cs="Arial" w:eastAsia="Arial" w:hAnsi="Arial"/>
          <w:sz w:val="19"/>
          <w:szCs w:val="19"/>
          <w:color w:val="auto"/>
        </w:rPr>
      </w:pPr>
      <w:r>
        <w:rPr>
          <w:rFonts w:ascii="Arial" w:cs="Arial" w:eastAsia="Arial" w:hAnsi="Arial"/>
          <w:sz w:val="19"/>
          <w:szCs w:val="19"/>
          <w:color w:val="auto"/>
        </w:rPr>
        <w:t>Employee hereby warrants, covenants and agrees that Employee shall not disclose to Employer, or any Affiliate, officer, director, employee or agent of Employer, or use in the course of performing Employee’s duties and responsibilities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600"/>
          </w:cols>
          <w:pgMar w:left="960" w:top="1381" w:right="339" w:bottom="1440" w:gutter="0" w:footer="0" w:header="0"/>
        </w:sectPr>
      </w:pPr>
    </w:p>
    <w:bookmarkStart w:id="20" w:name="page21"/>
    <w:bookmarkEnd w:id="20"/>
    <w:p>
      <w:pPr>
        <w:jc w:val="both"/>
        <w:ind w:left="640"/>
        <w:spacing w:after="0" w:line="268" w:lineRule="auto"/>
        <w:rPr>
          <w:sz w:val="20"/>
          <w:szCs w:val="20"/>
          <w:color w:val="auto"/>
        </w:rPr>
      </w:pPr>
      <w:r>
        <w:rPr>
          <w:rFonts w:ascii="Arial" w:cs="Arial" w:eastAsia="Arial" w:hAnsi="Arial"/>
          <w:sz w:val="19"/>
          <w:szCs w:val="19"/>
          <w:color w:val="auto"/>
        </w:rPr>
        <w:t>Employer any proprietary or confidential information or property, including any trade secret, formula, pattern, compilation, program, device, method, technique or process, which Employee is prohibited by contract, or otherwise, to disclose to Employer (the “</w:t>
      </w:r>
      <w:r>
        <w:rPr>
          <w:rFonts w:ascii="Arial" w:cs="Arial" w:eastAsia="Arial" w:hAnsi="Arial"/>
          <w:sz w:val="19"/>
          <w:szCs w:val="19"/>
          <w:b w:val="1"/>
          <w:bCs w:val="1"/>
          <w:color w:val="auto"/>
        </w:rPr>
        <w:t>Restricted Information</w:t>
      </w:r>
      <w:r>
        <w:rPr>
          <w:rFonts w:ascii="Arial" w:cs="Arial" w:eastAsia="Arial" w:hAnsi="Arial"/>
          <w:sz w:val="19"/>
          <w:szCs w:val="19"/>
          <w:color w:val="auto"/>
        </w:rPr>
        <w:t>”). In the event Employer requests Restricted Information from Employee, Employee shall advise Employer that the information requested is Restricted Information and may not be disclosed by Employee.</w:t>
      </w:r>
    </w:p>
    <w:p>
      <w:pPr>
        <w:spacing w:after="0" w:line="182" w:lineRule="exact"/>
        <w:rPr>
          <w:sz w:val="20"/>
          <w:szCs w:val="20"/>
          <w:color w:val="auto"/>
        </w:rPr>
      </w:pPr>
    </w:p>
    <w:p>
      <w:pPr>
        <w:jc w:val="both"/>
        <w:ind w:left="640" w:firstLine="628"/>
        <w:spacing w:after="0" w:line="256" w:lineRule="auto"/>
        <w:tabs>
          <w:tab w:leader="none" w:pos="1902"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Nothing in this Agreement or any other agreement between Employee and Employer or its parents, subsidiaries or Affiliates or any other policies of Employer or its parents, subsidiaries or Affiliates shall prohibit or restrict Employee from: (i) filing a charge or complaint with any Governmental Agency, legislative body, or self-regulatory organization (each an “</w:t>
      </w:r>
      <w:r>
        <w:rPr>
          <w:rFonts w:ascii="Arial" w:cs="Arial" w:eastAsia="Arial" w:hAnsi="Arial"/>
          <w:sz w:val="19"/>
          <w:szCs w:val="19"/>
          <w:b w:val="1"/>
          <w:bCs w:val="1"/>
          <w:color w:val="auto"/>
        </w:rPr>
        <w:t>Agency</w:t>
      </w:r>
      <w:r>
        <w:rPr>
          <w:rFonts w:ascii="Arial" w:cs="Arial" w:eastAsia="Arial" w:hAnsi="Arial"/>
          <w:sz w:val="19"/>
          <w:szCs w:val="19"/>
          <w:color w:val="auto"/>
        </w:rPr>
        <w:t>”), including but not limited to claims of harassment or discrimination; (ii) initiating communications with, or responding to any inquiry from, any Agency regarding any good faith concerns about possible violations of law or regulation, including providing documents or other information, without notice to Employer; (iii) making any disclosure of relevant and necessary information or documents in any action, investigation, or proceeding as required by law or legal process, including with respect to possible violations of laws, without notice to Employer; (iv) participating, cooperating, or testifying in any action, investigation, or proceeding with, or providing information to, any Agency, and/or pursuant to the Sarbanes-Oxley Act including providing documents or other information, without notice to Employer; and/or</w:t>
      </w:r>
    </w:p>
    <w:p>
      <w:pPr>
        <w:spacing w:after="0" w:line="3" w:lineRule="exact"/>
        <w:rPr>
          <w:rFonts w:ascii="Arial" w:cs="Arial" w:eastAsia="Arial" w:hAnsi="Arial"/>
          <w:sz w:val="19"/>
          <w:szCs w:val="19"/>
          <w:color w:val="auto"/>
        </w:rPr>
      </w:pPr>
    </w:p>
    <w:p>
      <w:pPr>
        <w:ind w:left="960" w:hanging="323"/>
        <w:spacing w:after="0"/>
        <w:tabs>
          <w:tab w:leader="none" w:pos="9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seeking, obtaining, or accepting any U.S. Securities and Exchange Commission awards. Pursuant to 18 U.S.C. §</w:t>
      </w:r>
    </w:p>
    <w:p>
      <w:pPr>
        <w:spacing w:after="0" w:line="18" w:lineRule="exact"/>
        <w:rPr>
          <w:sz w:val="20"/>
          <w:szCs w:val="20"/>
          <w:color w:val="auto"/>
        </w:rPr>
      </w:pPr>
    </w:p>
    <w:p>
      <w:pPr>
        <w:jc w:val="both"/>
        <w:ind w:left="640"/>
        <w:spacing w:after="0" w:line="255" w:lineRule="auto"/>
        <w:rPr>
          <w:sz w:val="20"/>
          <w:szCs w:val="20"/>
          <w:color w:val="auto"/>
        </w:rPr>
      </w:pPr>
      <w:r>
        <w:rPr>
          <w:rFonts w:ascii="Arial" w:cs="Arial" w:eastAsia="Arial" w:hAnsi="Arial"/>
          <w:sz w:val="19"/>
          <w:szCs w:val="19"/>
          <w:color w:val="auto"/>
        </w:rPr>
        <w:t>1833(b), Employee will not be held criminally or civilly liable under any federal or state trade secret law for the disclosure of a trade secret of Employer or its affiliates that (A) is made (1) in confidence to a federal, state, or local government official, either directly or indirectly, or to Employee’s attorney and (2) solely for the purpose of reporting or investigating a suspected violation of law; or (B) is made in a complaint or other document that is filed under seal in a lawsuit or other proceeding. If Employee files a lawsuit for retaliation by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Employer or its affiliates and Employee or any other policies of Employer or its affiliates is intended to conflict with 18 U.S.C. § 1833(b) or create liability for disclosures of trade secrets that are expressly allowed by such section.</w:t>
      </w:r>
    </w:p>
    <w:p>
      <w:pPr>
        <w:spacing w:after="0" w:line="214" w:lineRule="exact"/>
        <w:rPr>
          <w:sz w:val="20"/>
          <w:szCs w:val="20"/>
          <w:color w:val="auto"/>
        </w:rPr>
      </w:pPr>
    </w:p>
    <w:p>
      <w:pPr>
        <w:ind w:left="640" w:firstLine="628"/>
        <w:spacing w:after="0" w:line="285" w:lineRule="auto"/>
        <w:tabs>
          <w:tab w:leader="none" w:pos="1902"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obligations of this Section 9 are continuing and shall survive the termination of Employee’s employment with Employer for any reason.</w:t>
      </w:r>
    </w:p>
    <w:p>
      <w:pPr>
        <w:spacing w:after="0" w:line="178" w:lineRule="exact"/>
        <w:rPr>
          <w:rFonts w:ascii="Arial" w:cs="Arial" w:eastAsia="Arial" w:hAnsi="Arial"/>
          <w:sz w:val="19"/>
          <w:szCs w:val="19"/>
          <w:color w:val="auto"/>
        </w:rPr>
      </w:pPr>
    </w:p>
    <w:p>
      <w:pPr>
        <w:jc w:val="both"/>
        <w:ind w:firstLine="637"/>
        <w:spacing w:after="0" w:line="268" w:lineRule="auto"/>
        <w:tabs>
          <w:tab w:leader="none" w:pos="1255"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RESTRICTIVE COVENANT/NO SOLICITATION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consideration of the mutual promises and covenants contained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this Agreement, including but not limited to the compensation identified in Section 6 (as applicable) and 7 of this Agreement, and for other good and valuable consideration, the receipt and sufficiency of which are hereby mutually acknowledged, Employee agrees as follows:</w:t>
      </w:r>
    </w:p>
    <w:p>
      <w:pPr>
        <w:spacing w:after="0" w:line="182" w:lineRule="exact"/>
        <w:rPr>
          <w:rFonts w:ascii="Arial" w:cs="Arial" w:eastAsia="Arial" w:hAnsi="Arial"/>
          <w:sz w:val="19"/>
          <w:szCs w:val="19"/>
          <w:b w:val="1"/>
          <w:bCs w:val="1"/>
          <w:color w:val="auto"/>
        </w:rPr>
      </w:pPr>
    </w:p>
    <w:p>
      <w:pPr>
        <w:jc w:val="both"/>
        <w:ind w:left="640" w:firstLine="628"/>
        <w:spacing w:after="0" w:line="279" w:lineRule="auto"/>
        <w:tabs>
          <w:tab w:leader="none" w:pos="1902" w:val="left"/>
        </w:tabs>
        <w:numPr>
          <w:ilvl w:val="1"/>
          <w:numId w:val="32"/>
        </w:numPr>
        <w:rPr>
          <w:rFonts w:ascii="Arial" w:cs="Arial" w:eastAsia="Arial" w:hAnsi="Arial"/>
          <w:sz w:val="19"/>
          <w:szCs w:val="19"/>
          <w:color w:val="auto"/>
        </w:rPr>
      </w:pPr>
      <w:r>
        <w:rPr>
          <w:rFonts w:ascii="Arial" w:cs="Arial" w:eastAsia="Arial" w:hAnsi="Arial"/>
          <w:sz w:val="19"/>
          <w:szCs w:val="19"/>
          <w:color w:val="auto"/>
        </w:rPr>
        <w:t>Employee hereby covenants and agrees that during the Restricted Period, Employee shall not, directly or indirectly, either as a principal, agent, employee, employer, consultant, partner, member of a limited liability company, shareholder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81" w:right="339" w:bottom="1440" w:gutter="0" w:footer="0" w:header="0"/>
        </w:sectPr>
      </w:pPr>
    </w:p>
    <w:bookmarkStart w:id="21" w:name="page22"/>
    <w:bookmarkEnd w:id="21"/>
    <w:p>
      <w:pPr>
        <w:jc w:val="both"/>
        <w:ind w:left="640"/>
        <w:spacing w:after="0" w:line="261" w:lineRule="auto"/>
        <w:rPr>
          <w:sz w:val="20"/>
          <w:szCs w:val="20"/>
          <w:color w:val="auto"/>
        </w:rPr>
      </w:pPr>
      <w:r>
        <w:rPr>
          <w:rFonts w:ascii="Arial" w:cs="Arial" w:eastAsia="Arial" w:hAnsi="Arial"/>
          <w:sz w:val="19"/>
          <w:szCs w:val="19"/>
          <w:color w:val="auto"/>
        </w:rPr>
        <w:t>closely held corporation, or shareholder in excess of two percent (2%) of a publicly traded corporation, corporate officer or director, manager, or in any other individual or representative capacity, directly or indirectly, provide services to a competing business that are the same as or similar in purpose or function to those Employee provided to Employer or any of its Affiliates during the last two (2) years of Employee’s employment with Employer or that are likely to result in the use or disclosure of Confidential Information, in or about any market in which Employer or its Affiliates currently operate or have announced, publicly or otherwise, a plan to have hotel or gaming operations, including any hotel, casino, restaurant, lounge, nightclub, day club, beach club, or sports wagering or online gaming operations.</w:t>
      </w:r>
    </w:p>
    <w:p>
      <w:pPr>
        <w:spacing w:after="0" w:line="192" w:lineRule="exact"/>
        <w:rPr>
          <w:sz w:val="20"/>
          <w:szCs w:val="20"/>
          <w:color w:val="auto"/>
        </w:rPr>
      </w:pPr>
    </w:p>
    <w:p>
      <w:pPr>
        <w:jc w:val="both"/>
        <w:ind w:left="640" w:firstLine="628"/>
        <w:spacing w:after="0" w:line="260" w:lineRule="auto"/>
        <w:tabs>
          <w:tab w:leader="none" w:pos="1902"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hereby further covenants and agrees that during the Restricted Period, Employee shall not take any actions, whether directly or indirectly, including by way of a third-party intermediary, to solicit, encourage or otherwise cause any employee of Employer or its Affiliates to leave employment,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beach club, or sports wagering or online gaming operations. The parties agree that the terms “solicit, encourage or otherwise cause” include Employee’s participation in the recruitment, applicant assessment or review, and employee selection.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640" w:firstLine="628"/>
        <w:spacing w:after="0" w:line="262" w:lineRule="auto"/>
        <w:tabs>
          <w:tab w:leader="none" w:pos="1891"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hereby covenants and agrees that, at any time during the Restricted Period, Employee shall not, directly or indirectly, solicit any current, former (within the preceding one-year period) or prospective customer of Employer or any of its Affiliates with whom Employee had material contact or about whom Employee acquired Confidential Information during the last two (2) years of his employment to terminate, reduce or negatively alter his, her, its relationship with Employer or to do business with a competing business.</w:t>
      </w:r>
    </w:p>
    <w:p>
      <w:pPr>
        <w:spacing w:after="0" w:line="202" w:lineRule="exact"/>
        <w:rPr>
          <w:rFonts w:ascii="Arial" w:cs="Arial" w:eastAsia="Arial" w:hAnsi="Arial"/>
          <w:sz w:val="19"/>
          <w:szCs w:val="19"/>
          <w:color w:val="auto"/>
        </w:rPr>
      </w:pPr>
    </w:p>
    <w:p>
      <w:pPr>
        <w:jc w:val="both"/>
        <w:ind w:left="640" w:firstLine="628"/>
        <w:spacing w:after="0" w:line="259" w:lineRule="auto"/>
        <w:tabs>
          <w:tab w:leader="none" w:pos="1902"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and do not impose any restraint that is greater than is required for the protection of Employer and its Affiliates.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 and enforce the covenants as revised.</w:t>
      </w:r>
    </w:p>
    <w:p>
      <w:pPr>
        <w:spacing w:after="0" w:line="204" w:lineRule="exact"/>
        <w:rPr>
          <w:rFonts w:ascii="Arial" w:cs="Arial" w:eastAsia="Arial" w:hAnsi="Arial"/>
          <w:sz w:val="19"/>
          <w:szCs w:val="19"/>
          <w:color w:val="auto"/>
        </w:rPr>
      </w:pPr>
    </w:p>
    <w:p>
      <w:pPr>
        <w:ind w:left="640" w:firstLine="628"/>
        <w:spacing w:after="0" w:line="299" w:lineRule="auto"/>
        <w:tabs>
          <w:tab w:leader="none" w:pos="1902"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hereby agrees that any subsequent material change or changes in Employee’s title, duties, salary or compensation will not affect the validity or scope of this Section 10, or invalidate this Section 10 in any way.</w:t>
      </w:r>
    </w:p>
    <w:p>
      <w:pPr>
        <w:spacing w:after="0" w:line="153" w:lineRule="exact"/>
        <w:rPr>
          <w:rFonts w:ascii="Arial" w:cs="Arial" w:eastAsia="Arial" w:hAnsi="Arial"/>
          <w:sz w:val="19"/>
          <w:szCs w:val="19"/>
          <w:color w:val="auto"/>
        </w:rPr>
      </w:pPr>
    </w:p>
    <w:p>
      <w:pPr>
        <w:jc w:val="both"/>
        <w:ind w:firstLine="637"/>
        <w:spacing w:after="0" w:line="272" w:lineRule="auto"/>
        <w:tabs>
          <w:tab w:leader="none" w:pos="124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REMEDIES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acknowledges that Employer has and will continue to deliver, provide and expose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certain knowledge, information, practices, and procedures possessed or developed by or for Employer at a considerable investment of time and expense, which are protected as confidential and which are essential for carrying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81" w:right="3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9"/>
          <w:szCs w:val="19"/>
          <w:color w:val="auto"/>
        </w:rPr>
        <w:t>Employer’s business in a highly competitive market. Employee also acknowledges that Employee will be exposed to Confidential Information, Trade Secrets, Work Product,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and in the event of any such breach, the Restricted Period shall be extended for a period of time commensurate with the period of breach. If Employee violates one of the post-employment restrictions set forth in Sections 10(b) or (c) of this Agreement, the time period for that restriction will be extended by one day for each day Employee is found to be in violation of it, up to a maximum extension of time equal in length to the original period of restriction, so as to give Employer the benefit of a period of forbearance by Employee that is equal to the original length of time provided for. In addition, Employee agrees that if he breaches his fiduciary duty to Employer or unlawfully take, physically or electronically, property belonging to Employer, the time period for the restriction contained in Section 10(a) may be equitably extended by an enforcing court for a period not to exceed 2 years from the date of cessation of Employee’s employment.</w:t>
      </w:r>
    </w:p>
    <w:p>
      <w:pPr>
        <w:spacing w:after="0" w:line="200" w:lineRule="exact"/>
        <w:rPr>
          <w:sz w:val="20"/>
          <w:szCs w:val="20"/>
          <w:color w:val="auto"/>
        </w:rPr>
      </w:pPr>
    </w:p>
    <w:p>
      <w:pPr>
        <w:spacing w:after="0" w:line="246" w:lineRule="exact"/>
        <w:rPr>
          <w:sz w:val="20"/>
          <w:szCs w:val="20"/>
          <w:color w:val="auto"/>
        </w:rPr>
      </w:pPr>
    </w:p>
    <w:p>
      <w:pPr>
        <w:jc w:val="both"/>
        <w:ind w:firstLine="637"/>
        <w:spacing w:after="0" w:line="262" w:lineRule="auto"/>
        <w:tabs>
          <w:tab w:leader="none" w:pos="1255"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COUNTERPARTS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may be executed in one or more counterparts, each of which when executed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delivered shall be an original, and both of which, when executed, shall constitute one and the same agreement. The exchange of copies of this Agreement and of signature pages by facsimile or other electronic transmission shall constitute effective execution and delivery of this Agreement as to the parties and may be used in lieu of the original Agreement for all purposes. Signatures of the parties transmitted by facsimile or other electronic means shall be deemed to be original signatures for all purposes.</w:t>
      </w:r>
    </w:p>
    <w:p>
      <w:pPr>
        <w:spacing w:after="0" w:line="202" w:lineRule="exact"/>
        <w:rPr>
          <w:rFonts w:ascii="Arial" w:cs="Arial" w:eastAsia="Arial" w:hAnsi="Arial"/>
          <w:sz w:val="19"/>
          <w:szCs w:val="19"/>
          <w:b w:val="1"/>
          <w:bCs w:val="1"/>
          <w:color w:val="auto"/>
        </w:rPr>
      </w:pPr>
    </w:p>
    <w:p>
      <w:pPr>
        <w:ind w:firstLine="637"/>
        <w:spacing w:after="0" w:line="285" w:lineRule="auto"/>
        <w:tabs>
          <w:tab w:leader="none" w:pos="1255"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SUCCESSION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shall be binding upon and inure to the benefit of the parties hereto and their heirs,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executors, administrators, personal representatives, successors and permitted assigns.</w:t>
      </w:r>
    </w:p>
    <w:p>
      <w:pPr>
        <w:spacing w:after="0" w:line="178" w:lineRule="exact"/>
        <w:rPr>
          <w:rFonts w:ascii="Arial" w:cs="Arial" w:eastAsia="Arial" w:hAnsi="Arial"/>
          <w:sz w:val="19"/>
          <w:szCs w:val="19"/>
          <w:b w:val="1"/>
          <w:bCs w:val="1"/>
          <w:color w:val="auto"/>
        </w:rPr>
      </w:pPr>
    </w:p>
    <w:p>
      <w:pPr>
        <w:jc w:val="both"/>
        <w:ind w:firstLine="637"/>
        <w:spacing w:after="0" w:line="260" w:lineRule="auto"/>
        <w:tabs>
          <w:tab w:leader="none" w:pos="1255"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ASSIGNMENT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 shall not assign this Agreement or delegate Employee’s duties hereunder without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express written prior consent of Employer, by and through a duly authorized officer of Employer (other than Employee),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81" w:right="339" w:bottom="1440" w:gutter="0" w:footer="0" w:header="0"/>
        </w:sectPr>
      </w:pPr>
    </w:p>
    <w:bookmarkStart w:id="23" w:name="page24"/>
    <w:bookmarkEnd w:id="23"/>
    <w:p>
      <w:pPr>
        <w:jc w:val="both"/>
        <w:ind w:firstLine="637"/>
        <w:spacing w:after="0" w:line="272" w:lineRule="auto"/>
        <w:tabs>
          <w:tab w:leader="none" w:pos="1255"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AMENDMENT OR MODIFICATION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may not be amended, modified, changed or altered except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writing signed by both Employer, by and through a duly authorized officer of Employer (other than Employee), and Employee or by Court Order.</w:t>
      </w:r>
    </w:p>
    <w:p>
      <w:pPr>
        <w:spacing w:after="0" w:line="191" w:lineRule="exact"/>
        <w:rPr>
          <w:rFonts w:ascii="Arial" w:cs="Arial" w:eastAsia="Arial" w:hAnsi="Arial"/>
          <w:sz w:val="19"/>
          <w:szCs w:val="19"/>
          <w:b w:val="1"/>
          <w:bCs w:val="1"/>
          <w:color w:val="auto"/>
        </w:rPr>
      </w:pPr>
    </w:p>
    <w:p>
      <w:pPr>
        <w:ind w:firstLine="637"/>
        <w:spacing w:after="0" w:line="285" w:lineRule="auto"/>
        <w:tabs>
          <w:tab w:leader="none" w:pos="1255"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GOVERNING LAW.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shall be governed by and construed in accordance with the laws of the State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Nevada, without regard to conflict of laws principles.</w:t>
      </w:r>
    </w:p>
    <w:p>
      <w:pPr>
        <w:spacing w:after="0" w:line="178" w:lineRule="exact"/>
        <w:rPr>
          <w:rFonts w:ascii="Arial" w:cs="Arial" w:eastAsia="Arial" w:hAnsi="Arial"/>
          <w:sz w:val="19"/>
          <w:szCs w:val="19"/>
          <w:b w:val="1"/>
          <w:bCs w:val="1"/>
          <w:color w:val="auto"/>
        </w:rPr>
      </w:pPr>
    </w:p>
    <w:p>
      <w:pPr>
        <w:ind w:firstLine="637"/>
        <w:spacing w:after="0" w:line="299" w:lineRule="auto"/>
        <w:tabs>
          <w:tab w:leader="none" w:pos="1255"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NOTICES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and all notices required under this Agreement shall be in writing and shall be either hand-delivered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mailed, certified mail, return receipt requested, addressed to:</w:t>
      </w:r>
    </w:p>
    <w:p>
      <w:pPr>
        <w:spacing w:after="0" w:line="153" w:lineRule="exact"/>
        <w:rPr>
          <w:sz w:val="20"/>
          <w:szCs w:val="20"/>
          <w:color w:val="auto"/>
        </w:rPr>
      </w:pPr>
    </w:p>
    <w:p>
      <w:pPr>
        <w:ind w:left="440"/>
        <w:spacing w:after="0"/>
        <w:tabs>
          <w:tab w:leader="none" w:pos="2280" w:val="left"/>
        </w:tabs>
        <w:rPr>
          <w:sz w:val="20"/>
          <w:szCs w:val="20"/>
          <w:color w:val="auto"/>
        </w:rPr>
      </w:pPr>
      <w:r>
        <w:rPr>
          <w:rFonts w:ascii="Arial" w:cs="Arial" w:eastAsia="Arial" w:hAnsi="Arial"/>
          <w:sz w:val="19"/>
          <w:szCs w:val="19"/>
          <w:u w:val="single" w:color="auto"/>
          <w:color w:val="auto"/>
        </w:rPr>
        <w:t>TO EMPLOYER</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Wynn Resorts, Limited</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3131 Las Vegas Boulevard South</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Las Vegas, Nevada 89109</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Attn: Legal Department</w:t>
      </w:r>
    </w:p>
    <w:p>
      <w:pPr>
        <w:spacing w:after="0" w:line="224" w:lineRule="exact"/>
        <w:rPr>
          <w:sz w:val="20"/>
          <w:szCs w:val="20"/>
          <w:color w:val="auto"/>
        </w:rPr>
      </w:pPr>
    </w:p>
    <w:p>
      <w:pPr>
        <w:ind w:left="440"/>
        <w:spacing w:after="0"/>
        <w:tabs>
          <w:tab w:leader="none" w:pos="2280" w:val="left"/>
        </w:tabs>
        <w:rPr>
          <w:sz w:val="20"/>
          <w:szCs w:val="20"/>
          <w:color w:val="auto"/>
        </w:rPr>
      </w:pPr>
      <w:r>
        <w:rPr>
          <w:rFonts w:ascii="Arial" w:cs="Arial" w:eastAsia="Arial" w:hAnsi="Arial"/>
          <w:sz w:val="19"/>
          <w:szCs w:val="19"/>
          <w:u w:val="single" w:color="auto"/>
          <w:color w:val="auto"/>
        </w:rPr>
        <w:t>TO EMPLOYEE</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Craig Fullalove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[intentionally omitted]</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172" w:lineRule="exact"/>
        <w:rPr>
          <w:sz w:val="20"/>
          <w:szCs w:val="20"/>
          <w:color w:val="auto"/>
        </w:rPr>
      </w:pPr>
    </w:p>
    <w:p>
      <w:pPr>
        <w:jc w:val="both"/>
        <w:ind w:firstLine="637"/>
        <w:spacing w:after="0" w:line="268" w:lineRule="auto"/>
        <w:tabs>
          <w:tab w:leader="none" w:pos="125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INTERPRETATION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preamble recitals to this Agreement are incorporated into and made a part of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spacing w:after="0" w:line="182" w:lineRule="exact"/>
        <w:rPr>
          <w:rFonts w:ascii="Arial" w:cs="Arial" w:eastAsia="Arial" w:hAnsi="Arial"/>
          <w:sz w:val="19"/>
          <w:szCs w:val="19"/>
          <w:b w:val="1"/>
          <w:bCs w:val="1"/>
          <w:color w:val="auto"/>
        </w:rPr>
      </w:pPr>
    </w:p>
    <w:p>
      <w:pPr>
        <w:jc w:val="both"/>
        <w:ind w:firstLine="637"/>
        <w:spacing w:after="0" w:line="280" w:lineRule="auto"/>
        <w:tabs>
          <w:tab w:leader="none" w:pos="125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SEVERABILITY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the event any one or more provisions of this Agreement is declared judicially void or otherwise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unenforceable, the remainder of this Agreement shall survive and such provision(s) shall be deemed modified or amended so as to fulfill the intent of the parties hereto.</w:t>
      </w:r>
    </w:p>
    <w:p>
      <w:pPr>
        <w:spacing w:after="0" w:line="169" w:lineRule="exact"/>
        <w:rPr>
          <w:rFonts w:ascii="Arial" w:cs="Arial" w:eastAsia="Arial" w:hAnsi="Arial"/>
          <w:sz w:val="19"/>
          <w:szCs w:val="19"/>
          <w:b w:val="1"/>
          <w:bCs w:val="1"/>
          <w:color w:val="auto"/>
        </w:rPr>
      </w:pPr>
    </w:p>
    <w:p>
      <w:pPr>
        <w:jc w:val="both"/>
        <w:ind w:firstLine="637"/>
        <w:spacing w:after="0" w:line="272" w:lineRule="auto"/>
        <w:tabs>
          <w:tab w:leader="none" w:pos="125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WAIVER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None of the terms of this Agreement, including this Section 20, or any term, right or remedy hereunder,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91" w:lineRule="exact"/>
        <w:rPr>
          <w:rFonts w:ascii="Arial" w:cs="Arial" w:eastAsia="Arial" w:hAnsi="Arial"/>
          <w:sz w:val="19"/>
          <w:szCs w:val="19"/>
          <w:b w:val="1"/>
          <w:bCs w:val="1"/>
          <w:color w:val="auto"/>
        </w:rPr>
      </w:pPr>
    </w:p>
    <w:p>
      <w:pPr>
        <w:jc w:val="both"/>
        <w:ind w:firstLine="637"/>
        <w:spacing w:after="0" w:line="261" w:lineRule="auto"/>
        <w:tabs>
          <w:tab w:leader="none" w:pos="1255"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DISPUTE RESOLUTION</w:t>
      </w:r>
      <w:r>
        <w:rPr>
          <w:rFonts w:ascii="Arial" w:cs="Arial" w:eastAsia="Arial" w:hAnsi="Arial"/>
          <w:sz w:val="19"/>
          <w:szCs w:val="19"/>
          <w:color w:val="auto"/>
        </w:rPr>
        <w:t>. Except for a claim by either Employee or Employer for injunctive relief where such would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claims for wrongful termination, or other claims based upon statutory or common law, shall be submitted to binding arbitration in accordance with the employment arbitration rules then in effect of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xml:space="preserve">”), to the extent not inconsistent with this Section as set forth below, and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and the Uniform Arbitration Act as adopted in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81"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9"/>
          <w:szCs w:val="19"/>
          <w:color w:val="auto"/>
        </w:rPr>
        <w:t xml:space="preserve">Revised Statutes 38.015, </w:t>
      </w:r>
      <w:r>
        <w:rPr>
          <w:rFonts w:ascii="Arial" w:cs="Arial" w:eastAsia="Arial" w:hAnsi="Arial"/>
          <w:sz w:val="19"/>
          <w:szCs w:val="19"/>
          <w:i w:val="1"/>
          <w:iCs w:val="1"/>
          <w:color w:val="auto"/>
        </w:rPr>
        <w:t>et seq</w:t>
      </w:r>
      <w:r>
        <w:rPr>
          <w:rFonts w:ascii="Arial" w:cs="Arial" w:eastAsia="Arial" w:hAnsi="Arial"/>
          <w:sz w:val="19"/>
          <w:szCs w:val="19"/>
          <w:color w:val="auto"/>
        </w:rPr>
        <w:t>. This Section 21 applies to any claim Employee might have against any officer, director, employee, or agent of Employer or any of its Affiliates, and all successors and assigns of any of them. These arbitration provisions shall survive the termination of Employee’s employment with Employer and the expiration of this Agreement.</w:t>
      </w:r>
    </w:p>
    <w:p>
      <w:pPr>
        <w:spacing w:after="0" w:line="191" w:lineRule="exact"/>
        <w:rPr>
          <w:sz w:val="20"/>
          <w:szCs w:val="20"/>
          <w:color w:val="auto"/>
        </w:rPr>
      </w:pPr>
    </w:p>
    <w:p>
      <w:pPr>
        <w:jc w:val="both"/>
        <w:ind w:left="640" w:firstLine="628"/>
        <w:spacing w:after="0" w:line="258" w:lineRule="auto"/>
        <w:tabs>
          <w:tab w:leader="none" w:pos="1902" w:val="left"/>
        </w:tabs>
        <w:numPr>
          <w:ilvl w:val="0"/>
          <w:numId w:val="38"/>
        </w:numPr>
        <w:rPr>
          <w:rFonts w:ascii="Arial" w:cs="Arial" w:eastAsia="Arial" w:hAnsi="Arial"/>
          <w:sz w:val="19"/>
          <w:szCs w:val="19"/>
          <w:color w:val="auto"/>
        </w:rPr>
      </w:pPr>
      <w:r>
        <w:rPr>
          <w:rFonts w:ascii="Arial" w:cs="Arial" w:eastAsia="Arial" w:hAnsi="Arial"/>
          <w:sz w:val="19"/>
          <w:szCs w:val="19"/>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and wrongful discharge.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193" w:lineRule="exact"/>
        <w:rPr>
          <w:sz w:val="20"/>
          <w:szCs w:val="20"/>
          <w:color w:val="auto"/>
        </w:rPr>
      </w:pPr>
    </w:p>
    <w:p>
      <w:pPr>
        <w:jc w:val="both"/>
        <w:ind w:left="640" w:firstLine="632"/>
        <w:spacing w:after="0" w:line="262" w:lineRule="auto"/>
        <w:rPr>
          <w:sz w:val="20"/>
          <w:szCs w:val="20"/>
          <w:color w:val="auto"/>
        </w:rPr>
      </w:pPr>
      <w:r>
        <w:rPr>
          <w:rFonts w:ascii="Arial" w:cs="Arial" w:eastAsia="Arial" w:hAnsi="Arial"/>
          <w:sz w:val="19"/>
          <w:szCs w:val="19"/>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based on unlawful employment discrimination and/or harassment; claims for injunctive or equitable relief for violations of non-competition and/or confidentiality covenants contained in Sections 9, 10 and 11; or any claims that are prohibited as a matter of law from being covered by this Section 21.</w:t>
      </w:r>
    </w:p>
    <w:p>
      <w:pPr>
        <w:spacing w:after="0" w:line="201" w:lineRule="exact"/>
        <w:rPr>
          <w:sz w:val="20"/>
          <w:szCs w:val="20"/>
          <w:color w:val="auto"/>
        </w:rPr>
      </w:pPr>
    </w:p>
    <w:p>
      <w:pPr>
        <w:jc w:val="both"/>
        <w:ind w:left="640" w:firstLine="628"/>
        <w:spacing w:after="0" w:line="259" w:lineRule="auto"/>
        <w:tabs>
          <w:tab w:leader="none" w:pos="1902" w:val="left"/>
        </w:tabs>
        <w:numPr>
          <w:ilvl w:val="0"/>
          <w:numId w:val="39"/>
        </w:numPr>
        <w:rPr>
          <w:rFonts w:ascii="Arial" w:cs="Arial" w:eastAsia="Arial" w:hAnsi="Arial"/>
          <w:sz w:val="19"/>
          <w:szCs w:val="19"/>
          <w:color w:val="auto"/>
        </w:rPr>
      </w:pPr>
      <w:r>
        <w:rPr>
          <w:rFonts w:ascii="Arial" w:cs="Arial" w:eastAsia="Arial" w:hAnsi="Arial"/>
          <w:sz w:val="19"/>
          <w:szCs w:val="19"/>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205" w:lineRule="exact"/>
        <w:rPr>
          <w:rFonts w:ascii="Arial" w:cs="Arial" w:eastAsia="Arial" w:hAnsi="Arial"/>
          <w:sz w:val="19"/>
          <w:szCs w:val="19"/>
          <w:color w:val="auto"/>
        </w:rPr>
      </w:pPr>
    </w:p>
    <w:p>
      <w:pPr>
        <w:jc w:val="both"/>
        <w:ind w:left="640" w:firstLine="628"/>
        <w:spacing w:after="0" w:line="263" w:lineRule="auto"/>
        <w:tabs>
          <w:tab w:leader="none" w:pos="1891"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81" w:right="339" w:bottom="1440" w:gutter="0" w:footer="0" w:header="0"/>
        </w:sectPr>
      </w:pPr>
    </w:p>
    <w:bookmarkStart w:id="25" w:name="page26"/>
    <w:bookmarkEnd w:id="25"/>
    <w:p>
      <w:pPr>
        <w:spacing w:after="0" w:line="299" w:lineRule="auto"/>
        <w:rPr>
          <w:sz w:val="20"/>
          <w:szCs w:val="20"/>
          <w:color w:val="auto"/>
        </w:rPr>
      </w:pPr>
      <w:r>
        <w:rPr>
          <w:rFonts w:ascii="Arial" w:cs="Arial" w:eastAsia="Arial" w:hAnsi="Arial"/>
          <w:sz w:val="19"/>
          <w:szCs w:val="19"/>
          <w:color w:val="auto"/>
        </w:rPr>
        <w:t>this Section 21, the complaint, petition or other initial pleading commencing such court action shall be considered the demand for arbitration. In such event, the other party may move that court to compel arbitration.</w:t>
      </w:r>
    </w:p>
    <w:p>
      <w:pPr>
        <w:spacing w:after="0" w:line="153" w:lineRule="exact"/>
        <w:rPr>
          <w:sz w:val="20"/>
          <w:szCs w:val="20"/>
          <w:color w:val="auto"/>
        </w:rPr>
      </w:pPr>
    </w:p>
    <w:p>
      <w:pPr>
        <w:jc w:val="both"/>
        <w:ind w:firstLine="628"/>
        <w:spacing w:after="0" w:line="261" w:lineRule="auto"/>
        <w:tabs>
          <w:tab w:leader="none" w:pos="1262" w:val="left"/>
        </w:tabs>
        <w:numPr>
          <w:ilvl w:val="0"/>
          <w:numId w:val="40"/>
        </w:numPr>
        <w:rPr>
          <w:rFonts w:ascii="Arial" w:cs="Arial" w:eastAsia="Arial" w:hAnsi="Arial"/>
          <w:sz w:val="19"/>
          <w:szCs w:val="19"/>
          <w:color w:val="auto"/>
        </w:rPr>
      </w:pPr>
      <w:r>
        <w:rPr>
          <w:rFonts w:ascii="Arial" w:cs="Arial" w:eastAsia="Arial" w:hAnsi="Arial"/>
          <w:sz w:val="19"/>
          <w:szCs w:val="19"/>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192" w:lineRule="exact"/>
        <w:rPr>
          <w:rFonts w:ascii="Arial" w:cs="Arial" w:eastAsia="Arial" w:hAnsi="Arial"/>
          <w:sz w:val="19"/>
          <w:szCs w:val="19"/>
          <w:color w:val="auto"/>
        </w:rPr>
      </w:pPr>
    </w:p>
    <w:p>
      <w:pPr>
        <w:jc w:val="both"/>
        <w:ind w:firstLine="628"/>
        <w:spacing w:after="0" w:line="261" w:lineRule="auto"/>
        <w:tabs>
          <w:tab w:leader="none" w:pos="126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05" w:lineRule="exact"/>
        <w:rPr>
          <w:rFonts w:ascii="Arial" w:cs="Arial" w:eastAsia="Arial" w:hAnsi="Arial"/>
          <w:sz w:val="19"/>
          <w:szCs w:val="19"/>
          <w:color w:val="auto"/>
        </w:rPr>
      </w:pPr>
    </w:p>
    <w:p>
      <w:pPr>
        <w:jc w:val="both"/>
        <w:ind w:firstLine="628"/>
        <w:spacing w:after="0" w:line="256" w:lineRule="auto"/>
        <w:tabs>
          <w:tab w:leader="none" w:pos="126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600"/>
          </w:cols>
          <w:pgMar w:left="960" w:top="1381" w:right="339" w:bottom="1440" w:gutter="0" w:footer="0" w:header="0"/>
        </w:sectPr>
      </w:pPr>
    </w:p>
    <w:bookmarkStart w:id="26" w:name="page27"/>
    <w:bookmarkEnd w:id="26"/>
    <w:p>
      <w:pPr>
        <w:ind w:left="640"/>
        <w:spacing w:after="0" w:line="299" w:lineRule="auto"/>
        <w:rPr>
          <w:sz w:val="20"/>
          <w:szCs w:val="20"/>
          <w:color w:val="auto"/>
        </w:rPr>
      </w:pPr>
      <w:r>
        <w:rPr>
          <w:rFonts w:ascii="Arial" w:cs="Arial" w:eastAsia="Arial" w:hAnsi="Arial"/>
          <w:sz w:val="19"/>
          <w:szCs w:val="19"/>
          <w:color w:val="auto"/>
        </w:rPr>
        <w:t>hearing briefs. Any party, at its own expense, may arrange for and pay the cost of a court reporter to provide a stenographic record of the proceedings.</w:t>
      </w:r>
    </w:p>
    <w:p>
      <w:pPr>
        <w:spacing w:after="0" w:line="153" w:lineRule="exact"/>
        <w:rPr>
          <w:sz w:val="20"/>
          <w:szCs w:val="20"/>
          <w:color w:val="auto"/>
        </w:rPr>
      </w:pPr>
    </w:p>
    <w:p>
      <w:pPr>
        <w:jc w:val="both"/>
        <w:ind w:left="640" w:firstLine="628"/>
        <w:spacing w:after="0" w:line="262" w:lineRule="auto"/>
        <w:tabs>
          <w:tab w:leader="none" w:pos="1902" w:val="left"/>
        </w:tabs>
        <w:numPr>
          <w:ilvl w:val="1"/>
          <w:numId w:val="41"/>
        </w:numPr>
        <w:rPr>
          <w:rFonts w:ascii="Arial" w:cs="Arial" w:eastAsia="Arial" w:hAnsi="Arial"/>
          <w:sz w:val="19"/>
          <w:szCs w:val="19"/>
          <w:color w:val="auto"/>
        </w:rPr>
      </w:pPr>
      <w:r>
        <w:rPr>
          <w:rFonts w:ascii="Arial" w:cs="Arial" w:eastAsia="Arial" w:hAnsi="Arial"/>
          <w:sz w:val="19"/>
          <w:szCs w:val="19"/>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00" w:lineRule="exact"/>
        <w:rPr>
          <w:rFonts w:ascii="Arial" w:cs="Arial" w:eastAsia="Arial" w:hAnsi="Arial"/>
          <w:sz w:val="19"/>
          <w:szCs w:val="19"/>
          <w:color w:val="auto"/>
        </w:rPr>
      </w:pPr>
    </w:p>
    <w:p>
      <w:pPr>
        <w:jc w:val="both"/>
        <w:ind w:left="640" w:firstLine="628"/>
        <w:spacing w:after="0" w:line="259" w:lineRule="auto"/>
        <w:tabs>
          <w:tab w:leader="none" w:pos="1902" w:val="left"/>
        </w:tabs>
        <w:numPr>
          <w:ilvl w:val="1"/>
          <w:numId w:val="41"/>
        </w:numPr>
        <w:rPr>
          <w:rFonts w:ascii="Arial" w:cs="Arial" w:eastAsia="Arial" w:hAnsi="Arial"/>
          <w:sz w:val="19"/>
          <w:szCs w:val="19"/>
          <w:color w:val="auto"/>
        </w:rPr>
      </w:pPr>
      <w:r>
        <w:rPr>
          <w:rFonts w:ascii="Arial" w:cs="Arial" w:eastAsia="Arial" w:hAnsi="Arial"/>
          <w:sz w:val="19"/>
          <w:szCs w:val="19"/>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204" w:lineRule="exact"/>
        <w:rPr>
          <w:rFonts w:ascii="Arial" w:cs="Arial" w:eastAsia="Arial" w:hAnsi="Arial"/>
          <w:sz w:val="19"/>
          <w:szCs w:val="19"/>
          <w:color w:val="auto"/>
        </w:rPr>
      </w:pPr>
    </w:p>
    <w:p>
      <w:pPr>
        <w:jc w:val="both"/>
        <w:ind w:left="640" w:firstLine="628"/>
        <w:spacing w:after="0" w:line="257" w:lineRule="auto"/>
        <w:tabs>
          <w:tab w:leader="none" w:pos="189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 w:cs="Arial" w:eastAsia="Arial" w:hAnsi="Arial"/>
          <w:sz w:val="19"/>
          <w:szCs w:val="19"/>
          <w:b w:val="1"/>
          <w:bCs w:val="1"/>
          <w:color w:val="auto"/>
        </w:rPr>
        <w:t>Employee and Employer agree to mutually waive their respective rights to a trial by jury in a court of</w:t>
      </w:r>
      <w:r>
        <w:rPr>
          <w:rFonts w:ascii="Arial" w:cs="Arial" w:eastAsia="Arial" w:hAnsi="Arial"/>
          <w:sz w:val="19"/>
          <w:szCs w:val="19"/>
          <w:color w:val="auto"/>
        </w:rPr>
        <w:t xml:space="preserve"> </w:t>
      </w:r>
      <w:r>
        <w:rPr>
          <w:rFonts w:ascii="Arial" w:cs="Arial" w:eastAsia="Arial" w:hAnsi="Arial"/>
          <w:sz w:val="19"/>
          <w:szCs w:val="19"/>
          <w:b w:val="1"/>
          <w:bCs w:val="1"/>
          <w:color w:val="auto"/>
        </w:rPr>
        <w:t>competent jurisdiction in which an action is filed to resolve any such covered claims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40"/>
        <w:spacing w:after="0" w:line="276" w:lineRule="auto"/>
        <w:rPr>
          <w:rFonts w:ascii="Arial" w:cs="Arial" w:eastAsia="Arial" w:hAnsi="Arial"/>
          <w:sz w:val="19"/>
          <w:szCs w:val="19"/>
          <w:color w:val="auto"/>
        </w:rPr>
      </w:pPr>
      <w:r>
        <w:rPr>
          <w:rFonts w:ascii="Arial" w:cs="Arial" w:eastAsia="Arial" w:hAnsi="Arial"/>
          <w:sz w:val="19"/>
          <w:szCs w:val="19"/>
          <w:b w:val="1"/>
          <w:bCs w:val="1"/>
          <w:color w:val="auto"/>
        </w:rPr>
        <w:t>Employee and Employer agree to sign below to specifically authorize and affirmatively agree to utilize the provisions of Section 21 of this Agreement.</w:t>
      </w:r>
    </w:p>
    <w:p>
      <w:pPr>
        <w:spacing w:after="0" w:line="176" w:lineRule="exact"/>
        <w:rPr>
          <w:rFonts w:ascii="Arial" w:cs="Arial" w:eastAsia="Arial" w:hAnsi="Arial"/>
          <w:sz w:val="19"/>
          <w:szCs w:val="19"/>
          <w:color w:val="auto"/>
        </w:rPr>
      </w:pPr>
    </w:p>
    <w:p>
      <w:pPr>
        <w:jc w:val="both"/>
        <w:ind w:firstLine="637"/>
        <w:spacing w:after="0" w:line="259" w:lineRule="auto"/>
        <w:tabs>
          <w:tab w:leader="none" w:pos="1255"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ENTIRE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381" w:right="339" w:bottom="1440" w:gutter="0" w:footer="0" w:header="0"/>
        </w:sectPr>
      </w:pPr>
    </w:p>
    <w:bookmarkStart w:id="27" w:name="page28"/>
    <w:bookmarkEnd w:id="27"/>
    <w:p>
      <w:pPr>
        <w:spacing w:after="0" w:line="177" w:lineRule="exact"/>
        <w:rPr>
          <w:sz w:val="20"/>
          <w:szCs w:val="20"/>
          <w:color w:val="auto"/>
        </w:rPr>
      </w:pPr>
    </w:p>
    <w:p>
      <w:pPr>
        <w:jc w:val="both"/>
        <w:ind w:firstLine="637"/>
        <w:spacing w:after="0" w:line="262" w:lineRule="auto"/>
        <w:tabs>
          <w:tab w:leader="none" w:pos="1255"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FCPA COMPLIANCE</w:t>
      </w:r>
      <w:r>
        <w:rPr>
          <w:rFonts w:ascii="Arial" w:cs="Arial" w:eastAsia="Arial" w:hAnsi="Arial"/>
          <w:sz w:val="19"/>
          <w:szCs w:val="19"/>
          <w:color w:val="auto"/>
        </w:rPr>
        <w:t>. Employer advises Employee that the United States Foreign Corrupt Practices Act (“</w:t>
      </w:r>
      <w:r>
        <w:rPr>
          <w:rFonts w:ascii="Arial" w:cs="Arial" w:eastAsia="Arial" w:hAnsi="Arial"/>
          <w:sz w:val="19"/>
          <w:szCs w:val="19"/>
          <w:b w:val="1"/>
          <w:bCs w:val="1"/>
          <w:color w:val="auto"/>
        </w:rPr>
        <w:t>FCPA</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policy or procedure of Employer. Employee further represents and warrants that Employee will know and understand, and act in accordance with, all policies and procedures of Employer related to anti-corruption and business conduct. Employee agrees to attend mandatory compliance training. Employee undertakes to duly notify Employer if Employee becomes aware of any such violation of policies or procedures of Employer,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Employee also represents and warrants that Employee will disclose to Employer if Employee or any member of Employee’s family is a Foreign Government Official.</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In case of breach of this provision, Employer may suspend or terminate this Agreement at any time without notice or indemnity.</w:t>
      </w:r>
    </w:p>
    <w:p>
      <w:pPr>
        <w:spacing w:after="0" w:line="255" w:lineRule="exact"/>
        <w:rPr>
          <w:sz w:val="20"/>
          <w:szCs w:val="20"/>
          <w:color w:val="auto"/>
        </w:rPr>
      </w:pPr>
    </w:p>
    <w:p>
      <w:pPr>
        <w:jc w:val="both"/>
        <w:ind w:firstLine="637"/>
        <w:spacing w:after="0" w:line="262" w:lineRule="auto"/>
        <w:tabs>
          <w:tab w:leader="none" w:pos="1255"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COOPERATION IN MATTERS RELATED TO 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term of this Agreement, and to the extent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necessary following Employee’s separation from employment, Employee agrees to cooperate with Employer, Employer’s counsel, and any Governmental Agency regarding any outstanding matters that involved Employee during the time and scope of his employment with Employer. Employer shall reimburse Employee for any reasonable expenses incurred through Employee’s participation in such cooperation.</w:t>
      </w:r>
    </w:p>
    <w:p>
      <w:pPr>
        <w:spacing w:after="0" w:line="202" w:lineRule="exact"/>
        <w:rPr>
          <w:rFonts w:ascii="Arial" w:cs="Arial" w:eastAsia="Arial" w:hAnsi="Arial"/>
          <w:sz w:val="19"/>
          <w:szCs w:val="19"/>
          <w:b w:val="1"/>
          <w:bCs w:val="1"/>
          <w:color w:val="auto"/>
        </w:rPr>
      </w:pPr>
    </w:p>
    <w:p>
      <w:pPr>
        <w:jc w:val="both"/>
        <w:ind w:firstLine="637"/>
        <w:spacing w:after="0" w:line="262" w:lineRule="auto"/>
        <w:tabs>
          <w:tab w:leader="none" w:pos="1255"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REVIEW BY PARTIES AND THEIR LEGAL COUNSEL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parties represent that they have read this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acknowledge that they have discussed its contents with their respective legal counsel or have been afforded the opportunity to avail themselves of the opportunity to the extent they each wished to do so. Any rule of construction or interpretation otherwise requiring this Agreement to be construed or interpreted against any party by virtue of the authorship of this Agreement shall not apply to the construction and interpretation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jc w:val="both"/>
        <w:ind w:firstLine="632"/>
        <w:spacing w:after="0" w:line="272" w:lineRule="auto"/>
        <w:rPr>
          <w:sz w:val="20"/>
          <w:szCs w:val="20"/>
          <w:color w:val="auto"/>
        </w:rPr>
      </w:pPr>
      <w:r>
        <w:rPr>
          <w:rFonts w:ascii="Arial" w:cs="Arial" w:eastAsia="Arial" w:hAnsi="Arial"/>
          <w:sz w:val="19"/>
          <w:szCs w:val="19"/>
          <w:b w:val="1"/>
          <w:bCs w:val="1"/>
          <w:color w:val="auto"/>
        </w:rPr>
        <w:t>**Employee and Employer have read and understand that Section 21 (Dispute Resolution) of this Agreement contains provisions requiring Employee, as well as Employer, to submit certain covered disputes between Employee and Employer to arbitration. By signing below, Employee and Employer, specifically authorize and affirmatively agree to utilize the provisions of Section 21 of this Agreement.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gridSpan w:val="2"/>
          </w:tcPr>
          <w:p>
            <w:pPr>
              <w:ind w:left="80"/>
              <w:spacing w:after="0"/>
              <w:rPr>
                <w:sz w:val="20"/>
                <w:szCs w:val="20"/>
                <w:color w:val="auto"/>
              </w:rPr>
            </w:pPr>
            <w:r>
              <w:rPr>
                <w:rFonts w:ascii="Arial" w:cs="Arial" w:eastAsia="Arial" w:hAnsi="Arial"/>
                <w:sz w:val="19"/>
                <w:szCs w:val="19"/>
                <w:b w:val="1"/>
                <w:bCs w:val="1"/>
                <w:color w:val="auto"/>
              </w:rPr>
              <w:t>WYNN RESORTS, LIMITED</w:t>
            </w:r>
          </w:p>
        </w:tc>
        <w:tc>
          <w:tcPr>
            <w:tcW w:w="5060" w:type="dxa"/>
            <w:vAlign w:val="bottom"/>
          </w:tcPr>
          <w:p>
            <w:pPr>
              <w:ind w:left="60"/>
              <w:spacing w:after="0"/>
              <w:rPr>
                <w:sz w:val="20"/>
                <w:szCs w:val="20"/>
                <w:color w:val="auto"/>
              </w:rPr>
            </w:pPr>
            <w:r>
              <w:rPr>
                <w:rFonts w:ascii="Arial" w:cs="Arial" w:eastAsia="Arial" w:hAnsi="Arial"/>
                <w:sz w:val="19"/>
                <w:szCs w:val="19"/>
                <w:b w:val="1"/>
                <w:bCs w:val="1"/>
                <w:color w:val="auto"/>
              </w:rPr>
              <w:t>EMPLOYEE</w:t>
            </w:r>
          </w:p>
        </w:tc>
      </w:tr>
      <w:tr>
        <w:trPr>
          <w:trHeight w:val="832"/>
        </w:trPr>
        <w:tc>
          <w:tcPr>
            <w:tcW w:w="6180" w:type="dxa"/>
            <w:vAlign w:val="bottom"/>
            <w:gridSpan w:val="2"/>
          </w:tcPr>
          <w:p>
            <w:pPr>
              <w:ind w:left="80"/>
              <w:spacing w:after="0"/>
              <w:rPr>
                <w:sz w:val="20"/>
                <w:szCs w:val="20"/>
                <w:color w:val="auto"/>
              </w:rPr>
            </w:pPr>
            <w:r>
              <w:rPr>
                <w:rFonts w:ascii="Arial" w:cs="Arial" w:eastAsia="Arial" w:hAnsi="Arial"/>
                <w:sz w:val="19"/>
                <w:szCs w:val="19"/>
                <w:color w:val="auto"/>
              </w:rPr>
              <w:t>/s/ Craig Billings</w:t>
            </w:r>
          </w:p>
        </w:tc>
        <w:tc>
          <w:tcPr>
            <w:tcW w:w="5060" w:type="dxa"/>
            <w:vAlign w:val="bottom"/>
          </w:tcPr>
          <w:p>
            <w:pPr>
              <w:ind w:left="60"/>
              <w:spacing w:after="0"/>
              <w:rPr>
                <w:sz w:val="20"/>
                <w:szCs w:val="20"/>
                <w:color w:val="auto"/>
              </w:rPr>
            </w:pPr>
            <w:r>
              <w:rPr>
                <w:rFonts w:ascii="Arial" w:cs="Arial" w:eastAsia="Arial" w:hAnsi="Arial"/>
                <w:sz w:val="19"/>
                <w:szCs w:val="19"/>
                <w:color w:val="auto"/>
              </w:rPr>
              <w:t>/s/ Craig Fullalove</w:t>
            </w:r>
          </w:p>
        </w:tc>
      </w:tr>
      <w:tr>
        <w:trPr>
          <w:trHeight w:val="43"/>
        </w:trPr>
        <w:tc>
          <w:tcPr>
            <w:tcW w:w="3920" w:type="dxa"/>
            <w:vAlign w:val="bottom"/>
            <w:tcBorders>
              <w:bottom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266"/>
        </w:trPr>
        <w:tc>
          <w:tcPr>
            <w:tcW w:w="6180" w:type="dxa"/>
            <w:vAlign w:val="bottom"/>
            <w:gridSpan w:val="2"/>
          </w:tcPr>
          <w:p>
            <w:pPr>
              <w:ind w:left="80"/>
              <w:spacing w:after="0"/>
              <w:rPr>
                <w:sz w:val="20"/>
                <w:szCs w:val="20"/>
                <w:color w:val="auto"/>
              </w:rPr>
            </w:pPr>
            <w:r>
              <w:rPr>
                <w:rFonts w:ascii="Arial" w:cs="Arial" w:eastAsia="Arial" w:hAnsi="Arial"/>
                <w:sz w:val="19"/>
                <w:szCs w:val="19"/>
                <w:color w:val="auto"/>
              </w:rPr>
              <w:t>Craig Billings, Chief Executive Officer</w:t>
            </w:r>
          </w:p>
        </w:tc>
        <w:tc>
          <w:tcPr>
            <w:tcW w:w="5060" w:type="dxa"/>
            <w:vAlign w:val="bottom"/>
          </w:tcPr>
          <w:p>
            <w:pPr>
              <w:ind w:left="60"/>
              <w:spacing w:after="0"/>
              <w:rPr>
                <w:sz w:val="20"/>
                <w:szCs w:val="20"/>
                <w:color w:val="auto"/>
              </w:rPr>
            </w:pPr>
            <w:r>
              <w:rPr>
                <w:rFonts w:ascii="Arial" w:cs="Arial" w:eastAsia="Arial" w:hAnsi="Arial"/>
                <w:sz w:val="19"/>
                <w:szCs w:val="19"/>
                <w:color w:val="auto"/>
              </w:rPr>
              <w:t>Craig Fullalove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72"/>
        <w:spacing w:after="0" w:line="299" w:lineRule="auto"/>
        <w:rPr>
          <w:sz w:val="20"/>
          <w:szCs w:val="20"/>
          <w:color w:val="auto"/>
        </w:rPr>
      </w:pPr>
      <w:r>
        <w:rPr>
          <w:rFonts w:ascii="Arial" w:cs="Arial" w:eastAsia="Arial" w:hAnsi="Arial"/>
          <w:sz w:val="19"/>
          <w:szCs w:val="19"/>
          <w:b w:val="1"/>
          <w:bCs w:val="1"/>
          <w:i w:val="1"/>
          <w:iCs w:val="1"/>
          <w:color w:val="auto"/>
        </w:rPr>
        <w:t xml:space="preserve">IN WITNESS WHEREOF AND INTENDING TO BE LEGALLY BOUND HEREBY, </w:t>
      </w:r>
      <w:r>
        <w:rPr>
          <w:rFonts w:ascii="Arial" w:cs="Arial" w:eastAsia="Arial" w:hAnsi="Arial"/>
          <w:sz w:val="19"/>
          <w:szCs w:val="19"/>
          <w:color w:val="auto"/>
        </w:rPr>
        <w:t>the parties hereto have executed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delivered this Agreement as of the year and date first above written.</w:t>
      </w:r>
    </w:p>
    <w:p>
      <w:pPr>
        <w:spacing w:after="0" w:line="217" w:lineRule="exact"/>
        <w:rPr>
          <w:sz w:val="20"/>
          <w:szCs w:val="20"/>
          <w:color w:val="auto"/>
        </w:rPr>
      </w:pPr>
    </w:p>
    <w:p>
      <w:pPr>
        <w:ind w:left="80"/>
        <w:spacing w:after="0"/>
        <w:tabs>
          <w:tab w:leader="none" w:pos="6320" w:val="left"/>
        </w:tabs>
        <w:rPr>
          <w:sz w:val="20"/>
          <w:szCs w:val="20"/>
          <w:color w:val="auto"/>
        </w:rPr>
      </w:pPr>
      <w:r>
        <w:rPr>
          <w:rFonts w:ascii="Arial" w:cs="Arial" w:eastAsia="Arial" w:hAnsi="Arial"/>
          <w:sz w:val="19"/>
          <w:szCs w:val="19"/>
          <w:b w:val="1"/>
          <w:bCs w:val="1"/>
          <w:color w:val="auto"/>
        </w:rPr>
        <w:t>WYNN RESORTS, LIMITED</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gridSpan w:val="2"/>
          </w:tcPr>
          <w:p>
            <w:pPr>
              <w:ind w:left="80"/>
              <w:spacing w:after="0"/>
              <w:rPr>
                <w:sz w:val="20"/>
                <w:szCs w:val="20"/>
                <w:color w:val="auto"/>
              </w:rPr>
            </w:pPr>
            <w:r>
              <w:rPr>
                <w:rFonts w:ascii="Arial" w:cs="Arial" w:eastAsia="Arial" w:hAnsi="Arial"/>
                <w:sz w:val="19"/>
                <w:szCs w:val="19"/>
                <w:color w:val="auto"/>
              </w:rPr>
              <w:t>/s/ Craig Billings</w:t>
            </w:r>
          </w:p>
        </w:tc>
        <w:tc>
          <w:tcPr>
            <w:tcW w:w="4960" w:type="dxa"/>
            <w:vAlign w:val="bottom"/>
          </w:tcPr>
          <w:p>
            <w:pPr>
              <w:ind w:left="60"/>
              <w:spacing w:after="0"/>
              <w:rPr>
                <w:sz w:val="20"/>
                <w:szCs w:val="20"/>
                <w:color w:val="auto"/>
              </w:rPr>
            </w:pPr>
            <w:r>
              <w:rPr>
                <w:rFonts w:ascii="Arial" w:cs="Arial" w:eastAsia="Arial" w:hAnsi="Arial"/>
                <w:sz w:val="19"/>
                <w:szCs w:val="19"/>
                <w:color w:val="auto"/>
              </w:rPr>
              <w:t>/s/ Craig Fullalove</w:t>
            </w:r>
          </w:p>
        </w:tc>
      </w:tr>
      <w:tr>
        <w:trPr>
          <w:trHeight w:val="43"/>
        </w:trPr>
        <w:tc>
          <w:tcPr>
            <w:tcW w:w="4920" w:type="dxa"/>
            <w:vAlign w:val="bottom"/>
            <w:tcBorders>
              <w:bottom w:val="single" w:sz="8" w:color="auto"/>
            </w:tcBorders>
          </w:tcPr>
          <w:p>
            <w:pPr>
              <w:spacing w:after="0"/>
              <w:rPr>
                <w:sz w:val="3"/>
                <w:szCs w:val="3"/>
                <w:color w:val="auto"/>
              </w:rPr>
            </w:pPr>
          </w:p>
        </w:tc>
        <w:tc>
          <w:tcPr>
            <w:tcW w:w="136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66"/>
        </w:trPr>
        <w:tc>
          <w:tcPr>
            <w:tcW w:w="6280" w:type="dxa"/>
            <w:vAlign w:val="bottom"/>
            <w:gridSpan w:val="2"/>
          </w:tcPr>
          <w:p>
            <w:pPr>
              <w:ind w:left="80"/>
              <w:spacing w:after="0"/>
              <w:rPr>
                <w:sz w:val="20"/>
                <w:szCs w:val="20"/>
                <w:color w:val="auto"/>
              </w:rPr>
            </w:pPr>
            <w:r>
              <w:rPr>
                <w:rFonts w:ascii="Arial" w:cs="Arial" w:eastAsia="Arial" w:hAnsi="Arial"/>
                <w:sz w:val="19"/>
                <w:szCs w:val="19"/>
                <w:color w:val="auto"/>
              </w:rPr>
              <w:t>Craig Billings, Chief Executive Officer</w:t>
            </w:r>
          </w:p>
        </w:tc>
        <w:tc>
          <w:tcPr>
            <w:tcW w:w="4960" w:type="dxa"/>
            <w:vAlign w:val="bottom"/>
          </w:tcPr>
          <w:p>
            <w:pPr>
              <w:ind w:left="60"/>
              <w:spacing w:after="0"/>
              <w:rPr>
                <w:sz w:val="20"/>
                <w:szCs w:val="20"/>
                <w:color w:val="auto"/>
              </w:rPr>
            </w:pPr>
            <w:r>
              <w:rPr>
                <w:rFonts w:ascii="Arial" w:cs="Arial" w:eastAsia="Arial" w:hAnsi="Arial"/>
                <w:sz w:val="19"/>
                <w:szCs w:val="19"/>
                <w:color w:val="auto"/>
              </w:rPr>
              <w:t>Craig Fullalove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37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CRAIG FULLALOVE TO SUCCEED JULIE CAMERON-DOE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CHIEF FINANCIAL OFFICER AT WYNN RESORTS</w:t>
      </w:r>
    </w:p>
    <w:p>
      <w:pPr>
        <w:spacing w:after="0" w:line="24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LAS VEGAS (January 9, 2026) </w:t>
      </w:r>
      <w:r>
        <w:rPr>
          <w:rFonts w:ascii="Times New Roman" w:cs="Times New Roman" w:eastAsia="Times New Roman" w:hAnsi="Times New Roman"/>
          <w:sz w:val="18"/>
          <w:szCs w:val="18"/>
          <w:color w:val="auto"/>
        </w:rPr>
        <w:t>– Wynn Resorts, Limited (NASDAQ: WYNN) ("Wynn Resorts") announced today that Craig Jeffrey Fullalove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succeed Julie Cameron-Doe as Chief Financial Officer of Wynn Resorts, Limited. Ms. Cameron-Doe has elected to retire in mid-2026 but will continue to serve as a consultant to the Company and as a Non-Executive Director of Wynn Macau, Limited. Mr. Fullalove is currently the Chief Financial Officer and Chief Administrative Officer of Wynn Resorts’ Macau operations, and its Hong Kong-listed entity, Wynn Macau, Limited.</w:t>
      </w:r>
    </w:p>
    <w:p>
      <w:pPr>
        <w:spacing w:after="0" w:line="20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Ms. Cameron-Doe has been the Chief Financial Officer of Wynn Resorts since April 2022. She helped to lead the Company’s expansion into Europe with the acquisition and successful integration of Wynn Mayfair, in London. She played a key role in Wynn Resorts’ expansion into the Middle East, including securing financing for the Company’s $5.1 billion Wynn Al Marjan Island, in Ras Al Khaimah, United Arab Emirates. In addition to her work at Wynn Resorts, she is a Non-Executive Director of the Western Union Company.</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Craig S. Billings, CEO of Wynn Resorts, said, “Julie’s leadership has been invaluable to me and the Company. Her stewardship of the team working on the acquisition and integration of Wynn Mayfair in London secured us a footprint in Europe to support the launch of Wynn Al Marjan Island, for which she spearheaded the essential construction financing. Julie’s efforts on shareholder engagement allowed the Company to win all shareholder votes during her tenure, and she well-positioned the Company’s balance sheet through numerous capital market offerings.”</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Craig Fullalove joined Wynn Macau in January 2020, where he oversees all finance matters for the Company, including corporate and operational finance areas, cage operations, procurement and contract services, risk management and compliance, sustainability, and strategic finance. Mr. Fullalove also leads business development, supporting the Company’s casino and non-casino marketing efforts in Macau. In addition, he oversees various administrative areas including Information Technology, Human Resources, and Corporate Investigations.</w:t>
      </w:r>
    </w:p>
    <w:p>
      <w:pPr>
        <w:spacing w:after="0" w:line="21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Before joining Wynn Resorts, Mr. Fullalove was the Senior Vice President and Chief Financial Officer for Asian Coast Development Limited (ACDL). Prior to joining ACDL, Mr. Fullalove worked with Deloitte &amp; Touche for nine years in various roles within both audit and financial advisory. Mr. Fullalove has more than 22 years of international experience in finance, having worked previously in South Africa, the United Kingdom, Canada and Vietnam.</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Mr. Fullalove is a qualified Chartered Accountant and holds a Bachelor of Commerce from the University of Cape Town.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WYNN RESORTS</w:t>
      </w:r>
    </w:p>
    <w:p>
      <w:pPr>
        <w:spacing w:after="0" w:line="22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Wynn Resorts, Limited, is traded on the Nasdaq Global Select Market under the ticker symbol WYNN and is part of the S&amp;P 500 Index. Wynn Resorts (wynnresorts.com) owns and operates Wynn Las Vegas (wynnlasvegas.com), Wynn Mayfair in London (wynnmayfair.com), and operates Encore Boston Harbor (encorebostonharbor.com). It is the majority shareholder of Wynn Macau, Limited, which is listed on the HKSE (1128.HK), and includes Wynn Macau (wynnmacau.com) and Wynn Palace in Cotai (wynnpalace.com). The Company, along with its equity partners, is constructing an Integrated Resort in Ras Al Khaimah, United Arab Emirates, set to open in early 2027.</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Wynn and Encore Las Vegas consist of two luxury hotel towers with a total of 4,748 spacious hotel rooms, suites, and villas. The resort features 22 signature dining experiences, 10 bars, two award-winning spas, meeting and convention space, three shopping esplanades, as well as two showrooms, two nightclubs, a beach club, and Wynn Golf Club, an 18-hole championship golf course.</w:t>
      </w:r>
    </w:p>
    <w:p>
      <w:pPr>
        <w:spacing w:after="0" w:line="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Encore Boston Harbor is a luxury resort destination featuring 671 hotel rooms and suites, an ultra-premium spa, fourteen dining and lounge venues, a nightclub, and a state-of-the-art ballroom and meeting spaces. Situated on the waterfront along the Mystic River in Everett, Massachusetts, the resort has a six-acre public park and Harborwalk.</w:t>
      </w:r>
    </w:p>
    <w:p>
      <w:pPr>
        <w:spacing w:after="0" w:line="2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Macau is a luxury hotel and casino resort located in the Macau Special Administrative Region of the People's Republic of China with two luxury hotel towers with a total of 1,010 spacious rooms, meeting and convention space, a shopping esplanade, two opulent spas, a salon and two public entertainment experiences.</w:t>
      </w:r>
    </w:p>
    <w:p>
      <w:pPr>
        <w:sectPr>
          <w:pgSz w:w="11900" w:h="16838" w:orient="portrait"/>
          <w:cols w:equalWidth="0" w:num="1">
            <w:col w:w="11240"/>
          </w:cols>
          <w:pgMar w:left="320" w:top="119" w:right="339" w:bottom="1440" w:gutter="0" w:footer="0" w:header="0"/>
        </w:sectPr>
      </w:pPr>
    </w:p>
    <w:bookmarkStart w:id="30" w:name="page31"/>
    <w:bookmarkEnd w:id="30"/>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Palace is a luxury resort in Macau. Designed as a floral-themed destination, it boasts 1,706 exquisite rooms, suites and villas, 14 food and beverage outlets, meeting and convention space, an expansive boutique shopping esplanade, SkyCabs that traverse an eight-acre Performance Lake, an extensive collection of rare art, a spa and salon.</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Mayfair is a historic private members’ club in the heart of London’s celebrated Mayfair district, blending the best of gaming and dining in an elegant, convivial environment. Popular games such as Baccarat, Blackjack, and American Roulette are played in sumptuously appointed private salons, while fine dining, imaginative cocktails, and exceptional spirits are enjoyed in the Dining Room and Bar and social spaces that include the club’s open-air rooftop terrace.</w:t>
      </w:r>
    </w:p>
    <w:p>
      <w:pPr>
        <w:spacing w:after="0" w:line="21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Wynn Al Marjan Island will be the first integrated resort in the United Arab Emirates. Set to open in 2027, the resort is located less than 50 miles from Dubai International Airport in the emirate of Ras Al Khaimah. Wynn Resorts is developing the project in partnership with Marjan and RAK Hospitality Holding. It will offer 1,530 rooms and well-appointed suites, as well as 22 restaurants, lounges, and bars, a theater, a nightclub, and a beach club adjacent to the Arabian Gulf. Wynn Al Marjan Island will feature an extensive poolscape with tropical landscaping, a five-star spa, and a salon. The resort will have its own marina with 118 berths to accommodate luxury yachts, a 15,000-square-meter shopping promenade filled with the world’s top luxury boutiques, and a 7,500-square-meter celebrations and events center.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Weaver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Communications and Brand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702-770-7501 or 702-770-7000</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2)"/>
      <w:numFmt w:val="lowerLetter"/>
      <w:start w:val="1"/>
    </w:lvl>
  </w:abstractNum>
  <w:abstractNum w:abstractNumId="2">
    <w:nsid w:val="6763845E"/>
    <w:multiLevelType w:val="hybridMultilevel"/>
    <w:lvl w:ilvl="0">
      <w:lvlJc w:val="left"/>
      <w:lvlText w:val="(%1)"/>
      <w:numFmt w:val="lowerLetter"/>
      <w:start w:val="2"/>
    </w:lvl>
    <w:lvl w:ilvl="1">
      <w:lvlJc w:val="left"/>
      <w:lvlText w:val="(%2)"/>
      <w:numFmt w:val="lowerRoman"/>
      <w:start w:val="1"/>
    </w:lvl>
  </w:abstractNum>
  <w:abstractNum w:abstractNumId="3">
    <w:nsid w:val="75A2A8D4"/>
    <w:multiLevelType w:val="hybridMultilevel"/>
    <w:lvl w:ilvl="0">
      <w:lvlJc w:val="left"/>
      <w:lvlText w:val="(%1)"/>
      <w:numFmt w:val="lowerRoman"/>
      <w:start w:val="10"/>
    </w:lvl>
  </w:abstractNum>
  <w:abstractNum w:abstractNumId="4">
    <w:nsid w:val="8EDBDAB"/>
    <w:multiLevelType w:val="hybridMultilevel"/>
    <w:lvl w:ilvl="0">
      <w:lvlJc w:val="left"/>
      <w:lvlText w:val="(%1)"/>
      <w:numFmt w:val="lowerLetter"/>
      <w:start w:val="4"/>
    </w:lvl>
    <w:lvl w:ilvl="1">
      <w:lvlJc w:val="left"/>
      <w:lvlText w:val="(%2)"/>
      <w:numFmt w:val="lowerRoman"/>
      <w:start w:val="1"/>
    </w:lvl>
  </w:abstractNum>
  <w:abstractNum w:abstractNumId="5">
    <w:nsid w:val="79838CB2"/>
    <w:multiLevelType w:val="hybridMultilevel"/>
    <w:lvl w:ilvl="0">
      <w:lvlJc w:val="left"/>
      <w:lvlText w:val="(%1)"/>
      <w:numFmt w:val="lowerLetter"/>
      <w:start w:val="5"/>
    </w:lvl>
  </w:abstractNum>
  <w:abstractNum w:abstractNumId="6">
    <w:nsid w:val="4353D0CD"/>
    <w:multiLevelType w:val="hybridMultilevel"/>
    <w:lvl w:ilvl="0">
      <w:lvlJc w:val="left"/>
      <w:lvlText w:val="(%1)"/>
      <w:numFmt w:val="lowerRoman"/>
      <w:start w:val="1"/>
    </w:lvl>
    <w:lvl w:ilvl="1">
      <w:lvlJc w:val="left"/>
      <w:lvlText w:val="(%2)"/>
      <w:numFmt w:val="lowerRoman"/>
      <w:start w:val="1"/>
    </w:lvl>
  </w:abstractNum>
  <w:abstractNum w:abstractNumId="7">
    <w:nsid w:val="B03E0C6"/>
    <w:multiLevelType w:val="hybridMultilevel"/>
    <w:lvl w:ilvl="0">
      <w:lvlJc w:val="left"/>
      <w:lvlText w:val="(%1)"/>
      <w:numFmt w:val="lowerLetter"/>
      <w:start w:val="10"/>
    </w:lvl>
  </w:abstractNum>
  <w:abstractNum w:abstractNumId="8">
    <w:nsid w:val="189A769B"/>
    <w:multiLevelType w:val="hybridMultilevel"/>
    <w:lvl w:ilvl="0">
      <w:lvlJc w:val="left"/>
      <w:lvlText w:val="(%1)"/>
      <w:numFmt w:val="lowerLetter"/>
      <w:start w:val="1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lowerLetter"/>
      <w:start w:val="1"/>
    </w:lvl>
    <w:lvl w:ilvl="1">
      <w:lvlJc w:val="left"/>
      <w:lvlText w:val="%2."/>
      <w:numFmt w:val="decimal"/>
      <w:start w:val="5"/>
    </w:lvl>
  </w:abstractNum>
  <w:abstractNum w:abstractNumId="12">
    <w:nsid w:val="836C40E"/>
    <w:multiLevelType w:val="hybridMultilevel"/>
    <w:lvl w:ilvl="0">
      <w:lvlJc w:val="left"/>
      <w:lvlText w:val="(%1)"/>
      <w:numFmt w:val="lowerLetter"/>
      <w:start w:val="3"/>
    </w:lvl>
    <w:lvl w:ilvl="1">
      <w:lvlJc w:val="left"/>
      <w:lvlText w:val="%2"/>
      <w:numFmt w:val="decimal"/>
      <w:start w:val="1"/>
    </w:lvl>
  </w:abstractNum>
  <w:abstractNum w:abstractNumId="13">
    <w:nsid w:val="2901D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3A95F874"/>
    <w:multiLevelType w:val="hybridMultilevel"/>
    <w:lvl w:ilvl="0">
      <w:lvlJc w:val="left"/>
      <w:lvlText w:val="(%1)"/>
      <w:numFmt w:val="lowerRoman"/>
      <w:start w:val="5"/>
    </w:lvl>
  </w:abstractNum>
  <w:abstractNum w:abstractNumId="15">
    <w:nsid w:val="8138641"/>
    <w:multiLevelType w:val="hybridMultilevel"/>
    <w:lvl w:ilvl="0">
      <w:lvlJc w:val="left"/>
      <w:lvlText w:val="(%1)"/>
      <w:numFmt w:val="lowerLetter"/>
      <w:start w:val="2"/>
    </w:lvl>
    <w:lvl w:ilvl="1">
      <w:lvlJc w:val="left"/>
      <w:lvlText w:val="(%2)"/>
      <w:numFmt w:val="lowerRoman"/>
      <w:start w:val="1"/>
    </w:lvl>
  </w:abstractNum>
  <w:abstractNum w:abstractNumId="16">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7">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8">
    <w:nsid w:val="737B8DDC"/>
    <w:multiLevelType w:val="hybridMultilevel"/>
    <w:lvl w:ilvl="0">
      <w:lvlJc w:val="left"/>
      <w:lvlText w:val="(%1)"/>
      <w:numFmt w:val="lowerLetter"/>
      <w:start w:val="4"/>
    </w:lvl>
  </w:abstractNum>
  <w:abstractNum w:abstractNumId="19">
    <w:nsid w:val="6CEAF087"/>
    <w:multiLevelType w:val="hybridMultilevel"/>
    <w:lvl w:ilvl="0">
      <w:lvlJc w:val="left"/>
      <w:lvlText w:val="(%1)"/>
      <w:numFmt w:val="lowerLetter"/>
      <w:start w:val="5"/>
    </w:lvl>
  </w:abstractNum>
  <w:abstractNum w:abstractNumId="20">
    <w:nsid w:val="22221A70"/>
    <w:multiLevelType w:val="hybridMultilevel"/>
    <w:lvl w:ilvl="0">
      <w:lvlJc w:val="left"/>
      <w:lvlText w:val="%1"/>
      <w:numFmt w:val="decimal"/>
      <w:start w:val="1"/>
    </w:lvl>
    <w:lvl w:ilvl="1">
      <w:lvlJc w:val="left"/>
      <w:lvlText w:val="(%2)"/>
      <w:numFmt w:val="lowerLetter"/>
      <w:start w:val="9"/>
    </w:lvl>
  </w:abstractNum>
  <w:abstractNum w:abstractNumId="21">
    <w:nsid w:val="4516DDE9"/>
    <w:multiLevelType w:val="hybridMultilevel"/>
    <w:lvl w:ilvl="0">
      <w:lvlJc w:val="left"/>
      <w:lvlText w:val="%1."/>
      <w:numFmt w:val="decimal"/>
      <w:start w:val="8"/>
    </w:lvl>
    <w:lvl w:ilvl="1">
      <w:lvlJc w:val="left"/>
      <w:lvlText w:val="(%2)"/>
      <w:numFmt w:val="low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2"/>
    </w:lvl>
  </w:abstractNum>
  <w:abstractNum w:abstractNumId="23">
    <w:nsid w:val="614FD4A1"/>
    <w:multiLevelType w:val="hybridMultilevel"/>
    <w:lvl w:ilvl="0">
      <w:lvlJc w:val="left"/>
      <w:lvlText w:val="%1."/>
      <w:numFmt w:val="decimal"/>
      <w:start w:val="9"/>
    </w:lvl>
    <w:lvl w:ilvl="1">
      <w:lvlJc w:val="left"/>
      <w:lvlText w:val="(%2)"/>
      <w:numFmt w:val="lowerLetter"/>
      <w:start w:val="1"/>
    </w:lvl>
  </w:abstractNum>
  <w:abstractNum w:abstractNumId="24">
    <w:nsid w:val="419AC241"/>
    <w:multiLevelType w:val="hybridMultilevel"/>
    <w:lvl w:ilvl="0">
      <w:lvlJc w:val="left"/>
      <w:lvlText w:val="(%1)"/>
      <w:numFmt w:val="lowerLetter"/>
      <w:start w:val="2"/>
    </w:lvl>
    <w:lvl w:ilvl="1">
      <w:lvlJc w:val="left"/>
      <w:lvlText w:val="(%2)"/>
      <w:numFmt w:val="lowerLetter"/>
      <w:start w:val="9"/>
    </w:lvl>
  </w:abstractNum>
  <w:abstractNum w:abstractNumId="25">
    <w:nsid w:val="5577F8E1"/>
    <w:multiLevelType w:val="hybridMultilevel"/>
    <w:lvl w:ilvl="0">
      <w:lvlJc w:val="left"/>
      <w:lvlText w:val="%1"/>
      <w:numFmt w:val="lowerRoman"/>
      <w:start w:val="1"/>
    </w:lvl>
    <w:lvl w:ilvl="1">
      <w:lvlJc w:val="left"/>
      <w:lvlText w:val="(%2)"/>
      <w:numFmt w:val="lowerRoman"/>
      <w:start w:val="2"/>
    </w:lvl>
  </w:abstractNum>
  <w:abstractNum w:abstractNumId="26">
    <w:nsid w:val="440BADFC"/>
    <w:multiLevelType w:val="hybridMultilevel"/>
    <w:lvl w:ilvl="0">
      <w:lvlJc w:val="left"/>
      <w:lvlText w:val="(%1)"/>
      <w:numFmt w:val="lowerRoman"/>
      <w:start w:val="3"/>
    </w:lvl>
    <w:lvl w:ilvl="1">
      <w:lvlJc w:val="left"/>
      <w:lvlText w:val="%2"/>
      <w:numFmt w:val="lowerRoman"/>
      <w:start w:val="1"/>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lowerLetter"/>
      <w:start w:val="1"/>
    </w:lvl>
    <w:lvl w:ilvl="1">
      <w:lvlJc w:val="left"/>
      <w:lvlText w:val="(%2)"/>
      <w:numFmt w:val="lowerLetter"/>
      <w:start w:val="4"/>
    </w:lvl>
  </w:abstractNum>
  <w:abstractNum w:abstractNumId="29">
    <w:nsid w:val="77465F01"/>
    <w:multiLevelType w:val="hybridMultilevel"/>
    <w:lvl w:ilvl="0">
      <w:lvlJc w:val="left"/>
      <w:lvlText w:val="(%1)"/>
      <w:numFmt w:val="lowerLetter"/>
      <w:start w:val="22"/>
    </w:lvl>
    <w:lvl w:ilvl="1">
      <w:lvlJc w:val="left"/>
      <w:lvlText w:val="%2"/>
      <w:numFmt w:val="lowerLetter"/>
      <w:start w:val="1"/>
    </w:lvl>
  </w:abstractNum>
  <w:abstractNum w:abstractNumId="30">
    <w:nsid w:val="7724C67E"/>
    <w:multiLevelType w:val="hybridMultilevel"/>
    <w:lvl w:ilvl="0">
      <w:lvlJc w:val="left"/>
      <w:lvlText w:val="%1"/>
      <w:numFmt w:val="decimal"/>
      <w:start w:val="1"/>
    </w:lvl>
    <w:lvl w:ilvl="1">
      <w:lvlJc w:val="left"/>
      <w:lvlText w:val="(%2)"/>
      <w:numFmt w:val="lowerLetter"/>
      <w:start w:val="5"/>
    </w:lvl>
  </w:abstractNum>
  <w:abstractNum w:abstractNumId="31">
    <w:nsid w:val="5C482A97"/>
    <w:multiLevelType w:val="hybridMultilevel"/>
    <w:lvl w:ilvl="0">
      <w:lvlJc w:val="left"/>
      <w:lvlText w:val="%1."/>
      <w:numFmt w:val="decimal"/>
      <w:start w:val="10"/>
    </w:lvl>
    <w:lvl w:ilvl="1">
      <w:lvlJc w:val="left"/>
      <w:lvlText w:val="(%2)"/>
      <w:numFmt w:val="lowerLetter"/>
      <w:start w:val="1"/>
    </w:lvl>
  </w:abstractNum>
  <w:abstractNum w:abstractNumId="32">
    <w:nsid w:val="2463B9EA"/>
    <w:multiLevelType w:val="hybridMultilevel"/>
    <w:lvl w:ilvl="0">
      <w:lvlJc w:val="left"/>
      <w:lvlText w:val="%1"/>
      <w:numFmt w:val="decimal"/>
      <w:start w:val="1"/>
    </w:lvl>
    <w:lvl w:ilvl="1">
      <w:lvlJc w:val="left"/>
      <w:lvlText w:val="(%2)"/>
      <w:numFmt w:val="lowerLetter"/>
      <w:start w:val="2"/>
    </w:lvl>
  </w:abstractNum>
  <w:abstractNum w:abstractNumId="33">
    <w:nsid w:val="5E884ADC"/>
    <w:multiLevelType w:val="hybridMultilevel"/>
    <w:lvl w:ilvl="0">
      <w:lvlJc w:val="left"/>
      <w:lvlText w:val="%1."/>
      <w:numFmt w:val="decimal"/>
      <w:start w:val="11"/>
    </w:lvl>
    <w:lvl w:ilvl="1">
      <w:lvlJc w:val="left"/>
      <w:lvlText w:val="%2"/>
      <w:numFmt w:val="lowerLetter"/>
      <w:start w:val="1"/>
    </w:lvl>
  </w:abstractNum>
  <w:abstractNum w:abstractNumId="34">
    <w:nsid w:val="51EAD36B"/>
    <w:multiLevelType w:val="hybridMultilevel"/>
    <w:lvl w:ilvl="0">
      <w:lvlJc w:val="left"/>
      <w:lvlText w:val="%1."/>
      <w:numFmt w:val="decimal"/>
      <w:start w:val="12"/>
    </w:lvl>
  </w:abstractNum>
  <w:abstractNum w:abstractNumId="35">
    <w:nsid w:val="2D517796"/>
    <w:multiLevelType w:val="hybridMultilevel"/>
    <w:lvl w:ilvl="0">
      <w:lvlJc w:val="left"/>
      <w:lvlText w:val="%1."/>
      <w:numFmt w:val="decimal"/>
      <w:start w:val="15"/>
    </w:lvl>
  </w:abstractNum>
  <w:abstractNum w:abstractNumId="36">
    <w:nsid w:val="580BD78F"/>
    <w:multiLevelType w:val="hybridMultilevel"/>
    <w:lvl w:ilvl="0">
      <w:lvlJc w:val="left"/>
      <w:lvlText w:val="%1."/>
      <w:numFmt w:val="decimal"/>
      <w:start w:val="18"/>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2"/>
    </w:lvl>
  </w:abstractNum>
  <w:abstractNum w:abstractNumId="39">
    <w:nsid w:val="70A64E2A"/>
    <w:multiLevelType w:val="hybridMultilevel"/>
    <w:lvl w:ilvl="0">
      <w:lvlJc w:val="left"/>
      <w:lvlText w:val="(%1)"/>
      <w:numFmt w:val="lowerLetter"/>
      <w:start w:val="4"/>
    </w:lvl>
  </w:abstractNum>
  <w:abstractNum w:abstractNumId="40">
    <w:nsid w:val="6A2342EC"/>
    <w:multiLevelType w:val="hybridMultilevel"/>
    <w:lvl w:ilvl="0">
      <w:lvlJc w:val="left"/>
      <w:lvlText w:val="%1"/>
      <w:numFmt w:val="decimal"/>
      <w:start w:val="1"/>
    </w:lvl>
    <w:lvl w:ilvl="1">
      <w:lvlJc w:val="left"/>
      <w:lvlText w:val="(%2)"/>
      <w:numFmt w:val="lowerLetter"/>
      <w:start w:val="7"/>
    </w:lvl>
  </w:abstractNum>
  <w:abstractNum w:abstractNumId="41">
    <w:nsid w:val="2A487CB0"/>
    <w:multiLevelType w:val="hybridMultilevel"/>
    <w:lvl w:ilvl="0">
      <w:lvlJc w:val="left"/>
      <w:lvlText w:val="%1."/>
      <w:numFmt w:val="decimal"/>
      <w:start w:val="22"/>
    </w:lvl>
    <w:lvl w:ilvl="1">
      <w:lvlJc w:val="left"/>
      <w:lvlText w:val="%2"/>
      <w:numFmt w:val="lowerLetter"/>
      <w:start w:val="1"/>
    </w:lvl>
  </w:abstractNum>
  <w:abstractNum w:abstractNumId="42">
    <w:nsid w:val="1D4ED43B"/>
    <w:multiLevelType w:val="hybridMultilevel"/>
    <w:lvl w:ilvl="0">
      <w:lvlJc w:val="left"/>
      <w:lvlText w:val="%1."/>
      <w:numFmt w:val="decimal"/>
      <w:start w:val="23"/>
    </w:lvl>
  </w:abstractNum>
  <w:abstractNum w:abstractNumId="43">
    <w:nsid w:val="725A06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2026-01-09T15:45:55Z</dcterms:created>
  <dcterms:modified xsi:type="dcterms:W3CDTF">2026-01-09T15:45:55Z</dcterms:modified>
</cp:coreProperties>
</file>