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2122170</wp:posOffset>
            </wp:positionH>
            <wp:positionV relativeFrom="paragraph">
              <wp:posOffset>287020</wp:posOffset>
            </wp:positionV>
            <wp:extent cx="28975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2122170</wp:posOffset>
            </wp:positionH>
            <wp:positionV relativeFrom="paragraph">
              <wp:posOffset>45085</wp:posOffset>
            </wp:positionV>
            <wp:extent cx="28975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2122170</wp:posOffset>
            </wp:positionH>
            <wp:positionV relativeFrom="paragraph">
              <wp:posOffset>193675</wp:posOffset>
            </wp:positionV>
            <wp:extent cx="28975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7505"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WYNN RESORTS, LIMITED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82" w:lineRule="exact"/>
        <w:rPr>
          <w:sz w:val="24"/>
          <w:szCs w:val="24"/>
          <w:color w:val="auto"/>
        </w:rPr>
      </w:pPr>
    </w:p>
    <w:tbl>
      <w:tblPr>
        <w:tblLayout w:type="fixed"/>
        <w:tblInd w:w="540" w:type="dxa"/>
        <w:tblCellMar>
          <w:top w:w="0" w:type="dxa"/>
          <w:left w:w="0" w:type="dxa"/>
          <w:bottom w:w="0" w:type="dxa"/>
          <w:right w:w="0" w:type="dxa"/>
        </w:tblCellMar>
      </w:tblPr>
      <w:tr>
        <w:trPr>
          <w:trHeight w:val="227"/>
        </w:trPr>
        <w:tc>
          <w:tcPr>
            <w:tcW w:w="2800" w:type="dxa"/>
            <w:vAlign w:val="bottom"/>
          </w:tcPr>
          <w:p>
            <w:pPr>
              <w:jc w:val="center"/>
              <w:ind w:right="179"/>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560" w:type="dxa"/>
            <w:vAlign w:val="bottom"/>
          </w:tcPr>
          <w:p>
            <w:pPr>
              <w:ind w:left="1780"/>
              <w:spacing w:after="0"/>
              <w:rPr>
                <w:sz w:val="20"/>
                <w:szCs w:val="20"/>
                <w:color w:val="auto"/>
              </w:rPr>
            </w:pPr>
            <w:r>
              <w:rPr>
                <w:rFonts w:ascii="Times New Roman" w:cs="Times New Roman" w:eastAsia="Times New Roman" w:hAnsi="Times New Roman"/>
                <w:sz w:val="18"/>
                <w:szCs w:val="18"/>
                <w:b w:val="1"/>
                <w:bCs w:val="1"/>
                <w:color w:val="auto"/>
              </w:rPr>
              <w:t>000-50028</w:t>
            </w:r>
          </w:p>
        </w:tc>
        <w:tc>
          <w:tcPr>
            <w:tcW w:w="200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46-0484987</w:t>
            </w:r>
          </w:p>
        </w:tc>
      </w:tr>
      <w:tr>
        <w:trPr>
          <w:trHeight w:val="146"/>
        </w:trPr>
        <w:tc>
          <w:tcPr>
            <w:tcW w:w="2800" w:type="dxa"/>
            <w:vAlign w:val="bottom"/>
          </w:tcPr>
          <w:p>
            <w:pPr>
              <w:jc w:val="center"/>
              <w:ind w:right="199"/>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560" w:type="dxa"/>
            <w:vAlign w:val="bottom"/>
          </w:tcPr>
          <w:p>
            <w:pPr>
              <w:ind w:left="1760"/>
              <w:spacing w:after="0" w:line="146"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000" w:type="dxa"/>
            <w:vAlign w:val="bottom"/>
          </w:tcPr>
          <w:p>
            <w:pPr>
              <w:jc w:val="center"/>
              <w:ind w:left="781"/>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0"/>
        </w:trPr>
        <w:tc>
          <w:tcPr>
            <w:tcW w:w="280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560" w:type="dxa"/>
            <w:vAlign w:val="bottom"/>
          </w:tcPr>
          <w:p>
            <w:pPr>
              <w:ind w:left="17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000" w:type="dxa"/>
            <w:vAlign w:val="bottom"/>
          </w:tcPr>
          <w:p>
            <w:pPr>
              <w:jc w:val="center"/>
              <w:ind w:left="7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30"/>
        </w:trPr>
        <w:tc>
          <w:tcPr>
            <w:tcW w:w="2800" w:type="dxa"/>
            <w:vAlign w:val="bottom"/>
          </w:tcPr>
          <w:p>
            <w:pPr>
              <w:jc w:val="center"/>
              <w:ind w:right="199"/>
              <w:spacing w:after="0"/>
              <w:rPr>
                <w:sz w:val="20"/>
                <w:szCs w:val="20"/>
                <w:color w:val="auto"/>
              </w:rPr>
            </w:pPr>
            <w:r>
              <w:rPr>
                <w:rFonts w:ascii="Times New Roman" w:cs="Times New Roman" w:eastAsia="Times New Roman" w:hAnsi="Times New Roman"/>
                <w:sz w:val="18"/>
                <w:szCs w:val="18"/>
                <w:b w:val="1"/>
                <w:bCs w:val="1"/>
                <w:color w:val="auto"/>
                <w:w w:val="99"/>
              </w:rPr>
              <w:t>3131 Las Vegas Boulevard South</w:t>
            </w:r>
          </w:p>
        </w:tc>
        <w:tc>
          <w:tcPr>
            <w:tcW w:w="45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27"/>
        </w:trPr>
        <w:tc>
          <w:tcPr>
            <w:tcW w:w="28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Las Vegas, Nevada</w:t>
            </w:r>
          </w:p>
        </w:tc>
        <w:tc>
          <w:tcPr>
            <w:tcW w:w="4560" w:type="dxa"/>
            <w:vAlign w:val="bottom"/>
          </w:tcPr>
          <w:p>
            <w:pPr>
              <w:spacing w:after="0"/>
              <w:rPr>
                <w:sz w:val="19"/>
                <w:szCs w:val="19"/>
                <w:color w:val="auto"/>
              </w:rPr>
            </w:pPr>
          </w:p>
        </w:tc>
        <w:tc>
          <w:tcPr>
            <w:tcW w:w="20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89109</w:t>
            </w:r>
          </w:p>
        </w:tc>
      </w:tr>
      <w:tr>
        <w:trPr>
          <w:trHeight w:val="190"/>
        </w:trPr>
        <w:tc>
          <w:tcPr>
            <w:tcW w:w="280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560" w:type="dxa"/>
            <w:vAlign w:val="bottom"/>
          </w:tcPr>
          <w:p>
            <w:pPr>
              <w:spacing w:after="0"/>
              <w:rPr>
                <w:sz w:val="16"/>
                <w:szCs w:val="16"/>
                <w:color w:val="auto"/>
              </w:rPr>
            </w:pPr>
          </w:p>
        </w:tc>
        <w:tc>
          <w:tcPr>
            <w:tcW w:w="2000" w:type="dxa"/>
            <w:vAlign w:val="bottom"/>
          </w:tcPr>
          <w:p>
            <w:pPr>
              <w:jc w:val="center"/>
              <w:ind w:left="78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687"/>
        </w:trPr>
        <w:tc>
          <w:tcPr>
            <w:tcW w:w="280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(702) 770-7555</w:t>
            </w:r>
          </w:p>
        </w:tc>
        <w:tc>
          <w:tcPr>
            <w:tcW w:w="2000" w:type="dxa"/>
            <w:vAlign w:val="bottom"/>
          </w:tcPr>
          <w:p>
            <w:pPr>
              <w:spacing w:after="0"/>
              <w:rPr>
                <w:sz w:val="24"/>
                <w:szCs w:val="24"/>
                <w:color w:val="auto"/>
              </w:rPr>
            </w:pPr>
          </w:p>
        </w:tc>
      </w:tr>
      <w:tr>
        <w:trPr>
          <w:trHeight w:val="190"/>
        </w:trPr>
        <w:tc>
          <w:tcPr>
            <w:tcW w:w="2800" w:type="dxa"/>
            <w:vAlign w:val="bottom"/>
          </w:tcPr>
          <w:p>
            <w:pPr>
              <w:spacing w:after="0"/>
              <w:rPr>
                <w:sz w:val="16"/>
                <w:szCs w:val="16"/>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000" w:type="dxa"/>
            <w:vAlign w:val="bottom"/>
          </w:tcPr>
          <w:p>
            <w:pPr>
              <w:spacing w:after="0"/>
              <w:rPr>
                <w:sz w:val="16"/>
                <w:szCs w:val="16"/>
                <w:color w:val="auto"/>
              </w:rPr>
            </w:pPr>
          </w:p>
        </w:tc>
      </w:tr>
      <w:tr>
        <w:trPr>
          <w:trHeight w:val="404"/>
        </w:trPr>
        <w:tc>
          <w:tcPr>
            <w:tcW w:w="280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000" w:type="dxa"/>
            <w:vAlign w:val="bottom"/>
          </w:tcPr>
          <w:p>
            <w:pPr>
              <w:spacing w:after="0"/>
              <w:rPr>
                <w:sz w:val="24"/>
                <w:szCs w:val="24"/>
                <w:color w:val="auto"/>
              </w:rPr>
            </w:pPr>
          </w:p>
        </w:tc>
      </w:tr>
      <w:tr>
        <w:trPr>
          <w:trHeight w:val="190"/>
        </w:trPr>
        <w:tc>
          <w:tcPr>
            <w:tcW w:w="2800" w:type="dxa"/>
            <w:vAlign w:val="bottom"/>
          </w:tcPr>
          <w:p>
            <w:pPr>
              <w:spacing w:after="0"/>
              <w:rPr>
                <w:sz w:val="16"/>
                <w:szCs w:val="16"/>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2000" w:type="dxa"/>
            <w:vAlign w:val="bottom"/>
          </w:tcPr>
          <w:p>
            <w:pPr>
              <w:spacing w:after="0"/>
              <w:rPr>
                <w:sz w:val="16"/>
                <w:szCs w:val="16"/>
                <w:color w:val="auto"/>
              </w:rPr>
            </w:pPr>
          </w:p>
        </w:tc>
      </w:tr>
      <w:tr>
        <w:trPr>
          <w:trHeight w:val="23"/>
        </w:trPr>
        <w:tc>
          <w:tcPr>
            <w:tcW w:w="280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2000" w:type="dxa"/>
            <w:vAlign w:val="bottom"/>
          </w:tcPr>
          <w:p>
            <w:pPr>
              <w:spacing w:after="0"/>
              <w:rPr>
                <w:sz w:val="2"/>
                <w:szCs w:val="2"/>
                <w:color w:val="auto"/>
              </w:rPr>
            </w:pPr>
          </w:p>
        </w:tc>
      </w:tr>
    </w:tbl>
    <w:p>
      <w:pPr>
        <w:spacing w:after="0" w:line="3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6" w:lineRule="exact"/>
        <w:rPr>
          <w:sz w:val="24"/>
          <w:szCs w:val="24"/>
          <w:color w:val="auto"/>
        </w:rPr>
      </w:pPr>
    </w:p>
    <w:tbl>
      <w:tblPr>
        <w:tblLayout w:type="fixed"/>
        <w:tblInd w:w="380" w:type="dxa"/>
        <w:tblCellMar>
          <w:top w:w="0" w:type="dxa"/>
          <w:left w:w="0" w:type="dxa"/>
          <w:bottom w:w="0" w:type="dxa"/>
          <w:right w:w="0" w:type="dxa"/>
        </w:tblCellMar>
      </w:tblPr>
      <w:tr>
        <w:trPr>
          <w:trHeight w:val="207"/>
        </w:trPr>
        <w:tc>
          <w:tcPr>
            <w:tcW w:w="4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60" w:type="dxa"/>
            <w:vAlign w:val="bottom"/>
          </w:tcPr>
          <w:p>
            <w:pPr>
              <w:spacing w:after="0"/>
              <w:rPr>
                <w:sz w:val="18"/>
                <w:szCs w:val="18"/>
                <w:color w:val="auto"/>
              </w:rPr>
            </w:pPr>
          </w:p>
        </w:tc>
        <w:tc>
          <w:tcPr>
            <w:tcW w:w="29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00" w:type="dxa"/>
            <w:vAlign w:val="bottom"/>
            <w:gridSpan w:val="2"/>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4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50"/>
        </w:trPr>
        <w:tc>
          <w:tcPr>
            <w:tcW w:w="288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600" w:type="dxa"/>
            <w:vAlign w:val="bottom"/>
          </w:tcPr>
          <w:p>
            <w:pPr>
              <w:spacing w:after="0"/>
              <w:rPr>
                <w:sz w:val="21"/>
                <w:szCs w:val="21"/>
                <w:color w:val="auto"/>
              </w:rPr>
            </w:pPr>
          </w:p>
        </w:tc>
        <w:tc>
          <w:tcPr>
            <w:tcW w:w="230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color w:val="auto"/>
                <w:w w:val="99"/>
              </w:rPr>
              <w:t>WYNN</w:t>
            </w:r>
          </w:p>
        </w:tc>
        <w:tc>
          <w:tcPr>
            <w:tcW w:w="86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 w:lineRule="exact"/>
        <w:rPr>
          <w:sz w:val="24"/>
          <w:szCs w:val="24"/>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38" w:lineRule="exact"/>
        <w:rPr>
          <w:sz w:val="24"/>
          <w:szCs w:val="24"/>
          <w:color w:val="auto"/>
        </w:rPr>
      </w:pPr>
    </w:p>
    <w:p>
      <w:pPr>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699135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 w:name="page2"/>
    <w:bookmarkEnd w:id="1"/>
    <w:p>
      <w:pPr>
        <w:ind w:left="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On February 4, 2021, Wynn Resorts, Limited issued a press release announcing its results of operations for the quarter ended December 31, 2020. The press release is furnished herewith as Exhibit 99.1. The information furnished under Items 2.02, 7.01 and 9.01 of this Current Report on Form 8-K,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47"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information set forth under Item 2.02 of this report is incorporated herein by reference.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20" w:type="dxa"/>
            <w:vAlign w:val="bottom"/>
          </w:tcPr>
          <w:p>
            <w:pPr>
              <w:spacing w:after="0"/>
              <w:rPr>
                <w:sz w:val="24"/>
                <w:szCs w:val="24"/>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 Exhibits.</w:t>
            </w:r>
          </w:p>
        </w:tc>
        <w:tc>
          <w:tcPr>
            <w:tcW w:w="720" w:type="dxa"/>
            <w:vAlign w:val="bottom"/>
          </w:tcPr>
          <w:p>
            <w:pPr>
              <w:spacing w:after="0"/>
              <w:rPr>
                <w:sz w:val="24"/>
                <w:szCs w:val="24"/>
                <w:color w:val="auto"/>
              </w:rPr>
            </w:pPr>
          </w:p>
        </w:tc>
        <w:tc>
          <w:tcPr>
            <w:tcW w:w="918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r>
      <w:tr>
        <w:trPr>
          <w:trHeight w:val="299"/>
        </w:trPr>
        <w:tc>
          <w:tcPr>
            <w:tcW w:w="2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620" w:type="dxa"/>
            <w:vAlign w:val="bottom"/>
          </w:tcPr>
          <w:p>
            <w:pPr>
              <w:spacing w:after="0"/>
              <w:rPr>
                <w:sz w:val="24"/>
                <w:szCs w:val="24"/>
                <w:color w:val="auto"/>
              </w:rPr>
            </w:pPr>
          </w:p>
        </w:tc>
        <w:tc>
          <w:tcPr>
            <w:tcW w:w="9900" w:type="dxa"/>
            <w:vAlign w:val="bottom"/>
            <w:gridSpan w:val="2"/>
          </w:tcPr>
          <w:p>
            <w:pPr>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u w:val="single" w:color="auto"/>
                  <w:color w:val="0000FF"/>
                </w:rPr>
                <w:t>Press release, dated February 4, 2021, of Wynn Resorts, Limited</w:t>
              </w:r>
              <w:r>
                <w:rPr>
                  <w:rFonts w:ascii="Times New Roman" w:cs="Times New Roman" w:eastAsia="Times New Roman" w:hAnsi="Times New Roman"/>
                  <w:sz w:val="18"/>
                  <w:szCs w:val="18"/>
                  <w:color w:val="0000FF"/>
                </w:rPr>
                <w:t>.</w:t>
              </w:r>
            </w:hyperlink>
          </w:p>
        </w:tc>
      </w:tr>
      <w:tr>
        <w:trPr>
          <w:trHeight w:val="234"/>
        </w:trPr>
        <w:tc>
          <w:tcPr>
            <w:tcW w:w="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620" w:type="dxa"/>
            <w:vAlign w:val="bottom"/>
          </w:tcPr>
          <w:p>
            <w:pPr>
              <w:spacing w:after="0"/>
              <w:rPr>
                <w:sz w:val="20"/>
                <w:szCs w:val="20"/>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1236"/>
        </w:trPr>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9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ectPr>
          <w:pgSz w:w="11900" w:h="16838" w:orient="portrait"/>
          <w:cols w:equalWidth="0" w:num="1">
            <w:col w:w="11240"/>
          </w:cols>
          <w:pgMar w:left="320" w:top="887" w:right="339" w:bottom="1440" w:gutter="0" w:footer="0" w:header="0"/>
        </w:sectPr>
      </w:pP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Dated: February 4, 2021</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wp:posOffset>
            </wp:positionH>
            <wp:positionV relativeFrom="paragraph">
              <wp:posOffset>24765</wp:posOffset>
            </wp:positionV>
            <wp:extent cx="26231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39" w:lineRule="exact"/>
        <w:rPr>
          <w:sz w:val="20"/>
          <w:szCs w:val="20"/>
          <w:color w:val="auto"/>
        </w:rPr>
      </w:pPr>
    </w:p>
    <w:p>
      <w:pPr>
        <w:sectPr>
          <w:pgSz w:w="11900" w:h="16838" w:orient="portrait"/>
          <w:cols w:equalWidth="0" w:num="2">
            <w:col w:w="5740" w:space="720"/>
            <w:col w:w="4780"/>
          </w:cols>
          <w:pgMar w:left="320" w:top="887" w:right="339" w:bottom="1440" w:gutter="0" w:footer="0" w:header="0"/>
          <w:type w:val="continuous"/>
        </w:sectPr>
      </w:pPr>
    </w:p>
    <w:p>
      <w:pPr>
        <w:ind w:left="6580"/>
        <w:spacing w:after="0"/>
        <w:rPr>
          <w:sz w:val="20"/>
          <w:szCs w:val="20"/>
          <w:color w:val="auto"/>
        </w:rPr>
      </w:pPr>
      <w:r>
        <w:rPr>
          <w:rFonts w:ascii="Times New Roman" w:cs="Times New Roman" w:eastAsia="Times New Roman" w:hAnsi="Times New Roman"/>
          <w:sz w:val="18"/>
          <w:szCs w:val="18"/>
          <w:color w:val="auto"/>
        </w:rPr>
        <w:t>Craig S. Billings</w:t>
      </w:r>
    </w:p>
    <w:p>
      <w:pPr>
        <w:spacing w:after="0" w:line="2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President and Chief Financial Officer</w:t>
      </w:r>
    </w:p>
    <w:p>
      <w:pPr>
        <w:spacing w:after="0" w:line="2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auto"/>
        </w:rPr>
        <w:t>(Principal Financial and Accounting Officer)</w:t>
      </w:r>
    </w:p>
    <w:p>
      <w:pPr>
        <w:sectPr>
          <w:pgSz w:w="11900" w:h="16838" w:orient="portrait"/>
          <w:cols w:equalWidth="0" w:num="1">
            <w:col w:w="11240"/>
          </w:cols>
          <w:pgMar w:left="320" w:top="887" w:right="339" w:bottom="1440" w:gutter="0" w:footer="0" w:header="0"/>
          <w:type w:val="continuous"/>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Reports Fourth Quarter and Year End 2020 Results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LAS VEGAS, February 4, 2021 — Wynn Resorts, Limited (NASDAQ: WYNN) (the "Company") today reported financial results for the fourth quarter and year ended December 31, 2020.</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revenues were $686.0 million for the fourth quarter of 2020, a decrease of 58.5%, or $967.5 million, from $1.65 billion for the fourth quarter of 2019. Net loss attributable to Wynn Resorts, Limited was $269.5 million, or $2.53 per diluted share, for the fourth quarter of 2020, compared to net loss attributable to Wynn Resorts, Limited of $72.9 million, or $0.68 per diluted share, in the fourth quarter of 2019. Our fourth quarter 2019 results included a net tax provision of $157.4 million, primarily related to an increase in the valuation allowance on our deferred tax assets. Adjusted Property EBITDA (1) was $69.8 million for the fourth quarter of 2020, compared to Adjusted Property EBITDA of $443.1 million in the fourth quarter of 2019.</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encouraged by the progress we have made at each of our properties over the past several months, as we continue along the road to recovery from the pandemic," said Matt Maddox, CEO of Wynn Resorts, Limited. "In Macau, the gradual and thoughtful easing of visitation restrictions allowed us to return to Adjusted Property EBITDA profitability in the fourth quarter, with particular strength in our premium mass business. In the US, our operations at both Wynn Las Vegas and Encore Boston Harbor were resilient as we continue to deliver our industry-leading service, while remaining focused on costs. On the development front, our WynnBet online casino and sports betting app is currently available in three states following successful launches in Colorado and Michigan, with additional launches planned over the coming months. We believe our product will be increasingly compelling with each release over the coming months and look forward to growing the business in 2021."</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revenues were $686.0 million for the fourth quarter of 2020, a decrease of 58.5%, or $967.5 million, from $1.65 billion for the fourth quarter of 2019. Operating revenues decreased $368.5 million, $343.5 million, $196.2 million, and $65.4 million at Wynn Palace, Wynn Macau, our Las Vegas Operations, and Encore Boston Harbor, respectively, from the fourth quarter of 2019.</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loss attributable to Wynn Resorts, Limited was $269.5 million, or $2.53 per diluted share, for the fourth quarter of 2020, compared to net loss attributable to Wynn Resorts, Limited of $72.9 million, or $0.68 per diluted share, in the fourth quarter of 2019. Our fourth quarter 2019 results included a net tax provision of $157.4 million, primarily related to an increase in the valuation allowance on our deferred tax assets. Adjusted net loss attributable to Wynn Resorts, Limited (2) was $262.2 million, or $2.45 per diluted share, for the fourth quarter of 2020, compared to adjusted net loss attributable to Wynn Resorts, Limited of $65.6 million, or $0.62 per diluted share, for the fourth quarter of 2019.</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Property EBITDA was $69.8 million for the fourth quarter of 2020, compared to $443.1 million for the fourth quarter of 2019. Adjusted Property EBITDA decreased $148.9 million, $159.4 million, and $59.1 million at Wynn Palace, Wynn Macau, and our Las Vegas Operations, respectively, and increased $1.4 million at Encore Boston Harbor.</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2020, operating revenues decreased 68.3%, or $4.52 billion, to $2.10 billion, compared to $6.61 billion in the year ended December 31, 2019. Operating revenues decreased $2.04 billion, $1.60 billion, $885.5 million, and $2.3 million at Wynn Palace, Wynn Macau, our Las Vegas Operations, and Encore Boston Harbor, respectively. Encore Boston Harbor opened on June 23, 2019.</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loss attributable to Wynn Resorts, Limited was $2.07 billion, or $19.37 per diluted share in 2020, compared to net income attributable to Wynn Resorts, Limited of $123.0 million, or $1.15 per diluted share in the year ended December 31, 2019. Our 2020 results included a net tax provision of $564.7 million, primarily related to an increase in the valuation allowance against deferred tax assets no longer expected to be realized. Our 2019 results included a net tax provision of $176.8 million, primarily related to an increase in the valuation allowance on our deferred tax assets. Adjusted net loss attributable to Wynn Resorts, Limited was $2.05 billion, or $19.18 per diluted share, in 2020, compared to adjusted net income of $279.5 million, or $2.61 per diluted share, in the year ended December 31, 2019.</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Full year Adjusted Property EBITDA decreased 117.9%, or $2.14 billion, to $(324.3) million, compared to $1.82 billion in the year ended December 31, 2019. Adjusted Property EBITDA decreased $879.2 million, $736.0 million, $470.2 million, and $46.9 million at Wynn Palace, Wynn Macau, our Las Vegas Operations, and Encore Boston Harbor, respectively.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8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Property Results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Macau Operations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casino operations at Wynn Palace and Wynn Macau were closed for a 15-day period in February 2020 and resumed operations on a reduced basis on February 20, 2020. Our casinos' operations have since been fully restored; however, certain COVID-19 specific protective measures, such as limiting the number of seats per table game, increasing the spacing between active slot machines and visitor entry checks and requirements involving temperature checkpoints, mask wearing, health declarations and proof of negative COVID-19 test results remain in effect at the present time. On September 23, 2020, PRC authorities fully resumed the Individual Visit Scheme exit visa program, subject to certain testing requirements and health declarations. Given the evolving conditions created by and in response to the COVID-19 pandemic, we are currently unable to determine when travel-related restrictions and conditions will be further lifted. Measures that have been lifted or are expected to be lifted may be reintroduced if there are adverse developments in the COVID-19 situation in Macau and other regions with access to Macau.</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Wynn Palace</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revenues from Wynn Palace were $221.5 million for the fourth quarter of 2020, a 62.5% decrease from $590.0 million for the fourth quarter of 2019. Adjusted Property EBITDA from Wynn Palace was $28.7 million for the fourth quarter of 2020, compared with $177.6 million for the fourth quarter of 2019. VIP table games win as a percentage of turnover was 1.97%, below the property's expected range of 2.7% to 3.0% and below the 3.07% experienced in the fourth quarter of 2019. Table games win percentage in mass market operations was 21.6%, below the 25.2% experienced in the fourth quarter of 2019.</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Wynn Macau</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revenues from Wynn Macau were $181.9 million for the fourth quarter of 2020, a 65.4% decrease from $525.4 million for the fourth quarter of 2019. Adjusted Property EBITDA from Wynn Macau was $10.7 million for the fourth quarter of 2020, compared with $170.1 million for the fourth quarter of 2019. VIP Table games win as a percentage of turnover was 3.10%, above the property's expected range of 2.7% to 3.0% and below the 3.27% experienced in the fourth quarter of 2019. Table games win percentage in mass market operations was 17.9%, below the 20.3% experienced in the fourth quarter of 2019.</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Las Vegas Operations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Wynn Las Vegas ceased all operations and closed to the public on March 17, 2020, and reopened on June 4, 2020 with certain COVID-19 specific protective measures in place, such as limiting the number of seats per table game, slot machine spacing, temperature checks, mask protection, and suspension of certain entertainment and nightlife offerings. Beginning October 19, 2020, Encore at Wynn Las Vegas adjusted its operating schedule to five days/four nights each week due to currently reduced customer demand levels. We are currently unable to determine when certain of these measures will be lifted.</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revenues from our Las Vegas Operations were $172.5 million for the fourth quarter of 2020, a 53.2% decrease from $368.8 million for the fourth quarter of 2019. Adjusted Property EBITDA from our Las Vegas Operations for the fourth quarter of 2020 was $21.0 million, compared with $80.1 million for the fourth quarter of 2019. Table games win percentage was 24.4%, within the property's expected range of 22% to 26% and above the 17.4% experienced in the fourth quarter of 2019.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Encore Boston Harbor</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Encore Boston Harbor ceased all operations and closed to the public on March 15, 2020, and reopened on July 10, 2020 with certain COVID-19 specific protective measures in place, such as limiting the number of seats per table game, slot machine spacing, temperature checks, capacity restrictions, and mask protection. Subsequent to reopening, certain food and beverage outlets have remained temporarily closed and our hotel operations were limited to Thursday through Sunday. On November 6, 2020, pursuant to a Massachusetts directive implementing an overnight curfew on certain businesses, Encore Boston Harbor limited its daily operating hours and temporarily closed the hotel tower. On January 25, 2021, the limitations on operating hours were lifted, and Encore Boston Harbor restored certain operations and reopened its hotel tower on a Thursday through Sunday weekly schedule. The protective measures, including capacity restrictions, are still in place. We are currently unable to determine when the remaining measures will be lifted.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887" w:right="339" w:bottom="1440" w:gutter="0" w:footer="0" w:header="0"/>
        </w:sectPr>
      </w:pPr>
    </w:p>
    <w:bookmarkStart w:id="5" w:name="page6"/>
    <w:bookmarkEnd w:id="5"/>
    <w:p>
      <w:pPr>
        <w:jc w:val="both"/>
        <w:spacing w:after="0" w:line="261" w:lineRule="auto"/>
        <w:rPr>
          <w:sz w:val="20"/>
          <w:szCs w:val="20"/>
          <w:color w:val="auto"/>
        </w:rPr>
      </w:pPr>
      <w:r>
        <w:rPr>
          <w:rFonts w:ascii="Times New Roman" w:cs="Times New Roman" w:eastAsia="Times New Roman" w:hAnsi="Times New Roman"/>
          <w:sz w:val="18"/>
          <w:szCs w:val="18"/>
          <w:color w:val="auto"/>
        </w:rPr>
        <w:t>Operating revenues from Encore Boston Harbor were $103.9 million for the fourth quarter of 2020, a 38.6% decrease from $169.3 million for the fourth quarter of 2019. Adjusted Property EBITDA from Encore Boston Harbor for the fourth quarter of 2020 was $16.7 million, compared with $15.3 million for the fourth quarter of 2019. Table games win percentage was 20.9%, within the property's expected range of 18% to 22% and above the 19.2% experienced in the fourth quarter of 2019.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Wynn Interactive</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October 2020, Wynn Interactive Ltd. ("Wynn Interactive") was formed through the merger of our U.S. online sports betting and gaming business, social casino business, and our strategic partner, BetBull Limited ("BetBull"). Following the merger, Wynn Resorts owns approximately 72% of, and consolidates, Wynn Interactive. We believe this transaction positions Wynn Resorts to capitalize on developing opportunities in digital and interactive sports betting and gaming throughout the U.S., by combining Wynn Resorts' nationally recognized brand with BetBull's digital sports betting operational capabilities and technology. Our digital and interactive sports betting app, WynnBET, is currently operational in New Jersey, Colorado, and Michigan. In addition, subject to all necessary legislative authorizations and regulatory approvals, we have secured market access and have submitted an application for licensing in Indiana, have secured market access in Iowa and Ohio, have received conditional licensing in Tennessee, and have submitted an application for licensing in Virginia. The results of Wynn Interactive are presented within Corporate and other.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cash and cash equivalents as of December 31, 2020 totaled $3.48 billion, comprised of approximately $2.43 billion held by Wynn Macau, Limited ("WML") and subsidiaries, approximately $297.8 million held by Wynn Resorts Finance excluding WML, and approximately $755.2 million at Corporate and other.</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2020, the available borrowing capacity under the Wynn Macau Revolver was $343.5 million, and available borrowing capacity under the Wynn Resorts Finance Revolver was $117.9 million.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current and long-term debt outstanding at December 31, 2020 was $13.07 billion, comprised of $6.35 billion of Macau related debt, $3.12 billion of Wynn Las Vegas debt, $2.99 billion of Wynn Resorts Finance debt, and $612.3 million of debt held by the retail joint venture which we consolidate.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disclosed, on December 22, 2020, WML issued $750.0 million aggregate principal amount of 5.625% Senior Notes due 2028. WML used approximately $412.5 million of net proceeds from the offering to facilitate the prepayment of a portion of the term loan outstanding under the Wynn Macau Credit Facilities in January 2021. In addition, WML used approximately $318.5 million of net proceeds from the offering to facilitate the repayment of revolver borrowings outstanding under the Wynn Macau Credit Facilities in December 2020. Accordingly, as of December 31, 2020, the available borrowing capacity under the Wynn Macau Revolver was $343.5 million.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Other Information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will hold a conference call to discuss its results, including the results of Wynn Resorts Finance, LLC and Wynn Las Vegas, LLC, on February 4, 2021 at 1:30 p.m. PT (4:30 p.m. ET). Interested parties are invited to join the call by accessing a live audio webcast at http://www.wynnresorts.com.</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or before March 31, 2021, the Company will make Wynn Resorts Finance, LLC and Wynn Las Vegas, LLC financial information for the quarter ended December 31, 2020 available to noteholders, prospective investors, broker-dealers and securities analysts. Please contact our investor relations office at 702-770-7555 or at investorrelations@wynnresorts.com, to obtain access to such financial information.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release contains forward-looking statements regarding operating trends and future results of operations. Such forward-looking statements are subject to a number of risks and uncertainties that could cause actual results to differ materially from those we express in these forward-looking statements, including, but not limited to, the recent global pandemic of COVID-19, caused by a novel strain of the coronavirus, and the continued impact of its consequences, extensive regulation of our business, pending or future legal proceedings, ability to maintain gaming licenses and concessions, dependence on key employees, general global political and economic conditions, adverse tourism trends, dependence on a limited number of resorts, competition in the casino/hotel and resort industries, uncertainties over the development, and success of new gaming and resort properties, construction risks, cybersecurity risk and our leverage and debt service. Additional information concerning potential</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891" w:right="339" w:bottom="1440" w:gutter="0" w:footer="0" w:header="0"/>
        </w:sectPr>
      </w:pPr>
    </w:p>
    <w:bookmarkStart w:id="6" w:name="page7"/>
    <w:bookmarkEnd w:id="6"/>
    <w:p>
      <w:pPr>
        <w:jc w:val="both"/>
        <w:spacing w:after="0" w:line="266" w:lineRule="auto"/>
        <w:rPr>
          <w:sz w:val="20"/>
          <w:szCs w:val="20"/>
          <w:color w:val="auto"/>
        </w:rPr>
      </w:pPr>
      <w:r>
        <w:rPr>
          <w:rFonts w:ascii="Times New Roman" w:cs="Times New Roman" w:eastAsia="Times New Roman" w:hAnsi="Times New Roman"/>
          <w:sz w:val="18"/>
          <w:szCs w:val="18"/>
          <w:color w:val="auto"/>
        </w:rPr>
        <w:t>factors that could affect the Company's financial results is included in the Company's Annual Report on Form 10-K for the year ended December 31, 2020 and the Company's other periodic reports filed with the Securities and Exchange Commission. The Company is under no obligation to (and expressly disclaims any such obligation to) update or revise its forward-looking statements as a result of new information, future events or otherwise.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6" w:lineRule="exact"/>
        <w:rPr>
          <w:sz w:val="20"/>
          <w:szCs w:val="20"/>
          <w:color w:val="auto"/>
        </w:rPr>
      </w:pPr>
    </w:p>
    <w:p>
      <w:pPr>
        <w:jc w:val="both"/>
        <w:ind w:firstLine="8"/>
        <w:spacing w:after="0" w:line="252" w:lineRule="auto"/>
        <w:tabs>
          <w:tab w:leader="none" w:pos="25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Property EBITDA" is net income (loss) before interest, income taxes, depreciation and amortization, pre-opening expenses, property charges and other, management and license fees, corporate expenses and other (including intercompany golf course and water rights leases), stock-based compensation, change in derivatives fair value, loss on extinguishment of debt, and other non-operating income and expenses.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We also present Adjusted Property EBITDA because it is used by some investors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income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221" w:lineRule="exact"/>
        <w:rPr>
          <w:rFonts w:ascii="Times New Roman" w:cs="Times New Roman" w:eastAsia="Times New Roman" w:hAnsi="Times New Roman"/>
          <w:sz w:val="18"/>
          <w:szCs w:val="18"/>
          <w:color w:val="auto"/>
        </w:rPr>
      </w:pPr>
    </w:p>
    <w:p>
      <w:pPr>
        <w:jc w:val="both"/>
        <w:ind w:firstLine="8"/>
        <w:spacing w:after="0" w:line="253" w:lineRule="auto"/>
        <w:tabs>
          <w:tab w:leader="none" w:pos="27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(loss) attributable to Wynn Resorts, Limited" is net income (loss) attributable to Wynn Resorts, Limited before nonrecurring regulatory expense, litigation settlement net gain, pre-opening expenses, property charges and other, change in derivatives fair value, loss on extinguishment of debt, and foreign currency remeasurement and other, net of noncontrolling interests and income taxes calculated using the specific tax treatment applicable to the adjustments based on their respective jurisdictions. Adjusted net income (loss) attributable to Wynn Resorts, Limited and adjusted net income (loss) attributable to Wynn Resorts, Limited per diluted share are presented as supplemental disclosures to financial measures in accordance with GAAP because management believes that these non-GAAP financial measures are widely used to measure the performance, and as a principal basis for valuation, of gaming companies. These measures are used by management and/or evaluated by some investors, in addition to net income (loss) and earnings per share computed in accordance with GAAP, as an additional basis for assessing period-to-period results of our business. Adjusted net income (loss) attributable to Wynn Resorts, Limited and adjusted net income (loss) attributable to Wynn Resorts, Limited per diluted share may be different from the calculation methods used by other companies and, therefore, comparability may be limited.</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included schedules in the tables that accompany this release that reconcile (i) net income (loss) attributable to Wynn Resorts, Limited to adjusted net income (loss) attributable to Wynn Resorts, Limited, (ii) operating income (loss) to Adjusted Property EBITDA, and (iii) net income (loss) attributable to Wynn Resorts, Limited to Adjusted Property EBITDA.</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891" w:right="3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2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6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60" w:type="dxa"/>
            <w:vAlign w:val="bottom"/>
          </w:tcPr>
          <w:p>
            <w:pPr>
              <w:spacing w:after="0"/>
              <w:rPr>
                <w:sz w:val="13"/>
                <w:szCs w:val="13"/>
                <w:color w:val="auto"/>
              </w:rPr>
            </w:pPr>
          </w:p>
        </w:tc>
      </w:tr>
      <w:tr>
        <w:trPr>
          <w:trHeight w:val="189"/>
        </w:trPr>
        <w:tc>
          <w:tcPr>
            <w:tcW w:w="5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3"/>
        </w:trPr>
        <w:tc>
          <w:tcPr>
            <w:tcW w:w="5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0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Casino</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455,156</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1,137,956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1,237,230</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4,573,924</w:t>
            </w:r>
          </w:p>
        </w:tc>
      </w:tr>
      <w:tr>
        <w:trPr>
          <w:trHeight w:val="229"/>
        </w:trPr>
        <w:tc>
          <w:tcPr>
            <w:tcW w:w="5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Rooms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307,973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804,162</w:t>
            </w:r>
          </w:p>
        </w:tc>
      </w:tr>
      <w:tr>
        <w:trPr>
          <w:trHeight w:val="229"/>
        </w:trPr>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Food and beverage</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79,577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199,073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329,584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818,822</w:t>
            </w:r>
          </w:p>
        </w:tc>
      </w:tr>
      <w:tr>
        <w:trPr>
          <w:trHeight w:val="230"/>
        </w:trPr>
        <w:tc>
          <w:tcPr>
            <w:tcW w:w="5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108,221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221,074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414,191</w:t>
            </w:r>
          </w:p>
        </w:tc>
      </w:tr>
      <w:tr>
        <w:trPr>
          <w:trHeight w:val="223"/>
        </w:trPr>
        <w:tc>
          <w:tcPr>
            <w:tcW w:w="52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operating revenues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685,995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1,653,459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2,095,861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6,611,099</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Casino</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330,287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726,504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1,064,976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2,924,254</w:t>
            </w:r>
          </w:p>
        </w:tc>
      </w:tr>
      <w:tr>
        <w:trPr>
          <w:trHeight w:val="230"/>
        </w:trPr>
        <w:tc>
          <w:tcPr>
            <w:tcW w:w="5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Rooms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172,223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276,095</w:t>
            </w:r>
          </w:p>
        </w:tc>
      </w:tr>
      <w:tr>
        <w:trPr>
          <w:trHeight w:val="229"/>
        </w:trPr>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Food and beverage</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84,457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168,996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398,792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696,498</w:t>
            </w:r>
          </w:p>
        </w:tc>
      </w:tr>
      <w:tr>
        <w:trPr>
          <w:trHeight w:val="229"/>
        </w:trPr>
        <w:tc>
          <w:tcPr>
            <w:tcW w:w="5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107,228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170,206</w:t>
            </w:r>
          </w:p>
        </w:tc>
      </w:tr>
      <w:tr>
        <w:trPr>
          <w:trHeight w:val="230"/>
        </w:trPr>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173,544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230,682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720,849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896,670</w:t>
            </w:r>
          </w:p>
        </w:tc>
      </w:tr>
      <w:tr>
        <w:trPr>
          <w:trHeight w:val="229"/>
        </w:trPr>
        <w:tc>
          <w:tcPr>
            <w:tcW w:w="5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21,898</w:t>
            </w:r>
          </w:p>
        </w:tc>
      </w:tr>
      <w:tr>
        <w:trPr>
          <w:trHeight w:val="229"/>
        </w:trPr>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Pre-opening</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102,009</w:t>
            </w:r>
          </w:p>
        </w:tc>
      </w:tr>
      <w:tr>
        <w:trPr>
          <w:trHeight w:val="230"/>
        </w:trPr>
        <w:tc>
          <w:tcPr>
            <w:tcW w:w="5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184,004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175,054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725,502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624,878</w:t>
            </w:r>
          </w:p>
        </w:tc>
      </w:tr>
      <w:tr>
        <w:trPr>
          <w:trHeight w:val="229"/>
        </w:trPr>
        <w:tc>
          <w:tcPr>
            <w:tcW w:w="5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23,754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67,455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20,286</w:t>
            </w:r>
          </w:p>
        </w:tc>
      </w:tr>
      <w:tr>
        <w:trPr>
          <w:trHeight w:val="223"/>
        </w:trPr>
        <w:tc>
          <w:tcPr>
            <w:tcW w:w="5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864,606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1,426,881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3,327,906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5,732,794</w:t>
            </w:r>
          </w:p>
        </w:tc>
      </w:tr>
      <w:tr>
        <w:trPr>
          <w:trHeight w:val="223"/>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(178,611)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226,578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(1,232,045)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878,305</w:t>
            </w:r>
          </w:p>
        </w:tc>
      </w:tr>
      <w:tr>
        <w:trPr>
          <w:trHeight w:val="20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24,449</w:t>
            </w:r>
          </w:p>
        </w:tc>
      </w:tr>
      <w:tr>
        <w:trPr>
          <w:trHeight w:val="230"/>
        </w:trPr>
        <w:tc>
          <w:tcPr>
            <w:tcW w:w="5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(149,287)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(556,474)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(414,030)</w:t>
            </w:r>
          </w:p>
        </w:tc>
      </w:tr>
      <w:tr>
        <w:trPr>
          <w:trHeight w:val="230"/>
        </w:trPr>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derivatives fair value</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w:t>
            </w:r>
          </w:p>
        </w:tc>
      </w:tr>
      <w:tr>
        <w:trPr>
          <w:trHeight w:val="229"/>
        </w:trPr>
        <w:tc>
          <w:tcPr>
            <w:tcW w:w="5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(12,437)</w:t>
            </w:r>
          </w:p>
        </w:tc>
      </w:tr>
      <w:tr>
        <w:trPr>
          <w:trHeight w:val="230"/>
        </w:trPr>
        <w:tc>
          <w:tcPr>
            <w:tcW w:w="5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28,521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15,159</w:t>
            </w:r>
          </w:p>
        </w:tc>
      </w:tr>
      <w:tr>
        <w:trPr>
          <w:trHeight w:val="223"/>
        </w:trPr>
        <w:tc>
          <w:tcPr>
            <w:tcW w:w="5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(131,112)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(86,629)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(530,230)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(390,087)</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(309,723)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139,949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(1,762,275)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488,218</w:t>
            </w:r>
          </w:p>
        </w:tc>
      </w:tr>
      <w:tr>
        <w:trPr>
          <w:trHeight w:val="230"/>
        </w:trPr>
        <w:tc>
          <w:tcPr>
            <w:tcW w:w="5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(157,419)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(564,671)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(176,840)</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(310,291)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(17,470)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(2,326,946)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311,378</w:t>
            </w:r>
          </w:p>
        </w:tc>
      </w:tr>
      <w:tr>
        <w:trPr>
          <w:trHeight w:val="230"/>
        </w:trPr>
        <w:tc>
          <w:tcPr>
            <w:tcW w:w="5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(55,472)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259,701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(188,393)</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Wynn Resorts, Limited</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(269,502)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(72,942)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(2,067,245)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122,985</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7"/>
        </w:trPr>
        <w:tc>
          <w:tcPr>
            <w:tcW w:w="52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Basic and diluted income (loss) per common share:</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0"/>
        </w:trPr>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(loss) attributable to Wynn Resorts, Limited:</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30"/>
        </w:trPr>
        <w:tc>
          <w:tcPr>
            <w:tcW w:w="5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30"/>
        </w:trPr>
        <w:tc>
          <w:tcPr>
            <w:tcW w:w="5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5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106,818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106,745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106,745</w:t>
            </w:r>
          </w:p>
        </w:tc>
      </w:tr>
      <w:tr>
        <w:trPr>
          <w:trHeight w:val="229"/>
        </w:trPr>
        <w:tc>
          <w:tcPr>
            <w:tcW w:w="5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106,818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106,608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106,745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106,985</w:t>
            </w:r>
          </w:p>
        </w:tc>
      </w:tr>
      <w:tr>
        <w:trPr>
          <w:trHeight w:val="234"/>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873"/>
        </w:trPr>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93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180"/>
          </w:cols>
          <w:pgMar w:left="360" w:top="887" w:right="359" w:bottom="1440" w:gutter="0" w:footer="0" w:header="0"/>
        </w:sectPr>
      </w:pPr>
    </w:p>
    <w:bookmarkStart w:id="8" w:name="page9"/>
    <w:bookmarkEnd w:id="8"/>
    <w:p>
      <w:pPr>
        <w:jc w:val="center"/>
        <w:ind w:left="340" w:right="1660"/>
        <w:spacing w:after="0" w:line="265" w:lineRule="auto"/>
        <w:rPr>
          <w:sz w:val="20"/>
          <w:szCs w:val="20"/>
          <w:color w:val="auto"/>
        </w:rPr>
      </w:pPr>
      <w:r>
        <w:rPr>
          <w:rFonts w:ascii="Times New Roman" w:cs="Times New Roman" w:eastAsia="Times New Roman" w:hAnsi="Times New Roman"/>
          <w:sz w:val="18"/>
          <w:szCs w:val="18"/>
          <w:b w:val="1"/>
          <w:bCs w:val="1"/>
          <w:color w:val="auto"/>
        </w:rPr>
        <w:t>WYNN RESORTS, LIMITED AND SUBSIDIARIES RECONCILIATION OF NET INCOME (LOSS) ATTRIBUTABLE TO WYNN RESORTS, LIMITED TO ADJUSTED NET INCOME (LOSS) ATTRIBUTABLE TO WYNN RESORTS, LIMITED (in thousands, except per share data)</w:t>
      </w: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15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6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Wynn Resorts, Limited</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(269,502)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(2,067,245)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122,985</w:t>
            </w:r>
          </w:p>
        </w:tc>
        <w:tc>
          <w:tcPr>
            <w:tcW w:w="0" w:type="dxa"/>
            <w:vAlign w:val="bottom"/>
          </w:tcPr>
          <w:p>
            <w:pPr>
              <w:spacing w:after="0"/>
              <w:rPr>
                <w:sz w:val="1"/>
                <w:szCs w:val="1"/>
                <w:color w:val="auto"/>
              </w:rPr>
            </w:pPr>
          </w:p>
        </w:tc>
      </w:tr>
      <w:tr>
        <w:trPr>
          <w:trHeight w:val="229"/>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Nonrecurring regulatory expense</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Litigation settlement net gain</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Pre-opening expenses</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102,009</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67,455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20,286</w:t>
            </w:r>
          </w:p>
        </w:tc>
        <w:tc>
          <w:tcPr>
            <w:tcW w:w="0" w:type="dxa"/>
            <w:vAlign w:val="bottom"/>
          </w:tcPr>
          <w:p>
            <w:pPr>
              <w:spacing w:after="0"/>
              <w:rPr>
                <w:sz w:val="1"/>
                <w:szCs w:val="1"/>
                <w:color w:val="auto"/>
              </w:rPr>
            </w:pPr>
          </w:p>
        </w:tc>
      </w:tr>
      <w:tr>
        <w:trPr>
          <w:trHeight w:val="230"/>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derivatives fair value</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12,437</w:t>
            </w:r>
          </w:p>
        </w:tc>
        <w:tc>
          <w:tcPr>
            <w:tcW w:w="0" w:type="dxa"/>
            <w:vAlign w:val="bottom"/>
          </w:tcPr>
          <w:p>
            <w:pPr>
              <w:spacing w:after="0"/>
              <w:rPr>
                <w:sz w:val="1"/>
                <w:szCs w:val="1"/>
                <w:color w:val="auto"/>
              </w:rPr>
            </w:pPr>
          </w:p>
        </w:tc>
      </w:tr>
      <w:tr>
        <w:trPr>
          <w:trHeight w:val="229"/>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remeasurement and other</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(15,159)</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impact on adjustments</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0" w:type="dxa"/>
            <w:vAlign w:val="bottom"/>
          </w:tcPr>
          <w:p>
            <w:pPr>
              <w:spacing w:after="0"/>
              <w:rPr>
                <w:sz w:val="1"/>
                <w:szCs w:val="1"/>
                <w:color w:val="auto"/>
              </w:rPr>
            </w:pPr>
          </w:p>
        </w:tc>
      </w:tr>
      <w:tr>
        <w:trPr>
          <w:trHeight w:val="229"/>
        </w:trPr>
        <w:tc>
          <w:tcPr>
            <w:tcW w:w="5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Noncontrolling interests impact on adjustments</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48"/>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 (loss) attributable to Wynn Resorts, Limited</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(262,229)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(65,570)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(2,047,252)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279,463</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b w:val="1"/>
                <w:bCs w:val="1"/>
                <w:color w:val="auto"/>
              </w:rPr>
              <w:t>Adjusted net income (loss) attributable to Wynn Resorts, Limited per</w:t>
            </w: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460" w:type="dxa"/>
            <w:vAlign w:val="bottom"/>
            <w:vMerge w:val="continue"/>
          </w:tcPr>
          <w:p>
            <w:pPr>
              <w:spacing w:after="0"/>
              <w:rPr>
                <w:sz w:val="10"/>
                <w:szCs w:val="10"/>
                <w:color w:val="auto"/>
              </w:rPr>
            </w:pPr>
          </w:p>
        </w:tc>
        <w:tc>
          <w:tcPr>
            <w:tcW w:w="56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(2.45)</w:t>
            </w:r>
          </w:p>
        </w:tc>
        <w:tc>
          <w:tcPr>
            <w:tcW w:w="100" w:type="dxa"/>
            <w:vAlign w:val="bottom"/>
          </w:tcPr>
          <w:p>
            <w:pPr>
              <w:spacing w:after="0"/>
              <w:rPr>
                <w:sz w:val="10"/>
                <w:szCs w:val="10"/>
                <w:color w:val="auto"/>
              </w:rPr>
            </w:pPr>
          </w:p>
        </w:tc>
        <w:tc>
          <w:tcPr>
            <w:tcW w:w="4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(0.62)</w:t>
            </w:r>
          </w:p>
        </w:tc>
        <w:tc>
          <w:tcPr>
            <w:tcW w:w="120" w:type="dxa"/>
            <w:vAlign w:val="bottom"/>
          </w:tcPr>
          <w:p>
            <w:pPr>
              <w:spacing w:after="0"/>
              <w:rPr>
                <w:sz w:val="10"/>
                <w:szCs w:val="10"/>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(19.18)</w:t>
            </w:r>
          </w:p>
        </w:tc>
        <w:tc>
          <w:tcPr>
            <w:tcW w:w="120" w:type="dxa"/>
            <w:vAlign w:val="bottom"/>
          </w:tcPr>
          <w:p>
            <w:pPr>
              <w:spacing w:after="0"/>
              <w:rPr>
                <w:sz w:val="10"/>
                <w:szCs w:val="10"/>
                <w:color w:val="auto"/>
              </w:rPr>
            </w:pPr>
          </w:p>
        </w:tc>
        <w:tc>
          <w:tcPr>
            <w:tcW w:w="4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2.61</w:t>
            </w: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diluted share</w:t>
            </w:r>
          </w:p>
        </w:tc>
        <w:tc>
          <w:tcPr>
            <w:tcW w:w="560" w:type="dxa"/>
            <w:vAlign w:val="bottom"/>
            <w:gridSpan w:val="2"/>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106,608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106,745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106,985</w:t>
            </w:r>
          </w:p>
        </w:tc>
        <w:tc>
          <w:tcPr>
            <w:tcW w:w="0" w:type="dxa"/>
            <w:vAlign w:val="bottom"/>
          </w:tcPr>
          <w:p>
            <w:pPr>
              <w:spacing w:after="0"/>
              <w:rPr>
                <w:sz w:val="1"/>
                <w:szCs w:val="1"/>
                <w:color w:val="auto"/>
              </w:rPr>
            </w:pPr>
          </w:p>
        </w:tc>
      </w:tr>
      <w:tr>
        <w:trPr>
          <w:trHeight w:val="873"/>
        </w:trPr>
        <w:tc>
          <w:tcPr>
            <w:tcW w:w="54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887" w:right="3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OPERATING INCOME (LOSS) TO ADJUSTED PROPERTY EBITDA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1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 2020</w:t>
            </w:r>
          </w:p>
        </w:tc>
        <w:tc>
          <w:tcPr>
            <w:tcW w:w="9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00" w:type="dxa"/>
            <w:vAlign w:val="bottom"/>
          </w:tcPr>
          <w:p>
            <w:pPr>
              <w:spacing w:after="0"/>
              <w:rPr>
                <w:sz w:val="11"/>
                <w:szCs w:val="11"/>
                <w:color w:val="auto"/>
              </w:rPr>
            </w:pPr>
          </w:p>
        </w:tc>
        <w:tc>
          <w:tcPr>
            <w:tcW w:w="10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Pre-opening</w:t>
            </w:r>
          </w:p>
        </w:tc>
        <w:tc>
          <w:tcPr>
            <w:tcW w:w="11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Depreciation and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3"/>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124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Management and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4"/>
                <w:szCs w:val="14"/>
                <w:b w:val="1"/>
                <w:bCs w:val="1"/>
                <w:color w:val="auto"/>
                <w:w w:val="99"/>
              </w:rPr>
              <w:t>Corporate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Stock-based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1140" w:type="dxa"/>
            <w:vAlign w:val="bottom"/>
            <w:gridSpan w:val="4"/>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3"/>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charges and</w:t>
            </w:r>
          </w:p>
        </w:tc>
        <w:tc>
          <w:tcPr>
            <w:tcW w:w="1240" w:type="dxa"/>
            <w:vAlign w:val="bottom"/>
            <w:gridSpan w:val="5"/>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expenses and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ind w:left="100"/>
              <w:spacing w:after="0" w:line="135"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0" w:type="dxa"/>
            <w:vAlign w:val="bottom"/>
          </w:tcPr>
          <w:p>
            <w:pPr>
              <w:spacing w:after="0"/>
              <w:rPr>
                <w:sz w:val="1"/>
                <w:szCs w:val="1"/>
                <w:color w:val="auto"/>
              </w:rPr>
            </w:pPr>
          </w:p>
        </w:tc>
      </w:tr>
      <w:tr>
        <w:trPr>
          <w:trHeight w:val="189"/>
        </w:trPr>
        <w:tc>
          <w:tcPr>
            <w:tcW w:w="1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6"/>
                <w:szCs w:val="16"/>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license fees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0" w:type="dxa"/>
            <w:vAlign w:val="bottom"/>
          </w:tcPr>
          <w:p>
            <w:pPr>
              <w:spacing w:after="0"/>
              <w:rPr>
                <w:sz w:val="1"/>
                <w:szCs w:val="1"/>
                <w:color w:val="auto"/>
              </w:rPr>
            </w:pPr>
          </w:p>
        </w:tc>
      </w:tr>
      <w:tr>
        <w:trPr>
          <w:trHeight w:val="169"/>
        </w:trPr>
        <w:tc>
          <w:tcPr>
            <w:tcW w:w="1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Macau Operations:</w:t>
            </w: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8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Wynn Palace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(50,278)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67,455</w:t>
            </w:r>
          </w:p>
        </w:tc>
        <w:tc>
          <w:tcPr>
            <w:tcW w:w="4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7,196</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w:t>
            </w:r>
          </w:p>
        </w:tc>
        <w:tc>
          <w:tcPr>
            <w:tcW w:w="4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2,135</w:t>
            </w:r>
          </w:p>
        </w:tc>
        <w:tc>
          <w:tcPr>
            <w:tcW w:w="40" w:type="dxa"/>
            <w:vAlign w:val="bottom"/>
          </w:tcPr>
          <w:p>
            <w:pPr>
              <w:spacing w:after="0"/>
              <w:rPr>
                <w:sz w:val="16"/>
                <w:szCs w:val="16"/>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28,732</w:t>
            </w:r>
          </w:p>
        </w:tc>
        <w:tc>
          <w:tcPr>
            <w:tcW w:w="0" w:type="dxa"/>
            <w:vAlign w:val="bottom"/>
          </w:tcPr>
          <w:p>
            <w:pPr>
              <w:spacing w:after="0"/>
              <w:rPr>
                <w:sz w:val="1"/>
                <w:szCs w:val="1"/>
                <w:color w:val="auto"/>
              </w:rPr>
            </w:pPr>
          </w:p>
        </w:tc>
      </w:tr>
      <w:tr>
        <w:trPr>
          <w:trHeight w:val="189"/>
        </w:trPr>
        <w:tc>
          <w:tcPr>
            <w:tcW w:w="1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Wynn Macau</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(21,315)</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20,396</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6,078</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3,865</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10,706</w:t>
            </w:r>
          </w:p>
        </w:tc>
        <w:tc>
          <w:tcPr>
            <w:tcW w:w="0" w:type="dxa"/>
            <w:vAlign w:val="bottom"/>
          </w:tcPr>
          <w:p>
            <w:pPr>
              <w:spacing w:after="0"/>
              <w:rPr>
                <w:sz w:val="1"/>
                <w:szCs w:val="1"/>
                <w:color w:val="auto"/>
              </w:rPr>
            </w:pPr>
          </w:p>
        </w:tc>
      </w:tr>
      <w:tr>
        <w:trPr>
          <w:trHeight w:val="189"/>
        </w:trPr>
        <w:tc>
          <w:tcPr>
            <w:tcW w:w="18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Macau</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1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Macau Operations</w:t>
            </w: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(74,346)</w:t>
            </w: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439</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88,959</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1,659</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13,274</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3,012</w:t>
            </w: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6,441</w:t>
            </w: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39,438</w:t>
            </w:r>
          </w:p>
        </w:tc>
        <w:tc>
          <w:tcPr>
            <w:tcW w:w="0" w:type="dxa"/>
            <w:vAlign w:val="bottom"/>
          </w:tcPr>
          <w:p>
            <w:pPr>
              <w:spacing w:after="0"/>
              <w:rPr>
                <w:sz w:val="1"/>
                <w:szCs w:val="1"/>
                <w:color w:val="auto"/>
              </w:rPr>
            </w:pPr>
          </w:p>
        </w:tc>
      </w:tr>
      <w:tr>
        <w:trPr>
          <w:trHeight w:val="189"/>
        </w:trPr>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Las Vegas Operations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(49,125)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49,332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5,419</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21,027</w:t>
            </w:r>
          </w:p>
        </w:tc>
        <w:tc>
          <w:tcPr>
            <w:tcW w:w="0" w:type="dxa"/>
            <w:vAlign w:val="bottom"/>
          </w:tcPr>
          <w:p>
            <w:pPr>
              <w:spacing w:after="0"/>
              <w:rPr>
                <w:sz w:val="1"/>
                <w:szCs w:val="1"/>
                <w:color w:val="auto"/>
              </w:rPr>
            </w:pPr>
          </w:p>
        </w:tc>
      </w:tr>
      <w:tr>
        <w:trPr>
          <w:trHeight w:val="189"/>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Encore Boston Harbor</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(34,911)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39,373</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3,653</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5,013</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2,262</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16,667</w:t>
            </w:r>
          </w:p>
        </w:tc>
        <w:tc>
          <w:tcPr>
            <w:tcW w:w="0" w:type="dxa"/>
            <w:vAlign w:val="bottom"/>
          </w:tcPr>
          <w:p>
            <w:pPr>
              <w:spacing w:after="0"/>
              <w:rPr>
                <w:sz w:val="1"/>
                <w:szCs w:val="1"/>
                <w:color w:val="auto"/>
              </w:rPr>
            </w:pPr>
          </w:p>
        </w:tc>
      </w:tr>
      <w:tr>
        <w:trPr>
          <w:trHeight w:val="189"/>
        </w:trPr>
        <w:tc>
          <w:tcPr>
            <w:tcW w:w="1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Corporate and other</w:t>
            </w: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(20,229)</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6,340</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15,614</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(26,590)</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7,296</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10,011</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(7,351)</w:t>
            </w:r>
          </w:p>
        </w:tc>
        <w:tc>
          <w:tcPr>
            <w:tcW w:w="0" w:type="dxa"/>
            <w:vAlign w:val="bottom"/>
          </w:tcPr>
          <w:p>
            <w:pPr>
              <w:spacing w:after="0"/>
              <w:rPr>
                <w:sz w:val="1"/>
                <w:szCs w:val="1"/>
                <w:color w:val="auto"/>
              </w:rPr>
            </w:pPr>
          </w:p>
        </w:tc>
      </w:tr>
      <w:tr>
        <w:trPr>
          <w:trHeight w:val="208"/>
        </w:trPr>
        <w:tc>
          <w:tcPr>
            <w:tcW w:w="1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(178,611)</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892</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184,004</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23,754</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17,989</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21,753</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69,781</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18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1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 2019</w:t>
            </w: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4"/>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00" w:type="dxa"/>
            <w:vAlign w:val="bottom"/>
          </w:tcPr>
          <w:p>
            <w:pPr>
              <w:spacing w:after="0"/>
              <w:rPr>
                <w:sz w:val="11"/>
                <w:szCs w:val="11"/>
                <w:color w:val="auto"/>
              </w:rPr>
            </w:pPr>
          </w:p>
        </w:tc>
        <w:tc>
          <w:tcPr>
            <w:tcW w:w="10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Pre-opening</w:t>
            </w:r>
          </w:p>
        </w:tc>
        <w:tc>
          <w:tcPr>
            <w:tcW w:w="40" w:type="dxa"/>
            <w:vAlign w:val="bottom"/>
          </w:tcPr>
          <w:p>
            <w:pPr>
              <w:spacing w:after="0"/>
              <w:rPr>
                <w:sz w:val="11"/>
                <w:szCs w:val="11"/>
                <w:color w:val="auto"/>
              </w:rPr>
            </w:pPr>
          </w:p>
        </w:tc>
        <w:tc>
          <w:tcPr>
            <w:tcW w:w="1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Depreciation and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3"/>
          </w:tcPr>
          <w:p>
            <w:pPr>
              <w:jc w:val="center"/>
              <w:ind w:right="180"/>
              <w:spacing w:after="0" w:line="134"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140"/>
              <w:spacing w:after="0" w:line="134"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Stock-based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ind w:right="188"/>
              <w:spacing w:after="0" w:line="134"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charges and</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expenses and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0" w:type="dxa"/>
            <w:vAlign w:val="bottom"/>
          </w:tcPr>
          <w:p>
            <w:pPr>
              <w:spacing w:after="0"/>
              <w:rPr>
                <w:sz w:val="1"/>
                <w:szCs w:val="1"/>
                <w:color w:val="auto"/>
              </w:rPr>
            </w:pPr>
          </w:p>
        </w:tc>
      </w:tr>
      <w:tr>
        <w:trPr>
          <w:trHeight w:val="189"/>
        </w:trPr>
        <w:tc>
          <w:tcPr>
            <w:tcW w:w="1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6"/>
                <w:szCs w:val="16"/>
                <w:color w:val="auto"/>
              </w:rPr>
            </w:pPr>
          </w:p>
        </w:tc>
        <w:tc>
          <w:tcPr>
            <w:tcW w:w="10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expenses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6"/>
                <w:szCs w:val="16"/>
                <w:color w:val="auto"/>
              </w:rPr>
            </w:pPr>
          </w:p>
        </w:tc>
        <w:tc>
          <w:tcPr>
            <w:tcW w:w="120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and license fees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0" w:type="dxa"/>
            <w:vAlign w:val="bottom"/>
          </w:tcPr>
          <w:p>
            <w:pPr>
              <w:spacing w:after="0"/>
              <w:rPr>
                <w:sz w:val="1"/>
                <w:szCs w:val="1"/>
                <w:color w:val="auto"/>
              </w:rPr>
            </w:pPr>
          </w:p>
        </w:tc>
      </w:tr>
      <w:tr>
        <w:trPr>
          <w:trHeight w:val="169"/>
        </w:trPr>
        <w:tc>
          <w:tcPr>
            <w:tcW w:w="1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Macau Operations:</w:t>
            </w:r>
          </w:p>
        </w:tc>
        <w:tc>
          <w:tcPr>
            <w:tcW w:w="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8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Wynn Palace</w:t>
            </w:r>
          </w:p>
        </w:tc>
        <w:tc>
          <w:tcPr>
            <w:tcW w:w="1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88,303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66,337</w:t>
            </w:r>
          </w:p>
        </w:tc>
        <w:tc>
          <w:tcPr>
            <w:tcW w:w="4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(466)</w:t>
            </w:r>
          </w:p>
        </w:tc>
        <w:tc>
          <w:tcPr>
            <w:tcW w:w="6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20,853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w:t>
            </w:r>
          </w:p>
        </w:tc>
        <w:tc>
          <w:tcPr>
            <w:tcW w:w="4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w:t>
            </w:r>
          </w:p>
        </w:tc>
        <w:tc>
          <w:tcPr>
            <w:tcW w:w="40" w:type="dxa"/>
            <w:vAlign w:val="bottom"/>
          </w:tcPr>
          <w:p>
            <w:pPr>
              <w:spacing w:after="0"/>
              <w:rPr>
                <w:sz w:val="16"/>
                <w:szCs w:val="16"/>
                <w:color w:val="auto"/>
              </w:rPr>
            </w:pPr>
          </w:p>
        </w:tc>
        <w:tc>
          <w:tcPr>
            <w:tcW w:w="26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177,617</w:t>
            </w:r>
          </w:p>
        </w:tc>
        <w:tc>
          <w:tcPr>
            <w:tcW w:w="0" w:type="dxa"/>
            <w:vAlign w:val="bottom"/>
          </w:tcPr>
          <w:p>
            <w:pPr>
              <w:spacing w:after="0"/>
              <w:rPr>
                <w:sz w:val="1"/>
                <w:szCs w:val="1"/>
                <w:color w:val="auto"/>
              </w:rPr>
            </w:pPr>
          </w:p>
        </w:tc>
      </w:tr>
      <w:tr>
        <w:trPr>
          <w:trHeight w:val="189"/>
        </w:trPr>
        <w:tc>
          <w:tcPr>
            <w:tcW w:w="1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Wynn Macau</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123,161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1,699</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23,601</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(234)</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18,475</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1,848</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170,086</w:t>
            </w:r>
          </w:p>
        </w:tc>
        <w:tc>
          <w:tcPr>
            <w:tcW w:w="0" w:type="dxa"/>
            <w:vAlign w:val="bottom"/>
          </w:tcPr>
          <w:p>
            <w:pPr>
              <w:spacing w:after="0"/>
              <w:rPr>
                <w:sz w:val="1"/>
                <w:szCs w:val="1"/>
                <w:color w:val="auto"/>
              </w:rPr>
            </w:pPr>
          </w:p>
        </w:tc>
      </w:tr>
      <w:tr>
        <w:trPr>
          <w:trHeight w:val="189"/>
        </w:trPr>
        <w:tc>
          <w:tcPr>
            <w:tcW w:w="18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Macau</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2,162</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1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Macau Operations</w:t>
            </w:r>
          </w:p>
        </w:tc>
        <w:tc>
          <w:tcPr>
            <w:tcW w:w="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207,917</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1,699</w:t>
            </w: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91,053</w:t>
            </w: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(695)</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39,328</w:t>
            </w: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5,090</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3,311</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347,703</w:t>
            </w:r>
          </w:p>
        </w:tc>
        <w:tc>
          <w:tcPr>
            <w:tcW w:w="0" w:type="dxa"/>
            <w:vAlign w:val="bottom"/>
          </w:tcPr>
          <w:p>
            <w:pPr>
              <w:spacing w:after="0"/>
              <w:rPr>
                <w:sz w:val="1"/>
                <w:szCs w:val="1"/>
                <w:color w:val="auto"/>
              </w:rPr>
            </w:pPr>
          </w:p>
        </w:tc>
      </w:tr>
      <w:tr>
        <w:trPr>
          <w:trHeight w:val="189"/>
        </w:trPr>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Las Vegas Operations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44,471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17,610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80,139</w:t>
            </w:r>
          </w:p>
        </w:tc>
        <w:tc>
          <w:tcPr>
            <w:tcW w:w="0" w:type="dxa"/>
            <w:vAlign w:val="bottom"/>
          </w:tcPr>
          <w:p>
            <w:pPr>
              <w:spacing w:after="0"/>
              <w:rPr>
                <w:sz w:val="1"/>
                <w:szCs w:val="1"/>
                <w:color w:val="auto"/>
              </w:rPr>
            </w:pPr>
          </w:p>
        </w:tc>
      </w:tr>
      <w:tr>
        <w:trPr>
          <w:trHeight w:val="189"/>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Encore Boston Harbor</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(34,146)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36,752</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8,346</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2,618</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1,690</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15,260</w:t>
            </w:r>
          </w:p>
        </w:tc>
        <w:tc>
          <w:tcPr>
            <w:tcW w:w="0" w:type="dxa"/>
            <w:vAlign w:val="bottom"/>
          </w:tcPr>
          <w:p>
            <w:pPr>
              <w:spacing w:after="0"/>
              <w:rPr>
                <w:sz w:val="1"/>
                <w:szCs w:val="1"/>
                <w:color w:val="auto"/>
              </w:rPr>
            </w:pPr>
          </w:p>
        </w:tc>
      </w:tr>
      <w:tr>
        <w:trPr>
          <w:trHeight w:val="189"/>
        </w:trPr>
        <w:tc>
          <w:tcPr>
            <w:tcW w:w="1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Corporate and other</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46,211</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2,778</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(1,825)</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(65,284)</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13,584</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3,604</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8"/>
        </w:trPr>
        <w:tc>
          <w:tcPr>
            <w:tcW w:w="1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226,578</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2,797</w:t>
            </w:r>
          </w:p>
        </w:tc>
        <w:tc>
          <w:tcPr>
            <w:tcW w:w="4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175,054</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2,366</w:t>
            </w:r>
          </w:p>
        </w:tc>
        <w:tc>
          <w:tcPr>
            <w:tcW w:w="4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26,379</w:t>
            </w: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9,928</w:t>
            </w: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443,102</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88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OPERATING INCOME (LOSS) TO ADJUSTED PROPERTY EBITDA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(continued)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20" w:type="dxa"/>
            <w:vAlign w:val="bottom"/>
          </w:tcPr>
          <w:p>
            <w:pPr>
              <w:spacing w:after="0"/>
              <w:rPr>
                <w:sz w:val="11"/>
                <w:szCs w:val="11"/>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Pre-opening</w:t>
            </w: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Depreciation and</w:t>
            </w: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120" w:type="dxa"/>
            <w:vAlign w:val="bottom"/>
          </w:tcPr>
          <w:p>
            <w:pPr>
              <w:spacing w:after="0"/>
              <w:rPr>
                <w:sz w:val="11"/>
                <w:szCs w:val="11"/>
                <w:color w:val="auto"/>
              </w:rPr>
            </w:pPr>
          </w:p>
        </w:tc>
        <w:tc>
          <w:tcPr>
            <w:tcW w:w="10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Pr>
          <w:p>
            <w:pPr>
              <w:spacing w:after="0"/>
              <w:rPr>
                <w:sz w:val="11"/>
                <w:szCs w:val="11"/>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Stock-based</w:t>
            </w:r>
          </w:p>
        </w:tc>
        <w:tc>
          <w:tcPr>
            <w:tcW w:w="160" w:type="dxa"/>
            <w:vAlign w:val="bottom"/>
          </w:tcPr>
          <w:p>
            <w:pPr>
              <w:spacing w:after="0"/>
              <w:rPr>
                <w:sz w:val="11"/>
                <w:szCs w:val="11"/>
                <w:color w:val="auto"/>
              </w:rPr>
            </w:pPr>
          </w:p>
        </w:tc>
        <w:tc>
          <w:tcPr>
            <w:tcW w:w="900" w:type="dxa"/>
            <w:vAlign w:val="bottom"/>
          </w:tcPr>
          <w:p>
            <w:pPr>
              <w:jc w:val="right"/>
              <w:ind w:right="188"/>
              <w:spacing w:after="0" w:line="134"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charges and</w:t>
            </w:r>
          </w:p>
        </w:tc>
        <w:tc>
          <w:tcPr>
            <w:tcW w:w="1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expenses and</w:t>
            </w:r>
          </w:p>
        </w:tc>
        <w:tc>
          <w:tcPr>
            <w:tcW w:w="1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ind w:right="188"/>
              <w:spacing w:after="0" w:line="135"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0" w:type="dxa"/>
            <w:vAlign w:val="bottom"/>
          </w:tcPr>
          <w:p>
            <w:pPr>
              <w:spacing w:after="0"/>
              <w:rPr>
                <w:sz w:val="1"/>
                <w:szCs w:val="1"/>
                <w:color w:val="auto"/>
              </w:rPr>
            </w:pPr>
          </w:p>
        </w:tc>
      </w:tr>
      <w:tr>
        <w:trPr>
          <w:trHeight w:val="189"/>
        </w:trPr>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20" w:type="dxa"/>
            <w:vAlign w:val="bottom"/>
          </w:tcPr>
          <w:p>
            <w:pPr>
              <w:spacing w:after="0"/>
              <w:rPr>
                <w:sz w:val="16"/>
                <w:szCs w:val="16"/>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 license fees</w:t>
            </w: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60" w:type="dxa"/>
            <w:vAlign w:val="bottom"/>
          </w:tcPr>
          <w:p>
            <w:pPr>
              <w:spacing w:after="0"/>
              <w:rPr>
                <w:sz w:val="16"/>
                <w:szCs w:val="16"/>
                <w:color w:val="auto"/>
              </w:rPr>
            </w:pPr>
          </w:p>
        </w:tc>
        <w:tc>
          <w:tcPr>
            <w:tcW w:w="9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0" w:type="dxa"/>
            <w:vAlign w:val="bottom"/>
          </w:tcPr>
          <w:p>
            <w:pPr>
              <w:spacing w:after="0"/>
              <w:rPr>
                <w:sz w:val="1"/>
                <w:szCs w:val="1"/>
                <w:color w:val="auto"/>
              </w:rPr>
            </w:pPr>
          </w:p>
        </w:tc>
      </w:tr>
      <w:tr>
        <w:trPr>
          <w:trHeight w:val="169"/>
        </w:trPr>
        <w:tc>
          <w:tcPr>
            <w:tcW w:w="1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Macau Operations:</w:t>
            </w:r>
          </w:p>
        </w:tc>
        <w:tc>
          <w:tcPr>
            <w:tcW w:w="1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Wynn Palace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(477,759)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1,432</w:t>
            </w:r>
          </w:p>
        </w:tc>
        <w:tc>
          <w:tcPr>
            <w:tcW w:w="12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269,110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24,712</w:t>
            </w:r>
          </w:p>
        </w:tc>
        <w:tc>
          <w:tcPr>
            <w:tcW w:w="100" w:type="dxa"/>
            <w:vAlign w:val="bottom"/>
          </w:tcPr>
          <w:p>
            <w:pPr>
              <w:spacing w:after="0"/>
              <w:rPr>
                <w:sz w:val="16"/>
                <w:szCs w:val="16"/>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21,121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4,056</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7,681</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(149,647)</w:t>
            </w:r>
          </w:p>
        </w:tc>
        <w:tc>
          <w:tcPr>
            <w:tcW w:w="0" w:type="dxa"/>
            <w:vAlign w:val="bottom"/>
          </w:tcPr>
          <w:p>
            <w:pPr>
              <w:spacing w:after="0"/>
              <w:rPr>
                <w:sz w:val="1"/>
                <w:szCs w:val="1"/>
                <w:color w:val="auto"/>
              </w:rPr>
            </w:pPr>
          </w:p>
        </w:tc>
      </w:tr>
      <w:tr>
        <w:trPr>
          <w:trHeight w:val="189"/>
        </w:trPr>
        <w:tc>
          <w:tcPr>
            <w:tcW w:w="1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Wynn Macau</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(214,606)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89,527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18,741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(87,189)</w:t>
            </w:r>
          </w:p>
        </w:tc>
        <w:tc>
          <w:tcPr>
            <w:tcW w:w="0" w:type="dxa"/>
            <w:vAlign w:val="bottom"/>
          </w:tcPr>
          <w:p>
            <w:pPr>
              <w:spacing w:after="0"/>
              <w:rPr>
                <w:sz w:val="1"/>
                <w:szCs w:val="1"/>
                <w:color w:val="auto"/>
              </w:rPr>
            </w:pPr>
          </w:p>
        </w:tc>
      </w:tr>
      <w:tr>
        <w:trPr>
          <w:trHeight w:val="189"/>
        </w:trPr>
        <w:tc>
          <w:tcPr>
            <w:tcW w:w="1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Macau</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1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Macau Operations</w:t>
            </w:r>
          </w:p>
        </w:tc>
        <w:tc>
          <w:tcPr>
            <w:tcW w:w="1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(704,006)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1,432</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363,080</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28,330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39,862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14,207</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20,259</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(236,836)</w:t>
            </w:r>
          </w:p>
        </w:tc>
        <w:tc>
          <w:tcPr>
            <w:tcW w:w="0" w:type="dxa"/>
            <w:vAlign w:val="bottom"/>
          </w:tcPr>
          <w:p>
            <w:pPr>
              <w:spacing w:after="0"/>
              <w:rPr>
                <w:sz w:val="1"/>
                <w:szCs w:val="1"/>
                <w:color w:val="auto"/>
              </w:rPr>
            </w:pPr>
          </w:p>
        </w:tc>
      </w:tr>
      <w:tr>
        <w:trPr>
          <w:trHeight w:val="189"/>
        </w:trPr>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Las Vegas Operations</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(326,729)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196,292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23,111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(56,356)</w:t>
            </w:r>
          </w:p>
        </w:tc>
        <w:tc>
          <w:tcPr>
            <w:tcW w:w="0" w:type="dxa"/>
            <w:vAlign w:val="bottom"/>
          </w:tcPr>
          <w:p>
            <w:pPr>
              <w:spacing w:after="0"/>
              <w:rPr>
                <w:sz w:val="1"/>
                <w:szCs w:val="1"/>
                <w:color w:val="auto"/>
              </w:rPr>
            </w:pPr>
          </w:p>
        </w:tc>
      </w:tr>
      <w:tr>
        <w:trPr>
          <w:trHeight w:val="189"/>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Encore Boston Harbor</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(220,053)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150,886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17,651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(23,762)</w:t>
            </w:r>
          </w:p>
        </w:tc>
        <w:tc>
          <w:tcPr>
            <w:tcW w:w="0" w:type="dxa"/>
            <w:vAlign w:val="bottom"/>
          </w:tcPr>
          <w:p>
            <w:pPr>
              <w:spacing w:after="0"/>
              <w:rPr>
                <w:sz w:val="1"/>
                <w:szCs w:val="1"/>
                <w:color w:val="auto"/>
              </w:rPr>
            </w:pPr>
          </w:p>
        </w:tc>
      </w:tr>
      <w:tr>
        <w:trPr>
          <w:trHeight w:val="189"/>
        </w:trPr>
        <w:tc>
          <w:tcPr>
            <w:tcW w:w="1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Corporate and other</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18,743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15,244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21,461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(92,726)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(2,457)</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29,800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(7,351)</w:t>
            </w:r>
          </w:p>
        </w:tc>
        <w:tc>
          <w:tcPr>
            <w:tcW w:w="0" w:type="dxa"/>
            <w:vAlign w:val="bottom"/>
          </w:tcPr>
          <w:p>
            <w:pPr>
              <w:spacing w:after="0"/>
              <w:rPr>
                <w:sz w:val="1"/>
                <w:szCs w:val="1"/>
                <w:color w:val="auto"/>
              </w:rPr>
            </w:pPr>
          </w:p>
        </w:tc>
      </w:tr>
      <w:tr>
        <w:trPr>
          <w:trHeight w:val="208"/>
        </w:trPr>
        <w:tc>
          <w:tcPr>
            <w:tcW w:w="1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(1,232,045)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6,506</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725,502</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67,455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46,023</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62,254</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(324,305)</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Corporate and other includes a $30.2 million net gain recorded in relation to a derivative litigation settlement.</w:t>
      </w:r>
    </w:p>
    <w:p>
      <w:pPr>
        <w:spacing w:after="0" w:line="200" w:lineRule="exact"/>
        <w:rPr>
          <w:sz w:val="20"/>
          <w:szCs w:val="20"/>
          <w:color w:val="auto"/>
        </w:rPr>
      </w:pPr>
    </w:p>
    <w:p>
      <w:pPr>
        <w:spacing w:after="0" w:line="32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8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 2019</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00" w:type="dxa"/>
            <w:vAlign w:val="bottom"/>
          </w:tcPr>
          <w:p>
            <w:pPr>
              <w:spacing w:after="0"/>
              <w:rPr>
                <w:sz w:val="11"/>
                <w:szCs w:val="11"/>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Pre-opening</w:t>
            </w: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Depreciation and</w:t>
            </w:r>
          </w:p>
        </w:tc>
        <w:tc>
          <w:tcPr>
            <w:tcW w:w="120" w:type="dxa"/>
            <w:vAlign w:val="bottom"/>
          </w:tcPr>
          <w:p>
            <w:pPr>
              <w:spacing w:after="0"/>
              <w:rPr>
                <w:sz w:val="11"/>
                <w:szCs w:val="11"/>
                <w:color w:val="auto"/>
              </w:rPr>
            </w:pPr>
          </w:p>
        </w:tc>
        <w:tc>
          <w:tcPr>
            <w:tcW w:w="104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Management and</w:t>
            </w: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Pr>
          <w:p>
            <w:pPr>
              <w:spacing w:after="0"/>
              <w:rPr>
                <w:sz w:val="11"/>
                <w:szCs w:val="11"/>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Stock-based</w:t>
            </w:r>
          </w:p>
        </w:tc>
        <w:tc>
          <w:tcPr>
            <w:tcW w:w="180" w:type="dxa"/>
            <w:vAlign w:val="bottom"/>
          </w:tcPr>
          <w:p>
            <w:pPr>
              <w:spacing w:after="0"/>
              <w:rPr>
                <w:sz w:val="11"/>
                <w:szCs w:val="11"/>
                <w:color w:val="auto"/>
              </w:rPr>
            </w:pPr>
          </w:p>
        </w:tc>
        <w:tc>
          <w:tcPr>
            <w:tcW w:w="900" w:type="dxa"/>
            <w:vAlign w:val="bottom"/>
          </w:tcPr>
          <w:p>
            <w:pPr>
              <w:jc w:val="right"/>
              <w:ind w:right="188"/>
              <w:spacing w:after="0" w:line="134"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charges and</w:t>
            </w:r>
          </w:p>
        </w:tc>
        <w:tc>
          <w:tcPr>
            <w:tcW w:w="1220" w:type="dxa"/>
            <w:vAlign w:val="bottom"/>
            <w:gridSpan w:val="3"/>
            <w:vMerge w:val="continue"/>
          </w:tcPr>
          <w:p>
            <w:pPr>
              <w:spacing w:after="0"/>
              <w:rPr>
                <w:sz w:val="11"/>
                <w:szCs w:val="11"/>
                <w:color w:val="auto"/>
              </w:rPr>
            </w:pPr>
          </w:p>
        </w:tc>
        <w:tc>
          <w:tcPr>
            <w:tcW w:w="108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expenses and</w:t>
            </w:r>
          </w:p>
        </w:tc>
        <w:tc>
          <w:tcPr>
            <w:tcW w:w="1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right"/>
              <w:ind w:right="208"/>
              <w:spacing w:after="0" w:line="135"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0" w:type="dxa"/>
            <w:vAlign w:val="bottom"/>
          </w:tcPr>
          <w:p>
            <w:pPr>
              <w:spacing w:after="0"/>
              <w:rPr>
                <w:sz w:val="1"/>
                <w:szCs w:val="1"/>
                <w:color w:val="auto"/>
              </w:rPr>
            </w:pPr>
          </w:p>
        </w:tc>
      </w:tr>
      <w:tr>
        <w:trPr>
          <w:trHeight w:val="189"/>
        </w:trPr>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0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license fees</w:t>
            </w: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80" w:type="dxa"/>
            <w:vAlign w:val="bottom"/>
          </w:tcPr>
          <w:p>
            <w:pPr>
              <w:spacing w:after="0"/>
              <w:rPr>
                <w:sz w:val="16"/>
                <w:szCs w:val="16"/>
                <w:color w:val="auto"/>
              </w:rPr>
            </w:pPr>
          </w:p>
        </w:tc>
        <w:tc>
          <w:tcPr>
            <w:tcW w:w="90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0" w:type="dxa"/>
            <w:vAlign w:val="bottom"/>
          </w:tcPr>
          <w:p>
            <w:pPr>
              <w:spacing w:after="0"/>
              <w:rPr>
                <w:sz w:val="1"/>
                <w:szCs w:val="1"/>
                <w:color w:val="auto"/>
              </w:rPr>
            </w:pPr>
          </w:p>
        </w:tc>
      </w:tr>
      <w:tr>
        <w:trPr>
          <w:trHeight w:val="169"/>
        </w:trPr>
        <w:tc>
          <w:tcPr>
            <w:tcW w:w="1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Macau Operations:</w:t>
            </w:r>
          </w:p>
        </w:tc>
        <w:tc>
          <w:tcPr>
            <w:tcW w:w="1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Wynn Palace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359,286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264,758</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94,111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5,583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4,797</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729,535</w:t>
            </w:r>
          </w:p>
        </w:tc>
        <w:tc>
          <w:tcPr>
            <w:tcW w:w="0" w:type="dxa"/>
            <w:vAlign w:val="bottom"/>
          </w:tcPr>
          <w:p>
            <w:pPr>
              <w:spacing w:after="0"/>
              <w:rPr>
                <w:sz w:val="1"/>
                <w:szCs w:val="1"/>
                <w:color w:val="auto"/>
              </w:rPr>
            </w:pPr>
          </w:p>
        </w:tc>
      </w:tr>
      <w:tr>
        <w:trPr>
          <w:trHeight w:val="189"/>
        </w:trPr>
        <w:tc>
          <w:tcPr>
            <w:tcW w:w="1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Wynn Macau</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461,821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90,448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74,076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6,515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8,893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648,837</w:t>
            </w:r>
          </w:p>
        </w:tc>
        <w:tc>
          <w:tcPr>
            <w:tcW w:w="0" w:type="dxa"/>
            <w:vAlign w:val="bottom"/>
          </w:tcPr>
          <w:p>
            <w:pPr>
              <w:spacing w:after="0"/>
              <w:rPr>
                <w:sz w:val="1"/>
                <w:szCs w:val="1"/>
                <w:color w:val="auto"/>
              </w:rPr>
            </w:pPr>
          </w:p>
        </w:tc>
      </w:tr>
      <w:tr>
        <w:trPr>
          <w:trHeight w:val="189"/>
        </w:trPr>
        <w:tc>
          <w:tcPr>
            <w:tcW w:w="1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Macau</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(15,586)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1,075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1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Macau Operations</w:t>
            </w:r>
          </w:p>
        </w:tc>
        <w:tc>
          <w:tcPr>
            <w:tcW w:w="1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805,521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2,224</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359,671</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5,883</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168,187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22,121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14,765</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1,378,372</w:t>
            </w:r>
          </w:p>
        </w:tc>
        <w:tc>
          <w:tcPr>
            <w:tcW w:w="0" w:type="dxa"/>
            <w:vAlign w:val="bottom"/>
          </w:tcPr>
          <w:p>
            <w:pPr>
              <w:spacing w:after="0"/>
              <w:rPr>
                <w:sz w:val="1"/>
                <w:szCs w:val="1"/>
                <w:color w:val="auto"/>
              </w:rPr>
            </w:pPr>
          </w:p>
        </w:tc>
      </w:tr>
      <w:tr>
        <w:trPr>
          <w:trHeight w:val="189"/>
        </w:trPr>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Las Vegas Operations</w:t>
            </w:r>
          </w:p>
        </w:tc>
        <w:tc>
          <w:tcPr>
            <w:tcW w:w="1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123,306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177,509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14,241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76,520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16,215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5,846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413,886</w:t>
            </w:r>
          </w:p>
        </w:tc>
        <w:tc>
          <w:tcPr>
            <w:tcW w:w="0" w:type="dxa"/>
            <w:vAlign w:val="bottom"/>
          </w:tcPr>
          <w:p>
            <w:pPr>
              <w:spacing w:after="0"/>
              <w:rPr>
                <w:sz w:val="1"/>
                <w:szCs w:val="1"/>
                <w:color w:val="auto"/>
              </w:rPr>
            </w:pPr>
          </w:p>
        </w:tc>
      </w:tr>
      <w:tr>
        <w:trPr>
          <w:trHeight w:val="189"/>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Encore Boston Harbor</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(195,589)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96,649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78,378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26,731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14,524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2,432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23,150</w:t>
            </w:r>
          </w:p>
        </w:tc>
        <w:tc>
          <w:tcPr>
            <w:tcW w:w="0" w:type="dxa"/>
            <w:vAlign w:val="bottom"/>
          </w:tcPr>
          <w:p>
            <w:pPr>
              <w:spacing w:after="0"/>
              <w:rPr>
                <w:sz w:val="1"/>
                <w:szCs w:val="1"/>
                <w:color w:val="auto"/>
              </w:rPr>
            </w:pPr>
          </w:p>
        </w:tc>
      </w:tr>
      <w:tr>
        <w:trPr>
          <w:trHeight w:val="189"/>
        </w:trPr>
        <w:tc>
          <w:tcPr>
            <w:tcW w:w="1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Corporate and other</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145,067</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2,887</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9,320</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(271,438)</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97,368</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16,659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8"/>
        </w:trPr>
        <w:tc>
          <w:tcPr>
            <w:tcW w:w="1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878,305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102,009</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624,878</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20,286</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150,228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39,702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1,815,408</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88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INCOME (LOSS) ATTRIBUTABLE TO WYNN RESORTS, LIMITED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ADJUSTED PROPERTY EBITDA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66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60" w:type="dxa"/>
            <w:vAlign w:val="bottom"/>
          </w:tcPr>
          <w:p>
            <w:pPr>
              <w:spacing w:after="0"/>
              <w:rPr>
                <w:sz w:val="13"/>
                <w:szCs w:val="13"/>
                <w:color w:val="auto"/>
              </w:rPr>
            </w:pPr>
          </w:p>
        </w:tc>
      </w:tr>
      <w:tr>
        <w:trPr>
          <w:trHeight w:val="189"/>
        </w:trPr>
        <w:tc>
          <w:tcPr>
            <w:tcW w:w="5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3"/>
        </w:trPr>
        <w:tc>
          <w:tcPr>
            <w:tcW w:w="50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Wynn Resorts, Limited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(269,502)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(2,067,245)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122,985</w:t>
            </w:r>
          </w:p>
        </w:tc>
      </w:tr>
      <w:tr>
        <w:trPr>
          <w:trHeight w:val="229"/>
        </w:trPr>
        <w:tc>
          <w:tcPr>
            <w:tcW w:w="5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(40,789)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(259,701)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188,393</w:t>
            </w:r>
          </w:p>
        </w:tc>
      </w:tr>
      <w:tr>
        <w:trPr>
          <w:trHeight w:val="230"/>
        </w:trPr>
        <w:tc>
          <w:tcPr>
            <w:tcW w:w="5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Pre-opening expenses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102,009</w:t>
            </w:r>
          </w:p>
        </w:tc>
      </w:tr>
      <w:tr>
        <w:trPr>
          <w:trHeight w:val="229"/>
        </w:trPr>
        <w:tc>
          <w:tcPr>
            <w:tcW w:w="5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184,004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175,054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725,502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624,878</w:t>
            </w:r>
          </w:p>
        </w:tc>
      </w:tr>
      <w:tr>
        <w:trPr>
          <w:trHeight w:val="229"/>
        </w:trPr>
        <w:tc>
          <w:tcPr>
            <w:tcW w:w="5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67,455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20,286</w:t>
            </w:r>
          </w:p>
        </w:tc>
      </w:tr>
      <w:tr>
        <w:trPr>
          <w:trHeight w:val="230"/>
        </w:trPr>
        <w:tc>
          <w:tcPr>
            <w:tcW w:w="5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Corporate expenses and other</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46,023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150,228</w:t>
            </w:r>
          </w:p>
        </w:tc>
      </w:tr>
      <w:tr>
        <w:trPr>
          <w:trHeight w:val="229"/>
        </w:trPr>
        <w:tc>
          <w:tcPr>
            <w:tcW w:w="5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62,254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39,702</w:t>
            </w:r>
          </w:p>
        </w:tc>
      </w:tr>
      <w:tr>
        <w:trPr>
          <w:trHeight w:val="230"/>
        </w:trPr>
        <w:tc>
          <w:tcPr>
            <w:tcW w:w="5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(24,449)</w:t>
            </w:r>
          </w:p>
        </w:tc>
      </w:tr>
      <w:tr>
        <w:trPr>
          <w:trHeight w:val="229"/>
        </w:trPr>
        <w:tc>
          <w:tcPr>
            <w:tcW w:w="5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149,287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556,474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414,030</w:t>
            </w:r>
          </w:p>
        </w:tc>
      </w:tr>
      <w:tr>
        <w:trPr>
          <w:trHeight w:val="229"/>
        </w:trPr>
        <w:tc>
          <w:tcPr>
            <w:tcW w:w="5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derivatives fair value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w:t>
            </w:r>
          </w:p>
        </w:tc>
      </w:tr>
      <w:tr>
        <w:trPr>
          <w:trHeight w:val="230"/>
        </w:trPr>
        <w:tc>
          <w:tcPr>
            <w:tcW w:w="5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12,437</w:t>
            </w:r>
          </w:p>
        </w:tc>
      </w:tr>
      <w:tr>
        <w:trPr>
          <w:trHeight w:val="229"/>
        </w:trPr>
        <w:tc>
          <w:tcPr>
            <w:tcW w:w="5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(15,159)</w:t>
            </w:r>
          </w:p>
        </w:tc>
      </w:tr>
      <w:tr>
        <w:trPr>
          <w:trHeight w:val="229"/>
        </w:trPr>
        <w:tc>
          <w:tcPr>
            <w:tcW w:w="5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157,419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564,671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176,840</w:t>
            </w: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Property EBITDA</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69,781</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443,102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(324,305)</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1,815,408</w:t>
            </w:r>
          </w:p>
        </w:tc>
      </w:tr>
      <w:tr>
        <w:trPr>
          <w:trHeight w:val="21"/>
        </w:trPr>
        <w:tc>
          <w:tcPr>
            <w:tcW w:w="5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871"/>
        </w:trPr>
        <w:tc>
          <w:tcPr>
            <w:tcW w:w="5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120"/>
          </w:cols>
          <w:pgMar w:left="380" w:top="887" w:right="399" w:bottom="1440" w:gutter="0" w:footer="0" w:header="0"/>
        </w:sectPr>
      </w:pPr>
    </w:p>
    <w:bookmarkStart w:id="12" w:name="page13"/>
    <w:bookmarkEnd w:id="12"/>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WYNN RESORTS, LIMITED AND SUBSIDIARIES SUPPLEMENTAL DATA SCHEDULE (dollars in thousands, except for win per unit per day, ADR and REVPAR) (unaudited)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360" w:type="dxa"/>
            <w:vAlign w:val="bottom"/>
          </w:tcPr>
          <w:p>
            <w:pPr>
              <w:spacing w:after="0"/>
              <w:rPr>
                <w:sz w:val="16"/>
                <w:szCs w:val="16"/>
                <w:color w:val="auto"/>
              </w:rPr>
            </w:pPr>
          </w:p>
        </w:tc>
        <w:tc>
          <w:tcPr>
            <w:tcW w:w="28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60" w:type="dxa"/>
            <w:vAlign w:val="bottom"/>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vMerge w:val="restart"/>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vMerge w:val="restart"/>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Wynn Palace Supplemental Information</w:t>
            </w: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revenues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Casino</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159,835</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490,379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368,284</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2,139,756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0" w:type="dxa"/>
            <w:vAlign w:val="bottom"/>
          </w:tcPr>
          <w:p>
            <w:pPr>
              <w:spacing w:after="0"/>
              <w:rPr>
                <w:sz w:val="1"/>
                <w:szCs w:val="1"/>
                <w:color w:val="auto"/>
              </w:rPr>
            </w:pPr>
          </w:p>
        </w:tc>
      </w:tr>
      <w:tr>
        <w:trPr>
          <w:trHeight w:val="213"/>
        </w:trPr>
        <w:tc>
          <w:tcPr>
            <w:tcW w:w="3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Rooms</w:t>
            </w:r>
          </w:p>
        </w:tc>
        <w:tc>
          <w:tcPr>
            <w:tcW w:w="28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19,463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43,194</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46,110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174,576</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Food and beverage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18,813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29,685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43,198</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117,376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0" w:type="dxa"/>
            <w:vAlign w:val="bottom"/>
          </w:tcPr>
          <w:p>
            <w:pPr>
              <w:spacing w:after="0"/>
              <w:rPr>
                <w:sz w:val="1"/>
                <w:szCs w:val="1"/>
                <w:color w:val="auto"/>
              </w:rPr>
            </w:pPr>
          </w:p>
        </w:tc>
      </w:tr>
      <w:tr>
        <w:trPr>
          <w:trHeight w:val="213"/>
        </w:trPr>
        <w:tc>
          <w:tcPr>
            <w:tcW w:w="3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 xml:space="preserve">Entertainment, retail and other </w:t>
            </w:r>
            <w:r>
              <w:rPr>
                <w:rFonts w:ascii="Times New Roman" w:cs="Times New Roman" w:eastAsia="Times New Roman" w:hAnsi="Times New Roman"/>
                <w:sz w:val="14"/>
                <w:szCs w:val="14"/>
                <w:color w:val="auto"/>
              </w:rPr>
              <w:t>(7)</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23,377</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26,727</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47,828</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111,986</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0" w:type="dxa"/>
            <w:vAlign w:val="bottom"/>
          </w:tcPr>
          <w:p>
            <w:pPr>
              <w:spacing w:after="0"/>
              <w:rPr>
                <w:sz w:val="1"/>
                <w:szCs w:val="1"/>
                <w:color w:val="auto"/>
              </w:rPr>
            </w:pPr>
          </w:p>
        </w:tc>
      </w:tr>
      <w:tr>
        <w:trPr>
          <w:trHeight w:val="212"/>
        </w:trPr>
        <w:tc>
          <w:tcPr>
            <w:tcW w:w="3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221,488</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589,985</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505,420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2,543,694</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(80.1)</w:t>
            </w:r>
          </w:p>
        </w:tc>
        <w:tc>
          <w:tcPr>
            <w:tcW w:w="0" w:type="dxa"/>
            <w:vAlign w:val="bottom"/>
          </w:tcPr>
          <w:p>
            <w:pPr>
              <w:spacing w:after="0"/>
              <w:rPr>
                <w:sz w:val="1"/>
                <w:szCs w:val="1"/>
                <w:color w:val="auto"/>
              </w:rPr>
            </w:pPr>
          </w:p>
        </w:tc>
      </w:tr>
      <w:tr>
        <w:trPr>
          <w:trHeight w:val="256"/>
        </w:trPr>
        <w:tc>
          <w:tcPr>
            <w:tcW w:w="3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Adjusted Property EBITDA </w:t>
            </w:r>
            <w:r>
              <w:rPr>
                <w:rFonts w:ascii="Times New Roman" w:cs="Times New Roman" w:eastAsia="Times New Roman" w:hAnsi="Times New Roman"/>
                <w:sz w:val="14"/>
                <w:szCs w:val="14"/>
                <w:b w:val="1"/>
                <w:bCs w:val="1"/>
                <w:color w:val="auto"/>
              </w:rPr>
              <w:t>(6)</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28,732</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177,617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(149,647)</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729,535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(120.5)</w:t>
            </w:r>
          </w:p>
        </w:tc>
        <w:tc>
          <w:tcPr>
            <w:tcW w:w="0" w:type="dxa"/>
            <w:vAlign w:val="bottom"/>
          </w:tcPr>
          <w:p>
            <w:pPr>
              <w:spacing w:after="0"/>
              <w:rPr>
                <w:sz w:val="1"/>
                <w:szCs w:val="1"/>
                <w:color w:val="auto"/>
              </w:rPr>
            </w:pPr>
          </w:p>
        </w:tc>
      </w:tr>
      <w:tr>
        <w:trPr>
          <w:trHeight w:val="257"/>
        </w:trPr>
        <w:tc>
          <w:tcPr>
            <w:tcW w:w="3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Casino Statistics: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VIP:</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Average number of table games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102</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99</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13"/>
        </w:trPr>
        <w:tc>
          <w:tcPr>
            <w:tcW w:w="31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VIP turnover</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2,807,063</w:t>
            </w:r>
          </w:p>
        </w:tc>
        <w:tc>
          <w:tcPr>
            <w:tcW w:w="14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9,314,053</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9,631,018</w:t>
            </w:r>
          </w:p>
        </w:tc>
        <w:tc>
          <w:tcPr>
            <w:tcW w:w="16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45,847,647</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xml:space="preserve">VIP table games win </w:t>
            </w:r>
            <w:r>
              <w:rPr>
                <w:rFonts w:ascii="Times New Roman" w:cs="Times New Roman" w:eastAsia="Times New Roman" w:hAnsi="Times New Roman"/>
                <w:sz w:val="14"/>
                <w:szCs w:val="14"/>
                <w:color w:val="auto"/>
              </w:rPr>
              <w:t>(1)</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55,428</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286,355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168,435</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1,519,225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0" w:type="dxa"/>
            <w:vAlign w:val="bottom"/>
          </w:tcPr>
          <w:p>
            <w:pPr>
              <w:spacing w:after="0"/>
              <w:rPr>
                <w:sz w:val="1"/>
                <w:szCs w:val="1"/>
                <w:color w:val="auto"/>
              </w:rPr>
            </w:pPr>
          </w:p>
        </w:tc>
      </w:tr>
      <w:tr>
        <w:trPr>
          <w:trHeight w:val="213"/>
        </w:trPr>
        <w:tc>
          <w:tcPr>
            <w:tcW w:w="31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VIP table games win as a % of turnover</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1.97 %</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3.07 %</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1.75 %</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3.31 %</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Table games win per unit per day</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5,908</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29,897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4,850</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38,224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0" w:type="dxa"/>
            <w:vAlign w:val="bottom"/>
          </w:tcPr>
          <w:p>
            <w:pPr>
              <w:spacing w:after="0"/>
              <w:rPr>
                <w:sz w:val="1"/>
                <w:szCs w:val="1"/>
                <w:color w:val="auto"/>
              </w:rPr>
            </w:pPr>
          </w:p>
        </w:tc>
      </w:tr>
      <w:tr>
        <w:trPr>
          <w:trHeight w:val="213"/>
        </w:trPr>
        <w:tc>
          <w:tcPr>
            <w:tcW w:w="3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Mass market:</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Average number of table games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212</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3"/>
        </w:trPr>
        <w:tc>
          <w:tcPr>
            <w:tcW w:w="31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 xml:space="preserve">Table drop </w:t>
            </w:r>
            <w:r>
              <w:rPr>
                <w:rFonts w:ascii="Times New Roman" w:cs="Times New Roman" w:eastAsia="Times New Roman" w:hAnsi="Times New Roman"/>
                <w:sz w:val="14"/>
                <w:szCs w:val="14"/>
                <w:color w:val="auto"/>
              </w:rPr>
              <w:t>(2)</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658,501</w:t>
            </w:r>
          </w:p>
        </w:tc>
        <w:tc>
          <w:tcPr>
            <w:tcW w:w="14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1,252,993</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1,242,100</w:t>
            </w:r>
          </w:p>
        </w:tc>
        <w:tc>
          <w:tcPr>
            <w:tcW w:w="16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5,122,897</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xml:space="preserve">Table games win </w:t>
            </w:r>
            <w:r>
              <w:rPr>
                <w:rFonts w:ascii="Times New Roman" w:cs="Times New Roman" w:eastAsia="Times New Roman" w:hAnsi="Times New Roman"/>
                <w:sz w:val="14"/>
                <w:szCs w:val="14"/>
                <w:color w:val="auto"/>
              </w:rPr>
              <w:t>(1)</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142,284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315,423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299,181</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1,251,920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0" w:type="dxa"/>
            <w:vAlign w:val="bottom"/>
          </w:tcPr>
          <w:p>
            <w:pPr>
              <w:spacing w:after="0"/>
              <w:rPr>
                <w:sz w:val="1"/>
                <w:szCs w:val="1"/>
                <w:color w:val="auto"/>
              </w:rPr>
            </w:pPr>
          </w:p>
        </w:tc>
      </w:tr>
      <w:tr>
        <w:trPr>
          <w:trHeight w:val="213"/>
        </w:trPr>
        <w:tc>
          <w:tcPr>
            <w:tcW w:w="31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Table games win %</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21.6 %</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25.2 %</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24.1 %</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24.4 %</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Table games win per unit per day</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7,006</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15,421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4,009</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15,902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0" w:type="dxa"/>
            <w:vAlign w:val="bottom"/>
          </w:tcPr>
          <w:p>
            <w:pPr>
              <w:spacing w:after="0"/>
              <w:rPr>
                <w:sz w:val="1"/>
                <w:szCs w:val="1"/>
                <w:color w:val="auto"/>
              </w:rPr>
            </w:pPr>
          </w:p>
        </w:tc>
      </w:tr>
      <w:tr>
        <w:trPr>
          <w:trHeight w:val="213"/>
        </w:trPr>
        <w:tc>
          <w:tcPr>
            <w:tcW w:w="31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Average number of slot machines</w:t>
            </w:r>
          </w:p>
        </w:tc>
        <w:tc>
          <w:tcPr>
            <w:tcW w:w="28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603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940</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591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1,054</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Slot machine handle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457,234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1,031,988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999,942</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3,918,554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0" w:type="dxa"/>
            <w:vAlign w:val="bottom"/>
          </w:tcPr>
          <w:p>
            <w:pPr>
              <w:spacing w:after="0"/>
              <w:rPr>
                <w:sz w:val="1"/>
                <w:szCs w:val="1"/>
                <w:color w:val="auto"/>
              </w:rPr>
            </w:pPr>
          </w:p>
        </w:tc>
      </w:tr>
      <w:tr>
        <w:trPr>
          <w:trHeight w:val="213"/>
        </w:trPr>
        <w:tc>
          <w:tcPr>
            <w:tcW w:w="31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 xml:space="preserve">Slot machine win </w:t>
            </w:r>
            <w:r>
              <w:rPr>
                <w:rFonts w:ascii="Times New Roman" w:cs="Times New Roman" w:eastAsia="Times New Roman" w:hAnsi="Times New Roman"/>
                <w:sz w:val="14"/>
                <w:szCs w:val="14"/>
                <w:color w:val="auto"/>
              </w:rPr>
              <w:t>(3)</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14,379</w:t>
            </w:r>
          </w:p>
        </w:tc>
        <w:tc>
          <w:tcPr>
            <w:tcW w:w="14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53,110</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39,175</w:t>
            </w:r>
          </w:p>
        </w:tc>
        <w:tc>
          <w:tcPr>
            <w:tcW w:w="16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195,367</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Slot machine win per unit per day</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259</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614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188</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0" w:type="dxa"/>
            <w:vAlign w:val="bottom"/>
          </w:tcPr>
          <w:p>
            <w:pPr>
              <w:spacing w:after="0"/>
              <w:rPr>
                <w:sz w:val="1"/>
                <w:szCs w:val="1"/>
                <w:color w:val="auto"/>
              </w:rPr>
            </w:pPr>
          </w:p>
        </w:tc>
      </w:tr>
      <w:tr>
        <w:trPr>
          <w:trHeight w:val="213"/>
        </w:trPr>
        <w:tc>
          <w:tcPr>
            <w:tcW w:w="3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Room statistics: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Occupancy</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59.5 %</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96.9 %</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29.8 %</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97.2 %</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 xml:space="preserve">ADR </w:t>
            </w:r>
            <w:r>
              <w:rPr>
                <w:rFonts w:ascii="Times New Roman" w:cs="Times New Roman" w:eastAsia="Times New Roman" w:hAnsi="Times New Roman"/>
                <w:sz w:val="14"/>
                <w:szCs w:val="14"/>
                <w:color w:val="auto"/>
              </w:rPr>
              <w:t>(4)</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192</w:t>
            </w:r>
          </w:p>
        </w:tc>
        <w:tc>
          <w:tcPr>
            <w:tcW w:w="14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235</w:t>
            </w:r>
          </w:p>
        </w:tc>
        <w:tc>
          <w:tcPr>
            <w:tcW w:w="16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xml:space="preserve">REVPAR </w:t>
            </w:r>
            <w:r>
              <w:rPr>
                <w:rFonts w:ascii="Times New Roman" w:cs="Times New Roman" w:eastAsia="Times New Roman" w:hAnsi="Times New Roman"/>
                <w:sz w:val="14"/>
                <w:szCs w:val="14"/>
                <w:color w:val="auto"/>
              </w:rPr>
              <w:t>(5)</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115</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70</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Note: Our casino operations in Macau were closed for a 15-day period in February 2020 and resumed operations on a reduced basis on February 20, 2020. Our casinos' operations have since been fully restored; however, certain COVID-19 specific protective measures, such as limiting the number of seats per table game, increasing the spacing between active slot machines and visitor entry checks and requirements involving temperature checkpoints, mask wearing, health declarations and proof of negative COVID-19 test results remain in effect at the present time. We are currently unable to determine when these measures will be lifted.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887" w:right="339" w:bottom="1440" w:gutter="0" w:footer="0" w:header="0"/>
        </w:sectPr>
      </w:pPr>
    </w:p>
    <w:bookmarkStart w:id="13" w:name="page14"/>
    <w:bookmarkEnd w:id="13"/>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WYNN RESORTS, LIMITED AND SUBSIDIARIES SUPPLEMENTAL DATA SCHEDULE (dollars in thousands, except for win per unit per day, ADR and REVPAR) (unaudited) (continued)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340" w:type="dxa"/>
            <w:vAlign w:val="bottom"/>
          </w:tcPr>
          <w:p>
            <w:pPr>
              <w:spacing w:after="0"/>
              <w:rPr>
                <w:sz w:val="16"/>
                <w:szCs w:val="16"/>
                <w:color w:val="auto"/>
              </w:rPr>
            </w:pPr>
          </w:p>
        </w:tc>
        <w:tc>
          <w:tcPr>
            <w:tcW w:w="28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60" w:type="dxa"/>
            <w:vAlign w:val="bottom"/>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20"/>
        </w:trPr>
        <w:tc>
          <w:tcPr>
            <w:tcW w:w="318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vMerge w:val="restart"/>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vMerge w:val="restart"/>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Wynn Macau Supplemental Information</w:t>
            </w: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revenues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Casino</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130,837</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455,943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344,595</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1,796,209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0" w:type="dxa"/>
            <w:vAlign w:val="bottom"/>
          </w:tcPr>
          <w:p>
            <w:pPr>
              <w:spacing w:after="0"/>
              <w:rPr>
                <w:sz w:val="1"/>
                <w:szCs w:val="1"/>
                <w:color w:val="auto"/>
              </w:rPr>
            </w:pPr>
          </w:p>
        </w:tc>
      </w:tr>
      <w:tr>
        <w:trPr>
          <w:trHeight w:val="213"/>
        </w:trPr>
        <w:tc>
          <w:tcPr>
            <w:tcW w:w="3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Rooms</w:t>
            </w:r>
          </w:p>
        </w:tc>
        <w:tc>
          <w:tcPr>
            <w:tcW w:w="28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15,631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28,316</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39,111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110,387</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Food and beverage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14,273</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20,888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33,094</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81,576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0" w:type="dxa"/>
            <w:vAlign w:val="bottom"/>
          </w:tcPr>
          <w:p>
            <w:pPr>
              <w:spacing w:after="0"/>
              <w:rPr>
                <w:sz w:val="1"/>
                <w:szCs w:val="1"/>
                <w:color w:val="auto"/>
              </w:rPr>
            </w:pPr>
          </w:p>
        </w:tc>
      </w:tr>
      <w:tr>
        <w:trPr>
          <w:trHeight w:val="213"/>
        </w:trPr>
        <w:tc>
          <w:tcPr>
            <w:tcW w:w="3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 xml:space="preserve">Entertainment, retail and other </w:t>
            </w:r>
            <w:r>
              <w:rPr>
                <w:rFonts w:ascii="Times New Roman" w:cs="Times New Roman" w:eastAsia="Times New Roman" w:hAnsi="Times New Roman"/>
                <w:sz w:val="14"/>
                <w:szCs w:val="14"/>
                <w:color w:val="auto"/>
              </w:rPr>
              <w:t>(7)</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21,171</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20,236</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57,857</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81,857</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0" w:type="dxa"/>
            <w:vAlign w:val="bottom"/>
          </w:tcPr>
          <w:p>
            <w:pPr>
              <w:spacing w:after="0"/>
              <w:rPr>
                <w:sz w:val="1"/>
                <w:szCs w:val="1"/>
                <w:color w:val="auto"/>
              </w:rPr>
            </w:pPr>
          </w:p>
        </w:tc>
      </w:tr>
      <w:tr>
        <w:trPr>
          <w:trHeight w:val="212"/>
        </w:trPr>
        <w:tc>
          <w:tcPr>
            <w:tcW w:w="31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181,912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525,383</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474,657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2,070,029</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(77.1)</w:t>
            </w:r>
          </w:p>
        </w:tc>
        <w:tc>
          <w:tcPr>
            <w:tcW w:w="0" w:type="dxa"/>
            <w:vAlign w:val="bottom"/>
          </w:tcPr>
          <w:p>
            <w:pPr>
              <w:spacing w:after="0"/>
              <w:rPr>
                <w:sz w:val="1"/>
                <w:szCs w:val="1"/>
                <w:color w:val="auto"/>
              </w:rPr>
            </w:pPr>
          </w:p>
        </w:tc>
      </w:tr>
      <w:tr>
        <w:trPr>
          <w:trHeight w:val="256"/>
        </w:trPr>
        <w:tc>
          <w:tcPr>
            <w:tcW w:w="3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Adjusted Property EBITDA </w:t>
            </w:r>
            <w:r>
              <w:rPr>
                <w:rFonts w:ascii="Times New Roman" w:cs="Times New Roman" w:eastAsia="Times New Roman" w:hAnsi="Times New Roman"/>
                <w:sz w:val="14"/>
                <w:szCs w:val="14"/>
                <w:b w:val="1"/>
                <w:bCs w:val="1"/>
                <w:color w:val="auto"/>
              </w:rPr>
              <w:t>(6)</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10,706</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170,086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(93.7)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(87,189)</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648,837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(113.4)</w:t>
            </w:r>
          </w:p>
        </w:tc>
        <w:tc>
          <w:tcPr>
            <w:tcW w:w="0" w:type="dxa"/>
            <w:vAlign w:val="bottom"/>
          </w:tcPr>
          <w:p>
            <w:pPr>
              <w:spacing w:after="0"/>
              <w:rPr>
                <w:sz w:val="1"/>
                <w:szCs w:val="1"/>
                <w:color w:val="auto"/>
              </w:rPr>
            </w:pPr>
          </w:p>
        </w:tc>
      </w:tr>
      <w:tr>
        <w:trPr>
          <w:trHeight w:val="257"/>
        </w:trPr>
        <w:tc>
          <w:tcPr>
            <w:tcW w:w="3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Casino Statistics: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VIP:</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Average number of table games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91</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89</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213"/>
        </w:trPr>
        <w:tc>
          <w:tcPr>
            <w:tcW w:w="31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VIP turnover</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1,771,818</w:t>
            </w:r>
          </w:p>
        </w:tc>
        <w:tc>
          <w:tcPr>
            <w:tcW w:w="16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7,931,833</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5,841,627</w:t>
            </w:r>
          </w:p>
        </w:tc>
        <w:tc>
          <w:tcPr>
            <w:tcW w:w="16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35,426,483</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w:t>
            </w: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xml:space="preserve">VIP table games win </w:t>
            </w:r>
            <w:r>
              <w:rPr>
                <w:rFonts w:ascii="Times New Roman" w:cs="Times New Roman" w:eastAsia="Times New Roman" w:hAnsi="Times New Roman"/>
                <w:sz w:val="14"/>
                <w:szCs w:val="14"/>
                <w:color w:val="auto"/>
              </w:rPr>
              <w:t>(1)</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54,916</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259,729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185,059</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1,081,934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0" w:type="dxa"/>
            <w:vAlign w:val="bottom"/>
          </w:tcPr>
          <w:p>
            <w:pPr>
              <w:spacing w:after="0"/>
              <w:rPr>
                <w:sz w:val="1"/>
                <w:szCs w:val="1"/>
                <w:color w:val="auto"/>
              </w:rPr>
            </w:pPr>
          </w:p>
        </w:tc>
      </w:tr>
      <w:tr>
        <w:trPr>
          <w:trHeight w:val="213"/>
        </w:trPr>
        <w:tc>
          <w:tcPr>
            <w:tcW w:w="31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VIP table games win as a % of turnover</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3.10 %</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3.27 %</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3.17 %</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3.05 %</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Table games win per unit per day</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6,559</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28,617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5,925</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27,864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0" w:type="dxa"/>
            <w:vAlign w:val="bottom"/>
          </w:tcPr>
          <w:p>
            <w:pPr>
              <w:spacing w:after="0"/>
              <w:rPr>
                <w:sz w:val="1"/>
                <w:szCs w:val="1"/>
                <w:color w:val="auto"/>
              </w:rPr>
            </w:pPr>
          </w:p>
        </w:tc>
      </w:tr>
      <w:tr>
        <w:trPr>
          <w:trHeight w:val="213"/>
        </w:trPr>
        <w:tc>
          <w:tcPr>
            <w:tcW w:w="3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Mass market:</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Average number of table games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240</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225</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13"/>
        </w:trPr>
        <w:tc>
          <w:tcPr>
            <w:tcW w:w="31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 xml:space="preserve">Table drop </w:t>
            </w:r>
            <w:r>
              <w:rPr>
                <w:rFonts w:ascii="Times New Roman" w:cs="Times New Roman" w:eastAsia="Times New Roman" w:hAnsi="Times New Roman"/>
                <w:sz w:val="14"/>
                <w:szCs w:val="14"/>
                <w:color w:val="auto"/>
              </w:rPr>
              <w:t>(2)</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632,479</w:t>
            </w:r>
          </w:p>
        </w:tc>
        <w:tc>
          <w:tcPr>
            <w:tcW w:w="16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1,391,906</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1,384,537</w:t>
            </w:r>
          </w:p>
        </w:tc>
        <w:tc>
          <w:tcPr>
            <w:tcW w:w="16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5,410,439</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xml:space="preserve">Table games win </w:t>
            </w:r>
            <w:r>
              <w:rPr>
                <w:rFonts w:ascii="Times New Roman" w:cs="Times New Roman" w:eastAsia="Times New Roman" w:hAnsi="Times New Roman"/>
                <w:sz w:val="14"/>
                <w:szCs w:val="14"/>
                <w:color w:val="auto"/>
              </w:rPr>
              <w:t>(1)</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113,130</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283,172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259,361</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1,099,353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0" w:type="dxa"/>
            <w:vAlign w:val="bottom"/>
          </w:tcPr>
          <w:p>
            <w:pPr>
              <w:spacing w:after="0"/>
              <w:rPr>
                <w:sz w:val="1"/>
                <w:szCs w:val="1"/>
                <w:color w:val="auto"/>
              </w:rPr>
            </w:pPr>
          </w:p>
        </w:tc>
      </w:tr>
      <w:tr>
        <w:trPr>
          <w:trHeight w:val="213"/>
        </w:trPr>
        <w:tc>
          <w:tcPr>
            <w:tcW w:w="31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Table games win %</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17.9 %</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20.3 %</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18.7 %</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20.3 %</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Table games win per unit per day</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5,124</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14,425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3,279</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14,519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0" w:type="dxa"/>
            <w:vAlign w:val="bottom"/>
          </w:tcPr>
          <w:p>
            <w:pPr>
              <w:spacing w:after="0"/>
              <w:rPr>
                <w:sz w:val="1"/>
                <w:szCs w:val="1"/>
                <w:color w:val="auto"/>
              </w:rPr>
            </w:pPr>
          </w:p>
        </w:tc>
      </w:tr>
      <w:tr>
        <w:trPr>
          <w:trHeight w:val="213"/>
        </w:trPr>
        <w:tc>
          <w:tcPr>
            <w:tcW w:w="31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Average number of slot machines</w:t>
            </w:r>
          </w:p>
        </w:tc>
        <w:tc>
          <w:tcPr>
            <w:tcW w:w="28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488</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790</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504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807</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Slot machine handle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314,248</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825,763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830,785</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3,545,899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0" w:type="dxa"/>
            <w:vAlign w:val="bottom"/>
          </w:tcPr>
          <w:p>
            <w:pPr>
              <w:spacing w:after="0"/>
              <w:rPr>
                <w:sz w:val="1"/>
                <w:szCs w:val="1"/>
                <w:color w:val="auto"/>
              </w:rPr>
            </w:pPr>
          </w:p>
        </w:tc>
      </w:tr>
      <w:tr>
        <w:trPr>
          <w:trHeight w:val="213"/>
        </w:trPr>
        <w:tc>
          <w:tcPr>
            <w:tcW w:w="31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 xml:space="preserve">Slot machine win </w:t>
            </w:r>
            <w:r>
              <w:rPr>
                <w:rFonts w:ascii="Times New Roman" w:cs="Times New Roman" w:eastAsia="Times New Roman" w:hAnsi="Times New Roman"/>
                <w:sz w:val="14"/>
                <w:szCs w:val="14"/>
                <w:color w:val="auto"/>
              </w:rPr>
              <w:t>(3)</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12,160</w:t>
            </w:r>
          </w:p>
        </w:tc>
        <w:tc>
          <w:tcPr>
            <w:tcW w:w="16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42,669</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31,153</w:t>
            </w:r>
          </w:p>
        </w:tc>
        <w:tc>
          <w:tcPr>
            <w:tcW w:w="16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170,358</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w:t>
            </w: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Slot machine win per unit per day</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271</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587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176</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0" w:type="dxa"/>
            <w:vAlign w:val="bottom"/>
          </w:tcPr>
          <w:p>
            <w:pPr>
              <w:spacing w:after="0"/>
              <w:rPr>
                <w:sz w:val="1"/>
                <w:szCs w:val="1"/>
                <w:color w:val="auto"/>
              </w:rPr>
            </w:pPr>
          </w:p>
        </w:tc>
      </w:tr>
      <w:tr>
        <w:trPr>
          <w:trHeight w:val="213"/>
        </w:trPr>
        <w:tc>
          <w:tcPr>
            <w:tcW w:w="31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Poker rake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5,705</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2,083</w:t>
            </w:r>
          </w:p>
        </w:tc>
        <w:tc>
          <w:tcPr>
            <w:tcW w:w="16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20,835</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Room statistics: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Occupancy</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65.5 %</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99.3 %</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34.8 %</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99.2 %</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xml:space="preserve">ADR </w:t>
            </w:r>
            <w:r>
              <w:rPr>
                <w:rFonts w:ascii="Times New Roman" w:cs="Times New Roman" w:eastAsia="Times New Roman" w:hAnsi="Times New Roman"/>
                <w:sz w:val="14"/>
                <w:szCs w:val="14"/>
                <w:color w:val="auto"/>
              </w:rPr>
              <w:t>(4)</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233</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276</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0"/>
        </w:trPr>
        <w:tc>
          <w:tcPr>
            <w:tcW w:w="31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 xml:space="preserve">REVPAR </w:t>
            </w:r>
            <w:r>
              <w:rPr>
                <w:rFonts w:ascii="Times New Roman" w:cs="Times New Roman" w:eastAsia="Times New Roman" w:hAnsi="Times New Roman"/>
                <w:sz w:val="14"/>
                <w:szCs w:val="14"/>
                <w:color w:val="auto"/>
              </w:rPr>
              <w:t>(5)</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153</w:t>
            </w:r>
          </w:p>
        </w:tc>
        <w:tc>
          <w:tcPr>
            <w:tcW w:w="16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96</w:t>
            </w:r>
          </w:p>
        </w:tc>
        <w:tc>
          <w:tcPr>
            <w:tcW w:w="16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w:t>
            </w: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Note: Our casino operations in Macau were closed for a 15-day period in February 2020 and resumed operations on a reduced basis on February 20, 2020. Our casinos' operations have since been fully restored; however, certain COVID-19 specific protective measures, such as limiting the number of seats per table game, increasing the spacing between active slot machines and visitor entry checks and requirements involving temperature checkpoints, mask wearing, health declarations and proof of negative COVID-19 test results remain in effect at the present time. We are currently unable to determine when these measures will be lifted.</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887" w:right="339" w:bottom="1440" w:gutter="0" w:footer="0" w:header="0"/>
        </w:sectPr>
      </w:pPr>
    </w:p>
    <w:bookmarkStart w:id="14" w:name="page15"/>
    <w:bookmarkEnd w:id="14"/>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WYNN RESORTS, LIMITED AND SUBSIDIARIES SUPPLEMENTAL DATA SCHEDULE (dollars in thousands, except for win per unit per day, ADR and REVPAR) (unaudited) (continued)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340" w:type="dxa"/>
            <w:vAlign w:val="bottom"/>
          </w:tcPr>
          <w:p>
            <w:pPr>
              <w:spacing w:after="0"/>
              <w:rPr>
                <w:sz w:val="16"/>
                <w:szCs w:val="16"/>
                <w:color w:val="auto"/>
              </w:rPr>
            </w:pPr>
          </w:p>
        </w:tc>
        <w:tc>
          <w:tcPr>
            <w:tcW w:w="28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60" w:type="dxa"/>
            <w:vAlign w:val="bottom"/>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20"/>
        </w:trPr>
        <w:tc>
          <w:tcPr>
            <w:tcW w:w="32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vMerge w:val="restart"/>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vMerge w:val="restart"/>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322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Las Vegas Operations Supplemental</w:t>
            </w:r>
          </w:p>
        </w:tc>
        <w:tc>
          <w:tcPr>
            <w:tcW w:w="28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Information</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revenues</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Casino</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75,472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75,665</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236,826</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394,104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0" w:type="dxa"/>
            <w:vAlign w:val="bottom"/>
          </w:tcPr>
          <w:p>
            <w:pPr>
              <w:spacing w:after="0"/>
              <w:rPr>
                <w:sz w:val="1"/>
                <w:szCs w:val="1"/>
                <w:color w:val="auto"/>
              </w:rPr>
            </w:pPr>
          </w:p>
        </w:tc>
      </w:tr>
      <w:tr>
        <w:trPr>
          <w:trHeight w:val="213"/>
        </w:trPr>
        <w:tc>
          <w:tcPr>
            <w:tcW w:w="3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Rooms</w:t>
            </w:r>
          </w:p>
        </w:tc>
        <w:tc>
          <w:tcPr>
            <w:tcW w:w="28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38,654</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120,340</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202,073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483,055</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0" w:type="dxa"/>
            <w:vAlign w:val="bottom"/>
          </w:tcPr>
          <w:p>
            <w:pPr>
              <w:spacing w:after="0"/>
              <w:rPr>
                <w:sz w:val="1"/>
                <w:szCs w:val="1"/>
                <w:color w:val="auto"/>
              </w:rPr>
            </w:pPr>
          </w:p>
        </w:tc>
      </w:tr>
      <w:tr>
        <w:trPr>
          <w:trHeight w:val="219"/>
        </w:trPr>
        <w:tc>
          <w:tcPr>
            <w:tcW w:w="3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Food and beverage</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39,312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120,257</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216,426</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558,782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0" w:type="dxa"/>
            <w:vAlign w:val="bottom"/>
          </w:tcPr>
          <w:p>
            <w:pPr>
              <w:spacing w:after="0"/>
              <w:rPr>
                <w:sz w:val="1"/>
                <w:szCs w:val="1"/>
                <w:color w:val="auto"/>
              </w:rPr>
            </w:pPr>
          </w:p>
        </w:tc>
      </w:tr>
      <w:tr>
        <w:trPr>
          <w:trHeight w:val="213"/>
        </w:trPr>
        <w:tc>
          <w:tcPr>
            <w:tcW w:w="3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Entertainment, retail and other</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19,102</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52,514</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92,622</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197,516</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0" w:type="dxa"/>
            <w:vAlign w:val="bottom"/>
          </w:tcPr>
          <w:p>
            <w:pPr>
              <w:spacing w:after="0"/>
              <w:rPr>
                <w:sz w:val="1"/>
                <w:szCs w:val="1"/>
                <w:color w:val="auto"/>
              </w:rPr>
            </w:pPr>
          </w:p>
        </w:tc>
      </w:tr>
      <w:tr>
        <w:trPr>
          <w:trHeight w:val="212"/>
        </w:trPr>
        <w:tc>
          <w:tcPr>
            <w:tcW w:w="3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172,540</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368,776</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747,947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1,633,457</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(54.2)</w:t>
            </w:r>
          </w:p>
        </w:tc>
        <w:tc>
          <w:tcPr>
            <w:tcW w:w="0" w:type="dxa"/>
            <w:vAlign w:val="bottom"/>
          </w:tcPr>
          <w:p>
            <w:pPr>
              <w:spacing w:after="0"/>
              <w:rPr>
                <w:sz w:val="1"/>
                <w:szCs w:val="1"/>
                <w:color w:val="auto"/>
              </w:rPr>
            </w:pPr>
          </w:p>
        </w:tc>
      </w:tr>
      <w:tr>
        <w:trPr>
          <w:trHeight w:val="257"/>
        </w:trPr>
        <w:tc>
          <w:tcPr>
            <w:tcW w:w="3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Adjusted Property EBITDA </w:t>
            </w:r>
            <w:r>
              <w:rPr>
                <w:rFonts w:ascii="Times New Roman" w:cs="Times New Roman" w:eastAsia="Times New Roman" w:hAnsi="Times New Roman"/>
                <w:sz w:val="14"/>
                <w:szCs w:val="14"/>
                <w:b w:val="1"/>
                <w:bCs w:val="1"/>
                <w:color w:val="auto"/>
              </w:rPr>
              <w:t>(6)</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21,027</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80,139</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(56,356)</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413,886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(113.6)</w:t>
            </w:r>
          </w:p>
        </w:tc>
        <w:tc>
          <w:tcPr>
            <w:tcW w:w="0" w:type="dxa"/>
            <w:vAlign w:val="bottom"/>
          </w:tcPr>
          <w:p>
            <w:pPr>
              <w:spacing w:after="0"/>
              <w:rPr>
                <w:sz w:val="1"/>
                <w:szCs w:val="1"/>
                <w:color w:val="auto"/>
              </w:rPr>
            </w:pPr>
          </w:p>
        </w:tc>
      </w:tr>
      <w:tr>
        <w:trPr>
          <w:trHeight w:val="257"/>
        </w:trPr>
        <w:tc>
          <w:tcPr>
            <w:tcW w:w="3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Casino Statistics:</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Average number of table games</w:t>
            </w:r>
          </w:p>
        </w:tc>
        <w:tc>
          <w:tcPr>
            <w:tcW w:w="28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183</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232</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214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19"/>
        </w:trPr>
        <w:tc>
          <w:tcPr>
            <w:tcW w:w="3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xml:space="preserve">Table drop </w:t>
            </w:r>
            <w:r>
              <w:rPr>
                <w:rFonts w:ascii="Times New Roman" w:cs="Times New Roman" w:eastAsia="Times New Roman" w:hAnsi="Times New Roman"/>
                <w:sz w:val="14"/>
                <w:szCs w:val="14"/>
                <w:color w:val="auto"/>
              </w:rPr>
              <w:t>(2)</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296,565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414,451</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1,127,309</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1,690,132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0" w:type="dxa"/>
            <w:vAlign w:val="bottom"/>
          </w:tcPr>
          <w:p>
            <w:pPr>
              <w:spacing w:after="0"/>
              <w:rPr>
                <w:sz w:val="1"/>
                <w:szCs w:val="1"/>
                <w:color w:val="auto"/>
              </w:rPr>
            </w:pPr>
          </w:p>
        </w:tc>
      </w:tr>
      <w:tr>
        <w:trPr>
          <w:trHeight w:val="213"/>
        </w:trPr>
        <w:tc>
          <w:tcPr>
            <w:tcW w:w="32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 xml:space="preserve">Table games win </w:t>
            </w:r>
            <w:r>
              <w:rPr>
                <w:rFonts w:ascii="Times New Roman" w:cs="Times New Roman" w:eastAsia="Times New Roman" w:hAnsi="Times New Roman"/>
                <w:sz w:val="14"/>
                <w:szCs w:val="14"/>
                <w:color w:val="auto"/>
              </w:rPr>
              <w:t>(1)</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72,295</w:t>
            </w:r>
          </w:p>
        </w:tc>
        <w:tc>
          <w:tcPr>
            <w:tcW w:w="14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71,935</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238,490</w:t>
            </w:r>
          </w:p>
        </w:tc>
        <w:tc>
          <w:tcPr>
            <w:tcW w:w="16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395,439</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0" w:type="dxa"/>
            <w:vAlign w:val="bottom"/>
          </w:tcPr>
          <w:p>
            <w:pPr>
              <w:spacing w:after="0"/>
              <w:rPr>
                <w:sz w:val="1"/>
                <w:szCs w:val="1"/>
                <w:color w:val="auto"/>
              </w:rPr>
            </w:pPr>
          </w:p>
        </w:tc>
      </w:tr>
      <w:tr>
        <w:trPr>
          <w:trHeight w:val="219"/>
        </w:trPr>
        <w:tc>
          <w:tcPr>
            <w:tcW w:w="3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Table games win %</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24.4 %</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17.4 %</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21.2 %</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23.4 %</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Table games win per unit per day</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4,305</w:t>
            </w:r>
          </w:p>
        </w:tc>
        <w:tc>
          <w:tcPr>
            <w:tcW w:w="14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3,364</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3,873</w:t>
            </w:r>
          </w:p>
        </w:tc>
        <w:tc>
          <w:tcPr>
            <w:tcW w:w="16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4,581</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219"/>
        </w:trPr>
        <w:tc>
          <w:tcPr>
            <w:tcW w:w="3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Average number of slot machines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1,601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1,773</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1,703</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1,788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13"/>
        </w:trPr>
        <w:tc>
          <w:tcPr>
            <w:tcW w:w="32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Slot machine handle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802,294</w:t>
            </w:r>
          </w:p>
        </w:tc>
        <w:tc>
          <w:tcPr>
            <w:tcW w:w="14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942,940</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2,452,811</w:t>
            </w:r>
          </w:p>
        </w:tc>
        <w:tc>
          <w:tcPr>
            <w:tcW w:w="16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3,427,820</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0" w:type="dxa"/>
            <w:vAlign w:val="bottom"/>
          </w:tcPr>
          <w:p>
            <w:pPr>
              <w:spacing w:after="0"/>
              <w:rPr>
                <w:sz w:val="1"/>
                <w:szCs w:val="1"/>
                <w:color w:val="auto"/>
              </w:rPr>
            </w:pPr>
          </w:p>
        </w:tc>
      </w:tr>
      <w:tr>
        <w:trPr>
          <w:trHeight w:val="219"/>
        </w:trPr>
        <w:tc>
          <w:tcPr>
            <w:tcW w:w="3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xml:space="preserve">Slot machine win </w:t>
            </w:r>
            <w:r>
              <w:rPr>
                <w:rFonts w:ascii="Times New Roman" w:cs="Times New Roman" w:eastAsia="Times New Roman" w:hAnsi="Times New Roman"/>
                <w:sz w:val="14"/>
                <w:szCs w:val="14"/>
                <w:color w:val="auto"/>
              </w:rPr>
              <w:t>(3)</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46,923</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63,106</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159,387</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230,954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0" w:type="dxa"/>
            <w:vAlign w:val="bottom"/>
          </w:tcPr>
          <w:p>
            <w:pPr>
              <w:spacing w:after="0"/>
              <w:rPr>
                <w:sz w:val="1"/>
                <w:szCs w:val="1"/>
                <w:color w:val="auto"/>
              </w:rPr>
            </w:pPr>
          </w:p>
        </w:tc>
      </w:tr>
      <w:tr>
        <w:trPr>
          <w:trHeight w:val="213"/>
        </w:trPr>
        <w:tc>
          <w:tcPr>
            <w:tcW w:w="32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Slot machine win per unit per day</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319</w:t>
            </w:r>
          </w:p>
        </w:tc>
        <w:tc>
          <w:tcPr>
            <w:tcW w:w="14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387</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325</w:t>
            </w:r>
          </w:p>
        </w:tc>
        <w:tc>
          <w:tcPr>
            <w:tcW w:w="16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19"/>
        </w:trPr>
        <w:tc>
          <w:tcPr>
            <w:tcW w:w="3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Poker rake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1,079</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3,012</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3,264</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12,569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0" w:type="dxa"/>
            <w:vAlign w:val="bottom"/>
          </w:tcPr>
          <w:p>
            <w:pPr>
              <w:spacing w:after="0"/>
              <w:rPr>
                <w:sz w:val="1"/>
                <w:szCs w:val="1"/>
                <w:color w:val="auto"/>
              </w:rPr>
            </w:pPr>
          </w:p>
        </w:tc>
      </w:tr>
      <w:tr>
        <w:trPr>
          <w:trHeight w:val="213"/>
        </w:trPr>
        <w:tc>
          <w:tcPr>
            <w:tcW w:w="3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Room statistics:</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Occupancy</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34.2 %</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89.4 %</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49.6 %</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87.5 %</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 xml:space="preserve">ADR </w:t>
            </w:r>
            <w:r>
              <w:rPr>
                <w:rFonts w:ascii="Times New Roman" w:cs="Times New Roman" w:eastAsia="Times New Roman" w:hAnsi="Times New Roman"/>
                <w:sz w:val="14"/>
                <w:szCs w:val="14"/>
                <w:color w:val="auto"/>
              </w:rPr>
              <w:t>(4)</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305</w:t>
            </w:r>
          </w:p>
        </w:tc>
        <w:tc>
          <w:tcPr>
            <w:tcW w:w="14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322</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319</w:t>
            </w:r>
          </w:p>
        </w:tc>
        <w:tc>
          <w:tcPr>
            <w:tcW w:w="16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9"/>
        </w:trPr>
        <w:tc>
          <w:tcPr>
            <w:tcW w:w="3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xml:space="preserve">REVPAR </w:t>
            </w:r>
            <w:r>
              <w:rPr>
                <w:rFonts w:ascii="Times New Roman" w:cs="Times New Roman" w:eastAsia="Times New Roman" w:hAnsi="Times New Roman"/>
                <w:sz w:val="14"/>
                <w:szCs w:val="14"/>
                <w:color w:val="auto"/>
              </w:rPr>
              <w:t>(5)</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288</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158</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Note: Wynn Las Vegas ceased all operations and closed to the public on March 17, 2020 and reopened on June 4, 2020 with certain COVID-19 specific protective measures in place, such as limiting the number of seats per table game, slot machine spacing, temperature checks, mask protection, and suspension of certain entertainment and nightlife offerings. We are currently unable to determine when these measures will be lifted.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887" w:right="339" w:bottom="1440" w:gutter="0" w:footer="0" w:header="0"/>
        </w:sectPr>
      </w:pPr>
    </w:p>
    <w:bookmarkStart w:id="15" w:name="page16"/>
    <w:bookmarkEnd w:id="15"/>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WYNN RESORTS, LIMITED AND SUBSIDIARIES SUPPLEMENTAL DATA SCHEDULE (dollars in thousands, except for win per unit per day, ADR and REVPAR) (unaudited) (continued)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340" w:type="dxa"/>
            <w:vAlign w:val="bottom"/>
          </w:tcPr>
          <w:p>
            <w:pPr>
              <w:spacing w:after="0"/>
              <w:rPr>
                <w:sz w:val="16"/>
                <w:szCs w:val="16"/>
                <w:color w:val="auto"/>
              </w:rPr>
            </w:pPr>
          </w:p>
        </w:tc>
        <w:tc>
          <w:tcPr>
            <w:tcW w:w="28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60" w:type="dxa"/>
            <w:vAlign w:val="bottom"/>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20"/>
        </w:trPr>
        <w:tc>
          <w:tcPr>
            <w:tcW w:w="32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vMerge w:val="restart"/>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vMerge w:val="restart"/>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22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Encore Boston Harbor Supplemental</w:t>
            </w:r>
          </w:p>
        </w:tc>
        <w:tc>
          <w:tcPr>
            <w:tcW w:w="28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Information </w:t>
            </w:r>
            <w:r>
              <w:rPr>
                <w:rFonts w:ascii="Times New Roman" w:cs="Times New Roman" w:eastAsia="Times New Roman" w:hAnsi="Times New Roman"/>
                <w:sz w:val="14"/>
                <w:szCs w:val="14"/>
                <w:b w:val="1"/>
                <w:bCs w:val="1"/>
                <w:color w:val="auto"/>
              </w:rPr>
              <w:t>(8)</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revenues</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Casino</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89,012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115,969</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287,525</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243,855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r>
        <w:trPr>
          <w:trHeight w:val="213"/>
        </w:trPr>
        <w:tc>
          <w:tcPr>
            <w:tcW w:w="3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Rooms</w:t>
            </w:r>
          </w:p>
        </w:tc>
        <w:tc>
          <w:tcPr>
            <w:tcW w:w="28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2,985</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16,359</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20,679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36,144</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0" w:type="dxa"/>
            <w:vAlign w:val="bottom"/>
          </w:tcPr>
          <w:p>
            <w:pPr>
              <w:spacing w:after="0"/>
              <w:rPr>
                <w:sz w:val="1"/>
                <w:szCs w:val="1"/>
                <w:color w:val="auto"/>
              </w:rPr>
            </w:pPr>
          </w:p>
        </w:tc>
      </w:tr>
      <w:tr>
        <w:trPr>
          <w:trHeight w:val="219"/>
        </w:trPr>
        <w:tc>
          <w:tcPr>
            <w:tcW w:w="3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Food and beverage</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7,179</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28,243</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36,866</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61,088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0" w:type="dxa"/>
            <w:vAlign w:val="bottom"/>
          </w:tcPr>
          <w:p>
            <w:pPr>
              <w:spacing w:after="0"/>
              <w:rPr>
                <w:sz w:val="1"/>
                <w:szCs w:val="1"/>
                <w:color w:val="auto"/>
              </w:rPr>
            </w:pPr>
          </w:p>
        </w:tc>
      </w:tr>
      <w:tr>
        <w:trPr>
          <w:trHeight w:val="213"/>
        </w:trPr>
        <w:tc>
          <w:tcPr>
            <w:tcW w:w="3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Entertainment, retail and other</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4,708</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8,744</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16,596</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22,832</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r>
        <w:trPr>
          <w:trHeight w:val="212"/>
        </w:trPr>
        <w:tc>
          <w:tcPr>
            <w:tcW w:w="3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103,884</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169,315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361,666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363,919</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(0.6)</w:t>
            </w:r>
          </w:p>
        </w:tc>
        <w:tc>
          <w:tcPr>
            <w:tcW w:w="0" w:type="dxa"/>
            <w:vAlign w:val="bottom"/>
          </w:tcPr>
          <w:p>
            <w:pPr>
              <w:spacing w:after="0"/>
              <w:rPr>
                <w:sz w:val="1"/>
                <w:szCs w:val="1"/>
                <w:color w:val="auto"/>
              </w:rPr>
            </w:pPr>
          </w:p>
        </w:tc>
      </w:tr>
      <w:tr>
        <w:trPr>
          <w:trHeight w:val="257"/>
        </w:trPr>
        <w:tc>
          <w:tcPr>
            <w:tcW w:w="3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Adjusted Property EBITDA </w:t>
            </w:r>
            <w:r>
              <w:rPr>
                <w:rFonts w:ascii="Times New Roman" w:cs="Times New Roman" w:eastAsia="Times New Roman" w:hAnsi="Times New Roman"/>
                <w:sz w:val="14"/>
                <w:szCs w:val="14"/>
                <w:b w:val="1"/>
                <w:bCs w:val="1"/>
                <w:color w:val="auto"/>
              </w:rPr>
              <w:t>(6)</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16,667</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15,260</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(23,762)</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23,150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0" w:type="dxa"/>
            <w:vAlign w:val="bottom"/>
          </w:tcPr>
          <w:p>
            <w:pPr>
              <w:spacing w:after="0"/>
              <w:rPr>
                <w:sz w:val="1"/>
                <w:szCs w:val="1"/>
                <w:color w:val="auto"/>
              </w:rPr>
            </w:pPr>
          </w:p>
        </w:tc>
      </w:tr>
      <w:tr>
        <w:trPr>
          <w:trHeight w:val="257"/>
        </w:trPr>
        <w:tc>
          <w:tcPr>
            <w:tcW w:w="3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Casino Statistics:</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Average number of table games</w:t>
            </w:r>
          </w:p>
        </w:tc>
        <w:tc>
          <w:tcPr>
            <w:tcW w:w="28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196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219"/>
        </w:trPr>
        <w:tc>
          <w:tcPr>
            <w:tcW w:w="3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xml:space="preserve">Table drop </w:t>
            </w:r>
            <w:r>
              <w:rPr>
                <w:rFonts w:ascii="Times New Roman" w:cs="Times New Roman" w:eastAsia="Times New Roman" w:hAnsi="Times New Roman"/>
                <w:sz w:val="14"/>
                <w:szCs w:val="14"/>
                <w:color w:val="auto"/>
              </w:rPr>
              <w:t>(2)</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204,445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362,696</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697,873</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778,898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13"/>
        </w:trPr>
        <w:tc>
          <w:tcPr>
            <w:tcW w:w="32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 xml:space="preserve">Table games win </w:t>
            </w:r>
            <w:r>
              <w:rPr>
                <w:rFonts w:ascii="Times New Roman" w:cs="Times New Roman" w:eastAsia="Times New Roman" w:hAnsi="Times New Roman"/>
                <w:sz w:val="14"/>
                <w:szCs w:val="14"/>
                <w:color w:val="auto"/>
              </w:rPr>
              <w:t>(1)</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42,697</w:t>
            </w:r>
          </w:p>
        </w:tc>
        <w:tc>
          <w:tcPr>
            <w:tcW w:w="14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69,766</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147,512</w:t>
            </w:r>
          </w:p>
        </w:tc>
        <w:tc>
          <w:tcPr>
            <w:tcW w:w="16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151,247</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9"/>
        </w:trPr>
        <w:tc>
          <w:tcPr>
            <w:tcW w:w="3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Table games win %</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20.9 %</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19.2 %</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21.1 %</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19.4 %</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Table games win per unit per day</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2,371</w:t>
            </w:r>
          </w:p>
        </w:tc>
        <w:tc>
          <w:tcPr>
            <w:tcW w:w="14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4,726</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3,256</w:t>
            </w:r>
          </w:p>
        </w:tc>
        <w:tc>
          <w:tcPr>
            <w:tcW w:w="16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5,178</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0" w:type="dxa"/>
            <w:vAlign w:val="bottom"/>
          </w:tcPr>
          <w:p>
            <w:pPr>
              <w:spacing w:after="0"/>
              <w:rPr>
                <w:sz w:val="1"/>
                <w:szCs w:val="1"/>
                <w:color w:val="auto"/>
              </w:rPr>
            </w:pPr>
          </w:p>
        </w:tc>
      </w:tr>
      <w:tr>
        <w:trPr>
          <w:trHeight w:val="219"/>
        </w:trPr>
        <w:tc>
          <w:tcPr>
            <w:tcW w:w="3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Average number of slot machines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1,869</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2,933</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2,159</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3,023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0" w:type="dxa"/>
            <w:vAlign w:val="bottom"/>
          </w:tcPr>
          <w:p>
            <w:pPr>
              <w:spacing w:after="0"/>
              <w:rPr>
                <w:sz w:val="1"/>
                <w:szCs w:val="1"/>
                <w:color w:val="auto"/>
              </w:rPr>
            </w:pPr>
          </w:p>
        </w:tc>
      </w:tr>
      <w:tr>
        <w:trPr>
          <w:trHeight w:val="213"/>
        </w:trPr>
        <w:tc>
          <w:tcPr>
            <w:tcW w:w="32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Slot machine handle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722,408</w:t>
            </w:r>
          </w:p>
        </w:tc>
        <w:tc>
          <w:tcPr>
            <w:tcW w:w="14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856,446</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2,303,582</w:t>
            </w:r>
          </w:p>
        </w:tc>
        <w:tc>
          <w:tcPr>
            <w:tcW w:w="16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1,847,080</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0" w:type="dxa"/>
            <w:vAlign w:val="bottom"/>
          </w:tcPr>
          <w:p>
            <w:pPr>
              <w:spacing w:after="0"/>
              <w:rPr>
                <w:sz w:val="1"/>
                <w:szCs w:val="1"/>
                <w:color w:val="auto"/>
              </w:rPr>
            </w:pPr>
          </w:p>
        </w:tc>
      </w:tr>
      <w:tr>
        <w:trPr>
          <w:trHeight w:val="219"/>
        </w:trPr>
        <w:tc>
          <w:tcPr>
            <w:tcW w:w="3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xml:space="preserve">Slot machine win </w:t>
            </w:r>
            <w:r>
              <w:rPr>
                <w:rFonts w:ascii="Times New Roman" w:cs="Times New Roman" w:eastAsia="Times New Roman" w:hAnsi="Times New Roman"/>
                <w:sz w:val="14"/>
                <w:szCs w:val="14"/>
                <w:color w:val="auto"/>
              </w:rPr>
              <w:t>(3)</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57,301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67,383</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180,207</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138,264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0" w:type="dxa"/>
            <w:vAlign w:val="bottom"/>
          </w:tcPr>
          <w:p>
            <w:pPr>
              <w:spacing w:after="0"/>
              <w:rPr>
                <w:sz w:val="1"/>
                <w:szCs w:val="1"/>
                <w:color w:val="auto"/>
              </w:rPr>
            </w:pPr>
          </w:p>
        </w:tc>
      </w:tr>
      <w:tr>
        <w:trPr>
          <w:trHeight w:val="213"/>
        </w:trPr>
        <w:tc>
          <w:tcPr>
            <w:tcW w:w="32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Slot machine win per unit per day</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333</w:t>
            </w:r>
          </w:p>
        </w:tc>
        <w:tc>
          <w:tcPr>
            <w:tcW w:w="14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335</w:t>
            </w:r>
          </w:p>
        </w:tc>
        <w:tc>
          <w:tcPr>
            <w:tcW w:w="16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0" w:type="dxa"/>
            <w:vAlign w:val="bottom"/>
          </w:tcPr>
          <w:p>
            <w:pPr>
              <w:spacing w:after="0"/>
              <w:rPr>
                <w:sz w:val="1"/>
                <w:szCs w:val="1"/>
                <w:color w:val="auto"/>
              </w:rPr>
            </w:pPr>
          </w:p>
        </w:tc>
      </w:tr>
      <w:tr>
        <w:trPr>
          <w:trHeight w:val="219"/>
        </w:trPr>
        <w:tc>
          <w:tcPr>
            <w:tcW w:w="3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Poker rake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5,660</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5,105</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12,324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0" w:type="dxa"/>
            <w:vAlign w:val="bottom"/>
          </w:tcPr>
          <w:p>
            <w:pPr>
              <w:spacing w:after="0"/>
              <w:rPr>
                <w:sz w:val="1"/>
                <w:szCs w:val="1"/>
                <w:color w:val="auto"/>
              </w:rPr>
            </w:pPr>
          </w:p>
        </w:tc>
      </w:tr>
      <w:tr>
        <w:trPr>
          <w:trHeight w:val="213"/>
        </w:trPr>
        <w:tc>
          <w:tcPr>
            <w:tcW w:w="3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Room statistics:</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Occupancy</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73.8 %</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76.0 %</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74.5 %</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72.6 %</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 xml:space="preserve">ADR </w:t>
            </w:r>
            <w:r>
              <w:rPr>
                <w:rFonts w:ascii="Times New Roman" w:cs="Times New Roman" w:eastAsia="Times New Roman" w:hAnsi="Times New Roman"/>
                <w:sz w:val="14"/>
                <w:szCs w:val="14"/>
                <w:color w:val="auto"/>
              </w:rPr>
              <w:t>(4)</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303</w:t>
            </w:r>
          </w:p>
        </w:tc>
        <w:tc>
          <w:tcPr>
            <w:tcW w:w="14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352</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294</w:t>
            </w:r>
          </w:p>
        </w:tc>
        <w:tc>
          <w:tcPr>
            <w:tcW w:w="16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391</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0" w:type="dxa"/>
            <w:vAlign w:val="bottom"/>
          </w:tcPr>
          <w:p>
            <w:pPr>
              <w:spacing w:after="0"/>
              <w:rPr>
                <w:sz w:val="1"/>
                <w:szCs w:val="1"/>
                <w:color w:val="auto"/>
              </w:rPr>
            </w:pPr>
          </w:p>
        </w:tc>
      </w:tr>
      <w:tr>
        <w:trPr>
          <w:trHeight w:val="219"/>
        </w:trPr>
        <w:tc>
          <w:tcPr>
            <w:tcW w:w="3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xml:space="preserve">REVPAR </w:t>
            </w:r>
            <w:r>
              <w:rPr>
                <w:rFonts w:ascii="Times New Roman" w:cs="Times New Roman" w:eastAsia="Times New Roman" w:hAnsi="Times New Roman"/>
                <w:sz w:val="14"/>
                <w:szCs w:val="14"/>
                <w:color w:val="auto"/>
              </w:rPr>
              <w:t>(5)</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223</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267</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219</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Note: Encore Boston Harbor ceased all operations and closed to the public on March 15, 2020, for the remainder of the first and second quarters of 2020. On July 10, 2020, Encore Boston Harbor reopened with certain COVID-19 specific protective measures in place, such as limiting the number of seats per table game, slot machine spacing, temperature checks, and mask protection. We are currently unable to determine when these measures will be lifted. In addition, certain food and beverage outlets remain closed, and hotel reservations were limited to Thursday through Sunday until their temporary closure on November 6, 2020, pursuant to a state directive limiting the operating hours of certain businesses, including restaurants and casinos. Accordingly, Encore Boston Harbor's room statistics have been computed based on 20 and 141 days of operations for the three months and year ended December 31, 2020, respectively.</w:t>
      </w:r>
    </w:p>
    <w:p>
      <w:pPr>
        <w:spacing w:after="0" w:line="204" w:lineRule="exact"/>
        <w:rPr>
          <w:sz w:val="20"/>
          <w:szCs w:val="20"/>
          <w:color w:val="auto"/>
        </w:rPr>
      </w:pPr>
    </w:p>
    <w:p>
      <w:pPr>
        <w:ind w:left="260" w:right="300" w:hanging="252"/>
        <w:spacing w:after="0" w:line="253" w:lineRule="auto"/>
        <w:tabs>
          <w:tab w:leader="none" w:pos="22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Table games win is presented net of loyalty program accruals but before discounts, commissions and the allocation of casino revenues to rooms, food and beverage and other revenues for services provided to casino customers on a complimentary basis.</w:t>
      </w:r>
    </w:p>
    <w:p>
      <w:pPr>
        <w:jc w:val="both"/>
        <w:ind w:left="260" w:right="140" w:hanging="252"/>
        <w:spacing w:after="0" w:line="241" w:lineRule="auto"/>
        <w:tabs>
          <w:tab w:leader="none" w:pos="22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Macau, table drop is the amount of cash that is deposited in a gaming table's drop box plus cash chips purchased at the casino cage. In Las Vegas, table drop is the amount of cash and net markers issued that are deposited in a gaming table's drop box. At Encore Boston Harbor, table drop is the amount of cash and gross markers that are deposited in a gaming table's drop box.</w:t>
      </w:r>
    </w:p>
    <w:p>
      <w:pPr>
        <w:ind w:left="220" w:hanging="212"/>
        <w:spacing w:after="0"/>
        <w:tabs>
          <w:tab w:leader="none" w:pos="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Slot machine win is calculated as gross slot machine win minus progressive and loyalty program accruals.</w:t>
      </w:r>
    </w:p>
    <w:p>
      <w:pPr>
        <w:spacing w:after="0" w:line="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ADR is average daily rate and is calculated by dividing total room revenues including complimentaries (less service charges, if any) by total rooms occupied.</w:t>
      </w:r>
    </w:p>
    <w:p>
      <w:pPr>
        <w:spacing w:after="0" w:line="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REVPAR is revenue per available room and is calculated by dividing total room revenues including complimentaries (less service charges, if any) by total rooms available.</w:t>
      </w:r>
    </w:p>
    <w:p>
      <w:pPr>
        <w:spacing w:after="0" w:line="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accompanying reconciliations of Operating Income (Loss) to Adjusted Property EBITDA and Net Income (Loss) Attributable to Wynn Resorts, Limited to Adjusted Property</w:t>
      </w:r>
    </w:p>
    <w:p>
      <w:pPr>
        <w:spacing w:after="0" w:line="1" w:lineRule="exact"/>
        <w:rPr>
          <w:rFonts w:ascii="Times New Roman" w:cs="Times New Roman" w:eastAsia="Times New Roman" w:hAnsi="Times New Roman"/>
          <w:sz w:val="14"/>
          <w:szCs w:val="14"/>
          <w:color w:val="auto"/>
        </w:rPr>
      </w:pPr>
    </w:p>
    <w:p>
      <w:pPr>
        <w:ind w:left="2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EBITDA.</w:t>
      </w:r>
    </w:p>
    <w:p>
      <w:pPr>
        <w:spacing w:after="0" w:line="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2020, reflects the impact of rent concessions provided to tenants.</w:t>
      </w:r>
    </w:p>
    <w:p>
      <w:pPr>
        <w:spacing w:after="0" w:line="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Encore Boston Harbor opened on June 23, 2019.</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88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SOURCE: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Resorts, Limited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Vincent Zahn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702-770-7555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investorrelations@wynnresorts.com</w:t>
      </w:r>
    </w:p>
    <w:p>
      <w:pPr>
        <w:spacing w:after="0" w:line="200" w:lineRule="exact"/>
        <w:rPr>
          <w:sz w:val="20"/>
          <w:szCs w:val="20"/>
          <w:color w:val="auto"/>
        </w:rPr>
      </w:pPr>
    </w:p>
    <w:p>
      <w:pPr>
        <w:spacing w:after="0" w:line="344"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14</w:t>
      </w:r>
    </w:p>
    <w:sectPr>
      <w:pgSz w:w="11900" w:h="16838" w:orient="portrait"/>
      <w:cols w:equalWidth="0" w:num="1">
        <w:col w:w="10139"/>
      </w:cols>
      <w:pgMar w:left="320" w:top="135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2021-02-04T15:21:39Z</dcterms:created>
  <dcterms:modified xsi:type="dcterms:W3CDTF">2021-02-04T15:21:39Z</dcterms:modified>
</cp:coreProperties>
</file>