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372110</wp:posOffset>
            </wp:positionV>
            <wp:extent cx="2840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226695</wp:posOffset>
            </wp:positionV>
            <wp:extent cx="2840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February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248285</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5" w:lineRule="exact"/>
        <w:rPr>
          <w:sz w:val="24"/>
          <w:szCs w:val="24"/>
          <w:color w:val="auto"/>
        </w:rPr>
      </w:pPr>
    </w:p>
    <w:tbl>
      <w:tblPr>
        <w:tblLayout w:type="fixed"/>
        <w:tblInd w:w="1360" w:type="dxa"/>
        <w:tblCellMar>
          <w:top w:w="0" w:type="dxa"/>
          <w:left w:w="0" w:type="dxa"/>
          <w:bottom w:w="0" w:type="dxa"/>
          <w:right w:w="0" w:type="dxa"/>
        </w:tblCellMar>
      </w:tblPr>
      <w:tr>
        <w:trPr>
          <w:trHeight w:val="228"/>
        </w:trPr>
        <w:tc>
          <w:tcPr>
            <w:tcW w:w="2560" w:type="dxa"/>
            <w:vAlign w:val="bottom"/>
          </w:tcPr>
          <w:p>
            <w:pPr>
              <w:jc w:val="center"/>
              <w:ind w:right="21"/>
              <w:spacing w:after="0"/>
              <w:rPr>
                <w:sz w:val="20"/>
                <w:szCs w:val="20"/>
                <w:color w:val="auto"/>
              </w:rPr>
            </w:pPr>
            <w:r>
              <w:rPr>
                <w:rFonts w:ascii="Arial" w:cs="Arial" w:eastAsia="Arial" w:hAnsi="Arial"/>
                <w:sz w:val="18"/>
                <w:szCs w:val="18"/>
                <w:b w:val="1"/>
                <w:bCs w:val="1"/>
                <w:color w:val="auto"/>
                <w:w w:val="90"/>
              </w:rPr>
              <w:t>Nevada</w:t>
            </w:r>
          </w:p>
        </w:tc>
        <w:tc>
          <w:tcPr>
            <w:tcW w:w="370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20" w:type="dxa"/>
            <w:vAlign w:val="bottom"/>
          </w:tcPr>
          <w:p>
            <w:pPr>
              <w:jc w:val="right"/>
              <w:ind w:right="43"/>
              <w:spacing w:after="0"/>
              <w:rPr>
                <w:sz w:val="20"/>
                <w:szCs w:val="20"/>
                <w:color w:val="auto"/>
              </w:rPr>
            </w:pPr>
            <w:r>
              <w:rPr>
                <w:rFonts w:ascii="Arial" w:cs="Arial" w:eastAsia="Arial" w:hAnsi="Arial"/>
                <w:sz w:val="18"/>
                <w:szCs w:val="18"/>
                <w:b w:val="1"/>
                <w:bCs w:val="1"/>
                <w:color w:val="auto"/>
              </w:rPr>
              <w:t>46-0484987</w:t>
            </w:r>
          </w:p>
        </w:tc>
      </w:tr>
      <w:tr>
        <w:trPr>
          <w:trHeight w:val="185"/>
        </w:trPr>
        <w:tc>
          <w:tcPr>
            <w:tcW w:w="2560" w:type="dxa"/>
            <w:vAlign w:val="bottom"/>
          </w:tcPr>
          <w:p>
            <w:pPr>
              <w:jc w:val="center"/>
              <w:ind w:right="1"/>
              <w:spacing w:after="0"/>
              <w:rPr>
                <w:sz w:val="20"/>
                <w:szCs w:val="20"/>
                <w:color w:val="auto"/>
              </w:rPr>
            </w:pPr>
            <w:r>
              <w:rPr>
                <w:rFonts w:ascii="Arial" w:cs="Arial" w:eastAsia="Arial" w:hAnsi="Arial"/>
                <w:sz w:val="14"/>
                <w:szCs w:val="14"/>
                <w:b w:val="1"/>
                <w:bCs w:val="1"/>
                <w:color w:val="auto"/>
                <w:w w:val="91"/>
              </w:rPr>
              <w:t>(State or other jurisdiction</w:t>
            </w:r>
          </w:p>
        </w:tc>
        <w:tc>
          <w:tcPr>
            <w:tcW w:w="3700" w:type="dxa"/>
            <w:vAlign w:val="bottom"/>
          </w:tcPr>
          <w:p>
            <w:pPr>
              <w:ind w:left="1240"/>
              <w:spacing w:after="0"/>
              <w:rPr>
                <w:sz w:val="20"/>
                <w:szCs w:val="20"/>
                <w:color w:val="auto"/>
              </w:rPr>
            </w:pPr>
            <w:r>
              <w:rPr>
                <w:rFonts w:ascii="Arial" w:cs="Arial" w:eastAsia="Arial" w:hAnsi="Arial"/>
                <w:sz w:val="14"/>
                <w:szCs w:val="14"/>
                <w:b w:val="1"/>
                <w:bCs w:val="1"/>
                <w:color w:val="auto"/>
              </w:rPr>
              <w:t>(Commission</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4"/>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7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Identification No.)</w:t>
            </w:r>
          </w:p>
        </w:tc>
      </w:tr>
      <w:tr>
        <w:trPr>
          <w:trHeight w:val="259"/>
        </w:trPr>
        <w:tc>
          <w:tcPr>
            <w:tcW w:w="2560" w:type="dxa"/>
            <w:vAlign w:val="bottom"/>
          </w:tcPr>
          <w:p>
            <w:pPr>
              <w:jc w:val="center"/>
              <w:ind w:right="21"/>
              <w:spacing w:after="0"/>
              <w:rPr>
                <w:sz w:val="20"/>
                <w:szCs w:val="20"/>
                <w:color w:val="auto"/>
              </w:rPr>
            </w:pPr>
            <w:r>
              <w:rPr>
                <w:rFonts w:ascii="Arial" w:cs="Arial" w:eastAsia="Arial" w:hAnsi="Arial"/>
                <w:sz w:val="18"/>
                <w:szCs w:val="18"/>
                <w:b w:val="1"/>
                <w:bCs w:val="1"/>
                <w:color w:val="auto"/>
                <w:w w:val="86"/>
              </w:rPr>
              <w:t>3131 Las Vegas Boulevard South</w:t>
            </w:r>
          </w:p>
        </w:tc>
        <w:tc>
          <w:tcPr>
            <w:tcW w:w="37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0"/>
        </w:trPr>
        <w:tc>
          <w:tcPr>
            <w:tcW w:w="256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700" w:type="dxa"/>
            <w:vAlign w:val="bottom"/>
          </w:tcPr>
          <w:p>
            <w:pPr>
              <w:spacing w:after="0"/>
              <w:rPr>
                <w:sz w:val="19"/>
                <w:szCs w:val="19"/>
                <w:color w:val="auto"/>
              </w:rPr>
            </w:pPr>
          </w:p>
        </w:tc>
        <w:tc>
          <w:tcPr>
            <w:tcW w:w="1520" w:type="dxa"/>
            <w:vAlign w:val="bottom"/>
          </w:tcPr>
          <w:p>
            <w:pPr>
              <w:jc w:val="right"/>
              <w:ind w:right="243"/>
              <w:spacing w:after="0"/>
              <w:rPr>
                <w:sz w:val="20"/>
                <w:szCs w:val="20"/>
                <w:color w:val="auto"/>
              </w:rPr>
            </w:pPr>
            <w:r>
              <w:rPr>
                <w:rFonts w:ascii="Arial" w:cs="Arial" w:eastAsia="Arial" w:hAnsi="Arial"/>
                <w:sz w:val="18"/>
                <w:szCs w:val="18"/>
                <w:b w:val="1"/>
                <w:bCs w:val="1"/>
                <w:color w:val="auto"/>
              </w:rPr>
              <w:t>89109</w:t>
            </w:r>
          </w:p>
        </w:tc>
      </w:tr>
      <w:tr>
        <w:trPr>
          <w:trHeight w:val="196"/>
        </w:trPr>
        <w:tc>
          <w:tcPr>
            <w:tcW w:w="2560" w:type="dxa"/>
            <w:vAlign w:val="bottom"/>
          </w:tcPr>
          <w:p>
            <w:pPr>
              <w:jc w:val="center"/>
              <w:ind w:right="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700" w:type="dxa"/>
            <w:vAlign w:val="bottom"/>
          </w:tcPr>
          <w:p>
            <w:pPr>
              <w:spacing w:after="0"/>
              <w:rPr>
                <w:sz w:val="17"/>
                <w:szCs w:val="17"/>
                <w:color w:val="auto"/>
              </w:rPr>
            </w:pP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5"/>
              </w:rPr>
              <w:t>(Zip Code)</w:t>
            </w:r>
          </w:p>
        </w:tc>
      </w:tr>
      <w:tr>
        <w:trPr>
          <w:trHeight w:val="712"/>
        </w:trPr>
        <w:tc>
          <w:tcPr>
            <w:tcW w:w="2560" w:type="dxa"/>
            <w:vAlign w:val="bottom"/>
          </w:tcPr>
          <w:p>
            <w:pPr>
              <w:spacing w:after="0"/>
              <w:rPr>
                <w:sz w:val="24"/>
                <w:szCs w:val="24"/>
                <w:color w:val="auto"/>
              </w:rPr>
            </w:pPr>
          </w:p>
        </w:tc>
        <w:tc>
          <w:tcPr>
            <w:tcW w:w="3700" w:type="dxa"/>
            <w:vAlign w:val="bottom"/>
          </w:tcPr>
          <w:p>
            <w:pPr>
              <w:jc w:val="right"/>
              <w:ind w:right="1363"/>
              <w:spacing w:after="0"/>
              <w:rPr>
                <w:sz w:val="20"/>
                <w:szCs w:val="20"/>
                <w:color w:val="auto"/>
              </w:rPr>
            </w:pPr>
            <w:r>
              <w:rPr>
                <w:rFonts w:ascii="Arial" w:cs="Arial" w:eastAsia="Arial" w:hAnsi="Arial"/>
                <w:sz w:val="18"/>
                <w:szCs w:val="18"/>
                <w:b w:val="1"/>
                <w:bCs w:val="1"/>
                <w:color w:val="auto"/>
              </w:rPr>
              <w:t>(702) 770-7555</w:t>
            </w:r>
          </w:p>
        </w:tc>
        <w:tc>
          <w:tcPr>
            <w:tcW w:w="152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700" w:type="dxa"/>
            <w:vAlign w:val="bottom"/>
          </w:tcPr>
          <w:p>
            <w:pPr>
              <w:jc w:val="center"/>
              <w:ind w:right="223"/>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20" w:type="dxa"/>
            <w:vAlign w:val="bottom"/>
          </w:tcPr>
          <w:p>
            <w:pPr>
              <w:spacing w:after="0"/>
              <w:rPr>
                <w:sz w:val="15"/>
                <w:szCs w:val="15"/>
                <w:color w:val="auto"/>
              </w:rPr>
            </w:pPr>
          </w:p>
        </w:tc>
      </w:tr>
    </w:tbl>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77470</wp:posOffset>
            </wp:positionV>
            <wp:extent cx="2840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Title of each class</w:t>
            </w:r>
          </w:p>
        </w:tc>
        <w:tc>
          <w:tcPr>
            <w:tcW w:w="29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Trading Symbol(s)</w:t>
            </w:r>
          </w:p>
        </w:tc>
        <w:tc>
          <w:tcPr>
            <w:tcW w:w="50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3"/>
        </w:trPr>
        <w:tc>
          <w:tcPr>
            <w:tcW w:w="32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Common stock, par value $0.01</w:t>
            </w:r>
          </w:p>
        </w:tc>
        <w:tc>
          <w:tcPr>
            <w:tcW w:w="620" w:type="dxa"/>
            <w:vAlign w:val="bottom"/>
          </w:tcPr>
          <w:p>
            <w:pPr>
              <w:spacing w:after="0"/>
              <w:rPr>
                <w:sz w:val="21"/>
                <w:szCs w:val="21"/>
                <w:color w:val="auto"/>
              </w:rPr>
            </w:pPr>
          </w:p>
        </w:tc>
        <w:tc>
          <w:tcPr>
            <w:tcW w:w="2280" w:type="dxa"/>
            <w:vAlign w:val="bottom"/>
            <w:gridSpan w:val="2"/>
          </w:tcPr>
          <w:p>
            <w:pPr>
              <w:jc w:val="center"/>
              <w:ind w:right="900"/>
              <w:spacing w:after="0"/>
              <w:rPr>
                <w:sz w:val="20"/>
                <w:szCs w:val="20"/>
                <w:color w:val="auto"/>
              </w:rPr>
            </w:pPr>
            <w:r>
              <w:rPr>
                <w:rFonts w:ascii="Arial" w:cs="Arial" w:eastAsia="Arial" w:hAnsi="Arial"/>
                <w:sz w:val="18"/>
                <w:szCs w:val="18"/>
                <w:color w:val="auto"/>
                <w:w w:val="98"/>
              </w:rPr>
              <w:t>WYNN</w:t>
            </w:r>
          </w:p>
        </w:tc>
        <w:tc>
          <w:tcPr>
            <w:tcW w:w="880" w:type="dxa"/>
            <w:vAlign w:val="bottom"/>
          </w:tcPr>
          <w:p>
            <w:pPr>
              <w:spacing w:after="0"/>
              <w:rPr>
                <w:sz w:val="21"/>
                <w:szCs w:val="21"/>
                <w:color w:val="auto"/>
              </w:rPr>
            </w:pPr>
          </w:p>
        </w:tc>
        <w:tc>
          <w:tcPr>
            <w:tcW w:w="4200" w:type="dxa"/>
            <w:vAlign w:val="bottom"/>
            <w:gridSpan w:val="2"/>
          </w:tcPr>
          <w:p>
            <w:pPr>
              <w:jc w:val="center"/>
              <w:ind w:right="92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ind w:right="32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for 7.125% Senior Notes due 2031</w:t>
      </w:r>
    </w:p>
    <w:p>
      <w:pPr>
        <w:spacing w:after="0" w:line="240"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On February 16, 2023, Wynn Resorts, Limited (the “Company”) announced that Wynn Resorts Finance, LLC (“WRF”) and its subsidiary, Wynn Resorts Capital Corp. (“Wynn Resorts Capital” and, together with WRF, the “Issuers”), each an indirect wholly-owned subsidiary of the Company, issued $600 million aggregate principal amount of 7.125% Senior Notes due 2031 (the “Notes”) pursuant to an indenture (the “Indenture”) among the Issuers, the guarantors party thereto and U.S. Bank Trust Company, National Association, as trustee (the “Trustee”). The Notes were offered and sold in reliance on exemptions from the registration requirements of the Securities Act of 1933. The Notes will mature on February 15, 2031. Interest is payable in cash semi-annually on February 15 and August 15 of each year, beginning on August 15, 2023.</w:t>
      </w:r>
    </w:p>
    <w:p>
      <w:pPr>
        <w:spacing w:after="0" w:line="19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Notes are jointly and severally guaranteed by all of WRF’s domestic subsidiaries that guarantee the Issuers’ existing senior secured credit facilities, except Wynn Resorts Capital, which is the co-issuer of the Notes, the Issuers’ 7.750% senior notes due 2025 (the “2025 Notes”) and the Issuers’ 5.125% senior notes due 2029.</w:t>
      </w:r>
    </w:p>
    <w:p>
      <w:pPr>
        <w:spacing w:after="0" w:line="2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Issuers may redeem the Notes, in whole or in part, at any time or from time to time prior to November 15, 2030 at a redemption price equal to the greater of (1) 100% of the principal amount of the Notes to be redeemed and (2) a “make-whole” amount, plus in either case accrued and unpaid interest, if any, to, but not including, the redemption date.</w:t>
      </w:r>
    </w:p>
    <w:p>
      <w:pPr>
        <w:spacing w:after="0" w:line="2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or after November 15, 2030, the Issuers may redeem the Notes, in whole or in part, at the redemption prices set forth in the Indenture plus accrued and unpaid interest. The Notes are subject to disposition and redemption requirements imposed by gaming laws and regulations of applicable gaming regulatory authorities.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Indenture contains covenants that limit the ability of the Issuers and the guarantors to, among other things, (1) enter into sale-leaseback transactions,</w:t>
      </w:r>
    </w:p>
    <w:p>
      <w:pPr>
        <w:spacing w:after="0" w:line="50" w:lineRule="exact"/>
        <w:rPr>
          <w:sz w:val="20"/>
          <w:szCs w:val="20"/>
          <w:color w:val="auto"/>
        </w:rPr>
      </w:pPr>
    </w:p>
    <w:p>
      <w:pPr>
        <w:ind w:firstLine="5"/>
        <w:spacing w:after="0" w:line="248" w:lineRule="auto"/>
        <w:tabs>
          <w:tab w:leader="none" w:pos="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create or incur liens to secure debt, and (3) merge, consolidate or sell all or substantially all of the Issuers’ assets. These covenants are subject to exceptions and qualifications set forth in the Indenture.</w:t>
      </w:r>
    </w:p>
    <w:p>
      <w:pPr>
        <w:spacing w:after="0" w:line="21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the event of a change of control triggering event, the Issuers must offer to repurchase the Notes at a repurchase price equal to 101% of the aggregate principal amount thereof plus any accrued and unpaid interest, to, but not including, the repurchase date.</w:t>
      </w:r>
    </w:p>
    <w:p>
      <w:pPr>
        <w:spacing w:after="0" w:line="20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Indenture also contains customary events of default, including (1) failure to make required payments, (2) failure to comply with certain covenants, (3) failure to pay certain other indebtedness, (4) certain events of bankruptcy and insolvency, and (5) failure to pay certain judgments. An event of default under the Indenture allows either the Trustee or the holders of at least 25% in aggregate principal amount of the Notes, as applicable, issued under such Indenture to accelerate the amounts due under the Notes, or in the case of a bankruptcy or insolvency, will automatically cause the acceleration of the amounts due under the Notes.</w:t>
      </w:r>
    </w:p>
    <w:p>
      <w:pPr>
        <w:spacing w:after="0" w:line="22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foregoing description of the Indenture is qualified in its entirety by reference to the full text of the Indenture, which is filed herewith as Exhibit 4.1 and incorporated herein by this reference.</w:t>
      </w:r>
    </w:p>
    <w:p>
      <w:pPr>
        <w:spacing w:after="0" w:line="241"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February 16, 2023, Wynn Resorts, Limited announced the initial settlement of the previously announced cash tender offer (the “Tender Offer”) by WRF for any and all of the 2025 Notes. The Tender Offer expired at 5:00 P.M., New York City time, on February 15, 2023 (the “Expiration Time”). At the Expiration Time, valid tenders had been received with respect to approximately $506.4 million of the $600 million aggregate principal amount of the 2025 Notes outstanding (which excludes 2025 Notes subject to the guaranteed delivery procedures).</w:t>
      </w:r>
    </w:p>
    <w:p>
      <w:pPr>
        <w:spacing w:after="0" w:line="18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WRF has accepted for payment all 2025 Notes validly tendered prior to the Expiration Date. On February 16, 2023, such tendering holders received the tender offer consideration in the amount of $1,024.50 for each $1,000 principal amount of 2025 Notes tendered, plus accrued and unpaid interest from the last interest payment date to, but excluding, February 16, 2023 (the “Settlement Date”). With respect to the 2025 Notes accepted for purchase that were tendered and are subsequently delivered in accordance with the guaranteed delivery procedures, such tendering holders will receive payment of the tender offer consideration for such accepted 2025 Notes (to the extent that such 2025 Notes were not delivered prior to the Expiration Time) on February 21, 2023, plus accrued and unpaid interest from the last interest payment date to, but excluding, the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661035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both"/>
        <w:ind w:firstLine="395"/>
        <w:spacing w:after="0" w:line="252" w:lineRule="auto"/>
        <w:rPr>
          <w:sz w:val="20"/>
          <w:szCs w:val="20"/>
          <w:color w:val="auto"/>
        </w:rPr>
      </w:pPr>
      <w:r>
        <w:rPr>
          <w:rFonts w:ascii="Arial" w:cs="Arial" w:eastAsia="Arial" w:hAnsi="Arial"/>
          <w:sz w:val="18"/>
          <w:szCs w:val="18"/>
          <w:color w:val="auto"/>
        </w:rPr>
        <w:t>On February 16, 2023, the Issuers also completed their previously announced offering of the 2031 Notes. WRF used the net proceeds of the 2031 Notes offering and cash on hand to purchase the 2025 Notes tendered and accepted for purchase in the Tender Offer. WRF also intends to redeem any 2025 Notes not tendered.</w:t>
      </w:r>
    </w:p>
    <w:p>
      <w:pPr>
        <w:spacing w:after="0" w:line="216" w:lineRule="exact"/>
        <w:rPr>
          <w:sz w:val="20"/>
          <w:szCs w:val="20"/>
          <w:color w:val="auto"/>
        </w:rPr>
      </w:pPr>
    </w:p>
    <w:p>
      <w:pPr>
        <w:jc w:val="both"/>
        <w:ind w:firstLine="395"/>
        <w:spacing w:after="0" w:line="216" w:lineRule="exact"/>
        <w:rPr>
          <w:sz w:val="20"/>
          <w:szCs w:val="20"/>
          <w:color w:val="auto"/>
        </w:rPr>
      </w:pPr>
      <w:r>
        <w:rPr>
          <w:rFonts w:ascii="Arial" w:cs="Arial" w:eastAsia="Arial" w:hAnsi="Arial"/>
          <w:sz w:val="18"/>
          <w:szCs w:val="18"/>
          <w:color w:val="auto"/>
        </w:rPr>
        <w:t>A copy of the press release with announcement of the cash tender settlement and offering completion is attached hereto as Exhibit 99.1 to this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and is hereby incorporated by reference.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4"/>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08"/>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1"/>
        </w:trPr>
        <w:tc>
          <w:tcPr>
            <w:tcW w:w="20" w:type="dxa"/>
            <w:vAlign w:val="bottom"/>
          </w:tcPr>
          <w:p>
            <w:pPr>
              <w:spacing w:after="0"/>
              <w:rPr>
                <w:sz w:val="21"/>
                <w:szCs w:val="21"/>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3"/>
                <w:szCs w:val="23"/>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0000FF"/>
              </w:rPr>
              <w:t>Indenture, dated February 16, 2023, among the Issuers, the Guarantors named therein and the Trustee.</w:t>
            </w:r>
          </w:p>
        </w:tc>
      </w:tr>
      <w:tr>
        <w:trPr>
          <w:trHeight w:val="204"/>
        </w:trPr>
        <w:tc>
          <w:tcPr>
            <w:tcW w:w="70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99.1</w:t>
            </w:r>
          </w:p>
        </w:tc>
        <w:tc>
          <w:tcPr>
            <w:tcW w:w="660" w:type="dxa"/>
            <w:vAlign w:val="bottom"/>
          </w:tcPr>
          <w:p>
            <w:pPr>
              <w:spacing w:after="0"/>
              <w:rPr>
                <w:sz w:val="17"/>
                <w:szCs w:val="17"/>
                <w:color w:val="auto"/>
              </w:rPr>
            </w:pPr>
          </w:p>
        </w:tc>
        <w:tc>
          <w:tcPr>
            <w:tcW w:w="7140" w:type="dxa"/>
            <w:vAlign w:val="bottom"/>
            <w:tcBorders>
              <w:top w:val="single" w:sz="8" w:color="0000FF"/>
            </w:tcBorders>
            <w:gridSpan w:val="3"/>
          </w:tcPr>
          <w:p>
            <w:pPr>
              <w:spacing w:after="0" w:line="204" w:lineRule="exact"/>
              <w:rPr>
                <w:sz w:val="20"/>
                <w:szCs w:val="20"/>
                <w:color w:val="auto"/>
              </w:rPr>
            </w:pPr>
            <w:r>
              <w:rPr>
                <w:rFonts w:ascii="Arial" w:cs="Arial" w:eastAsia="Arial" w:hAnsi="Arial"/>
                <w:sz w:val="18"/>
                <w:szCs w:val="18"/>
                <w:color w:val="0000FF"/>
              </w:rPr>
              <w:t>Press release, dated February 16, 2023, of Wynn Resorts, Limited</w:t>
            </w:r>
          </w:p>
        </w:tc>
        <w:tc>
          <w:tcPr>
            <w:tcW w:w="2740" w:type="dxa"/>
            <w:vAlign w:val="bottom"/>
          </w:tcPr>
          <w:p>
            <w:pPr>
              <w:spacing w:after="0"/>
              <w:rPr>
                <w:sz w:val="17"/>
                <w:szCs w:val="17"/>
                <w:color w:val="auto"/>
              </w:rPr>
            </w:pPr>
          </w:p>
        </w:tc>
      </w:tr>
      <w:tr>
        <w:trPr>
          <w:trHeight w:val="1210"/>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3920" w:type="dxa"/>
            <w:vAlign w:val="bottom"/>
            <w:tcBorders>
              <w:top w:val="single" w:sz="8" w:color="0000FF"/>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Dated: February 16, 2023</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31750</wp:posOffset>
            </wp:positionV>
            <wp:extent cx="2434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6180" w:space="720"/>
            <w:col w:w="4340"/>
          </w:cols>
          <w:pgMar w:left="320" w:top="871" w:right="339" w:bottom="1440" w:gutter="0" w:footer="0" w:header="0"/>
          <w:type w:val="continuous"/>
        </w:sectPr>
      </w:pPr>
    </w:p>
    <w:p>
      <w:pPr>
        <w:ind w:left="7020"/>
        <w:spacing w:after="0"/>
        <w:rPr>
          <w:sz w:val="20"/>
          <w:szCs w:val="20"/>
          <w:color w:val="auto"/>
        </w:rPr>
      </w:pPr>
      <w:r>
        <w:rPr>
          <w:rFonts w:ascii="Arial" w:cs="Arial" w:eastAsia="Arial" w:hAnsi="Arial"/>
          <w:sz w:val="18"/>
          <w:szCs w:val="18"/>
          <w:color w:val="auto"/>
        </w:rPr>
        <w:t>Julie Cameron-Doe</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71" w:right="3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704215</wp:posOffset>
            </wp:positionV>
            <wp:extent cx="713549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WYNN RESORTS FINANCE, LLC</w:t>
      </w:r>
    </w:p>
    <w:p>
      <w:pPr>
        <w:jc w:val="center"/>
        <w:ind w:right="1120"/>
        <w:spacing w:after="0" w:line="209" w:lineRule="auto"/>
        <w:rPr>
          <w:sz w:val="20"/>
          <w:szCs w:val="20"/>
          <w:color w:val="auto"/>
        </w:rPr>
      </w:pPr>
      <w:r>
        <w:rPr>
          <w:rFonts w:ascii="Arial" w:cs="Arial" w:eastAsia="Arial" w:hAnsi="Arial"/>
          <w:sz w:val="21"/>
          <w:szCs w:val="21"/>
          <w:color w:val="auto"/>
        </w:rPr>
        <w:t>and</w:t>
      </w:r>
    </w:p>
    <w:p>
      <w:pPr>
        <w:jc w:val="center"/>
        <w:ind w:right="1120"/>
        <w:spacing w:after="0" w:line="209" w:lineRule="auto"/>
        <w:rPr>
          <w:sz w:val="20"/>
          <w:szCs w:val="20"/>
          <w:color w:val="auto"/>
        </w:rPr>
      </w:pPr>
      <w:r>
        <w:rPr>
          <w:rFonts w:ascii="Arial" w:cs="Arial" w:eastAsia="Arial" w:hAnsi="Arial"/>
          <w:sz w:val="21"/>
          <w:szCs w:val="21"/>
          <w:color w:val="auto"/>
        </w:rPr>
        <w:t>WYNN RESORTS CAPITAL CORP.,</w:t>
      </w:r>
    </w:p>
    <w:p>
      <w:pPr>
        <w:jc w:val="center"/>
        <w:ind w:right="1120"/>
        <w:spacing w:after="0"/>
        <w:rPr>
          <w:sz w:val="20"/>
          <w:szCs w:val="20"/>
          <w:color w:val="auto"/>
        </w:rPr>
      </w:pPr>
      <w:r>
        <w:rPr>
          <w:rFonts w:ascii="Arial" w:cs="Arial" w:eastAsia="Arial" w:hAnsi="Arial"/>
          <w:sz w:val="21"/>
          <w:szCs w:val="21"/>
          <w:color w:val="auto"/>
        </w:rPr>
        <w:t>as joint and several obligors</w:t>
      </w:r>
    </w:p>
    <w:p>
      <w:pPr>
        <w:spacing w:after="0" w:line="188" w:lineRule="exact"/>
        <w:rPr>
          <w:sz w:val="20"/>
          <w:szCs w:val="20"/>
          <w:color w:val="auto"/>
        </w:rPr>
      </w:pPr>
    </w:p>
    <w:p>
      <w:pPr>
        <w:ind w:left="4280"/>
        <w:spacing w:after="0"/>
        <w:rPr>
          <w:sz w:val="20"/>
          <w:szCs w:val="20"/>
          <w:color w:val="auto"/>
        </w:rPr>
      </w:pPr>
      <w:r>
        <w:rPr>
          <w:rFonts w:ascii="Arial" w:cs="Arial" w:eastAsia="Arial" w:hAnsi="Arial"/>
          <w:sz w:val="21"/>
          <w:szCs w:val="21"/>
          <w:color w:val="auto"/>
        </w:rPr>
        <w:t>AND</w:t>
      </w:r>
    </w:p>
    <w:p>
      <w:pPr>
        <w:spacing w:after="0" w:line="193"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EBH HOLDINGS, LLC,</w:t>
      </w:r>
    </w:p>
    <w:p>
      <w:pPr>
        <w:jc w:val="center"/>
        <w:ind w:right="1120"/>
        <w:spacing w:after="0" w:line="209" w:lineRule="auto"/>
        <w:rPr>
          <w:sz w:val="20"/>
          <w:szCs w:val="20"/>
          <w:color w:val="auto"/>
        </w:rPr>
      </w:pPr>
      <w:r>
        <w:rPr>
          <w:rFonts w:ascii="Arial" w:cs="Arial" w:eastAsia="Arial" w:hAnsi="Arial"/>
          <w:sz w:val="21"/>
          <w:szCs w:val="21"/>
          <w:color w:val="auto"/>
        </w:rPr>
        <w:t>WYNN GROUP ASIA, INC.,</w:t>
      </w:r>
    </w:p>
    <w:p>
      <w:pPr>
        <w:jc w:val="center"/>
        <w:ind w:right="1120"/>
        <w:spacing w:after="0" w:line="209" w:lineRule="auto"/>
        <w:rPr>
          <w:sz w:val="20"/>
          <w:szCs w:val="20"/>
          <w:color w:val="auto"/>
        </w:rPr>
      </w:pPr>
      <w:r>
        <w:rPr>
          <w:rFonts w:ascii="Arial" w:cs="Arial" w:eastAsia="Arial" w:hAnsi="Arial"/>
          <w:sz w:val="21"/>
          <w:szCs w:val="21"/>
          <w:color w:val="auto"/>
        </w:rPr>
        <w:t>EVERETT PROPERTY, LLC,</w:t>
      </w:r>
    </w:p>
    <w:p>
      <w:pPr>
        <w:jc w:val="center"/>
        <w:ind w:right="1120"/>
        <w:spacing w:after="0" w:line="209" w:lineRule="auto"/>
        <w:rPr>
          <w:sz w:val="20"/>
          <w:szCs w:val="20"/>
          <w:color w:val="auto"/>
        </w:rPr>
      </w:pPr>
      <w:r>
        <w:rPr>
          <w:rFonts w:ascii="Arial" w:cs="Arial" w:eastAsia="Arial" w:hAnsi="Arial"/>
          <w:sz w:val="21"/>
          <w:szCs w:val="21"/>
          <w:color w:val="auto"/>
        </w:rPr>
        <w:t>WYNN AMERICA GROUP, LLC,</w:t>
      </w:r>
    </w:p>
    <w:p>
      <w:pPr>
        <w:jc w:val="center"/>
        <w:ind w:right="1120"/>
        <w:spacing w:after="0" w:line="209" w:lineRule="auto"/>
        <w:rPr>
          <w:sz w:val="20"/>
          <w:szCs w:val="20"/>
          <w:color w:val="auto"/>
        </w:rPr>
      </w:pPr>
      <w:r>
        <w:rPr>
          <w:rFonts w:ascii="Arial" w:cs="Arial" w:eastAsia="Arial" w:hAnsi="Arial"/>
          <w:sz w:val="21"/>
          <w:szCs w:val="21"/>
          <w:color w:val="auto"/>
        </w:rPr>
        <w:t>WYNN LAS VEGAS HOLDINGS, LLC,</w:t>
      </w:r>
    </w:p>
    <w:p>
      <w:pPr>
        <w:jc w:val="center"/>
        <w:ind w:right="1120"/>
        <w:spacing w:after="0" w:line="210" w:lineRule="auto"/>
        <w:rPr>
          <w:sz w:val="20"/>
          <w:szCs w:val="20"/>
          <w:color w:val="auto"/>
        </w:rPr>
      </w:pPr>
      <w:r>
        <w:rPr>
          <w:rFonts w:ascii="Arial" w:cs="Arial" w:eastAsia="Arial" w:hAnsi="Arial"/>
          <w:sz w:val="21"/>
          <w:szCs w:val="21"/>
          <w:color w:val="auto"/>
        </w:rPr>
        <w:t>WYNN LAS VEGAS, LLC,</w:t>
      </w:r>
    </w:p>
    <w:p>
      <w:pPr>
        <w:jc w:val="center"/>
        <w:ind w:right="1120"/>
        <w:spacing w:after="0" w:line="209" w:lineRule="auto"/>
        <w:rPr>
          <w:sz w:val="20"/>
          <w:szCs w:val="20"/>
          <w:color w:val="auto"/>
        </w:rPr>
      </w:pPr>
      <w:r>
        <w:rPr>
          <w:rFonts w:ascii="Arial" w:cs="Arial" w:eastAsia="Arial" w:hAnsi="Arial"/>
          <w:sz w:val="21"/>
          <w:szCs w:val="21"/>
          <w:color w:val="auto"/>
        </w:rPr>
        <w:t>WYNN MA, LLC,</w:t>
      </w:r>
    </w:p>
    <w:p>
      <w:pPr>
        <w:jc w:val="center"/>
        <w:ind w:right="1120"/>
        <w:spacing w:after="0" w:line="209" w:lineRule="auto"/>
        <w:rPr>
          <w:sz w:val="20"/>
          <w:szCs w:val="20"/>
          <w:color w:val="auto"/>
        </w:rPr>
      </w:pPr>
      <w:r>
        <w:rPr>
          <w:rFonts w:ascii="Arial" w:cs="Arial" w:eastAsia="Arial" w:hAnsi="Arial"/>
          <w:sz w:val="21"/>
          <w:szCs w:val="21"/>
          <w:color w:val="auto"/>
        </w:rPr>
        <w:t>WYNN SUNRISE, LLC</w:t>
      </w:r>
    </w:p>
    <w:p>
      <w:pPr>
        <w:jc w:val="center"/>
        <w:ind w:right="1120"/>
        <w:spacing w:after="0" w:line="209" w:lineRule="auto"/>
        <w:rPr>
          <w:sz w:val="20"/>
          <w:szCs w:val="20"/>
          <w:color w:val="auto"/>
        </w:rPr>
      </w:pPr>
      <w:r>
        <w:rPr>
          <w:rFonts w:ascii="Arial" w:cs="Arial" w:eastAsia="Arial" w:hAnsi="Arial"/>
          <w:sz w:val="21"/>
          <w:szCs w:val="21"/>
          <w:color w:val="auto"/>
        </w:rPr>
        <w:t>and</w:t>
      </w:r>
    </w:p>
    <w:p>
      <w:pPr>
        <w:jc w:val="center"/>
        <w:ind w:right="1120"/>
        <w:spacing w:after="0" w:line="210" w:lineRule="auto"/>
        <w:rPr>
          <w:sz w:val="20"/>
          <w:szCs w:val="20"/>
          <w:color w:val="auto"/>
        </w:rPr>
      </w:pPr>
      <w:r>
        <w:rPr>
          <w:rFonts w:ascii="Arial" w:cs="Arial" w:eastAsia="Arial" w:hAnsi="Arial"/>
          <w:sz w:val="21"/>
          <w:szCs w:val="21"/>
          <w:color w:val="auto"/>
        </w:rPr>
        <w:t>WYNN LAS VEGAS CAPITAL CORP.,</w:t>
      </w:r>
    </w:p>
    <w:p>
      <w:pPr>
        <w:jc w:val="center"/>
        <w:ind w:right="1120"/>
        <w:spacing w:after="0"/>
        <w:rPr>
          <w:sz w:val="20"/>
          <w:szCs w:val="20"/>
          <w:color w:val="auto"/>
        </w:rPr>
      </w:pPr>
      <w:r>
        <w:rPr>
          <w:rFonts w:ascii="Arial" w:cs="Arial" w:eastAsia="Arial" w:hAnsi="Arial"/>
          <w:sz w:val="21"/>
          <w:szCs w:val="21"/>
          <w:color w:val="auto"/>
        </w:rPr>
        <w:t>as guarantors</w:t>
      </w:r>
    </w:p>
    <w:p>
      <w:pPr>
        <w:spacing w:after="0" w:line="188" w:lineRule="exact"/>
        <w:rPr>
          <w:sz w:val="20"/>
          <w:szCs w:val="20"/>
          <w:color w:val="auto"/>
        </w:rPr>
      </w:pPr>
    </w:p>
    <w:p>
      <w:pPr>
        <w:ind w:left="2920"/>
        <w:spacing w:after="0"/>
        <w:rPr>
          <w:sz w:val="20"/>
          <w:szCs w:val="20"/>
          <w:color w:val="auto"/>
        </w:rPr>
      </w:pPr>
      <w:r>
        <w:rPr>
          <w:rFonts w:ascii="Arial" w:cs="Arial" w:eastAsia="Arial" w:hAnsi="Arial"/>
          <w:sz w:val="21"/>
          <w:szCs w:val="21"/>
          <w:color w:val="auto"/>
        </w:rPr>
        <w:t>7.125%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169545</wp:posOffset>
            </wp:positionV>
            <wp:extent cx="713549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INDENTURE</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Dated as of 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169545</wp:posOffset>
            </wp:positionV>
            <wp:extent cx="713549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720725</wp:posOffset>
            </wp:positionV>
            <wp:extent cx="713549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U.S. BANK TRUST COMPANY, NATIONAL ASSOCIATION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21"/>
          <w:szCs w:val="2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169545</wp:posOffset>
            </wp:positionV>
            <wp:extent cx="713549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896620</wp:posOffset>
            </wp:positionV>
            <wp:extent cx="713549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4"/>
        </w:trPr>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80" w:type="dxa"/>
            <w:vAlign w:val="bottom"/>
            <w:gridSpan w:val="13"/>
          </w:tcPr>
          <w:p>
            <w:pPr>
              <w:jc w:val="center"/>
              <w:ind w:right="2460"/>
              <w:spacing w:after="0"/>
              <w:rPr>
                <w:sz w:val="20"/>
                <w:szCs w:val="20"/>
                <w:color w:val="auto"/>
              </w:rPr>
            </w:pPr>
            <w:r>
              <w:rPr>
                <w:rFonts w:ascii="Arial" w:cs="Arial" w:eastAsia="Arial" w:hAnsi="Arial"/>
                <w:sz w:val="21"/>
                <w:szCs w:val="21"/>
                <w:b w:val="1"/>
                <w:bCs w:val="1"/>
                <w:color w:val="auto"/>
                <w:w w:val="99"/>
              </w:rPr>
              <w:t>TABLE OF CONTENTS</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1"/>
        </w:trPr>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7"/>
            <w:vMerge w:val="restart"/>
          </w:tcPr>
          <w:p>
            <w:pPr>
              <w:jc w:val="center"/>
              <w:ind w:right="3340"/>
              <w:spacing w:after="0"/>
              <w:rPr>
                <w:sz w:val="20"/>
                <w:szCs w:val="20"/>
                <w:color w:val="auto"/>
              </w:rPr>
            </w:pPr>
            <w:r>
              <w:rPr>
                <w:rFonts w:ascii="Arial" w:cs="Arial" w:eastAsia="Arial" w:hAnsi="Arial"/>
                <w:sz w:val="21"/>
                <w:szCs w:val="21"/>
                <w:color w:val="auto"/>
                <w:w w:val="96"/>
              </w:rPr>
              <w:t>ARTICLE 1.</w:t>
            </w:r>
          </w:p>
        </w:tc>
        <w:tc>
          <w:tcPr>
            <w:tcW w:w="1740" w:type="dxa"/>
            <w:vAlign w:val="bottom"/>
          </w:tcPr>
          <w:p>
            <w:pPr>
              <w:jc w:val="right"/>
              <w:spacing w:after="0"/>
              <w:rPr>
                <w:sz w:val="20"/>
                <w:szCs w:val="20"/>
                <w:color w:val="auto"/>
              </w:rPr>
            </w:pPr>
            <w:r>
              <w:rPr>
                <w:rFonts w:ascii="Arial" w:cs="Arial" w:eastAsia="Arial" w:hAnsi="Arial"/>
                <w:sz w:val="21"/>
                <w:szCs w:val="21"/>
                <w:i w:val="1"/>
                <w:iCs w:val="1"/>
                <w:color w:val="auto"/>
              </w:rPr>
              <w:t>Page</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17"/>
            <w:vMerge w:val="restart"/>
          </w:tcPr>
          <w:p>
            <w:pPr>
              <w:spacing w:after="0"/>
              <w:rPr>
                <w:sz w:val="20"/>
                <w:szCs w:val="20"/>
                <w:color w:val="auto"/>
              </w:rPr>
            </w:pPr>
            <w:r>
              <w:rPr>
                <w:rFonts w:ascii="Arial" w:cs="Arial" w:eastAsia="Arial" w:hAnsi="Arial"/>
                <w:sz w:val="21"/>
                <w:szCs w:val="21"/>
                <w:color w:val="auto"/>
              </w:rPr>
              <w:t>DEFINITIONS AND</w:t>
            </w:r>
          </w:p>
        </w:tc>
        <w:tc>
          <w:tcPr>
            <w:tcW w:w="4420" w:type="dxa"/>
            <w:vAlign w:val="bottom"/>
            <w:gridSpan w:val="7"/>
            <w:vMerge w:val="continue"/>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40" w:type="dxa"/>
            <w:vAlign w:val="bottom"/>
            <w:gridSpan w:val="17"/>
            <w:vMerge w:val="continue"/>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40" w:type="dxa"/>
            <w:vAlign w:val="bottom"/>
            <w:gridSpan w:val="17"/>
            <w:vMerge w:val="continue"/>
          </w:tcPr>
          <w:p>
            <w:pPr>
              <w:spacing w:after="0"/>
              <w:rPr>
                <w:sz w:val="16"/>
                <w:szCs w:val="16"/>
                <w:color w:val="auto"/>
              </w:rPr>
            </w:pPr>
          </w:p>
        </w:tc>
        <w:tc>
          <w:tcPr>
            <w:tcW w:w="4420" w:type="dxa"/>
            <w:vAlign w:val="bottom"/>
            <w:gridSpan w:val="7"/>
          </w:tcPr>
          <w:p>
            <w:pPr>
              <w:spacing w:after="0" w:line="191" w:lineRule="exact"/>
              <w:rPr>
                <w:sz w:val="20"/>
                <w:szCs w:val="20"/>
                <w:color w:val="auto"/>
              </w:rPr>
            </w:pPr>
            <w:r>
              <w:rPr>
                <w:rFonts w:ascii="Arial" w:cs="Arial" w:eastAsia="Arial" w:hAnsi="Arial"/>
                <w:sz w:val="21"/>
                <w:szCs w:val="21"/>
                <w:color w:val="auto"/>
              </w:rPr>
              <w:t>INCORPORATION BY REFERENCE</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1.01</w:t>
            </w: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21"/>
                <w:szCs w:val="21"/>
                <w:color w:val="auto"/>
                <w:w w:val="94"/>
              </w:rPr>
              <w:t>Definitions.</w:t>
            </w:r>
          </w:p>
        </w:tc>
        <w:tc>
          <w:tcPr>
            <w:tcW w:w="700" w:type="dxa"/>
            <w:vAlign w:val="bottom"/>
            <w:gridSpan w:val="8"/>
          </w:tcPr>
          <w:p>
            <w:pPr>
              <w:spacing w:after="0"/>
              <w:rPr>
                <w:sz w:val="21"/>
                <w:szCs w:val="21"/>
                <w:color w:val="auto"/>
              </w:rPr>
            </w:pPr>
          </w:p>
        </w:tc>
        <w:tc>
          <w:tcPr>
            <w:tcW w:w="5160" w:type="dxa"/>
            <w:vAlign w:val="bottom"/>
            <w:tcBorders>
              <w:top w:val="single" w:sz="8" w:color="auto"/>
            </w:tcBorders>
            <w:gridSpan w:val="23"/>
          </w:tcPr>
          <w:p>
            <w:pPr>
              <w:spacing w:after="0"/>
              <w:rPr>
                <w:sz w:val="21"/>
                <w:szCs w:val="21"/>
                <w:color w:val="auto"/>
              </w:rPr>
            </w:pPr>
          </w:p>
        </w:tc>
        <w:tc>
          <w:tcPr>
            <w:tcW w:w="1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1.02</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Other Definitions.</w:t>
            </w:r>
          </w:p>
        </w:tc>
        <w:tc>
          <w:tcPr>
            <w:tcW w:w="1740" w:type="dxa"/>
            <w:vAlign w:val="bottom"/>
          </w:tcPr>
          <w:p>
            <w:pPr>
              <w:jc w:val="right"/>
              <w:spacing w:after="0"/>
              <w:rPr>
                <w:sz w:val="20"/>
                <w:szCs w:val="20"/>
                <w:color w:val="auto"/>
              </w:rPr>
            </w:pPr>
            <w:r>
              <w:rPr>
                <w:rFonts w:ascii="Arial" w:cs="Arial" w:eastAsia="Arial" w:hAnsi="Arial"/>
                <w:sz w:val="21"/>
                <w:szCs w:val="21"/>
                <w:color w:val="auto"/>
              </w:rPr>
              <w:t>26</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1.03</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Rules of Construction.</w:t>
            </w:r>
          </w:p>
        </w:tc>
        <w:tc>
          <w:tcPr>
            <w:tcW w:w="1740" w:type="dxa"/>
            <w:vAlign w:val="bottom"/>
          </w:tcPr>
          <w:p>
            <w:pPr>
              <w:jc w:val="right"/>
              <w:spacing w:after="0"/>
              <w:rPr>
                <w:sz w:val="20"/>
                <w:szCs w:val="20"/>
                <w:color w:val="auto"/>
              </w:rPr>
            </w:pPr>
            <w:r>
              <w:rPr>
                <w:rFonts w:ascii="Arial" w:cs="Arial" w:eastAsia="Arial" w:hAnsi="Arial"/>
                <w:sz w:val="21"/>
                <w:szCs w:val="21"/>
                <w:color w:val="auto"/>
              </w:rPr>
              <w:t>26</w:t>
            </w:r>
          </w:p>
        </w:tc>
        <w:tc>
          <w:tcPr>
            <w:tcW w:w="0" w:type="dxa"/>
            <w:vAlign w:val="bottom"/>
          </w:tcPr>
          <w:p>
            <w:pPr>
              <w:spacing w:after="0"/>
              <w:rPr>
                <w:sz w:val="1"/>
                <w:szCs w:val="1"/>
                <w:color w:val="auto"/>
              </w:rPr>
            </w:pPr>
          </w:p>
        </w:tc>
      </w:tr>
      <w:tr>
        <w:trPr>
          <w:trHeight w:val="243"/>
        </w:trPr>
        <w:tc>
          <w:tcPr>
            <w:tcW w:w="12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7"/>
          </w:tcPr>
          <w:p>
            <w:pPr>
              <w:jc w:val="center"/>
              <w:ind w:right="3340"/>
              <w:spacing w:after="0"/>
              <w:rPr>
                <w:sz w:val="20"/>
                <w:szCs w:val="20"/>
                <w:color w:val="auto"/>
              </w:rPr>
            </w:pPr>
            <w:r>
              <w:rPr>
                <w:rFonts w:ascii="Arial" w:cs="Arial" w:eastAsia="Arial" w:hAnsi="Arial"/>
                <w:sz w:val="21"/>
                <w:szCs w:val="21"/>
                <w:color w:val="auto"/>
                <w:w w:val="96"/>
              </w:rPr>
              <w:t>ARTICLE 2.</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jc w:val="center"/>
              <w:spacing w:after="0" w:line="191" w:lineRule="exact"/>
              <w:rPr>
                <w:sz w:val="20"/>
                <w:szCs w:val="20"/>
                <w:color w:val="auto"/>
              </w:rPr>
            </w:pPr>
            <w:r>
              <w:rPr>
                <w:rFonts w:ascii="Arial" w:cs="Arial" w:eastAsia="Arial" w:hAnsi="Arial"/>
                <w:sz w:val="21"/>
                <w:szCs w:val="21"/>
                <w:color w:val="auto"/>
                <w:w w:val="89"/>
              </w:rPr>
              <w:t>THE NOTES</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4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2.01</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Form and Dating.</w:t>
            </w:r>
          </w:p>
        </w:tc>
        <w:tc>
          <w:tcPr>
            <w:tcW w:w="1740" w:type="dxa"/>
            <w:vAlign w:val="bottom"/>
          </w:tcPr>
          <w:p>
            <w:pPr>
              <w:jc w:val="right"/>
              <w:spacing w:after="0"/>
              <w:rPr>
                <w:sz w:val="20"/>
                <w:szCs w:val="20"/>
                <w:color w:val="auto"/>
              </w:rPr>
            </w:pPr>
            <w:r>
              <w:rPr>
                <w:rFonts w:ascii="Arial" w:cs="Arial" w:eastAsia="Arial" w:hAnsi="Arial"/>
                <w:sz w:val="21"/>
                <w:szCs w:val="21"/>
                <w:color w:val="auto"/>
              </w:rPr>
              <w:t>27</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2.02</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Execution and Authentication.</w:t>
            </w:r>
          </w:p>
        </w:tc>
        <w:tc>
          <w:tcPr>
            <w:tcW w:w="1740" w:type="dxa"/>
            <w:vAlign w:val="bottom"/>
          </w:tcPr>
          <w:p>
            <w:pPr>
              <w:jc w:val="right"/>
              <w:spacing w:after="0"/>
              <w:rPr>
                <w:sz w:val="20"/>
                <w:szCs w:val="20"/>
                <w:color w:val="auto"/>
              </w:rPr>
            </w:pPr>
            <w:r>
              <w:rPr>
                <w:rFonts w:ascii="Arial" w:cs="Arial" w:eastAsia="Arial" w:hAnsi="Arial"/>
                <w:sz w:val="21"/>
                <w:szCs w:val="21"/>
                <w:color w:val="auto"/>
              </w:rPr>
              <w:t>28</w:t>
            </w:r>
          </w:p>
        </w:tc>
        <w:tc>
          <w:tcPr>
            <w:tcW w:w="0" w:type="dxa"/>
            <w:vAlign w:val="bottom"/>
          </w:tcPr>
          <w:p>
            <w:pPr>
              <w:spacing w:after="0"/>
              <w:rPr>
                <w:sz w:val="1"/>
                <w:szCs w:val="1"/>
                <w:color w:val="auto"/>
              </w:rPr>
            </w:pPr>
          </w:p>
        </w:tc>
      </w:tr>
      <w:tr>
        <w:trPr>
          <w:trHeight w:val="243"/>
        </w:trPr>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color w:val="auto"/>
              </w:rPr>
              <w:t>Section 2.03</w:t>
            </w:r>
          </w:p>
        </w:tc>
        <w:tc>
          <w:tcPr>
            <w:tcW w:w="2400" w:type="dxa"/>
            <w:vAlign w:val="bottom"/>
            <w:tcBorders>
              <w:top w:val="single" w:sz="8" w:color="auto"/>
              <w:bottom w:val="single" w:sz="8" w:color="auto"/>
            </w:tcBorders>
            <w:gridSpan w:val="16"/>
          </w:tcPr>
          <w:p>
            <w:pPr>
              <w:ind w:left="20"/>
              <w:spacing w:after="0"/>
              <w:rPr>
                <w:sz w:val="20"/>
                <w:szCs w:val="20"/>
                <w:color w:val="auto"/>
              </w:rPr>
            </w:pPr>
            <w:r>
              <w:rPr>
                <w:rFonts w:ascii="Arial" w:cs="Arial" w:eastAsia="Arial" w:hAnsi="Arial"/>
                <w:sz w:val="21"/>
                <w:szCs w:val="21"/>
                <w:color w:val="auto"/>
                <w:w w:val="89"/>
              </w:rPr>
              <w:t>Registrar and Paying Agent.</w:t>
            </w:r>
          </w:p>
        </w:tc>
        <w:tc>
          <w:tcPr>
            <w:tcW w:w="180" w:type="dxa"/>
            <w:vAlign w:val="bottom"/>
            <w:tcBorders>
              <w:top w:val="single" w:sz="8" w:color="auto"/>
            </w:tcBorders>
            <w:gridSpan w:val="2"/>
          </w:tcPr>
          <w:p>
            <w:pPr>
              <w:spacing w:after="0"/>
              <w:rPr>
                <w:sz w:val="21"/>
                <w:szCs w:val="21"/>
                <w:color w:val="auto"/>
              </w:rPr>
            </w:pPr>
          </w:p>
        </w:tc>
        <w:tc>
          <w:tcPr>
            <w:tcW w:w="5600" w:type="dxa"/>
            <w:vAlign w:val="bottom"/>
            <w:gridSpan w:val="16"/>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29</w:t>
            </w:r>
          </w:p>
        </w:tc>
        <w:tc>
          <w:tcPr>
            <w:tcW w:w="0" w:type="dxa"/>
            <w:vAlign w:val="bottom"/>
          </w:tcPr>
          <w:p>
            <w:pPr>
              <w:spacing w:after="0"/>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2.04</w:t>
            </w:r>
          </w:p>
        </w:tc>
        <w:tc>
          <w:tcPr>
            <w:tcW w:w="3280" w:type="dxa"/>
            <w:vAlign w:val="bottom"/>
            <w:tcBorders>
              <w:bottom w:val="single" w:sz="8" w:color="auto"/>
            </w:tcBorders>
            <w:gridSpan w:val="23"/>
          </w:tcPr>
          <w:p>
            <w:pPr>
              <w:ind w:left="20"/>
              <w:spacing w:after="0"/>
              <w:rPr>
                <w:sz w:val="20"/>
                <w:szCs w:val="20"/>
                <w:color w:val="auto"/>
              </w:rPr>
            </w:pPr>
            <w:r>
              <w:rPr>
                <w:rFonts w:ascii="Arial" w:cs="Arial" w:eastAsia="Arial" w:hAnsi="Arial"/>
                <w:sz w:val="21"/>
                <w:szCs w:val="21"/>
                <w:color w:val="auto"/>
                <w:w w:val="93"/>
              </w:rPr>
              <w:t>Paying Agent to Hold Money in Trust.</w:t>
            </w:r>
          </w:p>
        </w:tc>
        <w:tc>
          <w:tcPr>
            <w:tcW w:w="4900" w:type="dxa"/>
            <w:vAlign w:val="bottom"/>
            <w:gridSpan w:val="11"/>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29</w:t>
            </w:r>
          </w:p>
        </w:tc>
        <w:tc>
          <w:tcPr>
            <w:tcW w:w="0" w:type="dxa"/>
            <w:vAlign w:val="bottom"/>
          </w:tcPr>
          <w:p>
            <w:pPr>
              <w:spacing w:after="0"/>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2.05</w:t>
            </w: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21"/>
                <w:szCs w:val="21"/>
                <w:color w:val="auto"/>
                <w:w w:val="92"/>
              </w:rPr>
              <w:t>Holder Lists.</w:t>
            </w:r>
          </w:p>
        </w:tc>
        <w:tc>
          <w:tcPr>
            <w:tcW w:w="7060" w:type="dxa"/>
            <w:vAlign w:val="bottom"/>
            <w:gridSpan w:val="31"/>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29</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2.06</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Transfer and Exchange.</w:t>
            </w:r>
          </w:p>
        </w:tc>
        <w:tc>
          <w:tcPr>
            <w:tcW w:w="1740" w:type="dxa"/>
            <w:vAlign w:val="bottom"/>
          </w:tcPr>
          <w:p>
            <w:pPr>
              <w:jc w:val="right"/>
              <w:spacing w:after="0"/>
              <w:rPr>
                <w:sz w:val="20"/>
                <w:szCs w:val="20"/>
                <w:color w:val="auto"/>
              </w:rPr>
            </w:pPr>
            <w:r>
              <w:rPr>
                <w:rFonts w:ascii="Arial" w:cs="Arial" w:eastAsia="Arial" w:hAnsi="Arial"/>
                <w:sz w:val="21"/>
                <w:szCs w:val="21"/>
                <w:color w:val="auto"/>
              </w:rPr>
              <w:t>30</w:t>
            </w:r>
          </w:p>
        </w:tc>
        <w:tc>
          <w:tcPr>
            <w:tcW w:w="0" w:type="dxa"/>
            <w:vAlign w:val="bottom"/>
          </w:tcPr>
          <w:p>
            <w:pPr>
              <w:spacing w:after="0"/>
              <w:rPr>
                <w:sz w:val="1"/>
                <w:szCs w:val="1"/>
                <w:color w:val="auto"/>
              </w:rPr>
            </w:pPr>
          </w:p>
        </w:tc>
      </w:tr>
      <w:tr>
        <w:trPr>
          <w:trHeight w:val="243"/>
        </w:trPr>
        <w:tc>
          <w:tcPr>
            <w:tcW w:w="12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Section 2.07</w:t>
            </w:r>
          </w:p>
        </w:tc>
        <w:tc>
          <w:tcPr>
            <w:tcW w:w="2000" w:type="dxa"/>
            <w:vAlign w:val="bottom"/>
            <w:tcBorders>
              <w:top w:val="single" w:sz="8" w:color="auto"/>
            </w:tcBorders>
            <w:gridSpan w:val="14"/>
          </w:tcPr>
          <w:p>
            <w:pPr>
              <w:ind w:left="20"/>
              <w:spacing w:after="0"/>
              <w:rPr>
                <w:sz w:val="20"/>
                <w:szCs w:val="20"/>
                <w:color w:val="auto"/>
              </w:rPr>
            </w:pPr>
            <w:r>
              <w:rPr>
                <w:rFonts w:ascii="Arial" w:cs="Arial" w:eastAsia="Arial" w:hAnsi="Arial"/>
                <w:sz w:val="21"/>
                <w:szCs w:val="21"/>
                <w:color w:val="auto"/>
              </w:rPr>
              <w:t>Replacement Notes.</w:t>
            </w:r>
          </w:p>
        </w:tc>
        <w:tc>
          <w:tcPr>
            <w:tcW w:w="6180" w:type="dxa"/>
            <w:vAlign w:val="bottom"/>
            <w:gridSpan w:val="20"/>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40</w:t>
            </w:r>
          </w:p>
        </w:tc>
        <w:tc>
          <w:tcPr>
            <w:tcW w:w="0" w:type="dxa"/>
            <w:vAlign w:val="bottom"/>
          </w:tcPr>
          <w:p>
            <w:pPr>
              <w:spacing w:after="0"/>
              <w:rPr>
                <w:sz w:val="1"/>
                <w:szCs w:val="1"/>
                <w:color w:val="auto"/>
              </w:rPr>
            </w:pPr>
          </w:p>
        </w:tc>
      </w:tr>
      <w:tr>
        <w:trPr>
          <w:trHeight w:val="243"/>
        </w:trPr>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color w:val="auto"/>
              </w:rPr>
              <w:t>Section 2.08</w:t>
            </w:r>
          </w:p>
        </w:tc>
        <w:tc>
          <w:tcPr>
            <w:tcW w:w="1640" w:type="dxa"/>
            <w:vAlign w:val="bottom"/>
            <w:tcBorders>
              <w:top w:val="single" w:sz="8" w:color="auto"/>
              <w:bottom w:val="single" w:sz="8" w:color="auto"/>
            </w:tcBorders>
            <w:gridSpan w:val="8"/>
          </w:tcPr>
          <w:p>
            <w:pPr>
              <w:ind w:left="20"/>
              <w:spacing w:after="0"/>
              <w:rPr>
                <w:sz w:val="20"/>
                <w:szCs w:val="20"/>
                <w:color w:val="auto"/>
              </w:rPr>
            </w:pPr>
            <w:r>
              <w:rPr>
                <w:rFonts w:ascii="Arial" w:cs="Arial" w:eastAsia="Arial" w:hAnsi="Arial"/>
                <w:sz w:val="21"/>
                <w:szCs w:val="21"/>
                <w:color w:val="auto"/>
                <w:w w:val="88"/>
              </w:rPr>
              <w:t>Outstanding Notes.</w:t>
            </w:r>
          </w:p>
        </w:tc>
        <w:tc>
          <w:tcPr>
            <w:tcW w:w="60" w:type="dxa"/>
            <w:vAlign w:val="bottom"/>
            <w:tcBorders>
              <w:top w:val="single" w:sz="8" w:color="auto"/>
            </w:tcBorders>
          </w:tcPr>
          <w:p>
            <w:pPr>
              <w:spacing w:after="0"/>
              <w:rPr>
                <w:sz w:val="21"/>
                <w:szCs w:val="21"/>
                <w:color w:val="auto"/>
              </w:rPr>
            </w:pPr>
          </w:p>
        </w:tc>
        <w:tc>
          <w:tcPr>
            <w:tcW w:w="6480" w:type="dxa"/>
            <w:vAlign w:val="bottom"/>
            <w:gridSpan w:val="25"/>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40</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2.09</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Treasury Notes.</w:t>
            </w:r>
          </w:p>
        </w:tc>
        <w:tc>
          <w:tcPr>
            <w:tcW w:w="1740" w:type="dxa"/>
            <w:vAlign w:val="bottom"/>
          </w:tcPr>
          <w:p>
            <w:pPr>
              <w:jc w:val="right"/>
              <w:spacing w:after="0"/>
              <w:rPr>
                <w:sz w:val="20"/>
                <w:szCs w:val="20"/>
                <w:color w:val="auto"/>
              </w:rPr>
            </w:pPr>
            <w:r>
              <w:rPr>
                <w:rFonts w:ascii="Arial" w:cs="Arial" w:eastAsia="Arial" w:hAnsi="Arial"/>
                <w:sz w:val="21"/>
                <w:szCs w:val="21"/>
                <w:color w:val="auto"/>
              </w:rPr>
              <w:t>41</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2.10</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Temporary Notes.</w:t>
            </w:r>
          </w:p>
        </w:tc>
        <w:tc>
          <w:tcPr>
            <w:tcW w:w="1740" w:type="dxa"/>
            <w:vAlign w:val="bottom"/>
          </w:tcPr>
          <w:p>
            <w:pPr>
              <w:jc w:val="right"/>
              <w:spacing w:after="0"/>
              <w:rPr>
                <w:sz w:val="20"/>
                <w:szCs w:val="20"/>
                <w:color w:val="auto"/>
              </w:rPr>
            </w:pPr>
            <w:r>
              <w:rPr>
                <w:rFonts w:ascii="Arial" w:cs="Arial" w:eastAsia="Arial" w:hAnsi="Arial"/>
                <w:sz w:val="21"/>
                <w:szCs w:val="21"/>
                <w:color w:val="auto"/>
              </w:rPr>
              <w:t>41</w:t>
            </w:r>
          </w:p>
        </w:tc>
        <w:tc>
          <w:tcPr>
            <w:tcW w:w="0" w:type="dxa"/>
            <w:vAlign w:val="bottom"/>
          </w:tcPr>
          <w:p>
            <w:pPr>
              <w:spacing w:after="0"/>
              <w:rPr>
                <w:sz w:val="1"/>
                <w:szCs w:val="1"/>
                <w:color w:val="auto"/>
              </w:rPr>
            </w:pPr>
          </w:p>
        </w:tc>
      </w:tr>
      <w:tr>
        <w:trPr>
          <w:trHeight w:val="243"/>
        </w:trPr>
        <w:tc>
          <w:tcPr>
            <w:tcW w:w="12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Section 2.11</w:t>
            </w:r>
          </w:p>
        </w:tc>
        <w:tc>
          <w:tcPr>
            <w:tcW w:w="1540" w:type="dxa"/>
            <w:vAlign w:val="bottom"/>
            <w:tcBorders>
              <w:top w:val="single" w:sz="8" w:color="auto"/>
            </w:tcBorders>
            <w:gridSpan w:val="6"/>
          </w:tcPr>
          <w:p>
            <w:pPr>
              <w:spacing w:after="0"/>
              <w:rPr>
                <w:sz w:val="20"/>
                <w:szCs w:val="20"/>
                <w:color w:val="auto"/>
              </w:rPr>
            </w:pPr>
            <w:r>
              <w:rPr>
                <w:rFonts w:ascii="Arial" w:cs="Arial" w:eastAsia="Arial" w:hAnsi="Arial"/>
                <w:sz w:val="21"/>
                <w:szCs w:val="21"/>
                <w:color w:val="auto"/>
              </w:rPr>
              <w:t>Cancellation.</w:t>
            </w:r>
          </w:p>
        </w:tc>
        <w:tc>
          <w:tcPr>
            <w:tcW w:w="6640" w:type="dxa"/>
            <w:vAlign w:val="bottom"/>
            <w:gridSpan w:val="28"/>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41</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2.12</w:t>
            </w:r>
          </w:p>
        </w:tc>
        <w:tc>
          <w:tcPr>
            <w:tcW w:w="1600" w:type="dxa"/>
            <w:vAlign w:val="bottom"/>
            <w:tcBorders>
              <w:bottom w:val="single" w:sz="8" w:color="auto"/>
            </w:tcBorders>
            <w:gridSpan w:val="7"/>
          </w:tcPr>
          <w:p>
            <w:pPr>
              <w:ind w:left="20"/>
              <w:spacing w:after="0"/>
              <w:rPr>
                <w:sz w:val="20"/>
                <w:szCs w:val="20"/>
                <w:color w:val="auto"/>
              </w:rPr>
            </w:pPr>
            <w:r>
              <w:rPr>
                <w:rFonts w:ascii="Arial" w:cs="Arial" w:eastAsia="Arial" w:hAnsi="Arial"/>
                <w:sz w:val="21"/>
                <w:szCs w:val="21"/>
                <w:color w:val="auto"/>
                <w:w w:val="89"/>
              </w:rPr>
              <w:t>Defaulted Interest.</w:t>
            </w:r>
          </w:p>
        </w:tc>
        <w:tc>
          <w:tcPr>
            <w:tcW w:w="6580" w:type="dxa"/>
            <w:vAlign w:val="bottom"/>
            <w:gridSpan w:val="27"/>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41</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2.13</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Issuance of Additional Notes.</w:t>
            </w:r>
          </w:p>
        </w:tc>
        <w:tc>
          <w:tcPr>
            <w:tcW w:w="1740" w:type="dxa"/>
            <w:vAlign w:val="bottom"/>
          </w:tcPr>
          <w:p>
            <w:pPr>
              <w:jc w:val="right"/>
              <w:spacing w:after="0"/>
              <w:rPr>
                <w:sz w:val="20"/>
                <w:szCs w:val="20"/>
                <w:color w:val="auto"/>
              </w:rPr>
            </w:pPr>
            <w:r>
              <w:rPr>
                <w:rFonts w:ascii="Arial" w:cs="Arial" w:eastAsia="Arial" w:hAnsi="Arial"/>
                <w:sz w:val="21"/>
                <w:szCs w:val="21"/>
                <w:color w:val="auto"/>
              </w:rPr>
              <w:t>42</w:t>
            </w:r>
          </w:p>
        </w:tc>
        <w:tc>
          <w:tcPr>
            <w:tcW w:w="0" w:type="dxa"/>
            <w:vAlign w:val="bottom"/>
          </w:tcPr>
          <w:p>
            <w:pPr>
              <w:spacing w:after="0"/>
              <w:rPr>
                <w:sz w:val="1"/>
                <w:szCs w:val="1"/>
                <w:color w:val="auto"/>
              </w:rPr>
            </w:pPr>
          </w:p>
        </w:tc>
      </w:tr>
      <w:tr>
        <w:trPr>
          <w:trHeight w:val="243"/>
        </w:trPr>
        <w:tc>
          <w:tcPr>
            <w:tcW w:w="12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7"/>
          </w:tcPr>
          <w:p>
            <w:pPr>
              <w:jc w:val="center"/>
              <w:ind w:right="3340"/>
              <w:spacing w:after="0"/>
              <w:rPr>
                <w:sz w:val="20"/>
                <w:szCs w:val="20"/>
                <w:color w:val="auto"/>
              </w:rPr>
            </w:pPr>
            <w:r>
              <w:rPr>
                <w:rFonts w:ascii="Arial" w:cs="Arial" w:eastAsia="Arial" w:hAnsi="Arial"/>
                <w:sz w:val="21"/>
                <w:szCs w:val="21"/>
                <w:color w:val="auto"/>
                <w:w w:val="96"/>
              </w:rPr>
              <w:t>ARTICLE 3.</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8"/>
          </w:tcPr>
          <w:p>
            <w:pPr>
              <w:spacing w:after="0" w:line="191" w:lineRule="exact"/>
              <w:rPr>
                <w:sz w:val="20"/>
                <w:szCs w:val="20"/>
                <w:color w:val="auto"/>
              </w:rPr>
            </w:pPr>
            <w:r>
              <w:rPr>
                <w:rFonts w:ascii="Arial" w:cs="Arial" w:eastAsia="Arial" w:hAnsi="Arial"/>
                <w:sz w:val="21"/>
                <w:szCs w:val="21"/>
                <w:color w:val="auto"/>
                <w:w w:val="77"/>
              </w:rPr>
              <w:t>REDEMPTION</w:t>
            </w:r>
          </w:p>
        </w:tc>
        <w:tc>
          <w:tcPr>
            <w:tcW w:w="10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21"/>
                <w:szCs w:val="21"/>
                <w:color w:val="auto"/>
                <w:w w:val="99"/>
              </w:rPr>
              <w:t>AND</w:t>
            </w:r>
          </w:p>
        </w:tc>
        <w:tc>
          <w:tcPr>
            <w:tcW w:w="3340" w:type="dxa"/>
            <w:vAlign w:val="bottom"/>
            <w:gridSpan w:val="5"/>
          </w:tcPr>
          <w:p>
            <w:pPr>
              <w:spacing w:after="0" w:line="191" w:lineRule="exact"/>
              <w:rPr>
                <w:sz w:val="20"/>
                <w:szCs w:val="20"/>
                <w:color w:val="auto"/>
              </w:rPr>
            </w:pPr>
            <w:r>
              <w:rPr>
                <w:rFonts w:ascii="Arial" w:cs="Arial" w:eastAsia="Arial" w:hAnsi="Arial"/>
                <w:sz w:val="21"/>
                <w:szCs w:val="21"/>
                <w:color w:val="auto"/>
              </w:rPr>
              <w:t>PREPAYMENT</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3.01</w:t>
            </w:r>
          </w:p>
        </w:tc>
        <w:tc>
          <w:tcPr>
            <w:tcW w:w="2660" w:type="dxa"/>
            <w:vAlign w:val="bottom"/>
            <w:gridSpan w:val="19"/>
          </w:tcPr>
          <w:p>
            <w:pPr>
              <w:ind w:left="20"/>
              <w:spacing w:after="0"/>
              <w:rPr>
                <w:sz w:val="20"/>
                <w:szCs w:val="20"/>
                <w:color w:val="auto"/>
              </w:rPr>
            </w:pPr>
            <w:r>
              <w:rPr>
                <w:rFonts w:ascii="Arial" w:cs="Arial" w:eastAsia="Arial" w:hAnsi="Arial"/>
                <w:sz w:val="21"/>
                <w:szCs w:val="21"/>
                <w:color w:val="auto"/>
              </w:rPr>
              <w:t>Notices to Trustee.</w:t>
            </w:r>
          </w:p>
        </w:tc>
        <w:tc>
          <w:tcPr>
            <w:tcW w:w="3280" w:type="dxa"/>
            <w:vAlign w:val="bottom"/>
            <w:tcBorders>
              <w:top w:val="single" w:sz="8" w:color="auto"/>
            </w:tcBorders>
            <w:gridSpan w:val="13"/>
          </w:tcPr>
          <w:p>
            <w:pPr>
              <w:spacing w:after="0"/>
              <w:rPr>
                <w:sz w:val="21"/>
                <w:szCs w:val="21"/>
                <w:color w:val="auto"/>
              </w:rPr>
            </w:pPr>
          </w:p>
        </w:tc>
        <w:tc>
          <w:tcPr>
            <w:tcW w:w="2240" w:type="dxa"/>
            <w:vAlign w:val="bottom"/>
            <w:gridSpan w:val="2"/>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42</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gridSpan w:val="6"/>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3.02</w:t>
            </w:r>
          </w:p>
        </w:tc>
        <w:tc>
          <w:tcPr>
            <w:tcW w:w="4220" w:type="dxa"/>
            <w:vAlign w:val="bottom"/>
            <w:tcBorders>
              <w:bottom w:val="single" w:sz="8" w:color="auto"/>
            </w:tcBorders>
            <w:gridSpan w:val="28"/>
          </w:tcPr>
          <w:p>
            <w:pPr>
              <w:ind w:left="20"/>
              <w:spacing w:after="0"/>
              <w:rPr>
                <w:sz w:val="20"/>
                <w:szCs w:val="20"/>
                <w:color w:val="auto"/>
              </w:rPr>
            </w:pPr>
            <w:r>
              <w:rPr>
                <w:rFonts w:ascii="Arial" w:cs="Arial" w:eastAsia="Arial" w:hAnsi="Arial"/>
                <w:sz w:val="21"/>
                <w:szCs w:val="21"/>
                <w:color w:val="auto"/>
                <w:w w:val="88"/>
              </w:rPr>
              <w:t>Selection of Notes to Be Redeemed or Purchased.</w:t>
            </w:r>
          </w:p>
        </w:tc>
        <w:tc>
          <w:tcPr>
            <w:tcW w:w="3960" w:type="dxa"/>
            <w:vAlign w:val="bottom"/>
            <w:gridSpan w:val="6"/>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43</w:t>
            </w:r>
          </w:p>
        </w:tc>
        <w:tc>
          <w:tcPr>
            <w:tcW w:w="0" w:type="dxa"/>
            <w:vAlign w:val="bottom"/>
          </w:tcPr>
          <w:p>
            <w:pPr>
              <w:spacing w:after="0"/>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3.03</w:t>
            </w:r>
          </w:p>
        </w:tc>
        <w:tc>
          <w:tcPr>
            <w:tcW w:w="1940" w:type="dxa"/>
            <w:vAlign w:val="bottom"/>
            <w:tcBorders>
              <w:bottom w:val="single" w:sz="8" w:color="auto"/>
            </w:tcBorders>
            <w:gridSpan w:val="13"/>
          </w:tcPr>
          <w:p>
            <w:pPr>
              <w:ind w:left="20"/>
              <w:spacing w:after="0"/>
              <w:rPr>
                <w:sz w:val="20"/>
                <w:szCs w:val="20"/>
                <w:color w:val="auto"/>
              </w:rPr>
            </w:pPr>
            <w:r>
              <w:rPr>
                <w:rFonts w:ascii="Arial" w:cs="Arial" w:eastAsia="Arial" w:hAnsi="Arial"/>
                <w:sz w:val="21"/>
                <w:szCs w:val="21"/>
                <w:color w:val="auto"/>
                <w:w w:val="91"/>
              </w:rPr>
              <w:t>Notice of Redemption.</w:t>
            </w:r>
          </w:p>
        </w:tc>
        <w:tc>
          <w:tcPr>
            <w:tcW w:w="6240" w:type="dxa"/>
            <w:vAlign w:val="bottom"/>
            <w:gridSpan w:val="21"/>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43</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3.04</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Effect of Notice of Redemption.</w:t>
            </w:r>
          </w:p>
        </w:tc>
        <w:tc>
          <w:tcPr>
            <w:tcW w:w="1740" w:type="dxa"/>
            <w:vAlign w:val="bottom"/>
          </w:tcPr>
          <w:p>
            <w:pPr>
              <w:jc w:val="right"/>
              <w:spacing w:after="0"/>
              <w:rPr>
                <w:sz w:val="20"/>
                <w:szCs w:val="20"/>
                <w:color w:val="auto"/>
              </w:rPr>
            </w:pPr>
            <w:r>
              <w:rPr>
                <w:rFonts w:ascii="Arial" w:cs="Arial" w:eastAsia="Arial" w:hAnsi="Arial"/>
                <w:sz w:val="21"/>
                <w:szCs w:val="21"/>
                <w:color w:val="auto"/>
              </w:rPr>
              <w:t>44</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gridSpan w:val="6"/>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3.05</w:t>
            </w:r>
          </w:p>
        </w:tc>
        <w:tc>
          <w:tcPr>
            <w:tcW w:w="3560" w:type="dxa"/>
            <w:vAlign w:val="bottom"/>
            <w:tcBorders>
              <w:bottom w:val="single" w:sz="8" w:color="auto"/>
            </w:tcBorders>
            <w:gridSpan w:val="24"/>
          </w:tcPr>
          <w:p>
            <w:pPr>
              <w:ind w:left="20"/>
              <w:spacing w:after="0"/>
              <w:rPr>
                <w:sz w:val="20"/>
                <w:szCs w:val="20"/>
                <w:color w:val="auto"/>
              </w:rPr>
            </w:pPr>
            <w:r>
              <w:rPr>
                <w:rFonts w:ascii="Arial" w:cs="Arial" w:eastAsia="Arial" w:hAnsi="Arial"/>
                <w:sz w:val="21"/>
                <w:szCs w:val="21"/>
                <w:color w:val="auto"/>
                <w:w w:val="89"/>
              </w:rPr>
              <w:t>Deposit of Redemption or Purchase Price.</w:t>
            </w:r>
          </w:p>
        </w:tc>
        <w:tc>
          <w:tcPr>
            <w:tcW w:w="4620" w:type="dxa"/>
            <w:vAlign w:val="bottom"/>
            <w:gridSpan w:val="10"/>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44</w:t>
            </w:r>
          </w:p>
        </w:tc>
        <w:tc>
          <w:tcPr>
            <w:tcW w:w="0" w:type="dxa"/>
            <w:vAlign w:val="bottom"/>
          </w:tcPr>
          <w:p>
            <w:pPr>
              <w:spacing w:after="0"/>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3.06</w:t>
            </w:r>
          </w:p>
        </w:tc>
        <w:tc>
          <w:tcPr>
            <w:tcW w:w="3260" w:type="dxa"/>
            <w:vAlign w:val="bottom"/>
            <w:tcBorders>
              <w:bottom w:val="single" w:sz="8" w:color="auto"/>
            </w:tcBorders>
            <w:gridSpan w:val="22"/>
          </w:tcPr>
          <w:p>
            <w:pPr>
              <w:ind w:left="20"/>
              <w:spacing w:after="0"/>
              <w:rPr>
                <w:sz w:val="20"/>
                <w:szCs w:val="20"/>
                <w:color w:val="auto"/>
              </w:rPr>
            </w:pPr>
            <w:r>
              <w:rPr>
                <w:rFonts w:ascii="Arial" w:cs="Arial" w:eastAsia="Arial" w:hAnsi="Arial"/>
                <w:sz w:val="21"/>
                <w:szCs w:val="21"/>
                <w:color w:val="auto"/>
                <w:w w:val="87"/>
              </w:rPr>
              <w:t>Notes Redeemed or Purchased in Part.</w:t>
            </w:r>
          </w:p>
        </w:tc>
        <w:tc>
          <w:tcPr>
            <w:tcW w:w="4920" w:type="dxa"/>
            <w:vAlign w:val="bottom"/>
            <w:gridSpan w:val="12"/>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45</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3.07</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Optional Redemption.</w:t>
            </w:r>
          </w:p>
        </w:tc>
        <w:tc>
          <w:tcPr>
            <w:tcW w:w="1740" w:type="dxa"/>
            <w:vAlign w:val="bottom"/>
          </w:tcPr>
          <w:p>
            <w:pPr>
              <w:jc w:val="right"/>
              <w:spacing w:after="0"/>
              <w:rPr>
                <w:sz w:val="20"/>
                <w:szCs w:val="20"/>
                <w:color w:val="auto"/>
              </w:rPr>
            </w:pPr>
            <w:r>
              <w:rPr>
                <w:rFonts w:ascii="Arial" w:cs="Arial" w:eastAsia="Arial" w:hAnsi="Arial"/>
                <w:sz w:val="21"/>
                <w:szCs w:val="21"/>
                <w:color w:val="auto"/>
              </w:rPr>
              <w:t>45</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gridSpan w:val="6"/>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3.08</w:t>
            </w:r>
          </w:p>
        </w:tc>
        <w:tc>
          <w:tcPr>
            <w:tcW w:w="2080" w:type="dxa"/>
            <w:vAlign w:val="bottom"/>
            <w:tcBorders>
              <w:bottom w:val="single" w:sz="8" w:color="auto"/>
            </w:tcBorders>
            <w:gridSpan w:val="15"/>
          </w:tcPr>
          <w:p>
            <w:pPr>
              <w:ind w:left="20"/>
              <w:spacing w:after="0"/>
              <w:rPr>
                <w:sz w:val="20"/>
                <w:szCs w:val="20"/>
                <w:color w:val="auto"/>
              </w:rPr>
            </w:pPr>
            <w:r>
              <w:rPr>
                <w:rFonts w:ascii="Arial" w:cs="Arial" w:eastAsia="Arial" w:hAnsi="Arial"/>
                <w:sz w:val="21"/>
                <w:szCs w:val="21"/>
                <w:color w:val="auto"/>
                <w:w w:val="91"/>
              </w:rPr>
              <w:t>Mandatory Redemption.</w:t>
            </w:r>
          </w:p>
        </w:tc>
        <w:tc>
          <w:tcPr>
            <w:tcW w:w="6100" w:type="dxa"/>
            <w:vAlign w:val="bottom"/>
            <w:gridSpan w:val="19"/>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45</w:t>
            </w:r>
          </w:p>
        </w:tc>
        <w:tc>
          <w:tcPr>
            <w:tcW w:w="0" w:type="dxa"/>
            <w:vAlign w:val="bottom"/>
          </w:tcPr>
          <w:p>
            <w:pPr>
              <w:spacing w:after="0"/>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3.09</w:t>
            </w:r>
          </w:p>
        </w:tc>
        <w:tc>
          <w:tcPr>
            <w:tcW w:w="4840" w:type="dxa"/>
            <w:vAlign w:val="bottom"/>
            <w:tcBorders>
              <w:bottom w:val="single" w:sz="8" w:color="auto"/>
            </w:tcBorders>
            <w:gridSpan w:val="29"/>
          </w:tcPr>
          <w:p>
            <w:pPr>
              <w:ind w:left="280"/>
              <w:spacing w:after="0"/>
              <w:rPr>
                <w:sz w:val="20"/>
                <w:szCs w:val="20"/>
                <w:color w:val="auto"/>
              </w:rPr>
            </w:pPr>
            <w:r>
              <w:rPr>
                <w:rFonts w:ascii="Arial" w:cs="Arial" w:eastAsia="Arial" w:hAnsi="Arial"/>
                <w:sz w:val="21"/>
                <w:szCs w:val="21"/>
                <w:color w:val="auto"/>
                <w:w w:val="97"/>
              </w:rPr>
              <w:t>Mandatory Disposition or Redemption Pursuant to</w:t>
            </w:r>
          </w:p>
        </w:tc>
        <w:tc>
          <w:tcPr>
            <w:tcW w:w="3340" w:type="dxa"/>
            <w:vAlign w:val="bottom"/>
            <w:gridSpan w:val="5"/>
          </w:tcPr>
          <w:p>
            <w:pPr>
              <w:spacing w:after="0"/>
              <w:rPr>
                <w:sz w:val="21"/>
                <w:szCs w:val="21"/>
                <w:color w:val="auto"/>
              </w:rPr>
            </w:pPr>
          </w:p>
        </w:tc>
        <w:tc>
          <w:tcPr>
            <w:tcW w:w="1740" w:type="dxa"/>
            <w:vAlign w:val="bottom"/>
            <w:vMerge w:val="restart"/>
          </w:tcPr>
          <w:p>
            <w:pPr>
              <w:jc w:val="right"/>
              <w:spacing w:after="0"/>
              <w:rPr>
                <w:sz w:val="20"/>
                <w:szCs w:val="20"/>
                <w:color w:val="auto"/>
              </w:rPr>
            </w:pPr>
            <w:r>
              <w:rPr>
                <w:rFonts w:ascii="Arial" w:cs="Arial" w:eastAsia="Arial" w:hAnsi="Arial"/>
                <w:sz w:val="21"/>
                <w:szCs w:val="21"/>
                <w:color w:val="auto"/>
              </w:rPr>
              <w:t>45</w:t>
            </w: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tcPr>
          <w:p>
            <w:pPr>
              <w:spacing w:after="0" w:line="191" w:lineRule="exact"/>
              <w:rPr>
                <w:sz w:val="20"/>
                <w:szCs w:val="20"/>
                <w:color w:val="auto"/>
              </w:rPr>
            </w:pPr>
            <w:r>
              <w:rPr>
                <w:rFonts w:ascii="Arial" w:cs="Arial" w:eastAsia="Arial" w:hAnsi="Arial"/>
                <w:sz w:val="21"/>
                <w:szCs w:val="21"/>
                <w:color w:val="auto"/>
                <w:w w:val="90"/>
              </w:rPr>
              <w:t>Gaming Laws.</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7"/>
            <w:vMerge w:val="restart"/>
          </w:tcPr>
          <w:p>
            <w:pPr>
              <w:jc w:val="center"/>
              <w:ind w:right="3340"/>
              <w:spacing w:after="0"/>
              <w:rPr>
                <w:sz w:val="20"/>
                <w:szCs w:val="20"/>
                <w:color w:val="auto"/>
              </w:rPr>
            </w:pPr>
            <w:r>
              <w:rPr>
                <w:rFonts w:ascii="Arial" w:cs="Arial" w:eastAsia="Arial" w:hAnsi="Arial"/>
                <w:sz w:val="21"/>
                <w:szCs w:val="21"/>
                <w:color w:val="auto"/>
                <w:w w:val="96"/>
              </w:rPr>
              <w:t>ARTICLE 4.</w:t>
            </w: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7"/>
            <w:vMerge w:val="continue"/>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spacing w:after="0"/>
              <w:rPr>
                <w:sz w:val="16"/>
                <w:szCs w:val="16"/>
                <w:color w:val="auto"/>
              </w:rPr>
            </w:pPr>
          </w:p>
        </w:tc>
        <w:tc>
          <w:tcPr>
            <w:tcW w:w="1080" w:type="dxa"/>
            <w:vAlign w:val="bottom"/>
            <w:tcBorders>
              <w:top w:val="single" w:sz="8" w:color="auto"/>
              <w:bottom w:val="single" w:sz="8" w:color="auto"/>
            </w:tcBorders>
            <w:gridSpan w:val="2"/>
          </w:tcPr>
          <w:p>
            <w:pPr>
              <w:jc w:val="center"/>
              <w:spacing w:after="0" w:line="191" w:lineRule="exact"/>
              <w:rPr>
                <w:sz w:val="20"/>
                <w:szCs w:val="20"/>
                <w:color w:val="auto"/>
              </w:rPr>
            </w:pPr>
            <w:r>
              <w:rPr>
                <w:rFonts w:ascii="Arial" w:cs="Arial" w:eastAsia="Arial" w:hAnsi="Arial"/>
                <w:sz w:val="21"/>
                <w:szCs w:val="21"/>
                <w:color w:val="auto"/>
                <w:w w:val="82"/>
              </w:rPr>
              <w:t>COVENANTS</w:t>
            </w:r>
          </w:p>
        </w:tc>
        <w:tc>
          <w:tcPr>
            <w:tcW w:w="100" w:type="dxa"/>
            <w:vAlign w:val="bottom"/>
            <w:tcBorders>
              <w:bottom w:val="single" w:sz="8" w:color="auto"/>
            </w:tcBorders>
            <w:gridSpan w:val="2"/>
          </w:tcPr>
          <w:p>
            <w:pPr>
              <w:spacing w:after="0"/>
              <w:rPr>
                <w:sz w:val="16"/>
                <w:szCs w:val="16"/>
                <w:color w:val="auto"/>
              </w:rPr>
            </w:pPr>
          </w:p>
        </w:tc>
        <w:tc>
          <w:tcPr>
            <w:tcW w:w="3240" w:type="dxa"/>
            <w:vAlign w:val="bottom"/>
            <w:gridSpan w:val="3"/>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4.01</w:t>
            </w:r>
          </w:p>
        </w:tc>
        <w:tc>
          <w:tcPr>
            <w:tcW w:w="1600" w:type="dxa"/>
            <w:vAlign w:val="bottom"/>
            <w:tcBorders>
              <w:bottom w:val="single" w:sz="8" w:color="auto"/>
            </w:tcBorders>
            <w:gridSpan w:val="7"/>
          </w:tcPr>
          <w:p>
            <w:pPr>
              <w:ind w:left="20"/>
              <w:spacing w:after="0"/>
              <w:rPr>
                <w:sz w:val="20"/>
                <w:szCs w:val="20"/>
                <w:color w:val="auto"/>
              </w:rPr>
            </w:pPr>
            <w:r>
              <w:rPr>
                <w:rFonts w:ascii="Arial" w:cs="Arial" w:eastAsia="Arial" w:hAnsi="Arial"/>
                <w:sz w:val="21"/>
                <w:szCs w:val="21"/>
                <w:color w:val="auto"/>
                <w:w w:val="89"/>
              </w:rPr>
              <w:t>Payment of Notes.</w:t>
            </w:r>
          </w:p>
        </w:tc>
        <w:tc>
          <w:tcPr>
            <w:tcW w:w="6580" w:type="dxa"/>
            <w:vAlign w:val="bottom"/>
            <w:gridSpan w:val="27"/>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47</w:t>
            </w:r>
          </w:p>
        </w:tc>
        <w:tc>
          <w:tcPr>
            <w:tcW w:w="0" w:type="dxa"/>
            <w:vAlign w:val="bottom"/>
          </w:tcPr>
          <w:p>
            <w:pPr>
              <w:spacing w:after="0"/>
              <w:rPr>
                <w:sz w:val="1"/>
                <w:szCs w:val="1"/>
                <w:color w:val="auto"/>
              </w:rPr>
            </w:pP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Section 4.02</w:t>
            </w:r>
          </w:p>
        </w:tc>
        <w:tc>
          <w:tcPr>
            <w:tcW w:w="2900" w:type="dxa"/>
            <w:vAlign w:val="bottom"/>
            <w:tcBorders>
              <w:bottom w:val="single" w:sz="8" w:color="auto"/>
            </w:tcBorders>
            <w:gridSpan w:val="21"/>
          </w:tcPr>
          <w:p>
            <w:pPr>
              <w:ind w:left="20"/>
              <w:spacing w:after="0"/>
              <w:rPr>
                <w:sz w:val="20"/>
                <w:szCs w:val="20"/>
                <w:color w:val="auto"/>
              </w:rPr>
            </w:pPr>
            <w:r>
              <w:rPr>
                <w:rFonts w:ascii="Arial" w:cs="Arial" w:eastAsia="Arial" w:hAnsi="Arial"/>
                <w:sz w:val="21"/>
                <w:szCs w:val="21"/>
                <w:color w:val="auto"/>
                <w:w w:val="92"/>
              </w:rPr>
              <w:t>Maintenance of Office or Agency.</w:t>
            </w:r>
          </w:p>
        </w:tc>
        <w:tc>
          <w:tcPr>
            <w:tcW w:w="5280" w:type="dxa"/>
            <w:vAlign w:val="bottom"/>
            <w:gridSpan w:val="13"/>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1"/>
                <w:szCs w:val="21"/>
                <w:color w:val="auto"/>
              </w:rPr>
              <w:t>47</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1"/>
                <w:szCs w:val="21"/>
                <w:color w:val="auto"/>
              </w:rPr>
              <w:t>Section 4.03</w:t>
            </w:r>
          </w:p>
        </w:tc>
        <w:tc>
          <w:tcPr>
            <w:tcW w:w="8180" w:type="dxa"/>
            <w:vAlign w:val="bottom"/>
            <w:gridSpan w:val="34"/>
          </w:tcPr>
          <w:p>
            <w:pPr>
              <w:ind w:left="20"/>
              <w:spacing w:after="0"/>
              <w:rPr>
                <w:sz w:val="20"/>
                <w:szCs w:val="20"/>
                <w:color w:val="auto"/>
              </w:rPr>
            </w:pPr>
            <w:r>
              <w:rPr>
                <w:rFonts w:ascii="Arial" w:cs="Arial" w:eastAsia="Arial" w:hAnsi="Arial"/>
                <w:sz w:val="21"/>
                <w:szCs w:val="21"/>
                <w:color w:val="auto"/>
              </w:rPr>
              <w:t>Reports.</w:t>
            </w:r>
          </w:p>
        </w:tc>
        <w:tc>
          <w:tcPr>
            <w:tcW w:w="1740" w:type="dxa"/>
            <w:vAlign w:val="bottom"/>
          </w:tcPr>
          <w:p>
            <w:pPr>
              <w:jc w:val="right"/>
              <w:spacing w:after="0"/>
              <w:rPr>
                <w:sz w:val="20"/>
                <w:szCs w:val="20"/>
                <w:color w:val="auto"/>
              </w:rPr>
            </w:pPr>
            <w:r>
              <w:rPr>
                <w:rFonts w:ascii="Arial" w:cs="Arial" w:eastAsia="Arial" w:hAnsi="Arial"/>
                <w:sz w:val="21"/>
                <w:szCs w:val="21"/>
                <w:color w:val="auto"/>
              </w:rPr>
              <w:t>47</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160"/>
          </w:cols>
          <w:pgMar w:left="400" w:top="136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Arial" w:cs="Arial" w:eastAsia="Arial" w:hAnsi="Arial"/>
                <w:sz w:val="21"/>
                <w:szCs w:val="21"/>
                <w:color w:val="auto"/>
                <w:w w:val="95"/>
              </w:rPr>
              <w:t>Section 4.04</w:t>
            </w:r>
          </w:p>
        </w:tc>
        <w:tc>
          <w:tcPr>
            <w:tcW w:w="7740" w:type="dxa"/>
            <w:vAlign w:val="bottom"/>
            <w:gridSpan w:val="38"/>
          </w:tcPr>
          <w:p>
            <w:pPr>
              <w:ind w:left="120"/>
              <w:spacing w:after="0"/>
              <w:rPr>
                <w:sz w:val="20"/>
                <w:szCs w:val="20"/>
                <w:color w:val="auto"/>
              </w:rPr>
            </w:pPr>
            <w:r>
              <w:rPr>
                <w:rFonts w:ascii="Arial" w:cs="Arial" w:eastAsia="Arial" w:hAnsi="Arial"/>
                <w:sz w:val="21"/>
                <w:szCs w:val="21"/>
                <w:color w:val="auto"/>
              </w:rPr>
              <w:t>Compliance Certificate.</w:t>
            </w:r>
          </w:p>
        </w:tc>
        <w:tc>
          <w:tcPr>
            <w:tcW w:w="2220" w:type="dxa"/>
            <w:vAlign w:val="bottom"/>
          </w:tcPr>
          <w:p>
            <w:pPr>
              <w:jc w:val="right"/>
              <w:spacing w:after="0"/>
              <w:rPr>
                <w:sz w:val="20"/>
                <w:szCs w:val="20"/>
                <w:color w:val="auto"/>
              </w:rPr>
            </w:pPr>
            <w:r>
              <w:rPr>
                <w:rFonts w:ascii="Arial" w:cs="Arial" w:eastAsia="Arial" w:hAnsi="Arial"/>
                <w:sz w:val="21"/>
                <w:szCs w:val="21"/>
                <w:color w:val="auto"/>
              </w:rPr>
              <w:t>49</w:t>
            </w:r>
          </w:p>
        </w:tc>
        <w:tc>
          <w:tcPr>
            <w:tcW w:w="0" w:type="dxa"/>
            <w:vAlign w:val="bottom"/>
          </w:tcPr>
          <w:p>
            <w:pPr>
              <w:spacing w:after="0"/>
              <w:rPr>
                <w:sz w:val="1"/>
                <w:szCs w:val="1"/>
                <w:color w:val="auto"/>
              </w:rPr>
            </w:pPr>
          </w:p>
        </w:tc>
      </w:tr>
      <w:tr>
        <w:trPr>
          <w:trHeight w:val="243"/>
        </w:trPr>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color w:val="auto"/>
                <w:w w:val="95"/>
              </w:rPr>
              <w:t>Section 4.05</w:t>
            </w:r>
          </w:p>
        </w:tc>
        <w:tc>
          <w:tcPr>
            <w:tcW w:w="6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21"/>
                <w:szCs w:val="21"/>
                <w:color w:val="auto"/>
                <w:w w:val="82"/>
              </w:rPr>
              <w:t>Taxes.</w:t>
            </w:r>
          </w:p>
        </w:tc>
        <w:tc>
          <w:tcPr>
            <w:tcW w:w="1460" w:type="dxa"/>
            <w:vAlign w:val="bottom"/>
            <w:tcBorders>
              <w:top w:val="single" w:sz="8" w:color="auto"/>
            </w:tcBorders>
            <w:gridSpan w:val="12"/>
          </w:tcPr>
          <w:p>
            <w:pPr>
              <w:spacing w:after="0"/>
              <w:rPr>
                <w:sz w:val="21"/>
                <w:szCs w:val="21"/>
                <w:color w:val="auto"/>
              </w:rPr>
            </w:pPr>
          </w:p>
        </w:tc>
        <w:tc>
          <w:tcPr>
            <w:tcW w:w="5620" w:type="dxa"/>
            <w:vAlign w:val="bottom"/>
            <w:gridSpan w:val="25"/>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50</w:t>
            </w:r>
          </w:p>
        </w:tc>
        <w:tc>
          <w:tcPr>
            <w:tcW w:w="0" w:type="dxa"/>
            <w:vAlign w:val="bottom"/>
          </w:tcPr>
          <w:p>
            <w:pPr>
              <w:spacing w:after="0"/>
              <w:rPr>
                <w:sz w:val="1"/>
                <w:szCs w:val="1"/>
                <w:color w:val="auto"/>
              </w:rPr>
            </w:pPr>
          </w:p>
        </w:tc>
      </w:tr>
      <w:tr>
        <w:trPr>
          <w:trHeight w:val="243"/>
        </w:trPr>
        <w:tc>
          <w:tcPr>
            <w:tcW w:w="8880" w:type="dxa"/>
            <w:vAlign w:val="bottom"/>
            <w:gridSpan w:val="39"/>
          </w:tcPr>
          <w:p>
            <w:pPr>
              <w:spacing w:after="0"/>
              <w:rPr>
                <w:sz w:val="20"/>
                <w:szCs w:val="20"/>
                <w:color w:val="auto"/>
              </w:rPr>
            </w:pPr>
            <w:r>
              <w:rPr>
                <w:rFonts w:ascii="Arial" w:cs="Arial" w:eastAsia="Arial" w:hAnsi="Arial"/>
                <w:sz w:val="21"/>
                <w:szCs w:val="21"/>
                <w:color w:val="auto"/>
              </w:rPr>
              <w:t>Section 4.06  Stay, Extension and Usury Laws.</w:t>
            </w:r>
          </w:p>
        </w:tc>
        <w:tc>
          <w:tcPr>
            <w:tcW w:w="2220" w:type="dxa"/>
            <w:vAlign w:val="bottom"/>
          </w:tcPr>
          <w:p>
            <w:pPr>
              <w:jc w:val="right"/>
              <w:spacing w:after="0"/>
              <w:rPr>
                <w:sz w:val="20"/>
                <w:szCs w:val="20"/>
                <w:color w:val="auto"/>
              </w:rPr>
            </w:pPr>
            <w:r>
              <w:rPr>
                <w:rFonts w:ascii="Arial" w:cs="Arial" w:eastAsia="Arial" w:hAnsi="Arial"/>
                <w:sz w:val="21"/>
                <w:szCs w:val="21"/>
                <w:color w:val="auto"/>
              </w:rPr>
              <w:t>50</w:t>
            </w:r>
          </w:p>
        </w:tc>
        <w:tc>
          <w:tcPr>
            <w:tcW w:w="0" w:type="dxa"/>
            <w:vAlign w:val="bottom"/>
          </w:tcPr>
          <w:p>
            <w:pPr>
              <w:spacing w:after="0"/>
              <w:rPr>
                <w:sz w:val="1"/>
                <w:szCs w:val="1"/>
                <w:color w:val="auto"/>
              </w:rPr>
            </w:pPr>
          </w:p>
        </w:tc>
      </w:tr>
      <w:tr>
        <w:trPr>
          <w:trHeight w:val="20"/>
        </w:trPr>
        <w:tc>
          <w:tcPr>
            <w:tcW w:w="208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tcBorders>
              <w:bottom w:val="single" w:sz="8" w:color="auto"/>
            </w:tcBorders>
            <w:gridSpan w:val="27"/>
          </w:tcPr>
          <w:p>
            <w:pPr>
              <w:spacing w:after="0"/>
              <w:rPr>
                <w:sz w:val="20"/>
                <w:szCs w:val="20"/>
                <w:color w:val="auto"/>
              </w:rPr>
            </w:pPr>
            <w:r>
              <w:rPr>
                <w:rFonts w:ascii="Arial" w:cs="Arial" w:eastAsia="Arial" w:hAnsi="Arial"/>
                <w:sz w:val="21"/>
                <w:szCs w:val="21"/>
                <w:color w:val="auto"/>
                <w:w w:val="92"/>
              </w:rPr>
              <w:t>Section 4.07  Limitation on Liens Securing Indebtedness</w:t>
            </w:r>
          </w:p>
        </w:tc>
        <w:tc>
          <w:tcPr>
            <w:tcW w:w="4000" w:type="dxa"/>
            <w:vAlign w:val="bottom"/>
            <w:gridSpan w:val="12"/>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50</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auto"/>
            </w:tcBorders>
            <w:gridSpan w:val="31"/>
          </w:tcPr>
          <w:p>
            <w:pPr>
              <w:spacing w:after="0"/>
              <w:rPr>
                <w:sz w:val="20"/>
                <w:szCs w:val="20"/>
                <w:color w:val="auto"/>
              </w:rPr>
            </w:pPr>
            <w:r>
              <w:rPr>
                <w:rFonts w:ascii="Arial" w:cs="Arial" w:eastAsia="Arial" w:hAnsi="Arial"/>
                <w:sz w:val="21"/>
                <w:szCs w:val="21"/>
                <w:color w:val="auto"/>
                <w:w w:val="91"/>
              </w:rPr>
              <w:t>Section 4.08  Limitation on Sale and Leaseback Transactions.</w:t>
            </w:r>
          </w:p>
        </w:tc>
        <w:tc>
          <w:tcPr>
            <w:tcW w:w="3580" w:type="dxa"/>
            <w:vAlign w:val="bottom"/>
            <w:gridSpan w:val="8"/>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52</w:t>
            </w:r>
          </w:p>
        </w:tc>
        <w:tc>
          <w:tcPr>
            <w:tcW w:w="0" w:type="dxa"/>
            <w:vAlign w:val="bottom"/>
          </w:tcPr>
          <w:p>
            <w:pPr>
              <w:spacing w:after="0"/>
              <w:rPr>
                <w:sz w:val="1"/>
                <w:szCs w:val="1"/>
                <w:color w:val="auto"/>
              </w:rPr>
            </w:pPr>
          </w:p>
        </w:tc>
      </w:tr>
      <w:tr>
        <w:trPr>
          <w:trHeight w:val="243"/>
        </w:trPr>
        <w:tc>
          <w:tcPr>
            <w:tcW w:w="5880" w:type="dxa"/>
            <w:vAlign w:val="bottom"/>
            <w:tcBorders>
              <w:bottom w:val="single" w:sz="8" w:color="auto"/>
            </w:tcBorders>
            <w:gridSpan w:val="33"/>
          </w:tcPr>
          <w:p>
            <w:pPr>
              <w:spacing w:after="0"/>
              <w:rPr>
                <w:sz w:val="20"/>
                <w:szCs w:val="20"/>
                <w:color w:val="auto"/>
              </w:rPr>
            </w:pPr>
            <w:r>
              <w:rPr>
                <w:rFonts w:ascii="Arial" w:cs="Arial" w:eastAsia="Arial" w:hAnsi="Arial"/>
                <w:sz w:val="21"/>
                <w:szCs w:val="21"/>
                <w:color w:val="auto"/>
                <w:w w:val="90"/>
              </w:rPr>
              <w:t>Section 4.09  Exempted Liens and Sale and Leaseback Transactions.</w:t>
            </w:r>
          </w:p>
        </w:tc>
        <w:tc>
          <w:tcPr>
            <w:tcW w:w="3000" w:type="dxa"/>
            <w:vAlign w:val="bottom"/>
            <w:gridSpan w:val="6"/>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52</w:t>
            </w:r>
          </w:p>
        </w:tc>
        <w:tc>
          <w:tcPr>
            <w:tcW w:w="0" w:type="dxa"/>
            <w:vAlign w:val="bottom"/>
          </w:tcPr>
          <w:p>
            <w:pPr>
              <w:spacing w:after="0"/>
              <w:rPr>
                <w:sz w:val="1"/>
                <w:szCs w:val="1"/>
                <w:color w:val="auto"/>
              </w:rPr>
            </w:pPr>
          </w:p>
        </w:tc>
      </w:tr>
      <w:tr>
        <w:trPr>
          <w:trHeight w:val="243"/>
        </w:trPr>
        <w:tc>
          <w:tcPr>
            <w:tcW w:w="4680" w:type="dxa"/>
            <w:vAlign w:val="bottom"/>
            <w:tcBorders>
              <w:bottom w:val="single" w:sz="8" w:color="auto"/>
            </w:tcBorders>
            <w:gridSpan w:val="25"/>
          </w:tcPr>
          <w:p>
            <w:pPr>
              <w:spacing w:after="0"/>
              <w:rPr>
                <w:sz w:val="20"/>
                <w:szCs w:val="20"/>
                <w:color w:val="auto"/>
              </w:rPr>
            </w:pPr>
            <w:r>
              <w:rPr>
                <w:rFonts w:ascii="Arial" w:cs="Arial" w:eastAsia="Arial" w:hAnsi="Arial"/>
                <w:sz w:val="21"/>
                <w:szCs w:val="21"/>
                <w:color w:val="auto"/>
                <w:w w:val="91"/>
              </w:rPr>
              <w:t>Section 4.10  Corporate and Organizational Existence.</w:t>
            </w:r>
          </w:p>
        </w:tc>
        <w:tc>
          <w:tcPr>
            <w:tcW w:w="4200" w:type="dxa"/>
            <w:vAlign w:val="bottom"/>
            <w:gridSpan w:val="14"/>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52</w:t>
            </w:r>
          </w:p>
        </w:tc>
        <w:tc>
          <w:tcPr>
            <w:tcW w:w="0" w:type="dxa"/>
            <w:vAlign w:val="bottom"/>
          </w:tcPr>
          <w:p>
            <w:pPr>
              <w:spacing w:after="0"/>
              <w:rPr>
                <w:sz w:val="1"/>
                <w:szCs w:val="1"/>
                <w:color w:val="auto"/>
              </w:rPr>
            </w:pPr>
          </w:p>
        </w:tc>
      </w:tr>
      <w:tr>
        <w:trPr>
          <w:trHeight w:val="243"/>
        </w:trPr>
        <w:tc>
          <w:tcPr>
            <w:tcW w:w="8880" w:type="dxa"/>
            <w:vAlign w:val="bottom"/>
            <w:gridSpan w:val="39"/>
          </w:tcPr>
          <w:p>
            <w:pPr>
              <w:spacing w:after="0"/>
              <w:rPr>
                <w:sz w:val="20"/>
                <w:szCs w:val="20"/>
                <w:color w:val="auto"/>
              </w:rPr>
            </w:pPr>
            <w:r>
              <w:rPr>
                <w:rFonts w:ascii="Arial" w:cs="Arial" w:eastAsia="Arial" w:hAnsi="Arial"/>
                <w:sz w:val="21"/>
                <w:szCs w:val="21"/>
                <w:color w:val="auto"/>
              </w:rPr>
              <w:t>Section 4.11  Offer to Purchase Upon Change of Control.</w:t>
            </w:r>
          </w:p>
        </w:tc>
        <w:tc>
          <w:tcPr>
            <w:tcW w:w="2220" w:type="dxa"/>
            <w:vAlign w:val="bottom"/>
          </w:tcPr>
          <w:p>
            <w:pPr>
              <w:jc w:val="right"/>
              <w:spacing w:after="0"/>
              <w:rPr>
                <w:sz w:val="20"/>
                <w:szCs w:val="20"/>
                <w:color w:val="auto"/>
              </w:rPr>
            </w:pPr>
            <w:r>
              <w:rPr>
                <w:rFonts w:ascii="Arial" w:cs="Arial" w:eastAsia="Arial" w:hAnsi="Arial"/>
                <w:sz w:val="21"/>
                <w:szCs w:val="21"/>
                <w:color w:val="auto"/>
              </w:rPr>
              <w:t>53</w:t>
            </w:r>
          </w:p>
        </w:tc>
        <w:tc>
          <w:tcPr>
            <w:tcW w:w="0" w:type="dxa"/>
            <w:vAlign w:val="bottom"/>
          </w:tcPr>
          <w:p>
            <w:pPr>
              <w:spacing w:after="0"/>
              <w:rPr>
                <w:sz w:val="1"/>
                <w:szCs w:val="1"/>
                <w:color w:val="auto"/>
              </w:rPr>
            </w:pPr>
          </w:p>
        </w:tc>
      </w:tr>
      <w:tr>
        <w:trPr>
          <w:trHeight w:val="243"/>
        </w:trPr>
        <w:tc>
          <w:tcPr>
            <w:tcW w:w="1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80" w:type="dxa"/>
            <w:vAlign w:val="bottom"/>
            <w:gridSpan w:val="10"/>
          </w:tcPr>
          <w:p>
            <w:pPr>
              <w:jc w:val="center"/>
              <w:ind w:right="2800"/>
              <w:spacing w:after="0"/>
              <w:rPr>
                <w:sz w:val="20"/>
                <w:szCs w:val="20"/>
                <w:color w:val="auto"/>
              </w:rPr>
            </w:pPr>
            <w:r>
              <w:rPr>
                <w:rFonts w:ascii="Arial" w:cs="Arial" w:eastAsia="Arial" w:hAnsi="Arial"/>
                <w:sz w:val="21"/>
                <w:szCs w:val="21"/>
                <w:color w:val="auto"/>
                <w:w w:val="96"/>
              </w:rPr>
              <w:t>ARTICLE 5.</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gridSpan w:val="2"/>
          </w:tcPr>
          <w:p>
            <w:pPr>
              <w:spacing w:after="0"/>
              <w:rPr>
                <w:sz w:val="16"/>
                <w:szCs w:val="16"/>
                <w:color w:val="auto"/>
              </w:rPr>
            </w:pPr>
          </w:p>
        </w:tc>
        <w:tc>
          <w:tcPr>
            <w:tcW w:w="1100" w:type="dxa"/>
            <w:vAlign w:val="bottom"/>
            <w:tcBorders>
              <w:top w:val="single" w:sz="8" w:color="auto"/>
              <w:bottom w:val="single" w:sz="8" w:color="auto"/>
            </w:tcBorders>
            <w:gridSpan w:val="7"/>
          </w:tcPr>
          <w:p>
            <w:pPr>
              <w:jc w:val="center"/>
              <w:ind w:right="20"/>
              <w:spacing w:after="0" w:line="191" w:lineRule="exact"/>
              <w:rPr>
                <w:sz w:val="20"/>
                <w:szCs w:val="20"/>
                <w:color w:val="auto"/>
              </w:rPr>
            </w:pPr>
            <w:r>
              <w:rPr>
                <w:rFonts w:ascii="Arial" w:cs="Arial" w:eastAsia="Arial" w:hAnsi="Arial"/>
                <w:sz w:val="21"/>
                <w:szCs w:val="21"/>
                <w:color w:val="auto"/>
                <w:w w:val="73"/>
              </w:rPr>
              <w:t>SUCCESSORS</w:t>
            </w:r>
          </w:p>
        </w:tc>
        <w:tc>
          <w:tcPr>
            <w:tcW w:w="10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880" w:type="dxa"/>
            <w:vAlign w:val="bottom"/>
            <w:gridSpan w:val="39"/>
          </w:tcPr>
          <w:p>
            <w:pPr>
              <w:spacing w:after="0"/>
              <w:rPr>
                <w:sz w:val="20"/>
                <w:szCs w:val="20"/>
                <w:color w:val="auto"/>
              </w:rPr>
            </w:pPr>
            <w:r>
              <w:rPr>
                <w:rFonts w:ascii="Arial" w:cs="Arial" w:eastAsia="Arial" w:hAnsi="Arial"/>
                <w:sz w:val="21"/>
                <w:szCs w:val="21"/>
                <w:color w:val="auto"/>
              </w:rPr>
              <w:t>Section 5.01  Merger, Consolidation, or Sale of Assets.</w:t>
            </w:r>
          </w:p>
        </w:tc>
        <w:tc>
          <w:tcPr>
            <w:tcW w:w="2220" w:type="dxa"/>
            <w:vAlign w:val="bottom"/>
          </w:tcPr>
          <w:p>
            <w:pPr>
              <w:jc w:val="right"/>
              <w:spacing w:after="0"/>
              <w:rPr>
                <w:sz w:val="20"/>
                <w:szCs w:val="20"/>
                <w:color w:val="auto"/>
              </w:rPr>
            </w:pPr>
            <w:r>
              <w:rPr>
                <w:rFonts w:ascii="Arial" w:cs="Arial" w:eastAsia="Arial" w:hAnsi="Arial"/>
                <w:sz w:val="21"/>
                <w:szCs w:val="21"/>
                <w:color w:val="auto"/>
              </w:rPr>
              <w:t>55</w:t>
            </w:r>
          </w:p>
        </w:tc>
        <w:tc>
          <w:tcPr>
            <w:tcW w:w="0" w:type="dxa"/>
            <w:vAlign w:val="bottom"/>
          </w:tcPr>
          <w:p>
            <w:pPr>
              <w:spacing w:after="0"/>
              <w:rPr>
                <w:sz w:val="1"/>
                <w:szCs w:val="1"/>
                <w:color w:val="auto"/>
              </w:rPr>
            </w:pPr>
          </w:p>
        </w:tc>
      </w:tr>
      <w:tr>
        <w:trPr>
          <w:trHeight w:val="243"/>
        </w:trPr>
        <w:tc>
          <w:tcPr>
            <w:tcW w:w="4240" w:type="dxa"/>
            <w:vAlign w:val="bottom"/>
            <w:tcBorders>
              <w:top w:val="single" w:sz="8" w:color="auto"/>
              <w:bottom w:val="single" w:sz="8" w:color="auto"/>
            </w:tcBorders>
            <w:gridSpan w:val="24"/>
          </w:tcPr>
          <w:p>
            <w:pPr>
              <w:spacing w:after="0"/>
              <w:rPr>
                <w:sz w:val="20"/>
                <w:szCs w:val="20"/>
                <w:color w:val="auto"/>
              </w:rPr>
            </w:pPr>
            <w:r>
              <w:rPr>
                <w:rFonts w:ascii="Arial" w:cs="Arial" w:eastAsia="Arial" w:hAnsi="Arial"/>
                <w:sz w:val="21"/>
                <w:szCs w:val="21"/>
                <w:color w:val="auto"/>
                <w:w w:val="91"/>
              </w:rPr>
              <w:t>Section 5.02  Successor Corporation Substituted.</w:t>
            </w:r>
          </w:p>
        </w:tc>
        <w:tc>
          <w:tcPr>
            <w:tcW w:w="480" w:type="dxa"/>
            <w:vAlign w:val="bottom"/>
            <w:tcBorders>
              <w:top w:val="single" w:sz="8" w:color="auto"/>
            </w:tcBorders>
            <w:gridSpan w:val="2"/>
          </w:tcPr>
          <w:p>
            <w:pPr>
              <w:spacing w:after="0"/>
              <w:rPr>
                <w:sz w:val="21"/>
                <w:szCs w:val="21"/>
                <w:color w:val="auto"/>
              </w:rPr>
            </w:pPr>
          </w:p>
        </w:tc>
        <w:tc>
          <w:tcPr>
            <w:tcW w:w="4160" w:type="dxa"/>
            <w:vAlign w:val="bottom"/>
            <w:gridSpan w:val="13"/>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55</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7"/>
            <w:vMerge w:val="restart"/>
          </w:tcPr>
          <w:p>
            <w:pPr>
              <w:ind w:left="80"/>
              <w:spacing w:after="0"/>
              <w:rPr>
                <w:sz w:val="20"/>
                <w:szCs w:val="20"/>
                <w:color w:val="auto"/>
              </w:rPr>
            </w:pPr>
            <w:r>
              <w:rPr>
                <w:rFonts w:ascii="Arial" w:cs="Arial" w:eastAsia="Arial" w:hAnsi="Arial"/>
                <w:sz w:val="20"/>
                <w:szCs w:val="20"/>
                <w:color w:val="auto"/>
                <w:w w:val="72"/>
              </w:rPr>
              <w:t>DEFAULTS</w:t>
            </w:r>
          </w:p>
        </w:tc>
        <w:tc>
          <w:tcPr>
            <w:tcW w:w="11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21"/>
                <w:szCs w:val="21"/>
                <w:color w:val="auto"/>
                <w:w w:val="96"/>
              </w:rPr>
              <w:t>ARTICLE 6.</w:t>
            </w:r>
          </w:p>
        </w:tc>
        <w:tc>
          <w:tcPr>
            <w:tcW w:w="2780" w:type="dxa"/>
            <w:vAlign w:val="bottom"/>
            <w:gridSpan w:val="3"/>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7"/>
            <w:vMerge w:val="continue"/>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gridSpan w:val="9"/>
          </w:tcPr>
          <w:p>
            <w:pPr>
              <w:ind w:left="240"/>
              <w:spacing w:after="0" w:line="191" w:lineRule="exact"/>
              <w:rPr>
                <w:sz w:val="20"/>
                <w:szCs w:val="20"/>
                <w:color w:val="auto"/>
              </w:rPr>
            </w:pPr>
            <w:r>
              <w:rPr>
                <w:rFonts w:ascii="Arial" w:cs="Arial" w:eastAsia="Arial" w:hAnsi="Arial"/>
                <w:sz w:val="21"/>
                <w:szCs w:val="21"/>
                <w:color w:val="auto"/>
              </w:rPr>
              <w:t>AND REMEDIES</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0" w:type="dxa"/>
            <w:vAlign w:val="bottom"/>
            <w:tcBorders>
              <w:bottom w:val="single" w:sz="8" w:color="auto"/>
            </w:tcBorders>
            <w:gridSpan w:val="8"/>
          </w:tcPr>
          <w:p>
            <w:pPr>
              <w:spacing w:after="0"/>
              <w:rPr>
                <w:sz w:val="20"/>
                <w:szCs w:val="20"/>
                <w:color w:val="auto"/>
              </w:rPr>
            </w:pPr>
            <w:r>
              <w:rPr>
                <w:rFonts w:ascii="Arial" w:cs="Arial" w:eastAsia="Arial" w:hAnsi="Arial"/>
                <w:sz w:val="21"/>
                <w:szCs w:val="21"/>
                <w:color w:val="auto"/>
                <w:w w:val="94"/>
              </w:rPr>
              <w:t>Section 6.01  Events of Default.</w:t>
            </w:r>
          </w:p>
        </w:tc>
        <w:tc>
          <w:tcPr>
            <w:tcW w:w="1420" w:type="dxa"/>
            <w:vAlign w:val="bottom"/>
            <w:gridSpan w:val="15"/>
          </w:tcPr>
          <w:p>
            <w:pPr>
              <w:spacing w:after="0"/>
              <w:rPr>
                <w:sz w:val="21"/>
                <w:szCs w:val="21"/>
                <w:color w:val="auto"/>
              </w:rPr>
            </w:pPr>
          </w:p>
        </w:tc>
        <w:tc>
          <w:tcPr>
            <w:tcW w:w="2660" w:type="dxa"/>
            <w:vAlign w:val="bottom"/>
            <w:tcBorders>
              <w:top w:val="single" w:sz="8" w:color="auto"/>
            </w:tcBorders>
            <w:gridSpan w:val="15"/>
          </w:tcPr>
          <w:p>
            <w:pPr>
              <w:spacing w:after="0"/>
              <w:rPr>
                <w:sz w:val="21"/>
                <w:szCs w:val="21"/>
                <w:color w:val="auto"/>
              </w:rPr>
            </w:pPr>
          </w:p>
        </w:tc>
        <w:tc>
          <w:tcPr>
            <w:tcW w:w="20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56</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5"/>
              </w:rPr>
              <w:t>Section 6.02</w:t>
            </w: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w w:val="92"/>
              </w:rPr>
              <w:t>Acceleration.</w:t>
            </w:r>
          </w:p>
        </w:tc>
        <w:tc>
          <w:tcPr>
            <w:tcW w:w="6500" w:type="dxa"/>
            <w:vAlign w:val="bottom"/>
            <w:gridSpan w:val="35"/>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57</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Arial" w:cs="Arial" w:eastAsia="Arial" w:hAnsi="Arial"/>
                <w:sz w:val="21"/>
                <w:szCs w:val="21"/>
                <w:color w:val="auto"/>
                <w:w w:val="95"/>
              </w:rPr>
              <w:t>Section 6.03</w:t>
            </w:r>
          </w:p>
        </w:tc>
        <w:tc>
          <w:tcPr>
            <w:tcW w:w="7740" w:type="dxa"/>
            <w:vAlign w:val="bottom"/>
            <w:gridSpan w:val="38"/>
          </w:tcPr>
          <w:p>
            <w:pPr>
              <w:ind w:left="120"/>
              <w:spacing w:after="0"/>
              <w:rPr>
                <w:sz w:val="20"/>
                <w:szCs w:val="20"/>
                <w:color w:val="auto"/>
              </w:rPr>
            </w:pPr>
            <w:r>
              <w:rPr>
                <w:rFonts w:ascii="Arial" w:cs="Arial" w:eastAsia="Arial" w:hAnsi="Arial"/>
                <w:sz w:val="21"/>
                <w:szCs w:val="21"/>
                <w:color w:val="auto"/>
              </w:rPr>
              <w:t>Other Remedies.</w:t>
            </w:r>
          </w:p>
        </w:tc>
        <w:tc>
          <w:tcPr>
            <w:tcW w:w="2220" w:type="dxa"/>
            <w:vAlign w:val="bottom"/>
          </w:tcPr>
          <w:p>
            <w:pPr>
              <w:jc w:val="right"/>
              <w:spacing w:after="0"/>
              <w:rPr>
                <w:sz w:val="20"/>
                <w:szCs w:val="20"/>
                <w:color w:val="auto"/>
              </w:rPr>
            </w:pPr>
            <w:r>
              <w:rPr>
                <w:rFonts w:ascii="Arial" w:cs="Arial" w:eastAsia="Arial" w:hAnsi="Arial"/>
                <w:sz w:val="21"/>
                <w:szCs w:val="21"/>
                <w:color w:val="auto"/>
              </w:rPr>
              <w:t>57</w:t>
            </w:r>
          </w:p>
        </w:tc>
        <w:tc>
          <w:tcPr>
            <w:tcW w:w="0" w:type="dxa"/>
            <w:vAlign w:val="bottom"/>
          </w:tcPr>
          <w:p>
            <w:pPr>
              <w:spacing w:after="0"/>
              <w:rPr>
                <w:sz w:val="1"/>
                <w:szCs w:val="1"/>
                <w:color w:val="auto"/>
              </w:rPr>
            </w:pPr>
          </w:p>
        </w:tc>
      </w:tr>
      <w:tr>
        <w:trPr>
          <w:trHeight w:val="20"/>
        </w:trPr>
        <w:tc>
          <w:tcPr>
            <w:tcW w:w="2080" w:type="dxa"/>
            <w:vAlign w:val="bottom"/>
            <w:gridSpan w:val="3"/>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880" w:type="dxa"/>
            <w:vAlign w:val="bottom"/>
            <w:gridSpan w:val="39"/>
          </w:tcPr>
          <w:p>
            <w:pPr>
              <w:spacing w:after="0"/>
              <w:rPr>
                <w:sz w:val="20"/>
                <w:szCs w:val="20"/>
                <w:color w:val="auto"/>
              </w:rPr>
            </w:pPr>
            <w:r>
              <w:rPr>
                <w:rFonts w:ascii="Arial" w:cs="Arial" w:eastAsia="Arial" w:hAnsi="Arial"/>
                <w:sz w:val="21"/>
                <w:szCs w:val="21"/>
                <w:color w:val="auto"/>
              </w:rPr>
              <w:t>Section 6.04  Waiver of Past Defaults.</w:t>
            </w:r>
          </w:p>
        </w:tc>
        <w:tc>
          <w:tcPr>
            <w:tcW w:w="2220" w:type="dxa"/>
            <w:vAlign w:val="bottom"/>
          </w:tcPr>
          <w:p>
            <w:pPr>
              <w:jc w:val="right"/>
              <w:spacing w:after="0"/>
              <w:rPr>
                <w:sz w:val="20"/>
                <w:szCs w:val="20"/>
                <w:color w:val="auto"/>
              </w:rPr>
            </w:pPr>
            <w:r>
              <w:rPr>
                <w:rFonts w:ascii="Arial" w:cs="Arial" w:eastAsia="Arial" w:hAnsi="Arial"/>
                <w:sz w:val="21"/>
                <w:szCs w:val="21"/>
                <w:color w:val="auto"/>
              </w:rPr>
              <w:t>57</w:t>
            </w:r>
          </w:p>
        </w:tc>
        <w:tc>
          <w:tcPr>
            <w:tcW w:w="0" w:type="dxa"/>
            <w:vAlign w:val="bottom"/>
          </w:tcPr>
          <w:p>
            <w:pPr>
              <w:spacing w:after="0"/>
              <w:rPr>
                <w:sz w:val="1"/>
                <w:szCs w:val="1"/>
                <w:color w:val="auto"/>
              </w:rPr>
            </w:pPr>
          </w:p>
        </w:tc>
      </w:tr>
      <w:tr>
        <w:trPr>
          <w:trHeight w:val="243"/>
        </w:trPr>
        <w:tc>
          <w:tcPr>
            <w:tcW w:w="3300" w:type="dxa"/>
            <w:vAlign w:val="bottom"/>
            <w:tcBorders>
              <w:top w:val="single" w:sz="8" w:color="auto"/>
            </w:tcBorders>
            <w:gridSpan w:val="15"/>
          </w:tcPr>
          <w:p>
            <w:pPr>
              <w:spacing w:after="0"/>
              <w:rPr>
                <w:sz w:val="20"/>
                <w:szCs w:val="20"/>
                <w:color w:val="auto"/>
              </w:rPr>
            </w:pPr>
            <w:r>
              <w:rPr>
                <w:rFonts w:ascii="Arial" w:cs="Arial" w:eastAsia="Arial" w:hAnsi="Arial"/>
                <w:sz w:val="21"/>
                <w:szCs w:val="21"/>
                <w:color w:val="auto"/>
              </w:rPr>
              <w:t>Section 6.05  Control by Majority.</w:t>
            </w:r>
          </w:p>
        </w:tc>
        <w:tc>
          <w:tcPr>
            <w:tcW w:w="5580" w:type="dxa"/>
            <w:vAlign w:val="bottom"/>
            <w:gridSpan w:val="24"/>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58</w:t>
            </w:r>
          </w:p>
        </w:tc>
        <w:tc>
          <w:tcPr>
            <w:tcW w:w="0" w:type="dxa"/>
            <w:vAlign w:val="bottom"/>
          </w:tcPr>
          <w:p>
            <w:pPr>
              <w:spacing w:after="0"/>
              <w:rPr>
                <w:sz w:val="1"/>
                <w:szCs w:val="1"/>
                <w:color w:val="auto"/>
              </w:rPr>
            </w:pPr>
          </w:p>
        </w:tc>
      </w:tr>
      <w:tr>
        <w:trPr>
          <w:trHeight w:val="243"/>
        </w:trPr>
        <w:tc>
          <w:tcPr>
            <w:tcW w:w="294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21"/>
                <w:szCs w:val="21"/>
                <w:color w:val="auto"/>
                <w:w w:val="95"/>
              </w:rPr>
              <w:t>Section 6.06  Limitation on Suits.</w:t>
            </w:r>
          </w:p>
        </w:tc>
        <w:tc>
          <w:tcPr>
            <w:tcW w:w="40" w:type="dxa"/>
            <w:vAlign w:val="bottom"/>
            <w:tcBorders>
              <w:top w:val="single" w:sz="8" w:color="auto"/>
            </w:tcBorders>
          </w:tcPr>
          <w:p>
            <w:pPr>
              <w:spacing w:after="0"/>
              <w:rPr>
                <w:sz w:val="21"/>
                <w:szCs w:val="21"/>
                <w:color w:val="auto"/>
              </w:rPr>
            </w:pPr>
          </w:p>
        </w:tc>
        <w:tc>
          <w:tcPr>
            <w:tcW w:w="5900" w:type="dxa"/>
            <w:vAlign w:val="bottom"/>
            <w:gridSpan w:val="28"/>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58</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auto"/>
            </w:tcBorders>
            <w:gridSpan w:val="32"/>
          </w:tcPr>
          <w:p>
            <w:pPr>
              <w:spacing w:after="0"/>
              <w:rPr>
                <w:sz w:val="20"/>
                <w:szCs w:val="20"/>
                <w:color w:val="auto"/>
              </w:rPr>
            </w:pPr>
            <w:r>
              <w:rPr>
                <w:rFonts w:ascii="Arial" w:cs="Arial" w:eastAsia="Arial" w:hAnsi="Arial"/>
                <w:sz w:val="21"/>
                <w:szCs w:val="21"/>
                <w:color w:val="auto"/>
                <w:w w:val="92"/>
              </w:rPr>
              <w:t>Section 6.07  Rights of Holders of Notes to Receive Payment.</w:t>
            </w:r>
          </w:p>
        </w:tc>
        <w:tc>
          <w:tcPr>
            <w:tcW w:w="3560" w:type="dxa"/>
            <w:vAlign w:val="bottom"/>
            <w:gridSpan w:val="7"/>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59</w:t>
            </w:r>
          </w:p>
        </w:tc>
        <w:tc>
          <w:tcPr>
            <w:tcW w:w="0" w:type="dxa"/>
            <w:vAlign w:val="bottom"/>
          </w:tcPr>
          <w:p>
            <w:pPr>
              <w:spacing w:after="0"/>
              <w:rPr>
                <w:sz w:val="1"/>
                <w:szCs w:val="1"/>
                <w:color w:val="auto"/>
              </w:rPr>
            </w:pPr>
          </w:p>
        </w:tc>
      </w:tr>
      <w:tr>
        <w:trPr>
          <w:trHeight w:val="243"/>
        </w:trPr>
        <w:tc>
          <w:tcPr>
            <w:tcW w:w="3520" w:type="dxa"/>
            <w:vAlign w:val="bottom"/>
            <w:tcBorders>
              <w:bottom w:val="single" w:sz="8" w:color="auto"/>
            </w:tcBorders>
            <w:gridSpan w:val="17"/>
          </w:tcPr>
          <w:p>
            <w:pPr>
              <w:spacing w:after="0"/>
              <w:rPr>
                <w:sz w:val="20"/>
                <w:szCs w:val="20"/>
                <w:color w:val="auto"/>
              </w:rPr>
            </w:pPr>
            <w:r>
              <w:rPr>
                <w:rFonts w:ascii="Arial" w:cs="Arial" w:eastAsia="Arial" w:hAnsi="Arial"/>
                <w:sz w:val="21"/>
                <w:szCs w:val="21"/>
                <w:color w:val="auto"/>
                <w:w w:val="93"/>
              </w:rPr>
              <w:t>Section 6.08  Collection Suit by Trustee.</w:t>
            </w:r>
          </w:p>
        </w:tc>
        <w:tc>
          <w:tcPr>
            <w:tcW w:w="5360" w:type="dxa"/>
            <w:vAlign w:val="bottom"/>
            <w:gridSpan w:val="22"/>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59</w:t>
            </w:r>
          </w:p>
        </w:tc>
        <w:tc>
          <w:tcPr>
            <w:tcW w:w="0" w:type="dxa"/>
            <w:vAlign w:val="bottom"/>
          </w:tcPr>
          <w:p>
            <w:pPr>
              <w:spacing w:after="0"/>
              <w:rPr>
                <w:sz w:val="1"/>
                <w:szCs w:val="1"/>
                <w:color w:val="auto"/>
              </w:rPr>
            </w:pPr>
          </w:p>
        </w:tc>
      </w:tr>
      <w:tr>
        <w:trPr>
          <w:trHeight w:val="243"/>
        </w:trPr>
        <w:tc>
          <w:tcPr>
            <w:tcW w:w="8880" w:type="dxa"/>
            <w:vAlign w:val="bottom"/>
            <w:gridSpan w:val="39"/>
          </w:tcPr>
          <w:p>
            <w:pPr>
              <w:spacing w:after="0"/>
              <w:rPr>
                <w:sz w:val="20"/>
                <w:szCs w:val="20"/>
                <w:color w:val="auto"/>
              </w:rPr>
            </w:pPr>
            <w:r>
              <w:rPr>
                <w:rFonts w:ascii="Arial" w:cs="Arial" w:eastAsia="Arial" w:hAnsi="Arial"/>
                <w:sz w:val="21"/>
                <w:szCs w:val="21"/>
                <w:color w:val="auto"/>
              </w:rPr>
              <w:t>Section 6.09  Trustee May File Proofs of Claim.</w:t>
            </w:r>
          </w:p>
        </w:tc>
        <w:tc>
          <w:tcPr>
            <w:tcW w:w="2220" w:type="dxa"/>
            <w:vAlign w:val="bottom"/>
          </w:tcPr>
          <w:p>
            <w:pPr>
              <w:jc w:val="right"/>
              <w:spacing w:after="0"/>
              <w:rPr>
                <w:sz w:val="20"/>
                <w:szCs w:val="20"/>
                <w:color w:val="auto"/>
              </w:rPr>
            </w:pPr>
            <w:r>
              <w:rPr>
                <w:rFonts w:ascii="Arial" w:cs="Arial" w:eastAsia="Arial" w:hAnsi="Arial"/>
                <w:sz w:val="21"/>
                <w:szCs w:val="21"/>
                <w:color w:val="auto"/>
              </w:rPr>
              <w:t>59</w:t>
            </w:r>
          </w:p>
        </w:tc>
        <w:tc>
          <w:tcPr>
            <w:tcW w:w="0" w:type="dxa"/>
            <w:vAlign w:val="bottom"/>
          </w:tcPr>
          <w:p>
            <w:pPr>
              <w:spacing w:after="0"/>
              <w:rPr>
                <w:sz w:val="1"/>
                <w:szCs w:val="1"/>
                <w:color w:val="auto"/>
              </w:rPr>
            </w:pPr>
          </w:p>
        </w:tc>
      </w:tr>
      <w:tr>
        <w:trPr>
          <w:trHeight w:val="243"/>
        </w:trPr>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color w:val="auto"/>
                <w:w w:val="95"/>
              </w:rPr>
              <w:t>Section 6.10</w:t>
            </w:r>
          </w:p>
        </w:tc>
        <w:tc>
          <w:tcPr>
            <w:tcW w:w="94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21"/>
                <w:szCs w:val="21"/>
                <w:color w:val="auto"/>
                <w:w w:val="91"/>
              </w:rPr>
              <w:t>Priorities.</w:t>
            </w:r>
          </w:p>
        </w:tc>
        <w:tc>
          <w:tcPr>
            <w:tcW w:w="2060" w:type="dxa"/>
            <w:vAlign w:val="bottom"/>
            <w:tcBorders>
              <w:top w:val="single" w:sz="8" w:color="auto"/>
            </w:tcBorders>
            <w:gridSpan w:val="19"/>
          </w:tcPr>
          <w:p>
            <w:pPr>
              <w:spacing w:after="0"/>
              <w:rPr>
                <w:sz w:val="21"/>
                <w:szCs w:val="21"/>
                <w:color w:val="auto"/>
              </w:rPr>
            </w:pPr>
          </w:p>
        </w:tc>
        <w:tc>
          <w:tcPr>
            <w:tcW w:w="4740" w:type="dxa"/>
            <w:vAlign w:val="bottom"/>
            <w:gridSpan w:val="17"/>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60</w:t>
            </w:r>
          </w:p>
        </w:tc>
        <w:tc>
          <w:tcPr>
            <w:tcW w:w="0" w:type="dxa"/>
            <w:vAlign w:val="bottom"/>
          </w:tcPr>
          <w:p>
            <w:pPr>
              <w:spacing w:after="0"/>
              <w:rPr>
                <w:sz w:val="1"/>
                <w:szCs w:val="1"/>
                <w:color w:val="auto"/>
              </w:rPr>
            </w:pPr>
          </w:p>
        </w:tc>
      </w:tr>
      <w:tr>
        <w:trPr>
          <w:trHeight w:val="243"/>
        </w:trPr>
        <w:tc>
          <w:tcPr>
            <w:tcW w:w="8880" w:type="dxa"/>
            <w:vAlign w:val="bottom"/>
            <w:gridSpan w:val="39"/>
          </w:tcPr>
          <w:p>
            <w:pPr>
              <w:spacing w:after="0"/>
              <w:rPr>
                <w:sz w:val="20"/>
                <w:szCs w:val="20"/>
                <w:color w:val="auto"/>
              </w:rPr>
            </w:pPr>
            <w:r>
              <w:rPr>
                <w:rFonts w:ascii="Arial" w:cs="Arial" w:eastAsia="Arial" w:hAnsi="Arial"/>
                <w:sz w:val="21"/>
                <w:szCs w:val="21"/>
                <w:color w:val="auto"/>
              </w:rPr>
              <w:t>Section 6.11  Undertaking for Costs.</w:t>
            </w:r>
          </w:p>
        </w:tc>
        <w:tc>
          <w:tcPr>
            <w:tcW w:w="2220" w:type="dxa"/>
            <w:vAlign w:val="bottom"/>
          </w:tcPr>
          <w:p>
            <w:pPr>
              <w:jc w:val="right"/>
              <w:spacing w:after="0"/>
              <w:rPr>
                <w:sz w:val="20"/>
                <w:szCs w:val="20"/>
                <w:color w:val="auto"/>
              </w:rPr>
            </w:pPr>
            <w:r>
              <w:rPr>
                <w:rFonts w:ascii="Arial" w:cs="Arial" w:eastAsia="Arial" w:hAnsi="Arial"/>
                <w:sz w:val="21"/>
                <w:szCs w:val="21"/>
                <w:color w:val="auto"/>
              </w:rPr>
              <w:t>60</w:t>
            </w:r>
          </w:p>
        </w:tc>
        <w:tc>
          <w:tcPr>
            <w:tcW w:w="0" w:type="dxa"/>
            <w:vAlign w:val="bottom"/>
          </w:tcPr>
          <w:p>
            <w:pPr>
              <w:spacing w:after="0"/>
              <w:rPr>
                <w:sz w:val="1"/>
                <w:szCs w:val="1"/>
                <w:color w:val="auto"/>
              </w:rPr>
            </w:pPr>
          </w:p>
        </w:tc>
      </w:tr>
      <w:tr>
        <w:trPr>
          <w:trHeight w:val="243"/>
        </w:trPr>
        <w:tc>
          <w:tcPr>
            <w:tcW w:w="1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80" w:type="dxa"/>
            <w:vAlign w:val="bottom"/>
            <w:gridSpan w:val="10"/>
          </w:tcPr>
          <w:p>
            <w:pPr>
              <w:jc w:val="center"/>
              <w:ind w:right="2800"/>
              <w:spacing w:after="0"/>
              <w:rPr>
                <w:sz w:val="20"/>
                <w:szCs w:val="20"/>
                <w:color w:val="auto"/>
              </w:rPr>
            </w:pPr>
            <w:r>
              <w:rPr>
                <w:rFonts w:ascii="Arial" w:cs="Arial" w:eastAsia="Arial" w:hAnsi="Arial"/>
                <w:sz w:val="21"/>
                <w:szCs w:val="21"/>
                <w:color w:val="auto"/>
                <w:w w:val="96"/>
              </w:rPr>
              <w:t>ARTICLE 7.</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5"/>
          </w:tcPr>
          <w:p>
            <w:pPr>
              <w:jc w:val="center"/>
              <w:ind w:right="80"/>
              <w:spacing w:after="0" w:line="191" w:lineRule="exact"/>
              <w:rPr>
                <w:sz w:val="20"/>
                <w:szCs w:val="20"/>
                <w:color w:val="auto"/>
              </w:rPr>
            </w:pPr>
            <w:r>
              <w:rPr>
                <w:rFonts w:ascii="Arial" w:cs="Arial" w:eastAsia="Arial" w:hAnsi="Arial"/>
                <w:sz w:val="21"/>
                <w:szCs w:val="21"/>
                <w:color w:val="auto"/>
                <w:w w:val="93"/>
              </w:rPr>
              <w:t>TRUSTEE</w:t>
            </w:r>
          </w:p>
        </w:tc>
        <w:tc>
          <w:tcPr>
            <w:tcW w:w="2800" w:type="dxa"/>
            <w:vAlign w:val="bottom"/>
            <w:gridSpan w:val="4"/>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auto"/>
            </w:tcBorders>
            <w:gridSpan w:val="7"/>
          </w:tcPr>
          <w:p>
            <w:pPr>
              <w:spacing w:after="0"/>
              <w:rPr>
                <w:sz w:val="20"/>
                <w:szCs w:val="20"/>
                <w:color w:val="auto"/>
              </w:rPr>
            </w:pPr>
            <w:r>
              <w:rPr>
                <w:rFonts w:ascii="Arial" w:cs="Arial" w:eastAsia="Arial" w:hAnsi="Arial"/>
                <w:sz w:val="21"/>
                <w:szCs w:val="21"/>
                <w:color w:val="auto"/>
                <w:w w:val="93"/>
              </w:rPr>
              <w:t>Section 7.01  Duties of Trustee.</w:t>
            </w:r>
          </w:p>
        </w:tc>
        <w:tc>
          <w:tcPr>
            <w:tcW w:w="2300" w:type="dxa"/>
            <w:vAlign w:val="bottom"/>
            <w:gridSpan w:val="23"/>
          </w:tcPr>
          <w:p>
            <w:pPr>
              <w:spacing w:after="0"/>
              <w:rPr>
                <w:sz w:val="21"/>
                <w:szCs w:val="21"/>
                <w:color w:val="auto"/>
              </w:rPr>
            </w:pPr>
          </w:p>
        </w:tc>
        <w:tc>
          <w:tcPr>
            <w:tcW w:w="920" w:type="dxa"/>
            <w:vAlign w:val="bottom"/>
            <w:tcBorders>
              <w:top w:val="single" w:sz="8" w:color="auto"/>
            </w:tcBorders>
            <w:gridSpan w:val="4"/>
          </w:tcPr>
          <w:p>
            <w:pPr>
              <w:spacing w:after="0"/>
              <w:rPr>
                <w:sz w:val="21"/>
                <w:szCs w:val="21"/>
                <w:color w:val="auto"/>
              </w:rPr>
            </w:pPr>
          </w:p>
        </w:tc>
        <w:tc>
          <w:tcPr>
            <w:tcW w:w="2880" w:type="dxa"/>
            <w:vAlign w:val="bottom"/>
            <w:gridSpan w:val="5"/>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60</w:t>
            </w:r>
          </w:p>
        </w:tc>
        <w:tc>
          <w:tcPr>
            <w:tcW w:w="0" w:type="dxa"/>
            <w:vAlign w:val="bottom"/>
          </w:tcPr>
          <w:p>
            <w:pPr>
              <w:spacing w:after="0"/>
              <w:rPr>
                <w:sz w:val="1"/>
                <w:szCs w:val="1"/>
                <w:color w:val="auto"/>
              </w:rPr>
            </w:pPr>
          </w:p>
        </w:tc>
      </w:tr>
      <w:tr>
        <w:trPr>
          <w:trHeight w:val="243"/>
        </w:trPr>
        <w:tc>
          <w:tcPr>
            <w:tcW w:w="8880" w:type="dxa"/>
            <w:vAlign w:val="bottom"/>
            <w:gridSpan w:val="39"/>
          </w:tcPr>
          <w:p>
            <w:pPr>
              <w:spacing w:after="0"/>
              <w:rPr>
                <w:sz w:val="20"/>
                <w:szCs w:val="20"/>
                <w:color w:val="auto"/>
              </w:rPr>
            </w:pPr>
            <w:r>
              <w:rPr>
                <w:rFonts w:ascii="Arial" w:cs="Arial" w:eastAsia="Arial" w:hAnsi="Arial"/>
                <w:sz w:val="21"/>
                <w:szCs w:val="21"/>
                <w:color w:val="auto"/>
              </w:rPr>
              <w:t>Section 7.02  Rights of Trustee.</w:t>
            </w:r>
          </w:p>
        </w:tc>
        <w:tc>
          <w:tcPr>
            <w:tcW w:w="2220" w:type="dxa"/>
            <w:vAlign w:val="bottom"/>
          </w:tcPr>
          <w:p>
            <w:pPr>
              <w:jc w:val="right"/>
              <w:spacing w:after="0"/>
              <w:rPr>
                <w:sz w:val="20"/>
                <w:szCs w:val="20"/>
                <w:color w:val="auto"/>
              </w:rPr>
            </w:pPr>
            <w:r>
              <w:rPr>
                <w:rFonts w:ascii="Arial" w:cs="Arial" w:eastAsia="Arial" w:hAnsi="Arial"/>
                <w:sz w:val="21"/>
                <w:szCs w:val="21"/>
                <w:color w:val="auto"/>
              </w:rPr>
              <w:t>61</w:t>
            </w:r>
          </w:p>
        </w:tc>
        <w:tc>
          <w:tcPr>
            <w:tcW w:w="0" w:type="dxa"/>
            <w:vAlign w:val="bottom"/>
          </w:tcPr>
          <w:p>
            <w:pPr>
              <w:spacing w:after="0"/>
              <w:rPr>
                <w:sz w:val="1"/>
                <w:szCs w:val="1"/>
                <w:color w:val="auto"/>
              </w:rPr>
            </w:pPr>
          </w:p>
        </w:tc>
      </w:tr>
      <w:tr>
        <w:trPr>
          <w:trHeight w:val="20"/>
        </w:trPr>
        <w:tc>
          <w:tcPr>
            <w:tcW w:w="2760" w:type="dxa"/>
            <w:vAlign w:val="bottom"/>
            <w:gridSpan w:val="6"/>
            <w:shd w:val="clear" w:color="auto" w:fill="00000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780" w:type="dxa"/>
            <w:vAlign w:val="bottom"/>
            <w:gridSpan w:val="1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tcBorders>
              <w:bottom w:val="single" w:sz="8" w:color="auto"/>
            </w:tcBorders>
            <w:gridSpan w:val="18"/>
          </w:tcPr>
          <w:p>
            <w:pPr>
              <w:spacing w:after="0"/>
              <w:rPr>
                <w:sz w:val="20"/>
                <w:szCs w:val="20"/>
                <w:color w:val="auto"/>
              </w:rPr>
            </w:pPr>
            <w:r>
              <w:rPr>
                <w:rFonts w:ascii="Arial" w:cs="Arial" w:eastAsia="Arial" w:hAnsi="Arial"/>
                <w:sz w:val="21"/>
                <w:szCs w:val="21"/>
                <w:color w:val="auto"/>
                <w:w w:val="94"/>
              </w:rPr>
              <w:t>Section 7.03  Individual Rights of Trustee.</w:t>
            </w:r>
          </w:p>
        </w:tc>
        <w:tc>
          <w:tcPr>
            <w:tcW w:w="5200" w:type="dxa"/>
            <w:vAlign w:val="bottom"/>
            <w:gridSpan w:val="21"/>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62</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5"/>
              </w:rPr>
              <w:t>Section 7.04</w:t>
            </w:r>
          </w:p>
        </w:tc>
        <w:tc>
          <w:tcPr>
            <w:tcW w:w="1900" w:type="dxa"/>
            <w:vAlign w:val="bottom"/>
            <w:tcBorders>
              <w:bottom w:val="single" w:sz="8" w:color="auto"/>
            </w:tcBorders>
            <w:gridSpan w:val="11"/>
          </w:tcPr>
          <w:p>
            <w:pPr>
              <w:ind w:left="120"/>
              <w:spacing w:after="0"/>
              <w:rPr>
                <w:sz w:val="20"/>
                <w:szCs w:val="20"/>
                <w:color w:val="auto"/>
              </w:rPr>
            </w:pPr>
            <w:r>
              <w:rPr>
                <w:rFonts w:ascii="Arial" w:cs="Arial" w:eastAsia="Arial" w:hAnsi="Arial"/>
                <w:sz w:val="21"/>
                <w:szCs w:val="21"/>
                <w:color w:val="auto"/>
                <w:w w:val="89"/>
              </w:rPr>
              <w:t>Trustee’s Disclaimer.</w:t>
            </w:r>
          </w:p>
        </w:tc>
        <w:tc>
          <w:tcPr>
            <w:tcW w:w="5840" w:type="dxa"/>
            <w:vAlign w:val="bottom"/>
            <w:gridSpan w:val="27"/>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62</w:t>
            </w:r>
          </w:p>
        </w:tc>
        <w:tc>
          <w:tcPr>
            <w:tcW w:w="0" w:type="dxa"/>
            <w:vAlign w:val="bottom"/>
          </w:tcPr>
          <w:p>
            <w:pPr>
              <w:spacing w:after="0"/>
              <w:rPr>
                <w:sz w:val="1"/>
                <w:szCs w:val="1"/>
                <w:color w:val="auto"/>
              </w:rPr>
            </w:pPr>
          </w:p>
        </w:tc>
      </w:tr>
      <w:tr>
        <w:trPr>
          <w:trHeight w:val="243"/>
        </w:trPr>
        <w:tc>
          <w:tcPr>
            <w:tcW w:w="8880" w:type="dxa"/>
            <w:vAlign w:val="bottom"/>
            <w:gridSpan w:val="39"/>
          </w:tcPr>
          <w:p>
            <w:pPr>
              <w:spacing w:after="0"/>
              <w:rPr>
                <w:sz w:val="20"/>
                <w:szCs w:val="20"/>
                <w:color w:val="auto"/>
              </w:rPr>
            </w:pPr>
            <w:r>
              <w:rPr>
                <w:rFonts w:ascii="Arial" w:cs="Arial" w:eastAsia="Arial" w:hAnsi="Arial"/>
                <w:sz w:val="21"/>
                <w:szCs w:val="21"/>
                <w:color w:val="auto"/>
              </w:rPr>
              <w:t>Section 7.05  Notice of Defaults.</w:t>
            </w:r>
          </w:p>
        </w:tc>
        <w:tc>
          <w:tcPr>
            <w:tcW w:w="2220" w:type="dxa"/>
            <w:vAlign w:val="bottom"/>
          </w:tcPr>
          <w:p>
            <w:pPr>
              <w:jc w:val="right"/>
              <w:spacing w:after="0"/>
              <w:rPr>
                <w:sz w:val="20"/>
                <w:szCs w:val="20"/>
                <w:color w:val="auto"/>
              </w:rPr>
            </w:pPr>
            <w:r>
              <w:rPr>
                <w:rFonts w:ascii="Arial" w:cs="Arial" w:eastAsia="Arial" w:hAnsi="Arial"/>
                <w:sz w:val="21"/>
                <w:szCs w:val="21"/>
                <w:color w:val="auto"/>
              </w:rPr>
              <w:t>63</w:t>
            </w:r>
          </w:p>
        </w:tc>
        <w:tc>
          <w:tcPr>
            <w:tcW w:w="0" w:type="dxa"/>
            <w:vAlign w:val="bottom"/>
          </w:tcPr>
          <w:p>
            <w:pPr>
              <w:spacing w:after="0"/>
              <w:rPr>
                <w:sz w:val="1"/>
                <w:szCs w:val="1"/>
                <w:color w:val="auto"/>
              </w:rPr>
            </w:pPr>
          </w:p>
        </w:tc>
      </w:tr>
      <w:tr>
        <w:trPr>
          <w:trHeight w:val="20"/>
        </w:trPr>
        <w:tc>
          <w:tcPr>
            <w:tcW w:w="2860" w:type="dxa"/>
            <w:vAlign w:val="bottom"/>
            <w:gridSpan w:val="9"/>
            <w:shd w:val="clear" w:color="auto" w:fill="000000"/>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780" w:type="dxa"/>
            <w:vAlign w:val="bottom"/>
            <w:gridSpan w:val="1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880" w:type="dxa"/>
            <w:vAlign w:val="bottom"/>
            <w:gridSpan w:val="39"/>
          </w:tcPr>
          <w:p>
            <w:pPr>
              <w:spacing w:after="0"/>
              <w:rPr>
                <w:sz w:val="20"/>
                <w:szCs w:val="20"/>
                <w:color w:val="auto"/>
              </w:rPr>
            </w:pPr>
            <w:r>
              <w:rPr>
                <w:rFonts w:ascii="Arial" w:cs="Arial" w:eastAsia="Arial" w:hAnsi="Arial"/>
                <w:sz w:val="21"/>
                <w:szCs w:val="21"/>
                <w:color w:val="auto"/>
              </w:rPr>
              <w:t>Section 7.06  Compensation and Indemnity.</w:t>
            </w:r>
          </w:p>
        </w:tc>
        <w:tc>
          <w:tcPr>
            <w:tcW w:w="2220" w:type="dxa"/>
            <w:vAlign w:val="bottom"/>
          </w:tcPr>
          <w:p>
            <w:pPr>
              <w:jc w:val="right"/>
              <w:spacing w:after="0"/>
              <w:rPr>
                <w:sz w:val="20"/>
                <w:szCs w:val="20"/>
                <w:color w:val="auto"/>
              </w:rPr>
            </w:pPr>
            <w:r>
              <w:rPr>
                <w:rFonts w:ascii="Arial" w:cs="Arial" w:eastAsia="Arial" w:hAnsi="Arial"/>
                <w:sz w:val="21"/>
                <w:szCs w:val="21"/>
                <w:color w:val="auto"/>
              </w:rPr>
              <w:t>63</w:t>
            </w:r>
          </w:p>
        </w:tc>
        <w:tc>
          <w:tcPr>
            <w:tcW w:w="0" w:type="dxa"/>
            <w:vAlign w:val="bottom"/>
          </w:tcPr>
          <w:p>
            <w:pPr>
              <w:spacing w:after="0"/>
              <w:rPr>
                <w:sz w:val="1"/>
                <w:szCs w:val="1"/>
                <w:color w:val="auto"/>
              </w:rPr>
            </w:pPr>
          </w:p>
        </w:tc>
      </w:tr>
      <w:tr>
        <w:trPr>
          <w:trHeight w:val="243"/>
        </w:trPr>
        <w:tc>
          <w:tcPr>
            <w:tcW w:w="3320" w:type="dxa"/>
            <w:vAlign w:val="bottom"/>
            <w:tcBorders>
              <w:top w:val="single" w:sz="8" w:color="auto"/>
              <w:bottom w:val="single" w:sz="8" w:color="auto"/>
            </w:tcBorders>
            <w:gridSpan w:val="16"/>
          </w:tcPr>
          <w:p>
            <w:pPr>
              <w:spacing w:after="0"/>
              <w:rPr>
                <w:sz w:val="20"/>
                <w:szCs w:val="20"/>
                <w:color w:val="auto"/>
              </w:rPr>
            </w:pPr>
            <w:r>
              <w:rPr>
                <w:rFonts w:ascii="Arial" w:cs="Arial" w:eastAsia="Arial" w:hAnsi="Arial"/>
                <w:sz w:val="21"/>
                <w:szCs w:val="21"/>
                <w:color w:val="auto"/>
                <w:w w:val="92"/>
              </w:rPr>
              <w:t>Section 7.07  Replacement of Trustee.</w:t>
            </w:r>
          </w:p>
        </w:tc>
        <w:tc>
          <w:tcPr>
            <w:tcW w:w="460" w:type="dxa"/>
            <w:vAlign w:val="bottom"/>
            <w:tcBorders>
              <w:top w:val="single" w:sz="8" w:color="auto"/>
            </w:tcBorders>
            <w:gridSpan w:val="3"/>
          </w:tcPr>
          <w:p>
            <w:pPr>
              <w:spacing w:after="0"/>
              <w:rPr>
                <w:sz w:val="21"/>
                <w:szCs w:val="21"/>
                <w:color w:val="auto"/>
              </w:rPr>
            </w:pPr>
          </w:p>
        </w:tc>
        <w:tc>
          <w:tcPr>
            <w:tcW w:w="5100" w:type="dxa"/>
            <w:vAlign w:val="bottom"/>
            <w:gridSpan w:val="20"/>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64</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gridSpan w:val="21"/>
          </w:tcPr>
          <w:p>
            <w:pPr>
              <w:spacing w:after="0"/>
              <w:rPr>
                <w:sz w:val="20"/>
                <w:szCs w:val="20"/>
                <w:color w:val="auto"/>
              </w:rPr>
            </w:pPr>
            <w:r>
              <w:rPr>
                <w:rFonts w:ascii="Arial" w:cs="Arial" w:eastAsia="Arial" w:hAnsi="Arial"/>
                <w:sz w:val="21"/>
                <w:szCs w:val="21"/>
                <w:color w:val="auto"/>
                <w:w w:val="90"/>
              </w:rPr>
              <w:t>Section 7.08  Successor Trustee by Merger, etc.</w:t>
            </w:r>
          </w:p>
        </w:tc>
        <w:tc>
          <w:tcPr>
            <w:tcW w:w="4780" w:type="dxa"/>
            <w:vAlign w:val="bottom"/>
            <w:gridSpan w:val="18"/>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1"/>
                <w:szCs w:val="21"/>
                <w:color w:val="auto"/>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100"/>
          </w:cols>
          <w:pgMar w:left="400" w:top="1398"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1"/>
                <w:szCs w:val="21"/>
                <w:color w:val="auto"/>
              </w:rPr>
            </w:pPr>
          </w:p>
        </w:tc>
        <w:tc>
          <w:tcPr>
            <w:tcW w:w="8160" w:type="dxa"/>
            <w:vAlign w:val="bottom"/>
            <w:gridSpan w:val="40"/>
          </w:tcPr>
          <w:p>
            <w:pPr>
              <w:spacing w:after="0"/>
              <w:rPr>
                <w:sz w:val="20"/>
                <w:szCs w:val="20"/>
                <w:color w:val="auto"/>
              </w:rPr>
            </w:pPr>
            <w:r>
              <w:rPr>
                <w:rFonts w:ascii="Arial" w:cs="Arial" w:eastAsia="Arial" w:hAnsi="Arial"/>
                <w:sz w:val="21"/>
                <w:szCs w:val="21"/>
                <w:color w:val="auto"/>
              </w:rPr>
              <w:t>Section 7.09  Eligibility; Disqualification; Conflicting Interests.</w:t>
            </w:r>
          </w:p>
        </w:tc>
        <w:tc>
          <w:tcPr>
            <w:tcW w:w="2940" w:type="dxa"/>
            <w:vAlign w:val="bottom"/>
          </w:tcPr>
          <w:p>
            <w:pPr>
              <w:jc w:val="right"/>
              <w:spacing w:after="0"/>
              <w:rPr>
                <w:sz w:val="20"/>
                <w:szCs w:val="20"/>
                <w:color w:val="auto"/>
              </w:rPr>
            </w:pPr>
            <w:r>
              <w:rPr>
                <w:rFonts w:ascii="Arial" w:cs="Arial" w:eastAsia="Arial" w:hAnsi="Arial"/>
                <w:sz w:val="21"/>
                <w:szCs w:val="21"/>
                <w:color w:val="auto"/>
              </w:rPr>
              <w:t>65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gridSpan w:val="41"/>
          </w:tcPr>
          <w:p>
            <w:pPr>
              <w:spacing w:after="0"/>
              <w:rPr>
                <w:sz w:val="20"/>
                <w:szCs w:val="20"/>
                <w:color w:val="auto"/>
              </w:rPr>
            </w:pPr>
            <w:r>
              <w:rPr>
                <w:rFonts w:ascii="Arial" w:cs="Arial" w:eastAsia="Arial" w:hAnsi="Arial"/>
                <w:sz w:val="21"/>
                <w:szCs w:val="21"/>
                <w:color w:val="auto"/>
              </w:rPr>
              <w:t>Section 7.10 Preferential Collection of Claims Against the Issuers.</w:t>
            </w:r>
          </w:p>
        </w:tc>
        <w:tc>
          <w:tcPr>
            <w:tcW w:w="2940" w:type="dxa"/>
            <w:vAlign w:val="bottom"/>
          </w:tcPr>
          <w:p>
            <w:pPr>
              <w:jc w:val="right"/>
              <w:spacing w:after="0"/>
              <w:rPr>
                <w:sz w:val="20"/>
                <w:szCs w:val="20"/>
                <w:color w:val="auto"/>
              </w:rPr>
            </w:pPr>
            <w:r>
              <w:rPr>
                <w:rFonts w:ascii="Arial" w:cs="Arial" w:eastAsia="Arial" w:hAnsi="Arial"/>
                <w:sz w:val="21"/>
                <w:szCs w:val="21"/>
                <w:color w:val="auto"/>
              </w:rPr>
              <w:t>65</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20"/>
            <w:vMerge w:val="restart"/>
          </w:tcPr>
          <w:p>
            <w:pPr>
              <w:ind w:left="180"/>
              <w:spacing w:after="0"/>
              <w:rPr>
                <w:sz w:val="20"/>
                <w:szCs w:val="20"/>
                <w:color w:val="auto"/>
              </w:rPr>
            </w:pPr>
            <w:r>
              <w:rPr>
                <w:rFonts w:ascii="Arial" w:cs="Arial" w:eastAsia="Arial" w:hAnsi="Arial"/>
                <w:sz w:val="21"/>
                <w:szCs w:val="21"/>
                <w:color w:val="auto"/>
                <w:w w:val="94"/>
              </w:rPr>
              <w:t>LEGAL DEFEASANCE</w:t>
            </w:r>
          </w:p>
        </w:tc>
        <w:tc>
          <w:tcPr>
            <w:tcW w:w="3160" w:type="dxa"/>
            <w:vAlign w:val="bottom"/>
            <w:gridSpan w:val="14"/>
          </w:tcPr>
          <w:p>
            <w:pPr>
              <w:jc w:val="center"/>
              <w:ind w:right="2080"/>
              <w:spacing w:after="0"/>
              <w:rPr>
                <w:sz w:val="20"/>
                <w:szCs w:val="20"/>
                <w:color w:val="auto"/>
              </w:rPr>
            </w:pPr>
            <w:r>
              <w:rPr>
                <w:rFonts w:ascii="Arial" w:cs="Arial" w:eastAsia="Arial" w:hAnsi="Arial"/>
                <w:sz w:val="21"/>
                <w:szCs w:val="21"/>
                <w:color w:val="auto"/>
                <w:w w:val="96"/>
              </w:rPr>
              <w:t>ARTICLE 8.</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60" w:type="dxa"/>
            <w:vAlign w:val="bottom"/>
            <w:gridSpan w:val="20"/>
            <w:vMerge w:val="continue"/>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60" w:type="dxa"/>
            <w:vAlign w:val="bottom"/>
            <w:gridSpan w:val="20"/>
            <w:vMerge w:val="continue"/>
          </w:tcPr>
          <w:p>
            <w:pPr>
              <w:spacing w:after="0"/>
              <w:rPr>
                <w:sz w:val="16"/>
                <w:szCs w:val="16"/>
                <w:color w:val="auto"/>
              </w:rPr>
            </w:pPr>
          </w:p>
        </w:tc>
        <w:tc>
          <w:tcPr>
            <w:tcW w:w="3160" w:type="dxa"/>
            <w:vAlign w:val="bottom"/>
            <w:gridSpan w:val="14"/>
          </w:tcPr>
          <w:p>
            <w:pPr>
              <w:ind w:left="80"/>
              <w:spacing w:after="0" w:line="191" w:lineRule="exact"/>
              <w:rPr>
                <w:sz w:val="20"/>
                <w:szCs w:val="20"/>
                <w:color w:val="auto"/>
              </w:rPr>
            </w:pPr>
            <w:r>
              <w:rPr>
                <w:rFonts w:ascii="Arial" w:cs="Arial" w:eastAsia="Arial" w:hAnsi="Arial"/>
                <w:sz w:val="21"/>
                <w:szCs w:val="21"/>
                <w:color w:val="auto"/>
                <w:w w:val="97"/>
              </w:rPr>
              <w:t>AND COVENANT DEFEASANCE</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Arial" w:cs="Arial" w:eastAsia="Arial" w:hAnsi="Arial"/>
                <w:sz w:val="21"/>
                <w:szCs w:val="21"/>
                <w:color w:val="auto"/>
              </w:rPr>
              <w:t>Section 8.01</w:t>
            </w:r>
          </w:p>
        </w:tc>
        <w:tc>
          <w:tcPr>
            <w:tcW w:w="6960" w:type="dxa"/>
            <w:vAlign w:val="bottom"/>
            <w:gridSpan w:val="37"/>
          </w:tcPr>
          <w:p>
            <w:pPr>
              <w:ind w:left="400"/>
              <w:spacing w:after="0"/>
              <w:rPr>
                <w:sz w:val="20"/>
                <w:szCs w:val="20"/>
                <w:color w:val="auto"/>
              </w:rPr>
            </w:pPr>
            <w:r>
              <w:rPr>
                <w:rFonts w:ascii="Arial" w:cs="Arial" w:eastAsia="Arial" w:hAnsi="Arial"/>
                <w:sz w:val="21"/>
                <w:szCs w:val="21"/>
                <w:color w:val="auto"/>
              </w:rPr>
              <w:t>Option to Effect Legal Defeasance or Covenant</w:t>
            </w:r>
          </w:p>
        </w:tc>
        <w:tc>
          <w:tcPr>
            <w:tcW w:w="2940" w:type="dxa"/>
            <w:vAlign w:val="bottom"/>
            <w:vMerge w:val="restart"/>
          </w:tcPr>
          <w:p>
            <w:pPr>
              <w:jc w:val="right"/>
              <w:spacing w:after="0"/>
              <w:rPr>
                <w:sz w:val="20"/>
                <w:szCs w:val="20"/>
                <w:color w:val="auto"/>
              </w:rPr>
            </w:pPr>
            <w:r>
              <w:rPr>
                <w:rFonts w:ascii="Arial" w:cs="Arial" w:eastAsia="Arial" w:hAnsi="Arial"/>
                <w:sz w:val="21"/>
                <w:szCs w:val="21"/>
                <w:color w:val="auto"/>
              </w:rPr>
              <w:t>65</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020" w:type="dxa"/>
            <w:vAlign w:val="bottom"/>
            <w:tcBorders>
              <w:top w:val="single" w:sz="8" w:color="auto"/>
              <w:bottom w:val="single" w:sz="8" w:color="auto"/>
            </w:tcBorders>
          </w:tcPr>
          <w:p>
            <w:pPr>
              <w:spacing w:after="0" w:line="191" w:lineRule="exact"/>
              <w:rPr>
                <w:sz w:val="20"/>
                <w:szCs w:val="20"/>
                <w:color w:val="auto"/>
              </w:rPr>
            </w:pPr>
            <w:r>
              <w:rPr>
                <w:rFonts w:ascii="Arial" w:cs="Arial" w:eastAsia="Arial" w:hAnsi="Arial"/>
                <w:sz w:val="21"/>
                <w:szCs w:val="21"/>
                <w:color w:val="auto"/>
                <w:w w:val="84"/>
              </w:rPr>
              <w:t>Defeasance.</w:t>
            </w:r>
          </w:p>
        </w:tc>
        <w:tc>
          <w:tcPr>
            <w:tcW w:w="180" w:type="dxa"/>
            <w:vAlign w:val="bottom"/>
            <w:tcBorders>
              <w:top w:val="single" w:sz="8" w:color="auto"/>
            </w:tcBorders>
            <w:gridSpan w:val="2"/>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160" w:type="dxa"/>
            <w:vAlign w:val="bottom"/>
            <w:gridSpan w:val="40"/>
          </w:tcPr>
          <w:p>
            <w:pPr>
              <w:spacing w:after="0"/>
              <w:rPr>
                <w:sz w:val="20"/>
                <w:szCs w:val="20"/>
                <w:color w:val="auto"/>
              </w:rPr>
            </w:pPr>
            <w:r>
              <w:rPr>
                <w:rFonts w:ascii="Arial" w:cs="Arial" w:eastAsia="Arial" w:hAnsi="Arial"/>
                <w:sz w:val="21"/>
                <w:szCs w:val="21"/>
                <w:color w:val="auto"/>
              </w:rPr>
              <w:t>Section 8.02  Legal Defeasance and Discharge.</w:t>
            </w:r>
          </w:p>
        </w:tc>
        <w:tc>
          <w:tcPr>
            <w:tcW w:w="2940" w:type="dxa"/>
            <w:vAlign w:val="bottom"/>
          </w:tcPr>
          <w:p>
            <w:pPr>
              <w:jc w:val="right"/>
              <w:spacing w:after="0"/>
              <w:rPr>
                <w:sz w:val="20"/>
                <w:szCs w:val="20"/>
                <w:color w:val="auto"/>
              </w:rPr>
            </w:pPr>
            <w:r>
              <w:rPr>
                <w:rFonts w:ascii="Arial" w:cs="Arial" w:eastAsia="Arial" w:hAnsi="Arial"/>
                <w:sz w:val="21"/>
                <w:szCs w:val="21"/>
                <w:color w:val="auto"/>
              </w:rPr>
              <w:t>65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2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1"/>
                <w:szCs w:val="21"/>
                <w:color w:val="auto"/>
              </w:rPr>
              <w:t>Section 8.03</w:t>
            </w:r>
          </w:p>
        </w:tc>
        <w:tc>
          <w:tcPr>
            <w:tcW w:w="1940" w:type="dxa"/>
            <w:vAlign w:val="bottom"/>
            <w:tcBorders>
              <w:top w:val="single" w:sz="8" w:color="auto"/>
              <w:bottom w:val="single" w:sz="8" w:color="auto"/>
            </w:tcBorders>
            <w:gridSpan w:val="6"/>
          </w:tcPr>
          <w:p>
            <w:pPr>
              <w:ind w:left="60"/>
              <w:spacing w:after="0"/>
              <w:rPr>
                <w:sz w:val="20"/>
                <w:szCs w:val="20"/>
                <w:color w:val="auto"/>
              </w:rPr>
            </w:pPr>
            <w:r>
              <w:rPr>
                <w:rFonts w:ascii="Arial" w:cs="Arial" w:eastAsia="Arial" w:hAnsi="Arial"/>
                <w:sz w:val="21"/>
                <w:szCs w:val="21"/>
                <w:color w:val="auto"/>
                <w:w w:val="87"/>
              </w:rPr>
              <w:t>Covenant Defeasance.</w:t>
            </w:r>
          </w:p>
        </w:tc>
        <w:tc>
          <w:tcPr>
            <w:tcW w:w="920" w:type="dxa"/>
            <w:vAlign w:val="bottom"/>
            <w:tcBorders>
              <w:top w:val="single" w:sz="8" w:color="auto"/>
            </w:tcBorders>
            <w:gridSpan w:val="7"/>
          </w:tcPr>
          <w:p>
            <w:pPr>
              <w:spacing w:after="0"/>
              <w:rPr>
                <w:sz w:val="21"/>
                <w:szCs w:val="21"/>
                <w:color w:val="auto"/>
              </w:rPr>
            </w:pPr>
          </w:p>
        </w:tc>
        <w:tc>
          <w:tcPr>
            <w:tcW w:w="4100" w:type="dxa"/>
            <w:vAlign w:val="bottom"/>
            <w:gridSpan w:val="24"/>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66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100" w:type="dxa"/>
            <w:vAlign w:val="bottom"/>
            <w:tcBorders>
              <w:bottom w:val="single" w:sz="8" w:color="auto"/>
            </w:tcBorders>
            <w:gridSpan w:val="28"/>
          </w:tcPr>
          <w:p>
            <w:pPr>
              <w:spacing w:after="0"/>
              <w:rPr>
                <w:sz w:val="20"/>
                <w:szCs w:val="20"/>
                <w:color w:val="auto"/>
              </w:rPr>
            </w:pPr>
            <w:r>
              <w:rPr>
                <w:rFonts w:ascii="Arial" w:cs="Arial" w:eastAsia="Arial" w:hAnsi="Arial"/>
                <w:sz w:val="21"/>
                <w:szCs w:val="21"/>
                <w:color w:val="auto"/>
                <w:w w:val="91"/>
              </w:rPr>
              <w:t>Section 8.04  Conditions to Legal or Covenant Defeasance.</w:t>
            </w:r>
          </w:p>
        </w:tc>
        <w:tc>
          <w:tcPr>
            <w:tcW w:w="3060" w:type="dxa"/>
            <w:vAlign w:val="bottom"/>
            <w:gridSpan w:val="12"/>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66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160" w:type="dxa"/>
            <w:vAlign w:val="bottom"/>
            <w:gridSpan w:val="40"/>
          </w:tcPr>
          <w:p>
            <w:pPr>
              <w:spacing w:after="0"/>
              <w:rPr>
                <w:sz w:val="20"/>
                <w:szCs w:val="20"/>
                <w:color w:val="auto"/>
              </w:rPr>
            </w:pPr>
            <w:r>
              <w:rPr>
                <w:rFonts w:ascii="Arial" w:cs="Arial" w:eastAsia="Arial" w:hAnsi="Arial"/>
                <w:sz w:val="21"/>
                <w:szCs w:val="21"/>
                <w:color w:val="auto"/>
              </w:rPr>
              <w:t>Section 8.05  Deposited Money and Government Securities to be Held</w:t>
            </w:r>
          </w:p>
        </w:tc>
        <w:tc>
          <w:tcPr>
            <w:tcW w:w="2940" w:type="dxa"/>
            <w:vAlign w:val="bottom"/>
            <w:vMerge w:val="restart"/>
          </w:tcPr>
          <w:p>
            <w:pPr>
              <w:jc w:val="right"/>
              <w:spacing w:after="0"/>
              <w:rPr>
                <w:sz w:val="20"/>
                <w:szCs w:val="20"/>
                <w:color w:val="auto"/>
              </w:rPr>
            </w:pPr>
            <w:r>
              <w:rPr>
                <w:rFonts w:ascii="Arial" w:cs="Arial" w:eastAsia="Arial" w:hAnsi="Arial"/>
                <w:sz w:val="21"/>
                <w:szCs w:val="21"/>
                <w:color w:val="auto"/>
              </w:rPr>
              <w:t>67</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500" w:type="dxa"/>
            <w:vAlign w:val="bottom"/>
            <w:tcBorders>
              <w:top w:val="single" w:sz="8" w:color="auto"/>
              <w:bottom w:val="single" w:sz="8" w:color="auto"/>
            </w:tcBorders>
            <w:gridSpan w:val="12"/>
          </w:tcPr>
          <w:p>
            <w:pPr>
              <w:spacing w:after="0" w:line="191" w:lineRule="exact"/>
              <w:rPr>
                <w:sz w:val="20"/>
                <w:szCs w:val="20"/>
                <w:color w:val="auto"/>
              </w:rPr>
            </w:pPr>
            <w:r>
              <w:rPr>
                <w:rFonts w:ascii="Arial" w:cs="Arial" w:eastAsia="Arial" w:hAnsi="Arial"/>
                <w:sz w:val="21"/>
                <w:szCs w:val="21"/>
                <w:color w:val="auto"/>
                <w:w w:val="91"/>
              </w:rPr>
              <w:t>in Trust; Other Miscellaneous Provisions.</w:t>
            </w:r>
          </w:p>
        </w:tc>
        <w:tc>
          <w:tcPr>
            <w:tcW w:w="2580" w:type="dxa"/>
            <w:vAlign w:val="bottom"/>
            <w:tcBorders>
              <w:top w:val="single" w:sz="8" w:color="auto"/>
            </w:tcBorders>
            <w:gridSpan w:val="22"/>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120" w:type="dxa"/>
            <w:vAlign w:val="bottom"/>
            <w:tcBorders>
              <w:bottom w:val="single" w:sz="8" w:color="auto"/>
            </w:tcBorders>
            <w:gridSpan w:val="8"/>
          </w:tcPr>
          <w:p>
            <w:pPr>
              <w:spacing w:after="0"/>
              <w:rPr>
                <w:sz w:val="20"/>
                <w:szCs w:val="20"/>
                <w:color w:val="auto"/>
              </w:rPr>
            </w:pPr>
            <w:r>
              <w:rPr>
                <w:rFonts w:ascii="Arial" w:cs="Arial" w:eastAsia="Arial" w:hAnsi="Arial"/>
                <w:sz w:val="21"/>
                <w:szCs w:val="21"/>
                <w:color w:val="auto"/>
                <w:w w:val="91"/>
              </w:rPr>
              <w:t>Section 8.06  Repayment to Issuers.</w:t>
            </w:r>
          </w:p>
        </w:tc>
        <w:tc>
          <w:tcPr>
            <w:tcW w:w="5040" w:type="dxa"/>
            <w:vAlign w:val="bottom"/>
            <w:gridSpan w:val="32"/>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68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Arial" w:cs="Arial" w:eastAsia="Arial" w:hAnsi="Arial"/>
                <w:sz w:val="21"/>
                <w:szCs w:val="21"/>
                <w:color w:val="auto"/>
              </w:rPr>
              <w:t>Section 8.07</w:t>
            </w:r>
          </w:p>
        </w:tc>
        <w:tc>
          <w:tcPr>
            <w:tcW w:w="6960" w:type="dxa"/>
            <w:vAlign w:val="bottom"/>
            <w:gridSpan w:val="37"/>
          </w:tcPr>
          <w:p>
            <w:pPr>
              <w:ind w:left="60"/>
              <w:spacing w:after="0"/>
              <w:rPr>
                <w:sz w:val="20"/>
                <w:szCs w:val="20"/>
                <w:color w:val="auto"/>
              </w:rPr>
            </w:pPr>
            <w:r>
              <w:rPr>
                <w:rFonts w:ascii="Arial" w:cs="Arial" w:eastAsia="Arial" w:hAnsi="Arial"/>
                <w:sz w:val="21"/>
                <w:szCs w:val="21"/>
                <w:color w:val="auto"/>
              </w:rPr>
              <w:t>Reinstatement.</w:t>
            </w:r>
          </w:p>
        </w:tc>
        <w:tc>
          <w:tcPr>
            <w:tcW w:w="2940" w:type="dxa"/>
            <w:vAlign w:val="bottom"/>
          </w:tcPr>
          <w:p>
            <w:pPr>
              <w:jc w:val="right"/>
              <w:spacing w:after="0"/>
              <w:rPr>
                <w:sz w:val="20"/>
                <w:szCs w:val="20"/>
                <w:color w:val="auto"/>
              </w:rPr>
            </w:pPr>
            <w:r>
              <w:rPr>
                <w:rFonts w:ascii="Arial" w:cs="Arial" w:eastAsia="Arial" w:hAnsi="Arial"/>
                <w:sz w:val="21"/>
                <w:szCs w:val="21"/>
                <w:color w:val="auto"/>
              </w:rPr>
              <w:t>68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60" w:type="dxa"/>
            <w:vAlign w:val="bottom"/>
            <w:gridSpan w:val="14"/>
          </w:tcPr>
          <w:p>
            <w:pPr>
              <w:jc w:val="center"/>
              <w:ind w:right="2080"/>
              <w:spacing w:after="0"/>
              <w:rPr>
                <w:sz w:val="20"/>
                <w:szCs w:val="20"/>
                <w:color w:val="auto"/>
              </w:rPr>
            </w:pPr>
            <w:r>
              <w:rPr>
                <w:rFonts w:ascii="Arial" w:cs="Arial" w:eastAsia="Arial" w:hAnsi="Arial"/>
                <w:sz w:val="21"/>
                <w:szCs w:val="21"/>
                <w:color w:val="auto"/>
                <w:w w:val="96"/>
              </w:rPr>
              <w:t>ARTICLE 9.</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15"/>
          </w:tcPr>
          <w:p>
            <w:pPr>
              <w:spacing w:after="0" w:line="191" w:lineRule="exact"/>
              <w:rPr>
                <w:sz w:val="20"/>
                <w:szCs w:val="20"/>
                <w:color w:val="auto"/>
              </w:rPr>
            </w:pPr>
            <w:r>
              <w:rPr>
                <w:rFonts w:ascii="Arial" w:cs="Arial" w:eastAsia="Arial" w:hAnsi="Arial"/>
                <w:sz w:val="21"/>
                <w:szCs w:val="21"/>
                <w:color w:val="auto"/>
              </w:rPr>
              <w:t>AMENDMENT,</w:t>
            </w:r>
          </w:p>
        </w:tc>
        <w:tc>
          <w:tcPr>
            <w:tcW w:w="1080" w:type="dxa"/>
            <w:vAlign w:val="bottom"/>
            <w:tcBorders>
              <w:top w:val="single" w:sz="8" w:color="auto"/>
            </w:tcBorders>
            <w:gridSpan w:val="8"/>
          </w:tcPr>
          <w:p>
            <w:pPr>
              <w:jc w:val="center"/>
              <w:spacing w:after="0" w:line="191" w:lineRule="exact"/>
              <w:rPr>
                <w:sz w:val="20"/>
                <w:szCs w:val="20"/>
                <w:color w:val="auto"/>
              </w:rPr>
            </w:pPr>
            <w:r>
              <w:rPr>
                <w:rFonts w:ascii="Arial" w:cs="Arial" w:eastAsia="Arial" w:hAnsi="Arial"/>
                <w:sz w:val="21"/>
                <w:szCs w:val="21"/>
                <w:color w:val="auto"/>
                <w:w w:val="75"/>
              </w:rPr>
              <w:t>SUPPLEMENT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4"/>
          </w:tcPr>
          <w:p>
            <w:pPr>
              <w:ind w:left="160"/>
              <w:spacing w:after="0" w:line="191" w:lineRule="exact"/>
              <w:rPr>
                <w:sz w:val="20"/>
                <w:szCs w:val="20"/>
                <w:color w:val="auto"/>
              </w:rPr>
            </w:pPr>
            <w:r>
              <w:rPr>
                <w:rFonts w:ascii="Arial" w:cs="Arial" w:eastAsia="Arial" w:hAnsi="Arial"/>
                <w:sz w:val="21"/>
                <w:szCs w:val="21"/>
                <w:color w:val="auto"/>
              </w:rPr>
              <w:t>AND WAIVER</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8160" w:type="dxa"/>
            <w:vAlign w:val="bottom"/>
            <w:gridSpan w:val="40"/>
          </w:tcPr>
          <w:p>
            <w:pPr>
              <w:spacing w:after="0"/>
              <w:rPr>
                <w:sz w:val="20"/>
                <w:szCs w:val="20"/>
                <w:color w:val="auto"/>
              </w:rPr>
            </w:pPr>
            <w:r>
              <w:rPr>
                <w:rFonts w:ascii="Arial" w:cs="Arial" w:eastAsia="Arial" w:hAnsi="Arial"/>
                <w:sz w:val="21"/>
                <w:szCs w:val="21"/>
                <w:color w:val="auto"/>
              </w:rPr>
              <w:t>Section 9.01  Without Consent of Holders of Notes.</w:t>
            </w:r>
          </w:p>
        </w:tc>
        <w:tc>
          <w:tcPr>
            <w:tcW w:w="2940" w:type="dxa"/>
            <w:vAlign w:val="bottom"/>
          </w:tcPr>
          <w:p>
            <w:pPr>
              <w:jc w:val="right"/>
              <w:spacing w:after="0"/>
              <w:rPr>
                <w:sz w:val="20"/>
                <w:szCs w:val="20"/>
                <w:color w:val="auto"/>
              </w:rPr>
            </w:pPr>
            <w:r>
              <w:rPr>
                <w:rFonts w:ascii="Arial" w:cs="Arial" w:eastAsia="Arial" w:hAnsi="Arial"/>
                <w:sz w:val="21"/>
                <w:szCs w:val="21"/>
                <w:color w:val="auto"/>
              </w:rPr>
              <w:t>68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180" w:type="dxa"/>
            <w:vAlign w:val="bottom"/>
            <w:tcBorders>
              <w:top w:val="single" w:sz="8" w:color="auto"/>
              <w:bottom w:val="single" w:sz="8" w:color="auto"/>
            </w:tcBorders>
            <w:gridSpan w:val="18"/>
          </w:tcPr>
          <w:p>
            <w:pPr>
              <w:spacing w:after="0"/>
              <w:rPr>
                <w:sz w:val="20"/>
                <w:szCs w:val="20"/>
                <w:color w:val="auto"/>
              </w:rPr>
            </w:pPr>
            <w:r>
              <w:rPr>
                <w:rFonts w:ascii="Arial" w:cs="Arial" w:eastAsia="Arial" w:hAnsi="Arial"/>
                <w:sz w:val="21"/>
                <w:szCs w:val="21"/>
                <w:color w:val="auto"/>
                <w:w w:val="93"/>
              </w:rPr>
              <w:t>Section 9.02  With Consent of Holders of Notes.</w:t>
            </w:r>
          </w:p>
        </w:tc>
        <w:tc>
          <w:tcPr>
            <w:tcW w:w="260" w:type="dxa"/>
            <w:vAlign w:val="bottom"/>
            <w:tcBorders>
              <w:top w:val="single" w:sz="8" w:color="auto"/>
            </w:tcBorders>
            <w:gridSpan w:val="3"/>
          </w:tcPr>
          <w:p>
            <w:pPr>
              <w:spacing w:after="0"/>
              <w:rPr>
                <w:sz w:val="21"/>
                <w:szCs w:val="21"/>
                <w:color w:val="auto"/>
              </w:rPr>
            </w:pPr>
          </w:p>
        </w:tc>
        <w:tc>
          <w:tcPr>
            <w:tcW w:w="3720" w:type="dxa"/>
            <w:vAlign w:val="bottom"/>
            <w:gridSpan w:val="19"/>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69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240" w:type="dxa"/>
            <w:vAlign w:val="bottom"/>
            <w:tcBorders>
              <w:bottom w:val="single" w:sz="8" w:color="auto"/>
            </w:tcBorders>
            <w:gridSpan w:val="20"/>
          </w:tcPr>
          <w:p>
            <w:pPr>
              <w:spacing w:after="0"/>
              <w:rPr>
                <w:sz w:val="20"/>
                <w:szCs w:val="20"/>
                <w:color w:val="auto"/>
              </w:rPr>
            </w:pPr>
            <w:r>
              <w:rPr>
                <w:rFonts w:ascii="Arial" w:cs="Arial" w:eastAsia="Arial" w:hAnsi="Arial"/>
                <w:sz w:val="21"/>
                <w:szCs w:val="21"/>
                <w:color w:val="auto"/>
                <w:w w:val="92"/>
              </w:rPr>
              <w:t>Section 9.03  Revocation and Effect of Consents.</w:t>
            </w:r>
          </w:p>
        </w:tc>
        <w:tc>
          <w:tcPr>
            <w:tcW w:w="3920" w:type="dxa"/>
            <w:vAlign w:val="bottom"/>
            <w:gridSpan w:val="20"/>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71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160" w:type="dxa"/>
            <w:vAlign w:val="bottom"/>
            <w:gridSpan w:val="40"/>
          </w:tcPr>
          <w:p>
            <w:pPr>
              <w:spacing w:after="0"/>
              <w:rPr>
                <w:sz w:val="20"/>
                <w:szCs w:val="20"/>
                <w:color w:val="auto"/>
              </w:rPr>
            </w:pPr>
            <w:r>
              <w:rPr>
                <w:rFonts w:ascii="Arial" w:cs="Arial" w:eastAsia="Arial" w:hAnsi="Arial"/>
                <w:sz w:val="21"/>
                <w:szCs w:val="21"/>
                <w:color w:val="auto"/>
              </w:rPr>
              <w:t>Section 9.04  Notation on or Exchange of Notes.</w:t>
            </w:r>
          </w:p>
        </w:tc>
        <w:tc>
          <w:tcPr>
            <w:tcW w:w="2940" w:type="dxa"/>
            <w:vAlign w:val="bottom"/>
          </w:tcPr>
          <w:p>
            <w:pPr>
              <w:jc w:val="right"/>
              <w:spacing w:after="0"/>
              <w:rPr>
                <w:sz w:val="20"/>
                <w:szCs w:val="20"/>
                <w:color w:val="auto"/>
              </w:rPr>
            </w:pPr>
            <w:r>
              <w:rPr>
                <w:rFonts w:ascii="Arial" w:cs="Arial" w:eastAsia="Arial" w:hAnsi="Arial"/>
                <w:sz w:val="21"/>
                <w:szCs w:val="21"/>
                <w:color w:val="auto"/>
              </w:rPr>
              <w:t>71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180" w:type="dxa"/>
            <w:vAlign w:val="bottom"/>
            <w:tcBorders>
              <w:top w:val="single" w:sz="8" w:color="auto"/>
            </w:tcBorders>
            <w:gridSpan w:val="18"/>
          </w:tcPr>
          <w:p>
            <w:pPr>
              <w:spacing w:after="0"/>
              <w:rPr>
                <w:sz w:val="20"/>
                <w:szCs w:val="20"/>
                <w:color w:val="auto"/>
              </w:rPr>
            </w:pPr>
            <w:r>
              <w:rPr>
                <w:rFonts w:ascii="Arial" w:cs="Arial" w:eastAsia="Arial" w:hAnsi="Arial"/>
                <w:sz w:val="21"/>
                <w:szCs w:val="21"/>
                <w:color w:val="auto"/>
                <w:w w:val="93"/>
              </w:rPr>
              <w:t>Section 9.05  Trustee to Sign Amendments, etc.</w:t>
            </w:r>
          </w:p>
        </w:tc>
        <w:tc>
          <w:tcPr>
            <w:tcW w:w="3980" w:type="dxa"/>
            <w:vAlign w:val="bottom"/>
            <w:gridSpan w:val="22"/>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71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20" w:type="dxa"/>
            <w:vAlign w:val="bottom"/>
            <w:gridSpan w:val="16"/>
          </w:tcPr>
          <w:p>
            <w:pPr>
              <w:jc w:val="center"/>
              <w:ind w:right="2020"/>
              <w:spacing w:after="0"/>
              <w:rPr>
                <w:sz w:val="20"/>
                <w:szCs w:val="20"/>
                <w:color w:val="auto"/>
              </w:rPr>
            </w:pPr>
            <w:r>
              <w:rPr>
                <w:rFonts w:ascii="Arial" w:cs="Arial" w:eastAsia="Arial" w:hAnsi="Arial"/>
                <w:sz w:val="21"/>
                <w:szCs w:val="21"/>
                <w:color w:val="auto"/>
                <w:w w:val="96"/>
              </w:rPr>
              <w:t>ARTICLE 10.</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8"/>
          </w:tcPr>
          <w:p>
            <w:pPr>
              <w:jc w:val="center"/>
              <w:ind w:right="140"/>
              <w:spacing w:after="0" w:line="191" w:lineRule="exact"/>
              <w:rPr>
                <w:sz w:val="20"/>
                <w:szCs w:val="20"/>
                <w:color w:val="auto"/>
              </w:rPr>
            </w:pPr>
            <w:r>
              <w:rPr>
                <w:rFonts w:ascii="Arial" w:cs="Arial" w:eastAsia="Arial" w:hAnsi="Arial"/>
                <w:sz w:val="21"/>
                <w:szCs w:val="21"/>
                <w:color w:val="auto"/>
                <w:w w:val="90"/>
              </w:rPr>
              <w:t>[Reserved]</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2"/>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Borders>
              <w:bottom w:val="single" w:sz="8" w:color="auto"/>
            </w:tcBorders>
            <w:gridSpan w:val="10"/>
          </w:tcPr>
          <w:p>
            <w:pPr>
              <w:jc w:val="center"/>
              <w:spacing w:after="0"/>
              <w:rPr>
                <w:sz w:val="20"/>
                <w:szCs w:val="20"/>
                <w:color w:val="auto"/>
              </w:rPr>
            </w:pPr>
            <w:r>
              <w:rPr>
                <w:rFonts w:ascii="Arial" w:cs="Arial" w:eastAsia="Arial" w:hAnsi="Arial"/>
                <w:sz w:val="21"/>
                <w:szCs w:val="21"/>
                <w:color w:val="auto"/>
                <w:w w:val="95"/>
              </w:rPr>
              <w:t>ARTICLE 11.</w:t>
            </w:r>
          </w:p>
        </w:tc>
        <w:tc>
          <w:tcPr>
            <w:tcW w:w="2020" w:type="dxa"/>
            <w:vAlign w:val="bottom"/>
            <w:gridSpan w:val="5"/>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tcBorders>
              <w:bottom w:val="single" w:sz="8" w:color="auto"/>
            </w:tcBorders>
            <w:gridSpan w:val="14"/>
          </w:tcPr>
          <w:p>
            <w:pPr>
              <w:jc w:val="center"/>
              <w:spacing w:after="0" w:line="191" w:lineRule="exact"/>
              <w:rPr>
                <w:sz w:val="20"/>
                <w:szCs w:val="20"/>
                <w:color w:val="auto"/>
              </w:rPr>
            </w:pPr>
            <w:r>
              <w:rPr>
                <w:rFonts w:ascii="Arial" w:cs="Arial" w:eastAsia="Arial" w:hAnsi="Arial"/>
                <w:sz w:val="21"/>
                <w:szCs w:val="21"/>
                <w:color w:val="auto"/>
                <w:w w:val="96"/>
              </w:rPr>
              <w:t>NOTE GUARANTEES</w:t>
            </w:r>
          </w:p>
        </w:tc>
        <w:tc>
          <w:tcPr>
            <w:tcW w:w="1600" w:type="dxa"/>
            <w:vAlign w:val="bottom"/>
            <w:gridSpan w:val="3"/>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1"/>
              </w:rPr>
              <w:t>Section 11.01</w:t>
            </w:r>
          </w:p>
        </w:tc>
        <w:tc>
          <w:tcPr>
            <w:tcW w:w="1540" w:type="dxa"/>
            <w:vAlign w:val="bottom"/>
            <w:tcBorders>
              <w:bottom w:val="single" w:sz="8" w:color="auto"/>
            </w:tcBorders>
            <w:gridSpan w:val="3"/>
          </w:tcPr>
          <w:p>
            <w:pPr>
              <w:ind w:left="160"/>
              <w:spacing w:after="0"/>
              <w:rPr>
                <w:sz w:val="20"/>
                <w:szCs w:val="20"/>
                <w:color w:val="auto"/>
              </w:rPr>
            </w:pPr>
            <w:r>
              <w:rPr>
                <w:rFonts w:ascii="Arial" w:cs="Arial" w:eastAsia="Arial" w:hAnsi="Arial"/>
                <w:sz w:val="21"/>
                <w:szCs w:val="21"/>
                <w:color w:val="auto"/>
                <w:w w:val="87"/>
              </w:rPr>
              <w:t>Note Guarantee.</w:t>
            </w:r>
          </w:p>
        </w:tc>
        <w:tc>
          <w:tcPr>
            <w:tcW w:w="5420" w:type="dxa"/>
            <w:vAlign w:val="bottom"/>
            <w:gridSpan w:val="34"/>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72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160" w:type="dxa"/>
            <w:vAlign w:val="bottom"/>
            <w:gridSpan w:val="40"/>
          </w:tcPr>
          <w:p>
            <w:pPr>
              <w:spacing w:after="0"/>
              <w:rPr>
                <w:sz w:val="20"/>
                <w:szCs w:val="20"/>
                <w:color w:val="auto"/>
              </w:rPr>
            </w:pPr>
            <w:r>
              <w:rPr>
                <w:rFonts w:ascii="Arial" w:cs="Arial" w:eastAsia="Arial" w:hAnsi="Arial"/>
                <w:sz w:val="21"/>
                <w:szCs w:val="21"/>
                <w:color w:val="auto"/>
              </w:rPr>
              <w:t>Section 11.02  Limitation on Guarantor Liability.</w:t>
            </w:r>
          </w:p>
        </w:tc>
        <w:tc>
          <w:tcPr>
            <w:tcW w:w="2940" w:type="dxa"/>
            <w:vAlign w:val="bottom"/>
          </w:tcPr>
          <w:p>
            <w:pPr>
              <w:jc w:val="right"/>
              <w:spacing w:after="0"/>
              <w:rPr>
                <w:sz w:val="20"/>
                <w:szCs w:val="20"/>
                <w:color w:val="auto"/>
              </w:rPr>
            </w:pPr>
            <w:r>
              <w:rPr>
                <w:rFonts w:ascii="Arial" w:cs="Arial" w:eastAsia="Arial" w:hAnsi="Arial"/>
                <w:sz w:val="21"/>
                <w:szCs w:val="21"/>
                <w:color w:val="auto"/>
              </w:rPr>
              <w:t>73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160" w:type="dxa"/>
            <w:vAlign w:val="bottom"/>
            <w:gridSpan w:val="6"/>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5000" w:type="dxa"/>
            <w:vAlign w:val="bottom"/>
            <w:tcBorders>
              <w:bottom w:val="single" w:sz="8" w:color="auto"/>
            </w:tcBorders>
            <w:gridSpan w:val="26"/>
          </w:tcPr>
          <w:p>
            <w:pPr>
              <w:spacing w:after="0"/>
              <w:rPr>
                <w:sz w:val="20"/>
                <w:szCs w:val="20"/>
                <w:color w:val="auto"/>
              </w:rPr>
            </w:pPr>
            <w:r>
              <w:rPr>
                <w:rFonts w:ascii="Arial" w:cs="Arial" w:eastAsia="Arial" w:hAnsi="Arial"/>
                <w:sz w:val="21"/>
                <w:szCs w:val="21"/>
                <w:color w:val="auto"/>
                <w:w w:val="91"/>
              </w:rPr>
              <w:t>Section 11.03  Execution and Delivery of Note Guarantee.</w:t>
            </w:r>
          </w:p>
        </w:tc>
        <w:tc>
          <w:tcPr>
            <w:tcW w:w="3160" w:type="dxa"/>
            <w:vAlign w:val="bottom"/>
            <w:gridSpan w:val="14"/>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73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160" w:type="dxa"/>
            <w:vAlign w:val="bottom"/>
            <w:gridSpan w:val="40"/>
          </w:tcPr>
          <w:p>
            <w:pPr>
              <w:spacing w:after="0"/>
              <w:rPr>
                <w:sz w:val="20"/>
                <w:szCs w:val="20"/>
                <w:color w:val="auto"/>
              </w:rPr>
            </w:pPr>
            <w:r>
              <w:rPr>
                <w:rFonts w:ascii="Arial" w:cs="Arial" w:eastAsia="Arial" w:hAnsi="Arial"/>
                <w:sz w:val="21"/>
                <w:szCs w:val="21"/>
                <w:color w:val="auto"/>
              </w:rPr>
              <w:t>Section 11.04  Guarantors May Consolidate, etc., on Certain Terms.</w:t>
            </w:r>
          </w:p>
        </w:tc>
        <w:tc>
          <w:tcPr>
            <w:tcW w:w="2940" w:type="dxa"/>
            <w:vAlign w:val="bottom"/>
          </w:tcPr>
          <w:p>
            <w:pPr>
              <w:jc w:val="right"/>
              <w:spacing w:after="0"/>
              <w:rPr>
                <w:sz w:val="20"/>
                <w:szCs w:val="20"/>
                <w:color w:val="auto"/>
              </w:rPr>
            </w:pPr>
            <w:r>
              <w:rPr>
                <w:rFonts w:ascii="Arial" w:cs="Arial" w:eastAsia="Arial" w:hAnsi="Arial"/>
                <w:sz w:val="21"/>
                <w:szCs w:val="21"/>
                <w:color w:val="auto"/>
              </w:rPr>
              <w:t>73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800" w:type="dxa"/>
            <w:vAlign w:val="bottom"/>
            <w:tcBorders>
              <w:top w:val="single" w:sz="8" w:color="auto"/>
            </w:tcBorders>
            <w:gridSpan w:val="31"/>
          </w:tcPr>
          <w:p>
            <w:pPr>
              <w:spacing w:after="0"/>
              <w:rPr>
                <w:sz w:val="20"/>
                <w:szCs w:val="20"/>
                <w:color w:val="auto"/>
              </w:rPr>
            </w:pPr>
            <w:r>
              <w:rPr>
                <w:rFonts w:ascii="Arial" w:cs="Arial" w:eastAsia="Arial" w:hAnsi="Arial"/>
                <w:sz w:val="21"/>
                <w:szCs w:val="21"/>
                <w:color w:val="auto"/>
              </w:rPr>
              <w:t>Section 11.05  Release of Guarantees.</w:t>
            </w:r>
          </w:p>
        </w:tc>
        <w:tc>
          <w:tcPr>
            <w:tcW w:w="2360" w:type="dxa"/>
            <w:vAlign w:val="bottom"/>
            <w:gridSpan w:val="9"/>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74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160" w:type="dxa"/>
            <w:vAlign w:val="bottom"/>
            <w:gridSpan w:val="6"/>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660" w:type="dxa"/>
            <w:vAlign w:val="bottom"/>
            <w:gridSpan w:val="1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3760" w:type="dxa"/>
            <w:vAlign w:val="bottom"/>
            <w:tcBorders>
              <w:bottom w:val="single" w:sz="8" w:color="auto"/>
            </w:tcBorders>
            <w:gridSpan w:val="15"/>
          </w:tcPr>
          <w:p>
            <w:pPr>
              <w:spacing w:after="0"/>
              <w:rPr>
                <w:sz w:val="20"/>
                <w:szCs w:val="20"/>
                <w:color w:val="auto"/>
              </w:rPr>
            </w:pPr>
            <w:r>
              <w:rPr>
                <w:rFonts w:ascii="Arial" w:cs="Arial" w:eastAsia="Arial" w:hAnsi="Arial"/>
                <w:sz w:val="21"/>
                <w:szCs w:val="21"/>
                <w:color w:val="auto"/>
                <w:w w:val="92"/>
              </w:rPr>
              <w:t>Section 11.06  Additional Note Guarantees.</w:t>
            </w:r>
          </w:p>
        </w:tc>
        <w:tc>
          <w:tcPr>
            <w:tcW w:w="4400" w:type="dxa"/>
            <w:vAlign w:val="bottom"/>
            <w:gridSpan w:val="25"/>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21"/>
                <w:szCs w:val="21"/>
                <w:color w:val="auto"/>
              </w:rPr>
              <w:t>74</w:t>
            </w:r>
          </w:p>
        </w:tc>
        <w:tc>
          <w:tcPr>
            <w:tcW w:w="0" w:type="dxa"/>
            <w:vAlign w:val="bottom"/>
          </w:tcPr>
          <w:p>
            <w:pPr>
              <w:spacing w:after="0"/>
              <w:rPr>
                <w:sz w:val="1"/>
                <w:szCs w:val="1"/>
                <w:color w:val="auto"/>
              </w:rPr>
            </w:pPr>
          </w:p>
        </w:tc>
      </w:tr>
      <w:tr>
        <w:trPr>
          <w:trHeight w:val="243"/>
        </w:trPr>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5"/>
              </w:rPr>
              <w:t>ARTICLE 12.</w:t>
            </w: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180" w:type="dxa"/>
            <w:vAlign w:val="bottom"/>
            <w:tcBorders>
              <w:bottom w:val="single" w:sz="8" w:color="auto"/>
            </w:tcBorders>
            <w:gridSpan w:val="5"/>
          </w:tcPr>
          <w:p>
            <w:pPr>
              <w:spacing w:after="0" w:line="191" w:lineRule="exact"/>
              <w:rPr>
                <w:sz w:val="20"/>
                <w:szCs w:val="20"/>
                <w:color w:val="auto"/>
              </w:rPr>
            </w:pPr>
            <w:r>
              <w:rPr>
                <w:rFonts w:ascii="Arial" w:cs="Arial" w:eastAsia="Arial" w:hAnsi="Arial"/>
                <w:sz w:val="21"/>
                <w:szCs w:val="21"/>
                <w:color w:val="auto"/>
                <w:w w:val="88"/>
              </w:rPr>
              <w:t>satisfaction and discharge</w:t>
            </w:r>
          </w:p>
        </w:tc>
        <w:tc>
          <w:tcPr>
            <w:tcW w:w="6040" w:type="dxa"/>
            <w:vAlign w:val="bottom"/>
            <w:gridSpan w:val="36"/>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160" w:type="dxa"/>
            <w:vAlign w:val="bottom"/>
            <w:gridSpan w:val="40"/>
          </w:tcPr>
          <w:p>
            <w:pPr>
              <w:spacing w:after="0"/>
              <w:rPr>
                <w:sz w:val="20"/>
                <w:szCs w:val="20"/>
                <w:color w:val="auto"/>
              </w:rPr>
            </w:pPr>
            <w:r>
              <w:rPr>
                <w:rFonts w:ascii="Arial" w:cs="Arial" w:eastAsia="Arial" w:hAnsi="Arial"/>
                <w:sz w:val="21"/>
                <w:szCs w:val="21"/>
                <w:color w:val="auto"/>
              </w:rPr>
              <w:t>Section 12.01  Satisfaction and Discharge.</w:t>
            </w:r>
          </w:p>
        </w:tc>
        <w:tc>
          <w:tcPr>
            <w:tcW w:w="2940" w:type="dxa"/>
            <w:vAlign w:val="bottom"/>
          </w:tcPr>
          <w:p>
            <w:pPr>
              <w:jc w:val="right"/>
              <w:spacing w:after="0"/>
              <w:rPr>
                <w:sz w:val="20"/>
                <w:szCs w:val="20"/>
                <w:color w:val="auto"/>
              </w:rPr>
            </w:pPr>
            <w:r>
              <w:rPr>
                <w:rFonts w:ascii="Arial" w:cs="Arial" w:eastAsia="Arial" w:hAnsi="Arial"/>
                <w:sz w:val="21"/>
                <w:szCs w:val="21"/>
                <w:color w:val="auto"/>
              </w:rPr>
              <w:t>75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20" w:type="dxa"/>
            <w:vAlign w:val="bottom"/>
            <w:gridSpan w:val="1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660" w:type="dxa"/>
            <w:vAlign w:val="bottom"/>
            <w:gridSpan w:val="1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8160" w:type="dxa"/>
            <w:vAlign w:val="bottom"/>
            <w:gridSpan w:val="40"/>
          </w:tcPr>
          <w:p>
            <w:pPr>
              <w:spacing w:after="0"/>
              <w:rPr>
                <w:sz w:val="20"/>
                <w:szCs w:val="20"/>
                <w:color w:val="auto"/>
              </w:rPr>
            </w:pPr>
            <w:r>
              <w:rPr>
                <w:rFonts w:ascii="Arial" w:cs="Arial" w:eastAsia="Arial" w:hAnsi="Arial"/>
                <w:sz w:val="21"/>
                <w:szCs w:val="21"/>
                <w:color w:val="auto"/>
              </w:rPr>
              <w:t>Section 12.02  Application of Trust Money.</w:t>
            </w:r>
          </w:p>
        </w:tc>
        <w:tc>
          <w:tcPr>
            <w:tcW w:w="2940" w:type="dxa"/>
            <w:vAlign w:val="bottom"/>
          </w:tcPr>
          <w:p>
            <w:pPr>
              <w:jc w:val="right"/>
              <w:spacing w:after="0"/>
              <w:rPr>
                <w:sz w:val="20"/>
                <w:szCs w:val="20"/>
                <w:color w:val="auto"/>
              </w:rPr>
            </w:pPr>
            <w:r>
              <w:rPr>
                <w:rFonts w:ascii="Arial" w:cs="Arial" w:eastAsia="Arial" w:hAnsi="Arial"/>
                <w:sz w:val="21"/>
                <w:szCs w:val="21"/>
                <w:color w:val="auto"/>
              </w:rPr>
              <w:t>75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vMerge w:val="restart"/>
          </w:tcPr>
          <w:p>
            <w:pPr>
              <w:spacing w:after="0"/>
              <w:rPr>
                <w:sz w:val="20"/>
                <w:szCs w:val="20"/>
                <w:color w:val="auto"/>
              </w:rPr>
            </w:pPr>
            <w:r>
              <w:rPr>
                <w:rFonts w:ascii="Arial" w:cs="Arial" w:eastAsia="Arial" w:hAnsi="Arial"/>
                <w:sz w:val="21"/>
                <w:szCs w:val="21"/>
                <w:color w:val="auto"/>
              </w:rPr>
              <w:t>joint</w:t>
            </w:r>
          </w:p>
        </w:tc>
        <w:tc>
          <w:tcPr>
            <w:tcW w:w="1220" w:type="dxa"/>
            <w:vAlign w:val="bottom"/>
            <w:tcBorders>
              <w:bottom w:val="single" w:sz="8" w:color="auto"/>
            </w:tcBorders>
            <w:gridSpan w:val="12"/>
          </w:tcPr>
          <w:p>
            <w:pPr>
              <w:jc w:val="center"/>
              <w:ind w:right="20"/>
              <w:spacing w:after="0"/>
              <w:rPr>
                <w:sz w:val="20"/>
                <w:szCs w:val="20"/>
                <w:color w:val="auto"/>
              </w:rPr>
            </w:pPr>
            <w:r>
              <w:rPr>
                <w:rFonts w:ascii="Arial" w:cs="Arial" w:eastAsia="Arial" w:hAnsi="Arial"/>
                <w:sz w:val="21"/>
                <w:szCs w:val="21"/>
                <w:color w:val="auto"/>
                <w:w w:val="96"/>
              </w:rPr>
              <w:t>ARTICLE 13.</w:t>
            </w:r>
          </w:p>
        </w:tc>
        <w:tc>
          <w:tcPr>
            <w:tcW w:w="2000" w:type="dxa"/>
            <w:vAlign w:val="bottom"/>
            <w:gridSpan w:val="4"/>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auto"/>
            </w:tcBorders>
            <w:gridSpan w:val="2"/>
            <w:vMerge w:val="continue"/>
          </w:tcPr>
          <w:p>
            <w:pPr>
              <w:spacing w:after="0"/>
              <w:rPr>
                <w:sz w:val="16"/>
                <w:szCs w:val="16"/>
                <w:color w:val="auto"/>
              </w:rPr>
            </w:pPr>
          </w:p>
        </w:tc>
        <w:tc>
          <w:tcPr>
            <w:tcW w:w="1660" w:type="dxa"/>
            <w:vAlign w:val="bottom"/>
            <w:tcBorders>
              <w:bottom w:val="single" w:sz="8" w:color="auto"/>
            </w:tcBorders>
            <w:gridSpan w:val="14"/>
          </w:tcPr>
          <w:p>
            <w:pPr>
              <w:spacing w:after="0" w:line="191" w:lineRule="exact"/>
              <w:rPr>
                <w:sz w:val="20"/>
                <w:szCs w:val="20"/>
                <w:color w:val="auto"/>
              </w:rPr>
            </w:pPr>
            <w:r>
              <w:rPr>
                <w:rFonts w:ascii="Arial" w:cs="Arial" w:eastAsia="Arial" w:hAnsi="Arial"/>
                <w:sz w:val="21"/>
                <w:szCs w:val="21"/>
                <w:color w:val="auto"/>
                <w:w w:val="92"/>
              </w:rPr>
              <w:t>and several liability</w:t>
            </w:r>
          </w:p>
        </w:tc>
        <w:tc>
          <w:tcPr>
            <w:tcW w:w="1560" w:type="dxa"/>
            <w:vAlign w:val="bottom"/>
            <w:gridSpan w:val="2"/>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160" w:type="dxa"/>
            <w:vAlign w:val="bottom"/>
            <w:gridSpan w:val="40"/>
          </w:tcPr>
          <w:p>
            <w:pPr>
              <w:spacing w:after="0"/>
              <w:rPr>
                <w:sz w:val="20"/>
                <w:szCs w:val="20"/>
                <w:color w:val="auto"/>
              </w:rPr>
            </w:pPr>
            <w:r>
              <w:rPr>
                <w:rFonts w:ascii="Arial" w:cs="Arial" w:eastAsia="Arial" w:hAnsi="Arial"/>
                <w:sz w:val="21"/>
                <w:szCs w:val="21"/>
                <w:color w:val="auto"/>
              </w:rPr>
              <w:t>Section 13.01  Joint and Several Liability.</w:t>
            </w:r>
          </w:p>
        </w:tc>
        <w:tc>
          <w:tcPr>
            <w:tcW w:w="2940" w:type="dxa"/>
            <w:vAlign w:val="bottom"/>
          </w:tcPr>
          <w:p>
            <w:pPr>
              <w:jc w:val="right"/>
              <w:spacing w:after="0"/>
              <w:rPr>
                <w:sz w:val="20"/>
                <w:szCs w:val="20"/>
                <w:color w:val="auto"/>
              </w:rPr>
            </w:pPr>
            <w:r>
              <w:rPr>
                <w:rFonts w:ascii="Arial" w:cs="Arial" w:eastAsia="Arial" w:hAnsi="Arial"/>
                <w:sz w:val="21"/>
                <w:szCs w:val="21"/>
                <w:color w:val="auto"/>
              </w:rPr>
              <w:t>76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160"/>
          </w:cols>
          <w:pgMar w:left="340" w:top="1398" w:right="3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1"/>
          <w:szCs w:val="21"/>
          <w:u w:val="single" w:color="auto"/>
          <w:color w:val="auto"/>
        </w:rPr>
        <w:t>ARTICLE 14.</w:t>
      </w:r>
    </w:p>
    <w:p>
      <w:pPr>
        <w:jc w:val="center"/>
        <w:ind w:right="20"/>
        <w:spacing w:after="0"/>
        <w:rPr>
          <w:sz w:val="20"/>
          <w:szCs w:val="20"/>
          <w:color w:val="auto"/>
        </w:rPr>
      </w:pPr>
      <w:r>
        <w:rPr>
          <w:rFonts w:ascii="Arial" w:cs="Arial" w:eastAsia="Arial" w:hAnsi="Arial"/>
          <w:sz w:val="21"/>
          <w:szCs w:val="21"/>
          <w:u w:val="single" w:color="auto"/>
          <w:color w:val="auto"/>
        </w:rPr>
        <w:t>MISCELLANEOUS</w:t>
      </w:r>
    </w:p>
    <w:tbl>
      <w:tblPr>
        <w:tblLayout w:type="fixed"/>
        <w:tblInd w:w="0" w:type="dxa"/>
        <w:tblCellMar>
          <w:top w:w="0" w:type="dxa"/>
          <w:left w:w="0" w:type="dxa"/>
          <w:bottom w:w="0" w:type="dxa"/>
          <w:right w:w="0" w:type="dxa"/>
        </w:tblCellMar>
      </w:tblPr>
      <w:tr>
        <w:trPr>
          <w:trHeight w:val="222"/>
        </w:trPr>
        <w:tc>
          <w:tcPr>
            <w:tcW w:w="1300" w:type="dxa"/>
            <w:vAlign w:val="bottom"/>
            <w:tcBorders>
              <w:bottom w:val="single" w:sz="8" w:color="auto"/>
            </w:tcBorders>
          </w:tcPr>
          <w:p>
            <w:pPr>
              <w:spacing w:after="0" w:line="223" w:lineRule="exact"/>
              <w:rPr>
                <w:sz w:val="20"/>
                <w:szCs w:val="20"/>
                <w:color w:val="auto"/>
              </w:rPr>
            </w:pPr>
            <w:r>
              <w:rPr>
                <w:rFonts w:ascii="Arial" w:cs="Arial" w:eastAsia="Arial" w:hAnsi="Arial"/>
                <w:sz w:val="21"/>
                <w:szCs w:val="21"/>
                <w:color w:val="auto"/>
                <w:w w:val="99"/>
              </w:rPr>
              <w:t>Section 14.01</w:t>
            </w:r>
          </w:p>
        </w:tc>
        <w:tc>
          <w:tcPr>
            <w:tcW w:w="76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1"/>
                <w:szCs w:val="21"/>
                <w:color w:val="auto"/>
                <w:w w:val="89"/>
              </w:rPr>
              <w:t>Notices.</w:t>
            </w:r>
          </w:p>
        </w:tc>
        <w:tc>
          <w:tcPr>
            <w:tcW w:w="6400" w:type="dxa"/>
            <w:vAlign w:val="bottom"/>
            <w:gridSpan w:val="12"/>
          </w:tcPr>
          <w:p>
            <w:pPr>
              <w:spacing w:after="0"/>
              <w:rPr>
                <w:sz w:val="19"/>
                <w:szCs w:val="19"/>
                <w:color w:val="auto"/>
              </w:rPr>
            </w:pPr>
          </w:p>
        </w:tc>
        <w:tc>
          <w:tcPr>
            <w:tcW w:w="2640" w:type="dxa"/>
            <w:vAlign w:val="bottom"/>
          </w:tcPr>
          <w:p>
            <w:pPr>
              <w:jc w:val="right"/>
              <w:spacing w:after="0" w:line="223" w:lineRule="exact"/>
              <w:rPr>
                <w:sz w:val="20"/>
                <w:szCs w:val="20"/>
                <w:color w:val="auto"/>
              </w:rPr>
            </w:pPr>
            <w:r>
              <w:rPr>
                <w:rFonts w:ascii="Arial" w:cs="Arial" w:eastAsia="Arial" w:hAnsi="Arial"/>
                <w:sz w:val="21"/>
                <w:szCs w:val="21"/>
                <w:color w:val="auto"/>
              </w:rPr>
              <w:t>77</w:t>
            </w:r>
          </w:p>
        </w:tc>
        <w:tc>
          <w:tcPr>
            <w:tcW w:w="0" w:type="dxa"/>
            <w:vAlign w:val="bottom"/>
          </w:tcPr>
          <w:p>
            <w:pPr>
              <w:spacing w:after="0"/>
              <w:rPr>
                <w:sz w:val="1"/>
                <w:szCs w:val="1"/>
                <w:color w:val="auto"/>
              </w:rPr>
            </w:pPr>
          </w:p>
        </w:tc>
      </w:tr>
      <w:tr>
        <w:trPr>
          <w:trHeight w:val="243"/>
        </w:trPr>
        <w:tc>
          <w:tcPr>
            <w:tcW w:w="8460" w:type="dxa"/>
            <w:vAlign w:val="bottom"/>
            <w:gridSpan w:val="14"/>
          </w:tcPr>
          <w:p>
            <w:pPr>
              <w:spacing w:after="0"/>
              <w:rPr>
                <w:sz w:val="20"/>
                <w:szCs w:val="20"/>
                <w:color w:val="auto"/>
              </w:rPr>
            </w:pPr>
            <w:r>
              <w:rPr>
                <w:rFonts w:ascii="Arial" w:cs="Arial" w:eastAsia="Arial" w:hAnsi="Arial"/>
                <w:sz w:val="21"/>
                <w:szCs w:val="21"/>
                <w:color w:val="auto"/>
              </w:rPr>
              <w:t>Section 14.02  Certificate and Opinion as to Conditions Precedent.</w:t>
            </w:r>
          </w:p>
        </w:tc>
        <w:tc>
          <w:tcPr>
            <w:tcW w:w="2640" w:type="dxa"/>
            <w:vAlign w:val="bottom"/>
          </w:tcPr>
          <w:p>
            <w:pPr>
              <w:jc w:val="right"/>
              <w:spacing w:after="0"/>
              <w:rPr>
                <w:sz w:val="20"/>
                <w:szCs w:val="20"/>
                <w:color w:val="auto"/>
              </w:rPr>
            </w:pPr>
            <w:r>
              <w:rPr>
                <w:rFonts w:ascii="Arial" w:cs="Arial" w:eastAsia="Arial" w:hAnsi="Arial"/>
                <w:sz w:val="21"/>
                <w:szCs w:val="21"/>
                <w:color w:val="auto"/>
              </w:rPr>
              <w:t>78</w:t>
            </w:r>
          </w:p>
        </w:tc>
        <w:tc>
          <w:tcPr>
            <w:tcW w:w="0" w:type="dxa"/>
            <w:vAlign w:val="bottom"/>
          </w:tcPr>
          <w:p>
            <w:pPr>
              <w:spacing w:after="0"/>
              <w:rPr>
                <w:sz w:val="1"/>
                <w:szCs w:val="1"/>
                <w:color w:val="auto"/>
              </w:rPr>
            </w:pPr>
          </w:p>
        </w:tc>
      </w:tr>
      <w:tr>
        <w:trPr>
          <w:trHeight w:val="243"/>
        </w:trPr>
        <w:tc>
          <w:tcPr>
            <w:tcW w:w="5700" w:type="dxa"/>
            <w:vAlign w:val="bottom"/>
            <w:tcBorders>
              <w:top w:val="single" w:sz="8" w:color="auto"/>
            </w:tcBorders>
            <w:gridSpan w:val="12"/>
          </w:tcPr>
          <w:p>
            <w:pPr>
              <w:spacing w:after="0"/>
              <w:rPr>
                <w:sz w:val="20"/>
                <w:szCs w:val="20"/>
                <w:color w:val="auto"/>
              </w:rPr>
            </w:pPr>
            <w:r>
              <w:rPr>
                <w:rFonts w:ascii="Arial" w:cs="Arial" w:eastAsia="Arial" w:hAnsi="Arial"/>
                <w:sz w:val="21"/>
                <w:szCs w:val="21"/>
                <w:color w:val="auto"/>
                <w:w w:val="99"/>
              </w:rPr>
              <w:t>Section 14.03  Statements Required in Certificate or Opinion.</w:t>
            </w:r>
          </w:p>
        </w:tc>
        <w:tc>
          <w:tcPr>
            <w:tcW w:w="2760" w:type="dxa"/>
            <w:vAlign w:val="bottom"/>
            <w:gridSpan w:val="2"/>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21"/>
                <w:szCs w:val="21"/>
                <w:color w:val="auto"/>
              </w:rPr>
              <w:t>79</w:t>
            </w:r>
          </w:p>
        </w:tc>
        <w:tc>
          <w:tcPr>
            <w:tcW w:w="0" w:type="dxa"/>
            <w:vAlign w:val="bottom"/>
          </w:tcPr>
          <w:p>
            <w:pPr>
              <w:spacing w:after="0"/>
              <w:rPr>
                <w:sz w:val="1"/>
                <w:szCs w:val="1"/>
                <w:color w:val="auto"/>
              </w:rPr>
            </w:pPr>
          </w:p>
        </w:tc>
      </w:tr>
      <w:tr>
        <w:trPr>
          <w:trHeight w:val="243"/>
        </w:trPr>
        <w:tc>
          <w:tcPr>
            <w:tcW w:w="384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21"/>
                <w:szCs w:val="21"/>
                <w:color w:val="auto"/>
                <w:w w:val="91"/>
              </w:rPr>
              <w:t>Section 14.04  Rules by Trustee and Agents.</w:t>
            </w:r>
          </w:p>
        </w:tc>
        <w:tc>
          <w:tcPr>
            <w:tcW w:w="1440" w:type="dxa"/>
            <w:vAlign w:val="bottom"/>
            <w:tcBorders>
              <w:top w:val="single" w:sz="8" w:color="auto"/>
            </w:tcBorders>
            <w:gridSpan w:val="2"/>
          </w:tcPr>
          <w:p>
            <w:pPr>
              <w:spacing w:after="0"/>
              <w:rPr>
                <w:sz w:val="21"/>
                <w:szCs w:val="21"/>
                <w:color w:val="auto"/>
              </w:rPr>
            </w:pPr>
          </w:p>
        </w:tc>
        <w:tc>
          <w:tcPr>
            <w:tcW w:w="3180" w:type="dxa"/>
            <w:vAlign w:val="bottom"/>
            <w:gridSpan w:val="4"/>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21"/>
                <w:szCs w:val="21"/>
                <w:color w:val="auto"/>
              </w:rPr>
              <w:t>79</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0"/>
                <w:szCs w:val="20"/>
                <w:color w:val="auto"/>
              </w:rPr>
            </w:pPr>
            <w:r>
              <w:rPr>
                <w:rFonts w:ascii="Arial" w:cs="Arial" w:eastAsia="Arial" w:hAnsi="Arial"/>
                <w:sz w:val="21"/>
                <w:szCs w:val="21"/>
                <w:color w:val="auto"/>
                <w:w w:val="95"/>
              </w:rPr>
              <w:t>Section  14.05</w:t>
            </w:r>
          </w:p>
        </w:tc>
        <w:tc>
          <w:tcPr>
            <w:tcW w:w="7160" w:type="dxa"/>
            <w:vAlign w:val="bottom"/>
            <w:gridSpan w:val="13"/>
          </w:tcPr>
          <w:p>
            <w:pPr>
              <w:ind w:left="540"/>
              <w:spacing w:after="0"/>
              <w:rPr>
                <w:sz w:val="20"/>
                <w:szCs w:val="20"/>
                <w:color w:val="auto"/>
              </w:rPr>
            </w:pPr>
            <w:r>
              <w:rPr>
                <w:rFonts w:ascii="Arial" w:cs="Arial" w:eastAsia="Arial" w:hAnsi="Arial"/>
                <w:sz w:val="21"/>
                <w:szCs w:val="21"/>
                <w:color w:val="auto"/>
              </w:rPr>
              <w:t>No  Personal  Liability  of  Directors,  Officers,</w:t>
            </w:r>
          </w:p>
        </w:tc>
        <w:tc>
          <w:tcPr>
            <w:tcW w:w="2640" w:type="dxa"/>
            <w:vAlign w:val="bottom"/>
            <w:vMerge w:val="restart"/>
          </w:tcPr>
          <w:p>
            <w:pPr>
              <w:jc w:val="right"/>
              <w:spacing w:after="0"/>
              <w:rPr>
                <w:sz w:val="20"/>
                <w:szCs w:val="20"/>
                <w:color w:val="auto"/>
              </w:rPr>
            </w:pPr>
            <w:r>
              <w:rPr>
                <w:rFonts w:ascii="Arial" w:cs="Arial" w:eastAsia="Arial" w:hAnsi="Arial"/>
                <w:sz w:val="21"/>
                <w:szCs w:val="21"/>
                <w:color w:val="auto"/>
              </w:rPr>
              <w:t>79</w:t>
            </w:r>
          </w:p>
        </w:tc>
        <w:tc>
          <w:tcPr>
            <w:tcW w:w="0" w:type="dxa"/>
            <w:vAlign w:val="bottom"/>
          </w:tcPr>
          <w:p>
            <w:pPr>
              <w:spacing w:after="0"/>
              <w:rPr>
                <w:sz w:val="1"/>
                <w:szCs w:val="1"/>
                <w:color w:val="auto"/>
              </w:rPr>
            </w:pPr>
          </w:p>
        </w:tc>
      </w:tr>
      <w:tr>
        <w:trPr>
          <w:trHeight w:val="191"/>
        </w:trPr>
        <w:tc>
          <w:tcPr>
            <w:tcW w:w="6020" w:type="dxa"/>
            <w:vAlign w:val="bottom"/>
            <w:tcBorders>
              <w:top w:val="single" w:sz="8" w:color="auto"/>
            </w:tcBorders>
            <w:gridSpan w:val="13"/>
          </w:tcPr>
          <w:p>
            <w:pPr>
              <w:spacing w:after="0" w:line="191" w:lineRule="exact"/>
              <w:rPr>
                <w:sz w:val="20"/>
                <w:szCs w:val="20"/>
                <w:color w:val="auto"/>
              </w:rPr>
            </w:pPr>
            <w:r>
              <w:rPr>
                <w:rFonts w:ascii="Arial" w:cs="Arial" w:eastAsia="Arial" w:hAnsi="Arial"/>
                <w:sz w:val="21"/>
                <w:szCs w:val="21"/>
                <w:color w:val="auto"/>
              </w:rPr>
              <w:t>Employees and Equity Holders.</w:t>
            </w:r>
          </w:p>
        </w:tc>
        <w:tc>
          <w:tcPr>
            <w:tcW w:w="2440" w:type="dxa"/>
            <w:vAlign w:val="bottom"/>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300" w:type="dxa"/>
            <w:vAlign w:val="bottom"/>
          </w:tcPr>
          <w:p>
            <w:pPr>
              <w:spacing w:after="0"/>
              <w:rPr>
                <w:sz w:val="20"/>
                <w:szCs w:val="20"/>
                <w:color w:val="auto"/>
              </w:rPr>
            </w:pPr>
            <w:r>
              <w:rPr>
                <w:rFonts w:ascii="Arial" w:cs="Arial" w:eastAsia="Arial" w:hAnsi="Arial"/>
                <w:sz w:val="21"/>
                <w:szCs w:val="21"/>
                <w:color w:val="auto"/>
                <w:w w:val="99"/>
              </w:rPr>
              <w:t>Section 14.06</w:t>
            </w:r>
          </w:p>
        </w:tc>
        <w:tc>
          <w:tcPr>
            <w:tcW w:w="7160" w:type="dxa"/>
            <w:vAlign w:val="bottom"/>
            <w:gridSpan w:val="13"/>
          </w:tcPr>
          <w:p>
            <w:pPr>
              <w:ind w:left="60"/>
              <w:spacing w:after="0"/>
              <w:rPr>
                <w:sz w:val="20"/>
                <w:szCs w:val="20"/>
                <w:color w:val="auto"/>
              </w:rPr>
            </w:pPr>
            <w:r>
              <w:rPr>
                <w:rFonts w:ascii="Arial" w:cs="Arial" w:eastAsia="Arial" w:hAnsi="Arial"/>
                <w:sz w:val="21"/>
                <w:szCs w:val="21"/>
                <w:color w:val="auto"/>
              </w:rPr>
              <w:t>Governing Law.</w:t>
            </w:r>
          </w:p>
        </w:tc>
        <w:tc>
          <w:tcPr>
            <w:tcW w:w="2640" w:type="dxa"/>
            <w:vAlign w:val="bottom"/>
          </w:tcPr>
          <w:p>
            <w:pPr>
              <w:jc w:val="right"/>
              <w:spacing w:after="0"/>
              <w:rPr>
                <w:sz w:val="20"/>
                <w:szCs w:val="20"/>
                <w:color w:val="auto"/>
              </w:rPr>
            </w:pPr>
            <w:r>
              <w:rPr>
                <w:rFonts w:ascii="Arial" w:cs="Arial" w:eastAsia="Arial" w:hAnsi="Arial"/>
                <w:sz w:val="21"/>
                <w:szCs w:val="21"/>
                <w:color w:val="auto"/>
              </w:rPr>
              <w:t>79</w:t>
            </w:r>
          </w:p>
        </w:tc>
        <w:tc>
          <w:tcPr>
            <w:tcW w:w="0" w:type="dxa"/>
            <w:vAlign w:val="bottom"/>
          </w:tcPr>
          <w:p>
            <w:pPr>
              <w:spacing w:after="0"/>
              <w:rPr>
                <w:sz w:val="1"/>
                <w:szCs w:val="1"/>
                <w:color w:val="auto"/>
              </w:rPr>
            </w:pPr>
          </w:p>
        </w:tc>
      </w:tr>
      <w:tr>
        <w:trPr>
          <w:trHeight w:val="20"/>
        </w:trPr>
        <w:tc>
          <w:tcPr>
            <w:tcW w:w="2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60" w:type="dxa"/>
            <w:vAlign w:val="bottom"/>
            <w:tcBorders>
              <w:bottom w:val="single" w:sz="8" w:color="auto"/>
            </w:tcBorders>
            <w:gridSpan w:val="11"/>
          </w:tcPr>
          <w:p>
            <w:pPr>
              <w:spacing w:after="0"/>
              <w:rPr>
                <w:sz w:val="20"/>
                <w:szCs w:val="20"/>
                <w:color w:val="auto"/>
              </w:rPr>
            </w:pPr>
            <w:r>
              <w:rPr>
                <w:rFonts w:ascii="Arial" w:cs="Arial" w:eastAsia="Arial" w:hAnsi="Arial"/>
                <w:sz w:val="21"/>
                <w:szCs w:val="21"/>
                <w:color w:val="auto"/>
                <w:w w:val="92"/>
              </w:rPr>
              <w:t>Section 14.07  No Adverse Interpretation of Other Agreements.</w:t>
            </w:r>
          </w:p>
        </w:tc>
        <w:tc>
          <w:tcPr>
            <w:tcW w:w="3000" w:type="dxa"/>
            <w:vAlign w:val="bottom"/>
            <w:gridSpan w:val="3"/>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21"/>
                <w:szCs w:val="21"/>
                <w:color w:val="auto"/>
              </w:rPr>
              <w:t>80</w:t>
            </w:r>
          </w:p>
        </w:tc>
        <w:tc>
          <w:tcPr>
            <w:tcW w:w="0" w:type="dxa"/>
            <w:vAlign w:val="bottom"/>
          </w:tcPr>
          <w:p>
            <w:pPr>
              <w:spacing w:after="0"/>
              <w:rPr>
                <w:sz w:val="1"/>
                <w:szCs w:val="1"/>
                <w:color w:val="auto"/>
              </w:rPr>
            </w:pPr>
          </w:p>
        </w:tc>
      </w:tr>
      <w:tr>
        <w:trPr>
          <w:trHeight w:val="243"/>
        </w:trPr>
        <w:tc>
          <w:tcPr>
            <w:tcW w:w="130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9"/>
              </w:rPr>
              <w:t>Section 14.08</w:t>
            </w: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color w:val="auto"/>
                <w:w w:val="83"/>
              </w:rPr>
              <w:t>Successors.</w:t>
            </w:r>
          </w:p>
        </w:tc>
        <w:tc>
          <w:tcPr>
            <w:tcW w:w="6120" w:type="dxa"/>
            <w:vAlign w:val="bottom"/>
            <w:gridSpan w:val="11"/>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21"/>
                <w:szCs w:val="21"/>
                <w:color w:val="auto"/>
              </w:rPr>
              <w:t>80</w:t>
            </w:r>
          </w:p>
        </w:tc>
        <w:tc>
          <w:tcPr>
            <w:tcW w:w="0" w:type="dxa"/>
            <w:vAlign w:val="bottom"/>
          </w:tcPr>
          <w:p>
            <w:pPr>
              <w:spacing w:after="0"/>
              <w:rPr>
                <w:sz w:val="1"/>
                <w:szCs w:val="1"/>
                <w:color w:val="auto"/>
              </w:rPr>
            </w:pPr>
          </w:p>
        </w:tc>
      </w:tr>
      <w:tr>
        <w:trPr>
          <w:trHeight w:val="243"/>
        </w:trPr>
        <w:tc>
          <w:tcPr>
            <w:tcW w:w="130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9"/>
              </w:rPr>
              <w:t>Section 14.09</w:t>
            </w: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21"/>
                <w:szCs w:val="21"/>
                <w:color w:val="auto"/>
                <w:w w:val="90"/>
              </w:rPr>
              <w:t>Severability.</w:t>
            </w:r>
          </w:p>
        </w:tc>
        <w:tc>
          <w:tcPr>
            <w:tcW w:w="6040" w:type="dxa"/>
            <w:vAlign w:val="bottom"/>
            <w:gridSpan w:val="10"/>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21"/>
                <w:szCs w:val="21"/>
                <w:color w:val="auto"/>
              </w:rPr>
              <w:t>80</w:t>
            </w:r>
          </w:p>
        </w:tc>
        <w:tc>
          <w:tcPr>
            <w:tcW w:w="0" w:type="dxa"/>
            <w:vAlign w:val="bottom"/>
          </w:tcPr>
          <w:p>
            <w:pPr>
              <w:spacing w:after="0"/>
              <w:rPr>
                <w:sz w:val="1"/>
                <w:szCs w:val="1"/>
                <w:color w:val="auto"/>
              </w:rPr>
            </w:pPr>
          </w:p>
        </w:tc>
      </w:tr>
      <w:tr>
        <w:trPr>
          <w:trHeight w:val="243"/>
        </w:trPr>
        <w:tc>
          <w:tcPr>
            <w:tcW w:w="130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9"/>
              </w:rPr>
              <w:t>Section 14.10</w:t>
            </w:r>
          </w:p>
        </w:tc>
        <w:tc>
          <w:tcPr>
            <w:tcW w:w="1960" w:type="dxa"/>
            <w:vAlign w:val="bottom"/>
            <w:tcBorders>
              <w:bottom w:val="single" w:sz="8" w:color="auto"/>
            </w:tcBorders>
            <w:gridSpan w:val="6"/>
          </w:tcPr>
          <w:p>
            <w:pPr>
              <w:ind w:left="60"/>
              <w:spacing w:after="0"/>
              <w:rPr>
                <w:sz w:val="20"/>
                <w:szCs w:val="20"/>
                <w:color w:val="auto"/>
              </w:rPr>
            </w:pPr>
            <w:r>
              <w:rPr>
                <w:rFonts w:ascii="Arial" w:cs="Arial" w:eastAsia="Arial" w:hAnsi="Arial"/>
                <w:sz w:val="21"/>
                <w:szCs w:val="21"/>
                <w:color w:val="auto"/>
                <w:w w:val="91"/>
              </w:rPr>
              <w:t>Counterpart Originals.</w:t>
            </w:r>
          </w:p>
        </w:tc>
        <w:tc>
          <w:tcPr>
            <w:tcW w:w="5200" w:type="dxa"/>
            <w:vAlign w:val="bottom"/>
            <w:gridSpan w:val="7"/>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21"/>
                <w:szCs w:val="21"/>
                <w:color w:val="auto"/>
              </w:rPr>
              <w:t>80</w:t>
            </w:r>
          </w:p>
        </w:tc>
        <w:tc>
          <w:tcPr>
            <w:tcW w:w="0" w:type="dxa"/>
            <w:vAlign w:val="bottom"/>
          </w:tcPr>
          <w:p>
            <w:pPr>
              <w:spacing w:after="0"/>
              <w:rPr>
                <w:sz w:val="1"/>
                <w:szCs w:val="1"/>
                <w:color w:val="auto"/>
              </w:rPr>
            </w:pPr>
          </w:p>
        </w:tc>
      </w:tr>
      <w:tr>
        <w:trPr>
          <w:trHeight w:val="243"/>
        </w:trPr>
        <w:tc>
          <w:tcPr>
            <w:tcW w:w="8460" w:type="dxa"/>
            <w:vAlign w:val="bottom"/>
            <w:gridSpan w:val="14"/>
          </w:tcPr>
          <w:p>
            <w:pPr>
              <w:spacing w:after="0"/>
              <w:rPr>
                <w:sz w:val="20"/>
                <w:szCs w:val="20"/>
                <w:color w:val="auto"/>
              </w:rPr>
            </w:pPr>
            <w:r>
              <w:rPr>
                <w:rFonts w:ascii="Arial" w:cs="Arial" w:eastAsia="Arial" w:hAnsi="Arial"/>
                <w:sz w:val="21"/>
                <w:szCs w:val="21"/>
                <w:color w:val="auto"/>
              </w:rPr>
              <w:t>Section 14.11  Table of Contents, Headings, etc.</w:t>
            </w:r>
          </w:p>
        </w:tc>
        <w:tc>
          <w:tcPr>
            <w:tcW w:w="2640" w:type="dxa"/>
            <w:vAlign w:val="bottom"/>
          </w:tcPr>
          <w:p>
            <w:pPr>
              <w:jc w:val="right"/>
              <w:spacing w:after="0"/>
              <w:rPr>
                <w:sz w:val="20"/>
                <w:szCs w:val="20"/>
                <w:color w:val="auto"/>
              </w:rPr>
            </w:pPr>
            <w:r>
              <w:rPr>
                <w:rFonts w:ascii="Arial" w:cs="Arial" w:eastAsia="Arial" w:hAnsi="Arial"/>
                <w:sz w:val="21"/>
                <w:szCs w:val="21"/>
                <w:color w:val="auto"/>
              </w:rPr>
              <w:t>80</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1100"/>
          </w:cols>
          <w:pgMar w:left="400" w:top="1408" w:right="399" w:bottom="1440" w:gutter="0" w:footer="0" w:header="0"/>
        </w:sectPr>
      </w:pPr>
    </w:p>
    <w:bookmarkStart w:id="9" w:name="page10"/>
    <w:bookmarkEnd w:id="9"/>
    <w:p>
      <w:pPr>
        <w:ind w:left="5140"/>
        <w:spacing w:after="0"/>
        <w:rPr>
          <w:sz w:val="20"/>
          <w:szCs w:val="20"/>
          <w:color w:val="auto"/>
        </w:rPr>
      </w:pPr>
      <w:r>
        <w:rPr>
          <w:rFonts w:ascii="Arial" w:cs="Arial" w:eastAsia="Arial" w:hAnsi="Arial"/>
          <w:sz w:val="21"/>
          <w:szCs w:val="21"/>
          <w:color w:val="auto"/>
        </w:rPr>
        <w:t>EXHIBITS</w:t>
      </w:r>
    </w:p>
    <w:p>
      <w:pPr>
        <w:spacing w:after="0" w:line="167" w:lineRule="exact"/>
        <w:rPr>
          <w:sz w:val="20"/>
          <w:szCs w:val="20"/>
          <w:color w:val="auto"/>
        </w:rPr>
      </w:pPr>
    </w:p>
    <w:p>
      <w:pPr>
        <w:spacing w:after="0"/>
        <w:tabs>
          <w:tab w:leader="none" w:pos="1200" w:val="left"/>
        </w:tabs>
        <w:rPr>
          <w:sz w:val="20"/>
          <w:szCs w:val="20"/>
          <w:color w:val="auto"/>
        </w:rPr>
      </w:pPr>
      <w:r>
        <w:rPr>
          <w:rFonts w:ascii="Arial" w:cs="Arial" w:eastAsia="Arial" w:hAnsi="Arial"/>
          <w:sz w:val="21"/>
          <w:szCs w:val="21"/>
          <w:color w:val="auto"/>
        </w:rPr>
        <w:t>Exhibit A-1</w:t>
      </w:r>
      <w:r>
        <w:rPr>
          <w:sz w:val="20"/>
          <w:szCs w:val="20"/>
          <w:color w:val="auto"/>
        </w:rPr>
        <w:tab/>
      </w:r>
      <w:r>
        <w:rPr>
          <w:rFonts w:ascii="Arial" w:cs="Arial" w:eastAsia="Arial" w:hAnsi="Arial"/>
          <w:sz w:val="19"/>
          <w:szCs w:val="19"/>
          <w:color w:val="auto"/>
        </w:rPr>
        <w:t>FORM OF NOTE</w:t>
      </w:r>
    </w:p>
    <w:p>
      <w:pPr>
        <w:ind w:right="3599"/>
        <w:spacing w:after="0" w:line="209" w:lineRule="auto"/>
        <w:rPr>
          <w:sz w:val="20"/>
          <w:szCs w:val="20"/>
          <w:color w:val="auto"/>
        </w:rPr>
      </w:pPr>
      <w:r>
        <w:rPr>
          <w:rFonts w:ascii="Arial" w:cs="Arial" w:eastAsia="Arial" w:hAnsi="Arial"/>
          <w:sz w:val="21"/>
          <w:szCs w:val="21"/>
          <w:color w:val="auto"/>
        </w:rPr>
        <w:t>Exhibit A-2 FORM OF REGULATION S TEMPORARY GLOBAL NOTE Exhibit B FORM OF CERTIFICATE OF TRANSFER Exhibit C FORM OF CERTIFICATE OF EXCHANGE</w:t>
      </w:r>
    </w:p>
    <w:p>
      <w:pPr>
        <w:spacing w:after="0" w:line="1" w:lineRule="exact"/>
        <w:rPr>
          <w:sz w:val="20"/>
          <w:szCs w:val="20"/>
          <w:color w:val="auto"/>
        </w:rPr>
      </w:pPr>
    </w:p>
    <w:p>
      <w:pPr>
        <w:ind w:right="799"/>
        <w:spacing w:after="0" w:line="209" w:lineRule="auto"/>
        <w:rPr>
          <w:sz w:val="20"/>
          <w:szCs w:val="20"/>
          <w:color w:val="auto"/>
        </w:rPr>
      </w:pPr>
      <w:r>
        <w:rPr>
          <w:rFonts w:ascii="Arial" w:cs="Arial" w:eastAsia="Arial" w:hAnsi="Arial"/>
          <w:sz w:val="21"/>
          <w:szCs w:val="21"/>
          <w:color w:val="auto"/>
        </w:rPr>
        <w:t>Exhibit D FORM OF CERTIFICATE FROM ACQUIRING INSTITUTIONAL ACCREDITED INVESTOR Exhibit E FORM OF NOTATION OF GUARANTEE</w:t>
      </w:r>
    </w:p>
    <w:p>
      <w:pPr>
        <w:spacing w:after="0"/>
        <w:tabs>
          <w:tab w:leader="none" w:pos="980" w:val="left"/>
        </w:tabs>
        <w:rPr>
          <w:sz w:val="20"/>
          <w:szCs w:val="20"/>
          <w:color w:val="auto"/>
        </w:rPr>
      </w:pPr>
      <w:r>
        <w:rPr>
          <w:rFonts w:ascii="Arial" w:cs="Arial" w:eastAsia="Arial" w:hAnsi="Arial"/>
          <w:sz w:val="21"/>
          <w:szCs w:val="21"/>
          <w:color w:val="auto"/>
        </w:rPr>
        <w:t>Exhibit F</w:t>
      </w:r>
      <w:r>
        <w:rPr>
          <w:sz w:val="20"/>
          <w:szCs w:val="20"/>
          <w:color w:val="auto"/>
        </w:rPr>
        <w:tab/>
      </w:r>
      <w:r>
        <w:rPr>
          <w:rFonts w:ascii="Arial" w:cs="Arial" w:eastAsia="Arial" w:hAnsi="Arial"/>
          <w:sz w:val="20"/>
          <w:szCs w:val="20"/>
          <w:color w:val="auto"/>
        </w:rPr>
        <w:t>FORM OF SUPPLEMENTAL INDENTURE TO BE DELIVERED BY SUBSEQUENT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v</w:t>
      </w:r>
    </w:p>
    <w:p>
      <w:pPr>
        <w:sectPr>
          <w:pgSz w:w="11900" w:h="16838" w:orient="portrait"/>
          <w:cols w:equalWidth="0" w:num="1">
            <w:col w:w="10139"/>
          </w:cols>
          <w:pgMar w:left="320" w:top="1368" w:right="1440" w:bottom="1440" w:gutter="0" w:footer="0" w:header="0"/>
        </w:sectPr>
      </w:pPr>
    </w:p>
    <w:bookmarkStart w:id="10" w:name="page11"/>
    <w:bookmarkEnd w:id="10"/>
    <w:p>
      <w:pPr>
        <w:spacing w:after="0" w:line="376" w:lineRule="exact"/>
        <w:rPr>
          <w:sz w:val="20"/>
          <w:szCs w:val="20"/>
          <w:color w:val="auto"/>
        </w:rPr>
      </w:pPr>
    </w:p>
    <w:p>
      <w:pPr>
        <w:jc w:val="both"/>
        <w:ind w:firstLine="632"/>
        <w:spacing w:after="0" w:line="227" w:lineRule="auto"/>
        <w:rPr>
          <w:sz w:val="20"/>
          <w:szCs w:val="20"/>
          <w:color w:val="auto"/>
        </w:rPr>
      </w:pPr>
      <w:r>
        <w:rPr>
          <w:rFonts w:ascii="Arial" w:cs="Arial" w:eastAsia="Arial" w:hAnsi="Arial"/>
          <w:sz w:val="20"/>
          <w:szCs w:val="20"/>
          <w:color w:val="auto"/>
        </w:rPr>
        <w:t>INDENTURE dated as of February 16, 2023 among Wynn Resorts Finance, LLC, a Nevada limited liability company (“</w:t>
      </w:r>
      <w:r>
        <w:rPr>
          <w:rFonts w:ascii="Arial" w:cs="Arial" w:eastAsia="Arial" w:hAnsi="Arial"/>
          <w:sz w:val="20"/>
          <w:szCs w:val="20"/>
          <w:i w:val="1"/>
          <w:iCs w:val="1"/>
          <w:u w:val="single" w:color="auto"/>
          <w:color w:val="auto"/>
        </w:rPr>
        <w:t>Wynn Resorts Finance</w:t>
      </w:r>
      <w:r>
        <w:rPr>
          <w:rFonts w:ascii="Arial" w:cs="Arial" w:eastAsia="Arial" w:hAnsi="Arial"/>
          <w:sz w:val="20"/>
          <w:szCs w:val="20"/>
          <w:color w:val="auto"/>
        </w:rPr>
        <w:t>”) and Wynn Resorts Capital Corp., a Nevada corporation (“</w:t>
      </w:r>
      <w:r>
        <w:rPr>
          <w:rFonts w:ascii="Arial" w:cs="Arial" w:eastAsia="Arial" w:hAnsi="Arial"/>
          <w:sz w:val="20"/>
          <w:szCs w:val="20"/>
          <w:i w:val="1"/>
          <w:iCs w:val="1"/>
          <w:u w:val="single" w:color="auto"/>
          <w:color w:val="auto"/>
        </w:rPr>
        <w:t>Wynn Resorts Capital</w:t>
      </w:r>
      <w:r>
        <w:rPr>
          <w:rFonts w:ascii="Arial" w:cs="Arial" w:eastAsia="Arial" w:hAnsi="Arial"/>
          <w:sz w:val="20"/>
          <w:szCs w:val="20"/>
          <w:color w:val="auto"/>
        </w:rPr>
        <w:t>,” and together with Wynn Resorts Finance, the “</w:t>
      </w:r>
      <w:r>
        <w:rPr>
          <w:rFonts w:ascii="Arial" w:cs="Arial" w:eastAsia="Arial" w:hAnsi="Arial"/>
          <w:sz w:val="20"/>
          <w:szCs w:val="20"/>
          <w:i w:val="1"/>
          <w:iCs w:val="1"/>
          <w:u w:val="single" w:color="auto"/>
          <w:color w:val="auto"/>
        </w:rPr>
        <w:t>Issuers</w:t>
      </w:r>
      <w:r>
        <w:rPr>
          <w:rFonts w:ascii="Arial" w:cs="Arial" w:eastAsia="Arial" w:hAnsi="Arial"/>
          <w:sz w:val="20"/>
          <w:szCs w:val="20"/>
          <w:color w:val="auto"/>
        </w:rPr>
        <w:t>”), as joint and several obligors, and EBH Holdings, LLC, a Nevada limited liability company, Wynn Group Asia, Inc., a Nevada corporation, Everett Property, LLC, a Massachusetts limited liability company, Wynn America Group, LLC, a Nevada limited liability company, Wynn Las Vegas Holdings, LLC, a Nevada limited liability company, Wynn Las Vegas, LLC, a Nevada limited liability company, Wynn MA, LLC, a Nevada limited liability company, Wynn Sunrise, LLC, a Nevada limited liability company and Wynn Las Vegas Capital Corp, a Nevada corporation, as guarantors (the “</w:t>
      </w:r>
      <w:r>
        <w:rPr>
          <w:rFonts w:ascii="Arial" w:cs="Arial" w:eastAsia="Arial" w:hAnsi="Arial"/>
          <w:sz w:val="20"/>
          <w:szCs w:val="20"/>
          <w:i w:val="1"/>
          <w:iCs w:val="1"/>
          <w:u w:val="single" w:color="auto"/>
          <w:color w:val="auto"/>
        </w:rPr>
        <w:t>Initial Guarantors</w:t>
      </w:r>
      <w:r>
        <w:rPr>
          <w:rFonts w:ascii="Arial" w:cs="Arial" w:eastAsia="Arial" w:hAnsi="Arial"/>
          <w:sz w:val="20"/>
          <w:szCs w:val="20"/>
          <w:color w:val="auto"/>
        </w:rPr>
        <w:t>”) and U.S. Bank Trust Company, National Association, as trustee (the “</w:t>
      </w:r>
      <w:r>
        <w:rPr>
          <w:rFonts w:ascii="Arial" w:cs="Arial" w:eastAsia="Arial" w:hAnsi="Arial"/>
          <w:sz w:val="20"/>
          <w:szCs w:val="20"/>
          <w:i w:val="1"/>
          <w:iCs w:val="1"/>
          <w:u w:val="single" w:color="auto"/>
          <w:color w:val="auto"/>
        </w:rPr>
        <w:t>Trustee</w:t>
      </w:r>
      <w:r>
        <w:rPr>
          <w:rFonts w:ascii="Arial" w:cs="Arial" w:eastAsia="Arial" w:hAnsi="Arial"/>
          <w:sz w:val="20"/>
          <w:szCs w:val="20"/>
          <w:color w:val="auto"/>
        </w:rPr>
        <w:t>”).</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The Issuers, the Initial Guarantors and the Trustee agree as follows for the benefit of each other and for the equal and ratable benefit of the Holders (as defined) of the 7.125% Senior Notes due 2031 (the “</w:t>
      </w:r>
      <w:r>
        <w:rPr>
          <w:rFonts w:ascii="Arial" w:cs="Arial" w:eastAsia="Arial" w:hAnsi="Arial"/>
          <w:sz w:val="21"/>
          <w:szCs w:val="21"/>
          <w:i w:val="1"/>
          <w:iCs w:val="1"/>
          <w:u w:val="single" w:color="auto"/>
          <w:color w:val="auto"/>
        </w:rPr>
        <w:t>Notes</w:t>
      </w:r>
      <w:r>
        <w:rPr>
          <w:rFonts w:ascii="Arial" w:cs="Arial" w:eastAsia="Arial" w:hAnsi="Arial"/>
          <w:sz w:val="21"/>
          <w:szCs w:val="21"/>
          <w:color w:val="auto"/>
        </w:rPr>
        <w:t>”):</w:t>
      </w:r>
    </w:p>
    <w:p>
      <w:pPr>
        <w:spacing w:after="0" w:line="359"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1.</w:t>
      </w:r>
    </w:p>
    <w:p>
      <w:pPr>
        <w:spacing w:after="0" w:line="180" w:lineRule="exact"/>
        <w:rPr>
          <w:sz w:val="20"/>
          <w:szCs w:val="20"/>
          <w:color w:val="auto"/>
        </w:rPr>
      </w:pPr>
    </w:p>
    <w:p>
      <w:pPr>
        <w:ind w:left="3040"/>
        <w:spacing w:after="0"/>
        <w:rPr>
          <w:sz w:val="20"/>
          <w:szCs w:val="20"/>
          <w:color w:val="auto"/>
        </w:rPr>
      </w:pPr>
      <w:r>
        <w:rPr>
          <w:rFonts w:ascii="Arial" w:cs="Arial" w:eastAsia="Arial" w:hAnsi="Arial"/>
          <w:sz w:val="21"/>
          <w:szCs w:val="21"/>
          <w:b w:val="1"/>
          <w:bCs w:val="1"/>
          <w:color w:val="auto"/>
        </w:rPr>
        <w:t>DEFINITIONS AND INCORPORATION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Section 1.01 Definitions.</w:t>
      </w:r>
    </w:p>
    <w:p>
      <w:pPr>
        <w:spacing w:after="0" w:line="232"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2023 LV Notes</w:t>
      </w:r>
      <w:r>
        <w:rPr>
          <w:rFonts w:ascii="Arial" w:cs="Arial" w:eastAsia="Arial" w:hAnsi="Arial"/>
          <w:sz w:val="21"/>
          <w:szCs w:val="21"/>
          <w:color w:val="auto"/>
        </w:rPr>
        <w:t>” means the 4.25% Senior Notes due 2023 issued by Wynn Las Vegas.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2025 LV Notes</w:t>
      </w:r>
      <w:r>
        <w:rPr>
          <w:rFonts w:ascii="Arial" w:cs="Arial" w:eastAsia="Arial" w:hAnsi="Arial"/>
          <w:sz w:val="21"/>
          <w:szCs w:val="21"/>
          <w:color w:val="auto"/>
        </w:rPr>
        <w:t>” means the 5.50% Senior Notes due 2025 issued by Wynn Las Vegas.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2025 WRF Notes</w:t>
      </w:r>
      <w:r>
        <w:rPr>
          <w:rFonts w:ascii="Arial" w:cs="Arial" w:eastAsia="Arial" w:hAnsi="Arial"/>
          <w:sz w:val="21"/>
          <w:szCs w:val="21"/>
          <w:color w:val="auto"/>
        </w:rPr>
        <w:t>” means the 7.750% Senior Notes due 2025 issued by the Issuers.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2027 LV Notes</w:t>
      </w:r>
      <w:r>
        <w:rPr>
          <w:rFonts w:ascii="Arial" w:cs="Arial" w:eastAsia="Arial" w:hAnsi="Arial"/>
          <w:sz w:val="21"/>
          <w:szCs w:val="21"/>
          <w:color w:val="auto"/>
        </w:rPr>
        <w:t>” means the 5.25% Senior Notes due 2027 issued by Wynn Las Vegas.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2029 WRF Notes</w:t>
      </w:r>
      <w:r>
        <w:rPr>
          <w:rFonts w:ascii="Arial" w:cs="Arial" w:eastAsia="Arial" w:hAnsi="Arial"/>
          <w:sz w:val="21"/>
          <w:szCs w:val="21"/>
          <w:color w:val="auto"/>
        </w:rPr>
        <w:t>” means the 5.125% Senior Notes due 2029 issued by the Issuers.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2029 WRF Notes Issue Date</w:t>
      </w:r>
      <w:r>
        <w:rPr>
          <w:rFonts w:ascii="Arial" w:cs="Arial" w:eastAsia="Arial" w:hAnsi="Arial"/>
          <w:sz w:val="21"/>
          <w:szCs w:val="21"/>
          <w:color w:val="auto"/>
        </w:rPr>
        <w:t>” means September 20, 2019.</w:t>
      </w:r>
    </w:p>
    <w:p>
      <w:pPr>
        <w:spacing w:after="0" w:line="180" w:lineRule="exact"/>
        <w:rPr>
          <w:sz w:val="20"/>
          <w:szCs w:val="20"/>
          <w:color w:val="auto"/>
        </w:rPr>
      </w:pPr>
    </w:p>
    <w:p>
      <w:pPr>
        <w:jc w:val="both"/>
        <w:ind w:firstLine="632"/>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Act of Terrorism</w:t>
      </w:r>
      <w:r>
        <w:rPr>
          <w:rFonts w:ascii="Arial" w:cs="Arial" w:eastAsia="Arial" w:hAnsi="Arial"/>
          <w:sz w:val="19"/>
          <w:szCs w:val="19"/>
          <w:color w:val="auto"/>
        </w:rPr>
        <w:t>” means an act of any person directed towards the overthrowing or influencing of any government de jure or de facto, or the inducement of fear in or the disruption of the economic system of any society, by force or by violence, including</w:t>
      </w:r>
    </w:p>
    <w:p>
      <w:pPr>
        <w:ind w:left="260" w:hanging="255"/>
        <w:spacing w:after="0" w:line="231" w:lineRule="auto"/>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hijacking or destruction of any conveyance (including an aircraft, vessel, or vehicle), transportation infrastructure or building,</w:t>
      </w:r>
    </w:p>
    <w:p>
      <w:pPr>
        <w:jc w:val="both"/>
        <w:ind w:firstLine="5"/>
        <w:spacing w:after="0" w:line="218" w:lineRule="auto"/>
        <w:tabs>
          <w:tab w:leader="none" w:pos="32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seizing or detaining, and threatening to kill, injure, or continue to detain, or the assassination of, another individual, (iii) the use of any (a) biological agent, chemical agent, or nuclear weapon or device, or (b) explosive or firearm, with intent to endanger, directly or indirectly, the safety of one or more individuals or to cause substantial damage to property, and (iv) a credible threat, attempt, or conspiracy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11" w:name="page12"/>
    <w:bookmarkEnd w:id="11"/>
    <w:p>
      <w:pPr>
        <w:jc w:val="both"/>
        <w:ind w:firstLine="63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Additional Notes</w:t>
      </w:r>
      <w:r>
        <w:rPr>
          <w:rFonts w:ascii="Arial" w:cs="Arial" w:eastAsia="Arial" w:hAnsi="Arial"/>
          <w:sz w:val="20"/>
          <w:szCs w:val="20"/>
          <w:color w:val="auto"/>
        </w:rPr>
        <w:t>” means Additional Notes (other than the Initial Notes) issued under this Indenture in accordance with Section 2.13 hereof, as part of the same series as the Initial Notes. Any Additional Notes shall vote on all matters as one class with the Initial Notes being issued on the Issue Date, including, without limitation, waivers, amendments and redemptions.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Adjusted Treasury Rate</w:t>
      </w:r>
      <w:r>
        <w:rPr>
          <w:rFonts w:ascii="Arial" w:cs="Arial" w:eastAsia="Arial" w:hAnsi="Arial"/>
          <w:sz w:val="21"/>
          <w:szCs w:val="21"/>
          <w:color w:val="auto"/>
        </w:rPr>
        <w:t>” means, with respect to any redemption date:</w:t>
      </w:r>
    </w:p>
    <w:p>
      <w:pPr>
        <w:spacing w:after="0" w:line="180" w:lineRule="exact"/>
        <w:rPr>
          <w:sz w:val="20"/>
          <w:szCs w:val="20"/>
          <w:color w:val="auto"/>
        </w:rPr>
      </w:pPr>
    </w:p>
    <w:p>
      <w:pPr>
        <w:jc w:val="both"/>
        <w:ind w:firstLine="1268"/>
        <w:spacing w:after="0"/>
        <w:tabs>
          <w:tab w:leader="none" w:pos="189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54" w:lineRule="exact"/>
        <w:rPr>
          <w:rFonts w:ascii="Arial" w:cs="Arial" w:eastAsia="Arial" w:hAnsi="Arial"/>
          <w:sz w:val="19"/>
          <w:szCs w:val="19"/>
          <w:color w:val="auto"/>
        </w:rPr>
      </w:pPr>
    </w:p>
    <w:p>
      <w:pPr>
        <w:jc w:val="both"/>
        <w:ind w:firstLine="1268"/>
        <w:spacing w:after="0" w:line="223" w:lineRule="auto"/>
        <w:tabs>
          <w:tab w:leader="none" w:pos="1890" w:val="left"/>
        </w:tabs>
        <w:numPr>
          <w:ilvl w:val="0"/>
          <w:numId w:val="4"/>
        </w:numPr>
        <w:rPr>
          <w:rFonts w:ascii="Arial" w:cs="Arial" w:eastAsia="Arial" w:hAnsi="Arial"/>
          <w:sz w:val="21"/>
          <w:szCs w:val="21"/>
          <w:color w:val="auto"/>
        </w:rPr>
      </w:pPr>
      <w:r>
        <w:rPr>
          <w:rFonts w:ascii="Arial" w:cs="Arial" w:eastAsia="Arial" w:hAnsi="Arial"/>
          <w:sz w:val="21"/>
          <w:szCs w:val="21"/>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55"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The Adjusted Treasury Rate shall be calculated on the third Business Day preceding the redemption date or, in the case of a satisfaction and discharge or a defeasance, on the third Business Day prior to the date on which Wynn Resorts Finance deposits the amount required under this Indenture most nearly equal to the period from the redemption date to the maturity date.</w:t>
      </w:r>
    </w:p>
    <w:p>
      <w:pPr>
        <w:spacing w:after="0" w:line="138"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Affiliate</w:t>
      </w:r>
      <w:r>
        <w:rPr>
          <w:rFonts w:ascii="Arial" w:cs="Arial" w:eastAsia="Arial" w:hAnsi="Arial"/>
          <w:sz w:val="20"/>
          <w:szCs w:val="20"/>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have correlative meanings.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Agent</w:t>
      </w:r>
      <w:r>
        <w:rPr>
          <w:rFonts w:ascii="Arial" w:cs="Arial" w:eastAsia="Arial" w:hAnsi="Arial"/>
          <w:sz w:val="21"/>
          <w:szCs w:val="21"/>
          <w:color w:val="auto"/>
        </w:rPr>
        <w:t>” means any Registrar, Paying Agent or additional paying agent.</w:t>
      </w:r>
    </w:p>
    <w:p>
      <w:pPr>
        <w:spacing w:after="0" w:line="180" w:lineRule="exact"/>
        <w:rPr>
          <w:sz w:val="20"/>
          <w:szCs w:val="20"/>
          <w:color w:val="auto"/>
        </w:rPr>
      </w:pPr>
    </w:p>
    <w:p>
      <w:pPr>
        <w:jc w:val="both"/>
        <w:ind w:firstLine="632"/>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Allocable Overhead</w:t>
      </w:r>
      <w:r>
        <w:rPr>
          <w:rFonts w:ascii="Arial" w:cs="Arial" w:eastAsia="Arial" w:hAnsi="Arial"/>
          <w:sz w:val="20"/>
          <w:szCs w:val="20"/>
          <w:color w:val="auto"/>
        </w:rPr>
        <w:t>” means, at any time with respect to each Qualifying Project, an amount equal to (1) the amount of corporate or other organizational overhead expenses of, and actually incurred by, an Issuer or any Guarantor calculated in good faith on a consolidated basis, after the elimination of intercompany transactions, in accordance with US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an Issuer, any Guarantor and/or any of their respective Affiliates, any payment in respect of Allocable Overhead shall not include any fee, profit or similar component and shall represent only the payment or reimbursement of actual 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8" w:right="339" w:bottom="1440" w:gutter="0" w:footer="0" w:header="0"/>
        </w:sectPr>
      </w:pPr>
    </w:p>
    <w:bookmarkStart w:id="12" w:name="page13"/>
    <w:bookmarkEnd w:id="12"/>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Applicable Procedures</w:t>
      </w:r>
      <w:r>
        <w:rPr>
          <w:rFonts w:ascii="Arial" w:cs="Arial" w:eastAsia="Arial" w:hAnsi="Arial"/>
          <w:sz w:val="21"/>
          <w:szCs w:val="21"/>
          <w:color w:val="auto"/>
        </w:rPr>
        <w:t>” means, with respect to any transfer or exchange of or for beneficial interests in any Global Note, the rules and procedures of the Depositary that apply to such transfer or exchange.</w:t>
      </w:r>
    </w:p>
    <w:p>
      <w:pPr>
        <w:spacing w:after="0" w:line="155"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Attributable Debt</w:t>
      </w:r>
      <w:r>
        <w:rPr>
          <w:rFonts w:ascii="Arial" w:cs="Arial" w:eastAsia="Arial" w:hAnsi="Arial"/>
          <w:sz w:val="19"/>
          <w:szCs w:val="19"/>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US GAAP; provided, however, that if such Sale and Leaseback Transaction results in a Capital Lease Obligation, the amount of Indebtedness represented thereby shall be determined in accordance with the definition of “Capital Lease Obligation.”</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Bankruptcy Law</w:t>
      </w:r>
      <w:r>
        <w:rPr>
          <w:rFonts w:ascii="Arial" w:cs="Arial" w:eastAsia="Arial" w:hAnsi="Arial"/>
          <w:sz w:val="21"/>
          <w:szCs w:val="21"/>
          <w:color w:val="auto"/>
        </w:rPr>
        <w:t>” means Title 11, U.S. Code or any similar federal or state law for the relief of debtors.</w:t>
      </w:r>
    </w:p>
    <w:p>
      <w:pPr>
        <w:spacing w:after="0" w:line="180"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Beneficial Owner</w:t>
      </w:r>
      <w:r>
        <w:rPr>
          <w:rFonts w:ascii="Arial" w:cs="Arial" w:eastAsia="Arial" w:hAnsi="Arial"/>
          <w:sz w:val="20"/>
          <w:szCs w:val="20"/>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Board of Directors</w:t>
      </w:r>
      <w:r>
        <w:rPr>
          <w:rFonts w:ascii="Arial" w:cs="Arial" w:eastAsia="Arial" w:hAnsi="Arial"/>
          <w:sz w:val="21"/>
          <w:szCs w:val="21"/>
          <w:color w:val="auto"/>
        </w:rPr>
        <w:t>” means:</w:t>
      </w:r>
    </w:p>
    <w:p>
      <w:pPr>
        <w:spacing w:after="0" w:line="180" w:lineRule="exact"/>
        <w:rPr>
          <w:sz w:val="20"/>
          <w:szCs w:val="20"/>
          <w:color w:val="auto"/>
        </w:rPr>
      </w:pPr>
    </w:p>
    <w:p>
      <w:pPr>
        <w:ind w:firstLine="1268"/>
        <w:spacing w:after="0" w:line="237" w:lineRule="auto"/>
        <w:tabs>
          <w:tab w:leader="none" w:pos="1890" w:val="left"/>
        </w:tabs>
        <w:numPr>
          <w:ilvl w:val="0"/>
          <w:numId w:val="5"/>
        </w:numPr>
        <w:rPr>
          <w:rFonts w:ascii="Arial" w:cs="Arial" w:eastAsia="Arial" w:hAnsi="Arial"/>
          <w:sz w:val="21"/>
          <w:szCs w:val="21"/>
          <w:color w:val="auto"/>
        </w:rPr>
      </w:pPr>
      <w:r>
        <w:rPr>
          <w:rFonts w:ascii="Arial" w:cs="Arial" w:eastAsia="Arial" w:hAnsi="Arial"/>
          <w:sz w:val="21"/>
          <w:szCs w:val="21"/>
          <w:color w:val="auto"/>
        </w:rPr>
        <w:t>with respect to a corporation, the board of directors of the corporation or any committee thereof duly authorized to act on behalf of such board;</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0"/>
          <w:numId w:val="5"/>
        </w:numPr>
        <w:rPr>
          <w:rFonts w:ascii="Arial" w:cs="Arial" w:eastAsia="Arial" w:hAnsi="Arial"/>
          <w:sz w:val="21"/>
          <w:szCs w:val="21"/>
          <w:color w:val="auto"/>
        </w:rPr>
      </w:pPr>
      <w:r>
        <w:rPr>
          <w:rFonts w:ascii="Arial" w:cs="Arial" w:eastAsia="Arial" w:hAnsi="Arial"/>
          <w:sz w:val="21"/>
          <w:szCs w:val="21"/>
          <w:color w:val="auto"/>
        </w:rPr>
        <w:t>with respect to a partnership, the board of directors of the general partner of the partnership;</w:t>
      </w:r>
    </w:p>
    <w:p>
      <w:pPr>
        <w:spacing w:after="0" w:line="179" w:lineRule="exact"/>
        <w:rPr>
          <w:rFonts w:ascii="Arial" w:cs="Arial" w:eastAsia="Arial" w:hAnsi="Arial"/>
          <w:sz w:val="21"/>
          <w:szCs w:val="21"/>
          <w:color w:val="auto"/>
        </w:rPr>
      </w:pPr>
    </w:p>
    <w:p>
      <w:pPr>
        <w:ind w:firstLine="1268"/>
        <w:spacing w:after="0" w:line="237" w:lineRule="auto"/>
        <w:tabs>
          <w:tab w:leader="none" w:pos="1890" w:val="left"/>
        </w:tabs>
        <w:numPr>
          <w:ilvl w:val="0"/>
          <w:numId w:val="5"/>
        </w:numPr>
        <w:rPr>
          <w:rFonts w:ascii="Arial" w:cs="Arial" w:eastAsia="Arial" w:hAnsi="Arial"/>
          <w:sz w:val="21"/>
          <w:szCs w:val="21"/>
          <w:color w:val="auto"/>
        </w:rPr>
      </w:pPr>
      <w:r>
        <w:rPr>
          <w:rFonts w:ascii="Arial" w:cs="Arial" w:eastAsia="Arial" w:hAnsi="Arial"/>
          <w:sz w:val="21"/>
          <w:szCs w:val="21"/>
          <w:color w:val="auto"/>
        </w:rPr>
        <w:t>with respect to a limited liability company, the Person or Persons who are the managing member, members or managers or any controlling committee or managing members or managers thereof; and</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0"/>
          <w:numId w:val="5"/>
        </w:numPr>
        <w:rPr>
          <w:rFonts w:ascii="Arial" w:cs="Arial" w:eastAsia="Arial" w:hAnsi="Arial"/>
          <w:sz w:val="21"/>
          <w:szCs w:val="21"/>
          <w:color w:val="auto"/>
        </w:rPr>
      </w:pPr>
      <w:r>
        <w:rPr>
          <w:rFonts w:ascii="Arial" w:cs="Arial" w:eastAsia="Arial" w:hAnsi="Arial"/>
          <w:sz w:val="21"/>
          <w:szCs w:val="21"/>
          <w:color w:val="auto"/>
        </w:rPr>
        <w:t>with respect to any other Person, the board or committee of such Person serving a similar function.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Business Day</w:t>
      </w:r>
      <w:r>
        <w:rPr>
          <w:rFonts w:ascii="Arial" w:cs="Arial" w:eastAsia="Arial" w:hAnsi="Arial"/>
          <w:sz w:val="21"/>
          <w:szCs w:val="21"/>
          <w:color w:val="auto"/>
        </w:rPr>
        <w:t>” means any day other than a Legal Holiday.</w:t>
      </w:r>
    </w:p>
    <w:p>
      <w:pPr>
        <w:spacing w:after="0" w:line="180"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Expenditures</w:t>
      </w:r>
      <w:r>
        <w:rPr>
          <w:rFonts w:ascii="Arial" w:cs="Arial" w:eastAsia="Arial" w:hAnsi="Arial"/>
          <w:sz w:val="19"/>
          <w:szCs w:val="19"/>
          <w:color w:val="auto"/>
        </w:rPr>
        <w:t xml:space="preserve">” means, for any period any expenditures by an Issuer or a Guarantor for the acquisition or leasing of fixed or capital assets (including Capital Lease Obligations) that should be capitalized in accordance with US GAAP and any expenditures by such Person for maintenance, repairs, restoration or refurbishment of the condition or usefulness of Property of such Person that should be capitalized in accordance with US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w:t>
      </w:r>
    </w:p>
    <w:p>
      <w:pPr>
        <w:spacing w:after="0" w:line="3" w:lineRule="exact"/>
        <w:rPr>
          <w:sz w:val="20"/>
          <w:szCs w:val="20"/>
          <w:color w:val="auto"/>
        </w:rPr>
      </w:pPr>
    </w:p>
    <w:p>
      <w:pPr>
        <w:jc w:val="both"/>
        <w:ind w:firstLine="5"/>
        <w:spacing w:after="0" w:line="222" w:lineRule="auto"/>
        <w:tabs>
          <w:tab w:leader="none" w:pos="313" w:val="left"/>
        </w:tabs>
        <w:numPr>
          <w:ilvl w:val="0"/>
          <w:numId w:val="6"/>
        </w:numPr>
        <w:rPr>
          <w:rFonts w:ascii="Arial" w:cs="Arial" w:eastAsia="Arial" w:hAnsi="Arial"/>
          <w:sz w:val="21"/>
          <w:szCs w:val="21"/>
          <w:color w:val="auto"/>
        </w:rPr>
      </w:pPr>
      <w:r>
        <w:rPr>
          <w:rFonts w:ascii="Arial" w:cs="Arial" w:eastAsia="Arial" w:hAnsi="Arial"/>
          <w:sz w:val="21"/>
          <w:szCs w:val="21"/>
          <w:color w:val="auto"/>
        </w:rPr>
        <w:t>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8" w:right="339" w:bottom="1440" w:gutter="0" w:footer="0" w:header="0"/>
        </w:sectPr>
      </w:pPr>
    </w:p>
    <w:bookmarkStart w:id="13" w:name="page14"/>
    <w:bookmarkEnd w:id="13"/>
    <w:p>
      <w:pPr>
        <w:jc w:val="both"/>
        <w:spacing w:after="0" w:line="227" w:lineRule="auto"/>
        <w:rPr>
          <w:sz w:val="20"/>
          <w:szCs w:val="20"/>
          <w:color w:val="auto"/>
        </w:rPr>
      </w:pPr>
      <w:r>
        <w:rPr>
          <w:rFonts w:ascii="Arial" w:cs="Arial" w:eastAsia="Arial" w:hAnsi="Arial"/>
          <w:sz w:val="20"/>
          <w:szCs w:val="20"/>
          <w:color w:val="auto"/>
        </w:rPr>
        <w:t>for the asset being traded in at such time; (c) the purchase of property or equipment to the extent financed with the proceeds of asset sales or other dispositions outside the ordinary course of business; (d) expenditures that constitute acquisitions not prohibited hereunder; (e) any capitalized interest expense reflected as additions to property in the consolidated balance sheet of the Issuers and the Guarantors (including in connection with sale-leaseback transactions not prohibited hereunder); (f) any non-cash compensation or other non-cash costs reflected as additions to property in the consolidated balance sheet of the Issuers and the Guarantors; and (g) capital expenditures relating to the construction or acquisition of any property or equipment which has been transferred to a Person other than an Issuer or a Guarantor pursuant to a sale-leaseback transaction not prohibited hereunder and capital expenditures arising pursuant to sale-leaseback transactions.</w:t>
      </w:r>
    </w:p>
    <w:p>
      <w:pPr>
        <w:spacing w:after="0" w:line="168" w:lineRule="exact"/>
        <w:rPr>
          <w:sz w:val="20"/>
          <w:szCs w:val="20"/>
          <w:color w:val="auto"/>
        </w:rPr>
      </w:pPr>
    </w:p>
    <w:p>
      <w:pPr>
        <w:jc w:val="both"/>
        <w:ind w:firstLine="632"/>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Capital Lease Obligation</w:t>
      </w:r>
      <w:r>
        <w:rPr>
          <w:rFonts w:ascii="Arial" w:cs="Arial" w:eastAsia="Arial" w:hAnsi="Arial"/>
          <w:sz w:val="21"/>
          <w:szCs w:val="21"/>
          <w:color w:val="auto"/>
        </w:rPr>
        <w:t xml:space="preserve">” means, any lease of any Property by that Person as lessee that, in conformity with GAAP, is required to be classified and accounted for as a capital lease on the balance sheet of that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for the avoidance of doubt, any lease that was accounted for, or would have been required to be accounted for, by any Person as an operating lease prior to the adoption of FASB ASC 842 and any similar lease entered into subsequent to the adoption of FASB ASC 842 by any Person may, in the sole discretion of Wynn Resorts Finance, be accounted for as an operating lease and not as a capital lease.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Capital Stock</w:t>
      </w:r>
      <w:r>
        <w:rPr>
          <w:rFonts w:ascii="Arial" w:cs="Arial" w:eastAsia="Arial" w:hAnsi="Arial"/>
          <w:sz w:val="21"/>
          <w:szCs w:val="21"/>
          <w:color w:val="auto"/>
        </w:rPr>
        <w:t>” means:</w:t>
      </w:r>
    </w:p>
    <w:p>
      <w:pPr>
        <w:spacing w:after="0" w:line="180" w:lineRule="exact"/>
        <w:rPr>
          <w:sz w:val="20"/>
          <w:szCs w:val="20"/>
          <w:color w:val="auto"/>
        </w:rPr>
      </w:pPr>
    </w:p>
    <w:p>
      <w:pPr>
        <w:ind w:left="1900" w:hanging="632"/>
        <w:spacing w:after="0"/>
        <w:tabs>
          <w:tab w:leader="none" w:pos="1900"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the case of a corporation, corporate stock;</w:t>
      </w:r>
    </w:p>
    <w:p>
      <w:pPr>
        <w:spacing w:after="0" w:line="179" w:lineRule="exact"/>
        <w:rPr>
          <w:rFonts w:ascii="Arial" w:cs="Arial" w:eastAsia="Arial" w:hAnsi="Arial"/>
          <w:sz w:val="21"/>
          <w:szCs w:val="21"/>
          <w:color w:val="auto"/>
        </w:rPr>
      </w:pPr>
    </w:p>
    <w:p>
      <w:pPr>
        <w:ind w:firstLine="1268"/>
        <w:spacing w:after="0" w:line="237" w:lineRule="auto"/>
        <w:tabs>
          <w:tab w:leader="none" w:pos="1890"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the case of an association or business entity, any and all shares, interests, participations, rights or other equivalents (however designated) of corporate stock;</w:t>
      </w:r>
    </w:p>
    <w:p>
      <w:pPr>
        <w:spacing w:after="0" w:line="154" w:lineRule="exact"/>
        <w:rPr>
          <w:rFonts w:ascii="Arial" w:cs="Arial" w:eastAsia="Arial" w:hAnsi="Arial"/>
          <w:sz w:val="21"/>
          <w:szCs w:val="21"/>
          <w:color w:val="auto"/>
        </w:rPr>
      </w:pPr>
    </w:p>
    <w:p>
      <w:pPr>
        <w:ind w:firstLine="1268"/>
        <w:spacing w:after="0" w:line="237" w:lineRule="auto"/>
        <w:tabs>
          <w:tab w:leader="none" w:pos="1890"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the case of a partnership or limited liability company, partnership interests (whether general or limited) or membership interests (whether general or limited); and</w:t>
      </w:r>
    </w:p>
    <w:p>
      <w:pPr>
        <w:spacing w:after="0" w:line="154" w:lineRule="exact"/>
        <w:rPr>
          <w:rFonts w:ascii="Arial" w:cs="Arial" w:eastAsia="Arial" w:hAnsi="Arial"/>
          <w:sz w:val="21"/>
          <w:szCs w:val="21"/>
          <w:color w:val="auto"/>
        </w:rPr>
      </w:pPr>
    </w:p>
    <w:p>
      <w:pPr>
        <w:jc w:val="both"/>
        <w:ind w:firstLine="1268"/>
        <w:spacing w:after="0" w:line="228" w:lineRule="auto"/>
        <w:tabs>
          <w:tab w:leader="none" w:pos="1890" w:val="left"/>
        </w:tabs>
        <w:numPr>
          <w:ilvl w:val="0"/>
          <w:numId w:val="7"/>
        </w:numPr>
        <w:rPr>
          <w:rFonts w:ascii="Arial" w:cs="Arial" w:eastAsia="Arial" w:hAnsi="Arial"/>
          <w:sz w:val="21"/>
          <w:szCs w:val="21"/>
          <w:color w:val="auto"/>
        </w:rPr>
      </w:pPr>
      <w:r>
        <w:rPr>
          <w:rFonts w:ascii="Arial" w:cs="Arial" w:eastAsia="Arial" w:hAnsi="Arial"/>
          <w:sz w:val="21"/>
          <w:szCs w:val="21"/>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Change of Control</w:t>
      </w:r>
      <w:r>
        <w:rPr>
          <w:rFonts w:ascii="Arial" w:cs="Arial" w:eastAsia="Arial" w:hAnsi="Arial"/>
          <w:sz w:val="21"/>
          <w:szCs w:val="21"/>
          <w:color w:val="auto"/>
        </w:rPr>
        <w:t>” means the occurrence of any of the following:</w:t>
      </w:r>
    </w:p>
    <w:p>
      <w:pPr>
        <w:spacing w:after="0" w:line="180" w:lineRule="exact"/>
        <w:rPr>
          <w:sz w:val="20"/>
          <w:szCs w:val="20"/>
          <w:color w:val="auto"/>
        </w:rPr>
      </w:pPr>
    </w:p>
    <w:p>
      <w:pPr>
        <w:jc w:val="both"/>
        <w:ind w:firstLine="1268"/>
        <w:spacing w:after="0" w:line="223" w:lineRule="auto"/>
        <w:tabs>
          <w:tab w:leader="none" w:pos="1890"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direct or indirect sale, transfer, conveyance or other disposition (other than by way of merger or consolidation), in one or a series of related transactions, of all or substantially all of the properties or assets of Wynn Resorts Finance and the Guarantors, taken as a whole, to any “person” (as that term is used in Section 13(d)(3) of the Exchange Act), other than to any Parent Entity and any Subsidiary of any Parent Entity;</w:t>
      </w:r>
    </w:p>
    <w:p>
      <w:pPr>
        <w:spacing w:after="0" w:line="155" w:lineRule="exact"/>
        <w:rPr>
          <w:rFonts w:ascii="Arial" w:cs="Arial" w:eastAsia="Arial" w:hAnsi="Arial"/>
          <w:sz w:val="21"/>
          <w:szCs w:val="21"/>
          <w:color w:val="auto"/>
        </w:rPr>
      </w:pPr>
    </w:p>
    <w:p>
      <w:pPr>
        <w:ind w:left="1900" w:hanging="632"/>
        <w:spacing w:after="0"/>
        <w:tabs>
          <w:tab w:leader="none" w:pos="19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adoption of a plan relating to the liquidation or dissolution of either Issuer or any successor thereto;</w:t>
      </w:r>
    </w:p>
    <w:p>
      <w:pPr>
        <w:spacing w:after="0" w:line="191" w:lineRule="exact"/>
        <w:rPr>
          <w:rFonts w:ascii="Arial" w:cs="Arial" w:eastAsia="Arial" w:hAnsi="Arial"/>
          <w:sz w:val="20"/>
          <w:szCs w:val="20"/>
          <w:color w:val="auto"/>
        </w:rPr>
      </w:pPr>
    </w:p>
    <w:p>
      <w:pPr>
        <w:jc w:val="both"/>
        <w:ind w:firstLine="1268"/>
        <w:spacing w:after="0" w:line="223" w:lineRule="auto"/>
        <w:tabs>
          <w:tab w:leader="none" w:pos="1890"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8" w:right="339" w:bottom="1440" w:gutter="0" w:footer="0" w:header="0"/>
        </w:sectPr>
      </w:pPr>
    </w:p>
    <w:bookmarkStart w:id="14" w:name="page15"/>
    <w:bookmarkEnd w:id="14"/>
    <w:p>
      <w:pPr>
        <w:ind w:firstLine="1268"/>
        <w:spacing w:after="0" w:line="237" w:lineRule="auto"/>
        <w:tabs>
          <w:tab w:leader="none" w:pos="189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first day on which Wynn Resorts ceases to own, directly or indirectly, 60% or more of the voting power of the outstanding Equity Interests of Wynn Resorts Finance.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Notwithstanding the above, a Change of Control shall not occur solely by reason of a Permitted C-Corp. Conversion.</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Change of Control Triggering Event</w:t>
      </w:r>
      <w:r>
        <w:rPr>
          <w:rFonts w:ascii="Arial" w:cs="Arial" w:eastAsia="Arial" w:hAnsi="Arial"/>
          <w:sz w:val="21"/>
          <w:szCs w:val="21"/>
          <w:color w:val="auto"/>
        </w:rPr>
        <w:t>” means the occurrence of both a Change of Control and a Ratings Event.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Clearstream</w:t>
      </w:r>
      <w:r>
        <w:rPr>
          <w:rFonts w:ascii="Arial" w:cs="Arial" w:eastAsia="Arial" w:hAnsi="Arial"/>
          <w:sz w:val="21"/>
          <w:szCs w:val="21"/>
          <w:color w:val="auto"/>
        </w:rPr>
        <w:t>” means Clearstream Banking, S.A.</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Code</w:t>
      </w:r>
      <w:r>
        <w:rPr>
          <w:rFonts w:ascii="Arial" w:cs="Arial" w:eastAsia="Arial" w:hAnsi="Arial"/>
          <w:sz w:val="21"/>
          <w:szCs w:val="21"/>
          <w:color w:val="auto"/>
        </w:rPr>
        <w:t>” means the Internal Revenue Code of 1986, as amended.</w:t>
      </w:r>
    </w:p>
    <w:p>
      <w:pPr>
        <w:spacing w:after="0" w:line="180"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Comparable Treasury Issue</w:t>
      </w:r>
      <w:r>
        <w:rPr>
          <w:rFonts w:ascii="Arial" w:cs="Arial" w:eastAsia="Arial" w:hAnsi="Arial"/>
          <w:sz w:val="21"/>
          <w:szCs w:val="21"/>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w:t>
      </w:r>
      <w:r>
        <w:rPr>
          <w:rFonts w:ascii="Arial" w:cs="Arial" w:eastAsia="Arial" w:hAnsi="Arial"/>
          <w:sz w:val="21"/>
          <w:szCs w:val="21"/>
          <w:i w:val="1"/>
          <w:iCs w:val="1"/>
          <w:color w:val="auto"/>
        </w:rPr>
        <w:t>Remaining Life</w:t>
      </w:r>
      <w:r>
        <w:rPr>
          <w:rFonts w:ascii="Arial" w:cs="Arial" w:eastAsia="Arial" w:hAnsi="Arial"/>
          <w:sz w:val="21"/>
          <w:szCs w:val="21"/>
          <w:color w:val="auto"/>
        </w:rPr>
        <w:t>”).</w:t>
      </w:r>
    </w:p>
    <w:p>
      <w:pPr>
        <w:spacing w:after="0" w:line="155"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Comparable Treasury Price</w:t>
      </w:r>
      <w:r>
        <w:rPr>
          <w:rFonts w:ascii="Arial" w:cs="Arial" w:eastAsia="Arial" w:hAnsi="Arial"/>
          <w:sz w:val="20"/>
          <w:szCs w:val="20"/>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68" w:lineRule="exact"/>
        <w:rPr>
          <w:sz w:val="20"/>
          <w:szCs w:val="20"/>
          <w:color w:val="auto"/>
        </w:rPr>
      </w:pPr>
    </w:p>
    <w:p>
      <w:pPr>
        <w:jc w:val="both"/>
        <w:ind w:firstLine="632"/>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Consolidated EBITDA</w:t>
      </w:r>
      <w:r>
        <w:rPr>
          <w:rFonts w:ascii="Arial" w:cs="Arial" w:eastAsia="Arial" w:hAnsi="Arial"/>
          <w:sz w:val="21"/>
          <w:szCs w:val="21"/>
          <w:color w:val="auto"/>
        </w:rPr>
        <w:t xml:space="preserve">” means, for any Test Period, the sum (without duplication) of Consolidated Net Income for such Test Period; </w:t>
      </w:r>
      <w:r>
        <w:rPr>
          <w:rFonts w:ascii="Arial" w:cs="Arial" w:eastAsia="Arial" w:hAnsi="Arial"/>
          <w:sz w:val="21"/>
          <w:szCs w:val="21"/>
          <w:i w:val="1"/>
          <w:iCs w:val="1"/>
          <w:color w:val="auto"/>
        </w:rPr>
        <w:t>plus</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21"/>
          <w:szCs w:val="21"/>
          <w:color w:val="auto"/>
        </w:rPr>
        <w:t>(a) in each case to the extent deducted in calculating such Consolidated Net Income:</w:t>
      </w:r>
    </w:p>
    <w:p>
      <w:pPr>
        <w:spacing w:after="0" w:line="206" w:lineRule="exact"/>
        <w:rPr>
          <w:sz w:val="20"/>
          <w:szCs w:val="20"/>
          <w:color w:val="auto"/>
        </w:rPr>
      </w:pPr>
    </w:p>
    <w:p>
      <w:pPr>
        <w:ind w:left="640" w:firstLine="313"/>
        <w:spacing w:after="0" w:line="274" w:lineRule="auto"/>
        <w:tabs>
          <w:tab w:leader="none" w:pos="1268" w:val="left"/>
        </w:tabs>
        <w:numPr>
          <w:ilvl w:val="0"/>
          <w:numId w:val="10"/>
        </w:numPr>
        <w:rPr>
          <w:rFonts w:ascii="Arial" w:cs="Arial" w:eastAsia="Arial" w:hAnsi="Arial"/>
          <w:sz w:val="21"/>
          <w:szCs w:val="21"/>
          <w:color w:val="auto"/>
        </w:rPr>
      </w:pPr>
      <w:r>
        <w:rPr>
          <w:rFonts w:ascii="Arial" w:cs="Arial" w:eastAsia="Arial" w:hAnsi="Arial"/>
          <w:sz w:val="21"/>
          <w:szCs w:val="21"/>
          <w:color w:val="auto"/>
        </w:rPr>
        <w:t>provisions for taxes based on income or profits or capital gains, plus franchise or similar taxes, of the Issuers and the Guarantors for such Test Period;</w:t>
      </w:r>
    </w:p>
    <w:p>
      <w:pPr>
        <w:spacing w:after="0" w:line="146" w:lineRule="exact"/>
        <w:rPr>
          <w:rFonts w:ascii="Arial" w:cs="Arial" w:eastAsia="Arial" w:hAnsi="Arial"/>
          <w:sz w:val="21"/>
          <w:szCs w:val="21"/>
          <w:color w:val="auto"/>
        </w:rPr>
      </w:pPr>
    </w:p>
    <w:p>
      <w:pPr>
        <w:ind w:left="640" w:firstLine="313"/>
        <w:spacing w:after="0" w:line="261" w:lineRule="auto"/>
        <w:tabs>
          <w:tab w:leader="none" w:pos="1267" w:val="left"/>
        </w:tabs>
        <w:numPr>
          <w:ilvl w:val="0"/>
          <w:numId w:val="10"/>
        </w:numPr>
        <w:rPr>
          <w:rFonts w:ascii="Arial" w:cs="Arial" w:eastAsia="Arial" w:hAnsi="Arial"/>
          <w:sz w:val="21"/>
          <w:szCs w:val="21"/>
          <w:color w:val="auto"/>
        </w:rPr>
      </w:pPr>
      <w:r>
        <w:rPr>
          <w:rFonts w:ascii="Arial" w:cs="Arial" w:eastAsia="Arial" w:hAnsi="Arial"/>
          <w:sz w:val="21"/>
          <w:szCs w:val="21"/>
          <w:color w:val="auto"/>
        </w:rPr>
        <w:t>Consolidated Interest Expense of the Issuers and the Guarantors for such Test Period, whether paid or accrued and whether or not capitalized;</w:t>
      </w:r>
    </w:p>
    <w:p>
      <w:pPr>
        <w:spacing w:after="0" w:line="172" w:lineRule="exact"/>
        <w:rPr>
          <w:rFonts w:ascii="Arial" w:cs="Arial" w:eastAsia="Arial" w:hAnsi="Arial"/>
          <w:sz w:val="21"/>
          <w:szCs w:val="21"/>
          <w:color w:val="auto"/>
        </w:rPr>
      </w:pPr>
    </w:p>
    <w:p>
      <w:pPr>
        <w:jc w:val="both"/>
        <w:ind w:left="640" w:firstLine="313"/>
        <w:spacing w:after="0" w:line="248" w:lineRule="auto"/>
        <w:tabs>
          <w:tab w:leader="none" w:pos="1268" w:val="left"/>
        </w:tabs>
        <w:numPr>
          <w:ilvl w:val="0"/>
          <w:numId w:val="10"/>
        </w:numPr>
        <w:rPr>
          <w:rFonts w:ascii="Arial" w:cs="Arial" w:eastAsia="Arial" w:hAnsi="Arial"/>
          <w:sz w:val="21"/>
          <w:szCs w:val="21"/>
          <w:color w:val="auto"/>
        </w:rPr>
      </w:pPr>
      <w:r>
        <w:rPr>
          <w:rFonts w:ascii="Arial" w:cs="Arial" w:eastAsia="Arial" w:hAnsi="Arial"/>
          <w:sz w:val="21"/>
          <w:szCs w:val="21"/>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172" w:lineRule="exact"/>
        <w:rPr>
          <w:rFonts w:ascii="Arial" w:cs="Arial" w:eastAsia="Arial" w:hAnsi="Arial"/>
          <w:sz w:val="21"/>
          <w:szCs w:val="21"/>
          <w:color w:val="auto"/>
        </w:rPr>
      </w:pPr>
    </w:p>
    <w:p>
      <w:pPr>
        <w:jc w:val="both"/>
        <w:ind w:left="640" w:firstLine="313"/>
        <w:spacing w:after="0" w:line="246" w:lineRule="auto"/>
        <w:tabs>
          <w:tab w:leader="none" w:pos="1267" w:val="left"/>
        </w:tabs>
        <w:numPr>
          <w:ilvl w:val="0"/>
          <w:numId w:val="10"/>
        </w:numPr>
        <w:rPr>
          <w:rFonts w:ascii="Arial" w:cs="Arial" w:eastAsia="Arial" w:hAnsi="Arial"/>
          <w:sz w:val="21"/>
          <w:szCs w:val="21"/>
          <w:color w:val="auto"/>
        </w:rPr>
      </w:pPr>
      <w:r>
        <w:rPr>
          <w:rFonts w:ascii="Arial" w:cs="Arial" w:eastAsia="Arial" w:hAnsi="Arial"/>
          <w:sz w:val="21"/>
          <w:szCs w:val="21"/>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Wynn Resorts Finance elects not to add back in the current Test Period (it being understood that reserves may be charged in the current Test Period or when paid, as reasonably determined by Wynn Resorts Finance)) of the Issuers and the Guarantors for such Test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such non-cash charges or expenses represent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68" w:right="339" w:bottom="1440" w:gutter="0" w:footer="0" w:header="0"/>
        </w:sectPr>
      </w:pPr>
    </w:p>
    <w:bookmarkStart w:id="15" w:name="page16"/>
    <w:bookmarkEnd w:id="15"/>
    <w:p>
      <w:pPr>
        <w:jc w:val="both"/>
        <w:ind w:left="320"/>
        <w:spacing w:after="0" w:line="254" w:lineRule="auto"/>
        <w:rPr>
          <w:sz w:val="20"/>
          <w:szCs w:val="20"/>
          <w:color w:val="auto"/>
        </w:rPr>
      </w:pPr>
      <w:r>
        <w:rPr>
          <w:rFonts w:ascii="Arial" w:cs="Arial" w:eastAsia="Arial" w:hAnsi="Arial"/>
          <w:sz w:val="21"/>
          <w:szCs w:val="21"/>
          <w:color w:val="auto"/>
        </w:rPr>
        <w:t>accrual of a reserve for potential cash items in any future Test Period, the cash payment in respect thereof in such future Test Period shall be subtracted from Consolidated EBITDA to the extent Wynn Resorts Finance elected to previously add back such amounts to Consolidated EBITDA;</w:t>
      </w:r>
    </w:p>
    <w:p>
      <w:pPr>
        <w:spacing w:after="0" w:line="168" w:lineRule="exact"/>
        <w:rPr>
          <w:sz w:val="20"/>
          <w:szCs w:val="20"/>
          <w:color w:val="auto"/>
        </w:rPr>
      </w:pPr>
    </w:p>
    <w:p>
      <w:pPr>
        <w:ind w:left="940" w:hanging="307"/>
        <w:spacing w:after="0"/>
        <w:tabs>
          <w:tab w:leader="none" w:pos="9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any Pre-Opening Expenses;</w:t>
      </w:r>
    </w:p>
    <w:p>
      <w:pPr>
        <w:spacing w:after="0" w:line="219" w:lineRule="exact"/>
        <w:rPr>
          <w:rFonts w:ascii="Arial" w:cs="Arial" w:eastAsia="Arial" w:hAnsi="Arial"/>
          <w:sz w:val="21"/>
          <w:szCs w:val="21"/>
          <w:color w:val="auto"/>
        </w:rPr>
      </w:pPr>
    </w:p>
    <w:p>
      <w:pPr>
        <w:jc w:val="both"/>
        <w:ind w:left="320" w:firstLine="313"/>
        <w:spacing w:after="0" w:line="245" w:lineRule="auto"/>
        <w:tabs>
          <w:tab w:leader="none" w:pos="951"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amount of any restructuring costs, charges, accruals, expenses or reserves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costs, charges, accruals, reserves or items of loss or expense (including, without limitation, losses on asset sales (other than asset sales in the ordinary course of business));</w:t>
      </w:r>
    </w:p>
    <w:p>
      <w:pPr>
        <w:spacing w:after="0" w:line="178" w:lineRule="exact"/>
        <w:rPr>
          <w:rFonts w:ascii="Arial" w:cs="Arial" w:eastAsia="Arial" w:hAnsi="Arial"/>
          <w:sz w:val="21"/>
          <w:szCs w:val="21"/>
          <w:color w:val="auto"/>
        </w:rPr>
      </w:pPr>
    </w:p>
    <w:p>
      <w:pPr>
        <w:jc w:val="both"/>
        <w:ind w:left="320" w:firstLine="313"/>
        <w:spacing w:after="0" w:line="245" w:lineRule="auto"/>
        <w:tabs>
          <w:tab w:leader="none" w:pos="947" w:val="left"/>
        </w:tabs>
        <w:numPr>
          <w:ilvl w:val="0"/>
          <w:numId w:val="11"/>
        </w:numPr>
        <w:rPr>
          <w:rFonts w:ascii="Arial" w:cs="Arial" w:eastAsia="Arial" w:hAnsi="Arial"/>
          <w:sz w:val="21"/>
          <w:szCs w:val="21"/>
          <w:color w:val="auto"/>
        </w:rPr>
      </w:pPr>
      <w:r>
        <w:rPr>
          <w:rFonts w:ascii="Arial" w:cs="Arial" w:eastAsia="Arial" w:hAnsi="Arial"/>
          <w:sz w:val="21"/>
          <w:szCs w:val="21"/>
          <w:color w:val="auto"/>
        </w:rPr>
        <w:t>any charges, fees and expenses (or any amortization thereof) (including, without limitation, all legal, accounting, advisory or other transaction-related fees, charges, costs and expenses and any bonuses or success fee payments related to the Transactions) related to the Transactions, any acquisition or investment or disposition (or any such proposed acquisition, investment or disposition) (including amortization or write offs of debt issuance or deferred financing costs, premiums and prepayment penalties), in each case, whether or not successful;</w:t>
      </w:r>
    </w:p>
    <w:p>
      <w:pPr>
        <w:spacing w:after="0" w:line="188" w:lineRule="exact"/>
        <w:rPr>
          <w:rFonts w:ascii="Arial" w:cs="Arial" w:eastAsia="Arial" w:hAnsi="Arial"/>
          <w:sz w:val="21"/>
          <w:szCs w:val="21"/>
          <w:color w:val="auto"/>
        </w:rPr>
      </w:pPr>
    </w:p>
    <w:p>
      <w:pPr>
        <w:ind w:left="940" w:hanging="307"/>
        <w:spacing w:after="0"/>
        <w:tabs>
          <w:tab w:leader="none" w:pos="9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any losses resulting from mark to market accounting of swap contracts or other derivative instruments; and</w:t>
      </w:r>
    </w:p>
    <w:p>
      <w:pPr>
        <w:spacing w:after="0" w:line="205" w:lineRule="exact"/>
        <w:rPr>
          <w:rFonts w:ascii="Arial" w:cs="Arial" w:eastAsia="Arial" w:hAnsi="Arial"/>
          <w:sz w:val="21"/>
          <w:szCs w:val="21"/>
          <w:color w:val="auto"/>
        </w:rPr>
      </w:pPr>
    </w:p>
    <w:p>
      <w:pPr>
        <w:jc w:val="both"/>
        <w:ind w:left="320" w:firstLine="313"/>
        <w:spacing w:after="0" w:line="248" w:lineRule="auto"/>
        <w:tabs>
          <w:tab w:leader="none" w:pos="9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 xml:space="preserve">the aggregate amount of accrued and unpaid Management Fees, IP Licensing Fees and Allocable Overhead;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cash payment in respect of such accrued and unpaid Management Fees, IP Licensing Fees and Allocable Overhead (other than to the extent any such accrual occurred prior to the Issue Date) in any future Test Period shall be subtracted from Consolidated EBITDA in such Test Period to the extent Wynn Resorts Finance elected to previously add back such amounts to Consolidated EBITDA; </w:t>
      </w:r>
      <w:r>
        <w:rPr>
          <w:rFonts w:ascii="Arial" w:cs="Arial" w:eastAsia="Arial" w:hAnsi="Arial"/>
          <w:sz w:val="21"/>
          <w:szCs w:val="21"/>
          <w:i w:val="1"/>
          <w:iCs w:val="1"/>
          <w:color w:val="auto"/>
        </w:rPr>
        <w:t>minus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(b) in each case to the extent included in calculating such Consolidated Net Income:</w:t>
      </w:r>
    </w:p>
    <w:p>
      <w:pPr>
        <w:spacing w:after="0" w:line="219" w:lineRule="exact"/>
        <w:rPr>
          <w:sz w:val="20"/>
          <w:szCs w:val="20"/>
          <w:color w:val="auto"/>
        </w:rPr>
      </w:pPr>
    </w:p>
    <w:p>
      <w:pPr>
        <w:jc w:val="both"/>
        <w:ind w:left="320" w:firstLine="313"/>
        <w:spacing w:after="0" w:line="248" w:lineRule="auto"/>
        <w:tabs>
          <w:tab w:leader="none" w:pos="9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172" w:lineRule="exact"/>
        <w:rPr>
          <w:rFonts w:ascii="Arial" w:cs="Arial" w:eastAsia="Arial" w:hAnsi="Arial"/>
          <w:sz w:val="21"/>
          <w:szCs w:val="21"/>
          <w:color w:val="auto"/>
        </w:rPr>
      </w:pPr>
    </w:p>
    <w:p>
      <w:pPr>
        <w:ind w:left="940" w:hanging="307"/>
        <w:spacing w:after="0"/>
        <w:tabs>
          <w:tab w:leader="none" w:pos="9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amount of any gains resulting from mark to market accounting of swap contracts or other derivative instruments;</w:t>
      </w:r>
    </w:p>
    <w:p>
      <w:pPr>
        <w:spacing w:after="0" w:line="49" w:lineRule="exact"/>
        <w:rPr>
          <w:rFonts w:ascii="Arial" w:cs="Arial" w:eastAsia="Arial" w:hAnsi="Arial"/>
          <w:sz w:val="19"/>
          <w:szCs w:val="19"/>
          <w:color w:val="auto"/>
        </w:rPr>
      </w:pPr>
    </w:p>
    <w:p>
      <w:pPr>
        <w:ind w:left="320"/>
        <w:spacing w:after="0"/>
        <w:rPr>
          <w:rFonts w:ascii="Arial" w:cs="Arial" w:eastAsia="Arial" w:hAnsi="Arial"/>
          <w:sz w:val="19"/>
          <w:szCs w:val="19"/>
          <w:color w:val="auto"/>
        </w:rPr>
      </w:pPr>
      <w:r>
        <w:rPr>
          <w:rFonts w:ascii="Arial" w:cs="Arial" w:eastAsia="Arial" w:hAnsi="Arial"/>
          <w:sz w:val="21"/>
          <w:szCs w:val="21"/>
          <w:i w:val="1"/>
          <w:iCs w:val="1"/>
          <w:color w:val="auto"/>
        </w:rPr>
        <w:t>plus</w:t>
      </w:r>
    </w:p>
    <w:p>
      <w:pPr>
        <w:spacing w:after="0" w:line="188" w:lineRule="exact"/>
        <w:rPr>
          <w:sz w:val="20"/>
          <w:szCs w:val="20"/>
          <w:color w:val="auto"/>
        </w:rPr>
      </w:pPr>
    </w:p>
    <w:p>
      <w:pPr>
        <w:jc w:val="both"/>
        <w:ind w:firstLine="633"/>
        <w:spacing w:after="0" w:line="254" w:lineRule="auto"/>
        <w:tabs>
          <w:tab w:leader="none" w:pos="944"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amount of cost savings, operating expense reductions, other operating improvements and synergies projected by Wynn Resorts Finance in good faith to be realized as a result of specified actions taken or with respect to which steps have been initiated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920"/>
          </w:cols>
          <w:pgMar w:left="640" w:top="1381" w:right="339" w:bottom="1440" w:gutter="0" w:footer="0" w:header="0"/>
        </w:sectPr>
      </w:pPr>
    </w:p>
    <w:bookmarkStart w:id="16" w:name="page17"/>
    <w:bookmarkEnd w:id="16"/>
    <w:p>
      <w:pPr>
        <w:jc w:val="both"/>
        <w:spacing w:after="0" w:line="269" w:lineRule="auto"/>
        <w:rPr>
          <w:sz w:val="20"/>
          <w:szCs w:val="20"/>
          <w:color w:val="auto"/>
        </w:rPr>
      </w:pPr>
      <w:r>
        <w:rPr>
          <w:rFonts w:ascii="Arial" w:cs="Arial" w:eastAsia="Arial" w:hAnsi="Arial"/>
          <w:sz w:val="19"/>
          <w:szCs w:val="19"/>
          <w:color w:val="auto"/>
        </w:rPr>
        <w:t xml:space="preserve">good faith determination of Wynn Resorts Finance) during such Test Period (or with respect to Specified Transactions, are reasonably expected to be initiated within eighteen (18) months of the closing date of the Specified Transaction), including in connection with any Specified Transaction (calculated on a pro forma basis as though such cost savings, operating expense reductions, other operating improvements and synergies had been realized during the entirety of such Test Period), net of the amount of actual benefits realized during such Test Period from such 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actions are to be taken within eighteen (18) months after the consummation of such Specified Transaction, restructuring or implementation of an initiative that is expected to result in such cost savings, operating expense reductions, other operating improvements or synergies, (ii) no cost savings, operating expense reductions, other operating improvements and synergies shall be added pursuant to this clause (c) to the extent duplicative of any expenses or charges otherwise added to Consolidated EBITDA, whether through a pro forma adjustment or otherwise, for such Test Period, and (iii) projected amounts (and not yet realized) may no longer be added in calculating Consolidated EBITDA pursuant to this clause (c) to the extent more than eighteen (18) months have elapsed after the specified action taken in order to realize such projected cost savings, operating expense reductions, other operating improvements and synergies;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additions made to Consolidated EBITDA for any Test Period pursuant to this clause (c) shall not (i) exceed 20.0% of Consolidated EBITDA for such Test Period (after giving effect to this clause (c)) or (ii) be duplicative of one another; </w:t>
      </w:r>
      <w:r>
        <w:rPr>
          <w:rFonts w:ascii="Arial" w:cs="Arial" w:eastAsia="Arial" w:hAnsi="Arial"/>
          <w:sz w:val="19"/>
          <w:szCs w:val="19"/>
          <w:i w:val="1"/>
          <w:iCs w:val="1"/>
          <w:color w:val="auto"/>
        </w:rPr>
        <w:t>plus</w:t>
      </w:r>
    </w:p>
    <w:p>
      <w:pPr>
        <w:spacing w:after="0" w:line="169" w:lineRule="exact"/>
        <w:rPr>
          <w:sz w:val="20"/>
          <w:szCs w:val="20"/>
          <w:color w:val="auto"/>
        </w:rPr>
      </w:pPr>
    </w:p>
    <w:p>
      <w:pPr>
        <w:jc w:val="both"/>
        <w:ind w:firstLine="633"/>
        <w:spacing w:after="0" w:line="256" w:lineRule="auto"/>
        <w:tabs>
          <w:tab w:leader="none" w:pos="943"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amount of insurance proceeds shall only be included pursuant to this clause (d) to the extent of the amount of insurance proceeds </w:t>
      </w:r>
      <w:r>
        <w:rPr>
          <w:rFonts w:ascii="Arial" w:cs="Arial" w:eastAsia="Arial" w:hAnsi="Arial"/>
          <w:sz w:val="20"/>
          <w:szCs w:val="20"/>
          <w:i w:val="1"/>
          <w:iCs w:val="1"/>
          <w:color w:val="auto"/>
        </w:rPr>
        <w:t>plus</w:t>
      </w:r>
      <w:r>
        <w:rPr>
          <w:rFonts w:ascii="Arial" w:cs="Arial" w:eastAsia="Arial" w:hAnsi="Arial"/>
          <w:sz w:val="20"/>
          <w:szCs w:val="20"/>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Arial" w:cs="Arial" w:eastAsia="Arial" w:hAnsi="Arial"/>
          <w:sz w:val="20"/>
          <w:szCs w:val="20"/>
          <w:i w:val="1"/>
          <w:iCs w:val="1"/>
          <w:color w:val="auto"/>
        </w:rPr>
        <w:t>plus</w:t>
      </w:r>
    </w:p>
    <w:p>
      <w:pPr>
        <w:spacing w:after="0" w:line="178" w:lineRule="exact"/>
        <w:rPr>
          <w:rFonts w:ascii="Arial" w:cs="Arial" w:eastAsia="Arial" w:hAnsi="Arial"/>
          <w:sz w:val="20"/>
          <w:szCs w:val="20"/>
          <w:color w:val="auto"/>
        </w:rPr>
      </w:pPr>
    </w:p>
    <w:p>
      <w:pPr>
        <w:jc w:val="both"/>
        <w:ind w:firstLine="633"/>
        <w:spacing w:after="0" w:line="294" w:lineRule="auto"/>
        <w:tabs>
          <w:tab w:leader="none" w:pos="944"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for any previous Test Period and not added back.</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Consolidated EBITDA shall be further adjusted:</w:t>
      </w:r>
    </w:p>
    <w:p>
      <w:pPr>
        <w:spacing w:after="0" w:line="206" w:lineRule="exact"/>
        <w:rPr>
          <w:sz w:val="20"/>
          <w:szCs w:val="20"/>
          <w:color w:val="auto"/>
        </w:rPr>
      </w:pPr>
    </w:p>
    <w:p>
      <w:pPr>
        <w:ind w:firstLine="632"/>
        <w:spacing w:after="0" w:line="274" w:lineRule="auto"/>
        <w:rPr>
          <w:sz w:val="20"/>
          <w:szCs w:val="20"/>
          <w:color w:val="auto"/>
        </w:rPr>
      </w:pPr>
      <w:r>
        <w:rPr>
          <w:rFonts w:ascii="Arial" w:cs="Arial" w:eastAsia="Arial" w:hAnsi="Arial"/>
          <w:sz w:val="21"/>
          <w:szCs w:val="21"/>
          <w:color w:val="auto"/>
        </w:rPr>
        <w:t>(A)to include the Consolidated EBITDA of any Person, property, business or asset (including a management agreement or similar agreement) acquired by an Issuer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920"/>
          </w:cols>
          <w:pgMar w:left="640" w:top="1381" w:right="339" w:bottom="1440" w:gutter="0" w:footer="0" w:header="0"/>
        </w:sectPr>
      </w:pPr>
    </w:p>
    <w:bookmarkStart w:id="17" w:name="page18"/>
    <w:bookmarkEnd w:id="17"/>
    <w:p>
      <w:pPr>
        <w:jc w:val="both"/>
        <w:ind w:left="320"/>
        <w:spacing w:after="0" w:line="248" w:lineRule="auto"/>
        <w:rPr>
          <w:sz w:val="20"/>
          <w:szCs w:val="20"/>
          <w:color w:val="auto"/>
        </w:rPr>
      </w:pPr>
      <w:r>
        <w:rPr>
          <w:rFonts w:ascii="Arial" w:cs="Arial" w:eastAsia="Arial" w:hAnsi="Arial"/>
          <w:sz w:val="21"/>
          <w:szCs w:val="21"/>
          <w:color w:val="auto"/>
        </w:rPr>
        <w:t>Guarantor during such Test Period and required to become a Guarantor pursuant to the terms of this Indenture based on the Consolidated EBITDA of such Person (or attributable to such property, business or asset) for such period (including the portion thereof occurring prior to such acquisition), determined as if references the Issuers and the Guarantors in Consolidated Net Income and other defined terms therein were to such Person and its Subsidiaries;</w:t>
      </w:r>
    </w:p>
    <w:p>
      <w:pPr>
        <w:spacing w:after="0" w:line="186" w:lineRule="exact"/>
        <w:rPr>
          <w:sz w:val="20"/>
          <w:szCs w:val="20"/>
          <w:color w:val="auto"/>
        </w:rPr>
      </w:pPr>
    </w:p>
    <w:p>
      <w:pPr>
        <w:jc w:val="both"/>
        <w:ind w:left="320" w:firstLine="632"/>
        <w:spacing w:after="0" w:line="260" w:lineRule="auto"/>
        <w:rPr>
          <w:sz w:val="20"/>
          <w:szCs w:val="20"/>
          <w:color w:val="auto"/>
        </w:rPr>
      </w:pPr>
      <w:r>
        <w:rPr>
          <w:rFonts w:ascii="Arial" w:cs="Arial" w:eastAsia="Arial" w:hAnsi="Arial"/>
          <w:sz w:val="20"/>
          <w:szCs w:val="20"/>
          <w:color w:val="auto"/>
        </w:rPr>
        <w:t>(B)to exclude the Consolidated EBITDA of any Guarantor, property, business or asset sold, transferred or otherwise disposed of, closed or classified as discontinued operations by an Issuer or any Guarantor during such Test Period, based on the actual Consolidated EBITDA of such Person for such period (including the portion thereof occurring prior to such sale, transfer, disposition, closing, classification or conversion), determined as if references to the Issuers and the Guarantors in Consolidated Net Income and other defined terms therein were to such Person and its Subsidiaries;</w:t>
      </w:r>
    </w:p>
    <w:p>
      <w:pPr>
        <w:spacing w:after="0" w:line="175" w:lineRule="exact"/>
        <w:rPr>
          <w:sz w:val="20"/>
          <w:szCs w:val="20"/>
          <w:color w:val="auto"/>
        </w:rPr>
      </w:pPr>
    </w:p>
    <w:p>
      <w:pPr>
        <w:jc w:val="both"/>
        <w:ind w:left="320" w:firstLine="632"/>
        <w:spacing w:after="0" w:line="273" w:lineRule="auto"/>
        <w:rPr>
          <w:sz w:val="20"/>
          <w:szCs w:val="20"/>
          <w:color w:val="auto"/>
        </w:rPr>
      </w:pPr>
      <w:r>
        <w:rPr>
          <w:rFonts w:ascii="Arial" w:cs="Arial" w:eastAsia="Arial" w:hAnsi="Arial"/>
          <w:sz w:val="19"/>
          <w:szCs w:val="19"/>
          <w:color w:val="auto"/>
        </w:rPr>
        <w:t>(C)in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the Issuers and the Guarantors;</w:t>
      </w:r>
    </w:p>
    <w:p>
      <w:pPr>
        <w:spacing w:after="0" w:line="167" w:lineRule="exact"/>
        <w:rPr>
          <w:sz w:val="20"/>
          <w:szCs w:val="20"/>
          <w:color w:val="auto"/>
        </w:rPr>
      </w:pPr>
    </w:p>
    <w:p>
      <w:pPr>
        <w:jc w:val="both"/>
        <w:ind w:left="320" w:firstLine="632"/>
        <w:spacing w:after="0" w:line="257" w:lineRule="auto"/>
        <w:rPr>
          <w:sz w:val="20"/>
          <w:szCs w:val="20"/>
          <w:color w:val="auto"/>
        </w:rPr>
      </w:pPr>
      <w:r>
        <w:rPr>
          <w:rFonts w:ascii="Arial" w:cs="Arial" w:eastAsia="Arial" w:hAnsi="Arial"/>
          <w:sz w:val="20"/>
          <w:szCs w:val="20"/>
          <w:color w:val="auto"/>
        </w:rPr>
        <w:t>(D)in the event of any Expansion Capital Expenditures or Development Projects that were opened for business during such Test Period, by multiplying the Consolidated EBITDA attributable to such Expansion Capital Expenditures or Development Projects (as determined by Wynn Resorts Finance in good faith) in respect of the first three (3) complete fiscal quarters following opening of the business representing such Expansion Capital Expenditures or Development Projects by: (x) 4 (with respect to the first such quarter), (y) 2 (with respect to the first two such quarters), and (z) 4/3 (with respect to the first three such quarters) and, for the avoidance of doubt, excluding Consolidated EBITDA attributable to such Expansion Capital Expenditures or Development Projects during the quarter in which the business representing such Expansion Capital Expenditure or Development Projects opened when calculating Consolidated EBITDA during any such three fiscal quarters (unless such business opened on the first day of a fiscal quarter); and</w:t>
      </w:r>
    </w:p>
    <w:p>
      <w:pPr>
        <w:spacing w:after="0" w:line="165" w:lineRule="exact"/>
        <w:rPr>
          <w:sz w:val="20"/>
          <w:szCs w:val="20"/>
          <w:color w:val="auto"/>
        </w:rPr>
      </w:pPr>
    </w:p>
    <w:p>
      <w:pPr>
        <w:jc w:val="both"/>
        <w:ind w:left="320" w:firstLine="633"/>
        <w:spacing w:after="0" w:line="252" w:lineRule="auto"/>
        <w:tabs>
          <w:tab w:leader="none" w:pos="12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to exclude the amount, if any, by which the dividends and distributions paid or, at Wynn Resorts Finance’s election, declared to Wynn Group Asia by its direct and indirect Subsidiaries that are included in Consolidated Net Income pursuant to clause (c) of the definition thereof during the applicable Test Period exceed the applicable Recurring Dividend Amount for such Test Period.</w:t>
      </w:r>
    </w:p>
    <w:p>
      <w:pPr>
        <w:spacing w:after="0" w:line="170" w:lineRule="exact"/>
        <w:rPr>
          <w:sz w:val="20"/>
          <w:szCs w:val="20"/>
          <w:color w:val="auto"/>
        </w:rPr>
      </w:pPr>
    </w:p>
    <w:p>
      <w:pPr>
        <w:ind w:firstLine="632"/>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Indebtedness</w:t>
      </w:r>
      <w:r>
        <w:rPr>
          <w:rFonts w:ascii="Arial" w:cs="Arial" w:eastAsia="Arial" w:hAnsi="Arial"/>
          <w:sz w:val="19"/>
          <w:szCs w:val="19"/>
          <w:color w:val="auto"/>
        </w:rPr>
        <w:t>” means, as at any date of determination, the aggregate amount of all Indebtedness of the Issuers and the Guarantors (other than (x) any such Indebtedness that has been discharged, (y) any escrowed indebtedness, and</w:t>
      </w:r>
    </w:p>
    <w:p>
      <w:pPr>
        <w:ind w:left="300" w:hanging="295"/>
        <w:spacing w:after="0"/>
        <w:tabs>
          <w:tab w:leader="none" w:pos="300" w:val="left"/>
        </w:tabs>
        <w:numPr>
          <w:ilvl w:val="0"/>
          <w:numId w:val="16"/>
        </w:numPr>
        <w:rPr>
          <w:rFonts w:ascii="Arial" w:cs="Arial" w:eastAsia="Arial" w:hAnsi="Arial"/>
          <w:sz w:val="21"/>
          <w:szCs w:val="21"/>
          <w:color w:val="auto"/>
        </w:rPr>
      </w:pPr>
      <w:r>
        <w:rPr>
          <w:rFonts w:ascii="Arial" w:cs="Arial" w:eastAsia="Arial" w:hAnsi="Arial"/>
          <w:sz w:val="21"/>
          <w:szCs w:val="21"/>
          <w:color w:val="auto"/>
        </w:rPr>
        <w:t>intercompany indebtedness) on such date, in an amount that would be reflected on a balance sheet on such date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7" w:lineRule="exact"/>
        <w:rPr>
          <w:rFonts w:ascii="Arial" w:cs="Arial" w:eastAsia="Arial" w:hAnsi="Arial"/>
          <w:sz w:val="21"/>
          <w:szCs w:val="21"/>
          <w:color w:val="auto"/>
        </w:rPr>
      </w:pPr>
    </w:p>
    <w:p>
      <w:pPr>
        <w:ind w:left="5580"/>
        <w:spacing w:after="0"/>
        <w:rPr>
          <w:rFonts w:ascii="Arial" w:cs="Arial" w:eastAsia="Arial" w:hAnsi="Arial"/>
          <w:sz w:val="21"/>
          <w:szCs w:val="21"/>
          <w:color w:val="auto"/>
        </w:rPr>
      </w:pPr>
      <w:r>
        <w:rPr>
          <w:rFonts w:ascii="Arial" w:cs="Arial" w:eastAsia="Arial" w:hAnsi="Arial"/>
          <w:sz w:val="21"/>
          <w:szCs w:val="21"/>
          <w:color w:val="auto"/>
        </w:rPr>
        <w:t>8</w:t>
      </w:r>
    </w:p>
    <w:p>
      <w:pPr>
        <w:sectPr>
          <w:pgSz w:w="11900" w:h="16838" w:orient="portrait"/>
          <w:cols w:equalWidth="0" w:num="1">
            <w:col w:w="11240"/>
          </w:cols>
          <w:pgMar w:left="320" w:top="1381" w:right="339" w:bottom="1440" w:gutter="0" w:footer="0" w:header="0"/>
        </w:sectPr>
      </w:pPr>
    </w:p>
    <w:bookmarkStart w:id="18" w:name="page19"/>
    <w:bookmarkEnd w:id="18"/>
    <w:p>
      <w:pPr>
        <w:jc w:val="both"/>
        <w:spacing w:after="0" w:line="269" w:lineRule="auto"/>
        <w:rPr>
          <w:sz w:val="20"/>
          <w:szCs w:val="20"/>
          <w:color w:val="auto"/>
        </w:rPr>
      </w:pPr>
      <w:r>
        <w:rPr>
          <w:rFonts w:ascii="Arial" w:cs="Arial" w:eastAsia="Arial" w:hAnsi="Arial"/>
          <w:sz w:val="19"/>
          <w:szCs w:val="19"/>
          <w:color w:val="auto"/>
        </w:rPr>
        <w:t xml:space="preserve">prepared on a consolidated basis in accordance with US GAAP, consisting of Indebtedness for borrowed money, obligations in respect of Capital Lease Obligations, purchase money Indebtedness, Indebtedness of the kind described in clause (4) of the definition of “Indebtedness,” Indebtedness evidenced by promissory notes and similar instruments and contingent obligations in respect of any of the foregoing (to be included only to the extent set forth in clause (iii) below);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Consolidated Indebtedness shall not include (A) Indebtedness in respect of letters of credit, except to the extent of unreimbursed amounts thereunder or</w:t>
      </w:r>
    </w:p>
    <w:p>
      <w:pPr>
        <w:spacing w:after="0" w:line="4" w:lineRule="exact"/>
        <w:rPr>
          <w:sz w:val="20"/>
          <w:szCs w:val="20"/>
          <w:color w:val="auto"/>
        </w:rPr>
      </w:pPr>
    </w:p>
    <w:p>
      <w:pPr>
        <w:jc w:val="both"/>
        <w:ind w:firstLine="5"/>
        <w:spacing w:after="0" w:line="272" w:lineRule="auto"/>
        <w:tabs>
          <w:tab w:leader="none" w:pos="336"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Indebtedness in respect of disqualified capital stock, (ii) the amount of Consolidated Indebtedness, in the case of Indebtedness of a Guarantor that is not a wholly-owned Guarantor, shall be reduced by an amount directly proportional to the amount (if any) by which Consolidated EBITDA was reduced (including through the calculation of Consolidated Net Income) in respect of such non-controlling interest in such Guarantor owned by a Person other than an Issuer or any other Guarantor, (iii) Consolidated Indebtedness shall not include contingent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and when any such contingent obligation is demanded for payment from an Issuer or any Guarantor, then the amounts of such contingent obligation shall be included in such calculations.</w:t>
      </w:r>
    </w:p>
    <w:p>
      <w:pPr>
        <w:spacing w:after="0" w:line="154" w:lineRule="exact"/>
        <w:rPr>
          <w:sz w:val="20"/>
          <w:szCs w:val="20"/>
          <w:color w:val="auto"/>
        </w:rPr>
      </w:pPr>
    </w:p>
    <w:p>
      <w:pPr>
        <w:jc w:val="both"/>
        <w:ind w:firstLine="632"/>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Interest Expense</w:t>
      </w:r>
      <w:r>
        <w:rPr>
          <w:rFonts w:ascii="Arial" w:cs="Arial" w:eastAsia="Arial" w:hAnsi="Arial"/>
          <w:sz w:val="19"/>
          <w:szCs w:val="19"/>
          <w:color w:val="auto"/>
        </w:rPr>
        <w:t xml:space="preserve">” means, for any Test Period, the sum of interest expense of the Issuers and the Guarantors for such Test Period as determined on a consolidated basis in accordance with US GAAP, </w:t>
      </w:r>
      <w:r>
        <w:rPr>
          <w:rFonts w:ascii="Arial" w:cs="Arial" w:eastAsia="Arial" w:hAnsi="Arial"/>
          <w:sz w:val="19"/>
          <w:szCs w:val="19"/>
          <w:i w:val="1"/>
          <w:iCs w:val="1"/>
          <w:color w:val="auto"/>
        </w:rPr>
        <w:t>plus</w:t>
      </w:r>
      <w:r>
        <w:rPr>
          <w:rFonts w:ascii="Arial" w:cs="Arial" w:eastAsia="Arial" w:hAnsi="Arial"/>
          <w:sz w:val="19"/>
          <w:szCs w:val="19"/>
          <w:color w:val="auto"/>
        </w:rPr>
        <w:t>, to the extent deducted in arriving at Consolidated Net Income and without duplication, (a) the interest portion of payments on Capital Lease Obligations,</w:t>
      </w:r>
    </w:p>
    <w:p>
      <w:pPr>
        <w:spacing w:after="0" w:line="2" w:lineRule="exact"/>
        <w:rPr>
          <w:sz w:val="20"/>
          <w:szCs w:val="20"/>
          <w:color w:val="auto"/>
        </w:rPr>
      </w:pPr>
    </w:p>
    <w:p>
      <w:pPr>
        <w:jc w:val="both"/>
        <w:ind w:firstLine="5"/>
        <w:spacing w:after="0" w:line="254" w:lineRule="auto"/>
        <w:tabs>
          <w:tab w:leader="none" w:pos="324" w:val="left"/>
        </w:tabs>
        <w:numPr>
          <w:ilvl w:val="0"/>
          <w:numId w:val="18"/>
        </w:numPr>
        <w:rPr>
          <w:rFonts w:ascii="Arial" w:cs="Arial" w:eastAsia="Arial" w:hAnsi="Arial"/>
          <w:sz w:val="20"/>
          <w:szCs w:val="20"/>
          <w:color w:val="auto"/>
        </w:rPr>
      </w:pPr>
      <w:r>
        <w:rPr>
          <w:rFonts w:ascii="Arial" w:cs="Arial" w:eastAsia="Arial" w:hAnsi="Arial"/>
          <w:sz w:val="20"/>
          <w:szCs w:val="20"/>
          <w:color w:val="auto"/>
        </w:rPr>
        <w:t>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US GAAP, (j) fees and expenses associated with the consummation of the Transactions (k) annual or quarterly agency fees paid to the administrative agent under the Senior Credit Facilities and (l) costs and fees associated with obtaining swap contracts and fees payable thereunder.</w:t>
      </w:r>
    </w:p>
    <w:p>
      <w:pPr>
        <w:spacing w:after="0" w:line="186" w:lineRule="exact"/>
        <w:rPr>
          <w:sz w:val="20"/>
          <w:szCs w:val="20"/>
          <w:color w:val="auto"/>
        </w:rPr>
      </w:pPr>
    </w:p>
    <w:p>
      <w:pPr>
        <w:ind w:firstLine="632"/>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Net Income</w:t>
      </w:r>
      <w:r>
        <w:rPr>
          <w:rFonts w:ascii="Arial" w:cs="Arial" w:eastAsia="Arial" w:hAnsi="Arial"/>
          <w:sz w:val="19"/>
          <w:szCs w:val="19"/>
          <w:color w:val="auto"/>
        </w:rPr>
        <w:t xml:space="preserve">” means, for any Test Period, the aggregate of the net income of the Issuers and the Guarantors for such Test Period, on a consolidated basis, determined in accordance with US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without duplication:</w:t>
      </w:r>
    </w:p>
    <w:p>
      <w:pPr>
        <w:spacing w:after="0" w:line="126" w:lineRule="exact"/>
        <w:rPr>
          <w:sz w:val="20"/>
          <w:szCs w:val="20"/>
          <w:color w:val="auto"/>
        </w:rPr>
      </w:pPr>
    </w:p>
    <w:p>
      <w:pPr>
        <w:ind w:left="1260" w:hanging="307"/>
        <w:spacing w:after="0"/>
        <w:tabs>
          <w:tab w:leader="none" w:pos="1260" w:val="left"/>
        </w:tabs>
        <w:numPr>
          <w:ilvl w:val="1"/>
          <w:numId w:val="19"/>
        </w:numPr>
        <w:rPr>
          <w:rFonts w:ascii="Arial" w:cs="Arial" w:eastAsia="Arial" w:hAnsi="Arial"/>
          <w:sz w:val="19"/>
          <w:szCs w:val="19"/>
          <w:color w:val="auto"/>
        </w:rPr>
      </w:pPr>
      <w:r>
        <w:rPr>
          <w:rFonts w:ascii="Arial" w:cs="Arial" w:eastAsia="Arial" w:hAnsi="Arial"/>
          <w:sz w:val="19"/>
          <w:szCs w:val="19"/>
          <w:color w:val="auto"/>
        </w:rPr>
        <w:t>any gain or loss (together with any related provision for taxes thereon) realized in connection with (i) any asset sale or</w:t>
      </w:r>
    </w:p>
    <w:p>
      <w:pPr>
        <w:spacing w:after="0" w:line="36" w:lineRule="exact"/>
        <w:rPr>
          <w:rFonts w:ascii="Arial" w:cs="Arial" w:eastAsia="Arial" w:hAnsi="Arial"/>
          <w:sz w:val="19"/>
          <w:szCs w:val="19"/>
          <w:color w:val="auto"/>
        </w:rPr>
      </w:pPr>
    </w:p>
    <w:p>
      <w:pPr>
        <w:ind w:left="640" w:hanging="319"/>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21"/>
          <w:szCs w:val="21"/>
          <w:color w:val="auto"/>
        </w:rPr>
        <w:t>any disposition of any securities by an Issuer or any of the Guarantors shall be excluded;</w:t>
      </w:r>
    </w:p>
    <w:p>
      <w:pPr>
        <w:spacing w:after="0" w:line="187" w:lineRule="exact"/>
        <w:rPr>
          <w:rFonts w:ascii="Arial" w:cs="Arial" w:eastAsia="Arial" w:hAnsi="Arial"/>
          <w:sz w:val="21"/>
          <w:szCs w:val="21"/>
          <w:color w:val="auto"/>
        </w:rPr>
      </w:pPr>
    </w:p>
    <w:p>
      <w:pPr>
        <w:ind w:left="1260" w:hanging="307"/>
        <w:spacing w:after="0"/>
        <w:tabs>
          <w:tab w:leader="none" w:pos="1260" w:val="left"/>
        </w:tabs>
        <w:numPr>
          <w:ilvl w:val="1"/>
          <w:numId w:val="20"/>
        </w:numPr>
        <w:rPr>
          <w:rFonts w:ascii="Arial" w:cs="Arial" w:eastAsia="Arial" w:hAnsi="Arial"/>
          <w:sz w:val="21"/>
          <w:szCs w:val="21"/>
          <w:color w:val="auto"/>
        </w:rPr>
      </w:pPr>
      <w:r>
        <w:rPr>
          <w:rFonts w:ascii="Arial" w:cs="Arial" w:eastAsia="Arial" w:hAnsi="Arial"/>
          <w:sz w:val="21"/>
          <w:szCs w:val="21"/>
          <w:color w:val="auto"/>
        </w:rPr>
        <w:t>any extraordinary gain or loss (together with any related provision for taxes thereon)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81" w:right="339" w:bottom="1440" w:gutter="0" w:footer="0" w:header="0"/>
        </w:sectPr>
      </w:pPr>
    </w:p>
    <w:bookmarkStart w:id="19" w:name="page20"/>
    <w:bookmarkEnd w:id="19"/>
    <w:p>
      <w:pPr>
        <w:ind w:left="940" w:hanging="307"/>
        <w:spacing w:after="0"/>
        <w:tabs>
          <w:tab w:leader="none" w:pos="940"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net income of any Person that (i) is not a Subsidiary, (ii) is accounted for by the equity method of accounting or</w:t>
      </w:r>
    </w:p>
    <w:p>
      <w:pPr>
        <w:spacing w:after="0" w:line="36" w:lineRule="exact"/>
        <w:rPr>
          <w:rFonts w:ascii="Arial" w:cs="Arial" w:eastAsia="Arial" w:hAnsi="Arial"/>
          <w:sz w:val="19"/>
          <w:szCs w:val="19"/>
          <w:color w:val="auto"/>
        </w:rPr>
      </w:pPr>
    </w:p>
    <w:p>
      <w:pPr>
        <w:ind w:left="400" w:hanging="399"/>
        <w:spacing w:after="0"/>
        <w:tabs>
          <w:tab w:leader="none" w:pos="4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is a Subsidiary (or former Subsidiary) with respect to which a Trigger Event has occurred following the occurrence and</w:t>
      </w:r>
    </w:p>
    <w:p>
      <w:pPr>
        <w:spacing w:after="0" w:line="2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during the continuance of such Trigger Event shall be excluded;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Consolidated Net Income of the Issuers and the Guarantors shall be increased by the amount of dividends or distributions or other payments (including management fees) that are actually paid or are payable in cash to an Issuer or a Guarantor in respect of such period by such Persons (or to the extent converted into cash) (including at Wynn Resorts Finance’s election in the case of the direct and indirect Subsidiaries of Wynn Group Asia, dividends and distributions declared (but not yet paid) during such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Wynn Resorts Finance elects to include any such declared (but not yet paid) dividend or distribution in Consolidated Net Income during any period, in no event shall the subsequent payment of such dividends and distributions be so included); </w:t>
      </w:r>
      <w:r>
        <w:rPr>
          <w:rFonts w:ascii="Arial" w:cs="Arial" w:eastAsia="Arial" w:hAnsi="Arial"/>
          <w:sz w:val="20"/>
          <w:szCs w:val="20"/>
          <w:i w:val="1"/>
          <w:iCs w:val="1"/>
          <w:color w:val="auto"/>
        </w:rPr>
        <w:t>provided further</w:t>
      </w:r>
      <w:r>
        <w:rPr>
          <w:rFonts w:ascii="Arial" w:cs="Arial" w:eastAsia="Arial" w:hAnsi="Arial"/>
          <w:sz w:val="20"/>
          <w:szCs w:val="20"/>
          <w:color w:val="auto"/>
        </w:rPr>
        <w:t>, that in the case of any such Person acquired by an Issuer or a Guarantor during such test Period, the foregoing shall be determined as if such Person had been acquired on the first day of such Test Period;</w:t>
      </w:r>
    </w:p>
    <w:p>
      <w:pPr>
        <w:spacing w:after="0" w:line="174" w:lineRule="exact"/>
        <w:rPr>
          <w:sz w:val="20"/>
          <w:szCs w:val="20"/>
          <w:color w:val="auto"/>
        </w:rPr>
      </w:pPr>
    </w:p>
    <w:p>
      <w:pPr>
        <w:jc w:val="both"/>
        <w:ind w:firstLine="633"/>
        <w:spacing w:after="0" w:line="257" w:lineRule="auto"/>
        <w:tabs>
          <w:tab w:leader="none" w:pos="943"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the undistributed earnings of any Subsidiary of Wynn Resorts Finance that is not a an Issuer or a Guarantor to the extent that, on the date of determination the payment of cash dividends or similar cash distributions by such Subsidiary (or loans or advances by such subsidiary to any parent company) are not permitted by the terms of any contractual obligation or requirement of law applicable to such Subsidiary shall be excluded, unless such restrictions with respect to the payment of cash dividends and other similar cash distributions have been waived;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Consolidated Net Income of the Issuers and the Guarantors shall be increased by the amount of dividends or distributions or other payments (including management fees) that are actually paid or are payable in cash to an Issuer or a Guarantor(not subject to such restriction) thereof in respect of such period by such Subsidiaries (or to the extent converted into cash); </w:t>
      </w:r>
      <w:r>
        <w:rPr>
          <w:rFonts w:ascii="Arial" w:cs="Arial" w:eastAsia="Arial" w:hAnsi="Arial"/>
          <w:sz w:val="20"/>
          <w:szCs w:val="20"/>
          <w:i w:val="1"/>
          <w:iCs w:val="1"/>
          <w:color w:val="auto"/>
        </w:rPr>
        <w:t>provided further</w:t>
      </w:r>
      <w:r>
        <w:rPr>
          <w:rFonts w:ascii="Arial" w:cs="Arial" w:eastAsia="Arial" w:hAnsi="Arial"/>
          <w:sz w:val="20"/>
          <w:szCs w:val="20"/>
          <w:color w:val="auto"/>
        </w:rPr>
        <w:t>, that in the case of any such Person acquired by an Issuer or a Guarantor during such test Period, the foregoing shall be determined as if such Person had been acquired on the first day of such Test Period;</w:t>
      </w:r>
    </w:p>
    <w:p>
      <w:pPr>
        <w:spacing w:after="0" w:line="169" w:lineRule="exact"/>
        <w:rPr>
          <w:rFonts w:ascii="Arial" w:cs="Arial" w:eastAsia="Arial" w:hAnsi="Arial"/>
          <w:sz w:val="20"/>
          <w:szCs w:val="20"/>
          <w:color w:val="auto"/>
        </w:rPr>
      </w:pPr>
    </w:p>
    <w:p>
      <w:pPr>
        <w:jc w:val="both"/>
        <w:ind w:firstLine="633"/>
        <w:spacing w:after="0" w:line="294" w:lineRule="auto"/>
        <w:tabs>
          <w:tab w:leader="none" w:pos="944"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31" w:lineRule="exact"/>
        <w:rPr>
          <w:rFonts w:ascii="Arial" w:cs="Arial" w:eastAsia="Arial" w:hAnsi="Arial"/>
          <w:sz w:val="19"/>
          <w:szCs w:val="19"/>
          <w:color w:val="auto"/>
        </w:rPr>
      </w:pPr>
    </w:p>
    <w:p>
      <w:pPr>
        <w:jc w:val="both"/>
        <w:ind w:firstLine="633"/>
        <w:spacing w:after="0" w:line="252" w:lineRule="auto"/>
        <w:tabs>
          <w:tab w:leader="none" w:pos="947" w:val="left"/>
        </w:tabs>
        <w:numPr>
          <w:ilvl w:val="0"/>
          <w:numId w:val="23"/>
        </w:numPr>
        <w:rPr>
          <w:rFonts w:ascii="Arial" w:cs="Arial" w:eastAsia="Arial" w:hAnsi="Arial"/>
          <w:sz w:val="21"/>
          <w:szCs w:val="21"/>
          <w:color w:val="auto"/>
        </w:rPr>
      </w:pPr>
      <w:r>
        <w:rPr>
          <w:rFonts w:ascii="Arial" w:cs="Arial" w:eastAsia="Arial" w:hAnsi="Arial"/>
          <w:sz w:val="21"/>
          <w:szCs w:val="21"/>
          <w:color w:val="auto"/>
        </w:rPr>
        <w:t>any non-cash charges or expenses related to the repurchase of stock options to the extent not prohibited by this Indenture,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70" w:lineRule="exact"/>
        <w:rPr>
          <w:rFonts w:ascii="Arial" w:cs="Arial" w:eastAsia="Arial" w:hAnsi="Arial"/>
          <w:sz w:val="21"/>
          <w:szCs w:val="21"/>
          <w:color w:val="auto"/>
        </w:rPr>
      </w:pPr>
    </w:p>
    <w:p>
      <w:pPr>
        <w:ind w:left="940" w:hanging="307"/>
        <w:spacing w:after="0"/>
        <w:tabs>
          <w:tab w:leader="none" w:pos="9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cumulative effect of a change in accounting principles shall be excluded;</w:t>
      </w:r>
    </w:p>
    <w:p>
      <w:pPr>
        <w:spacing w:after="0" w:line="205" w:lineRule="exact"/>
        <w:rPr>
          <w:rFonts w:ascii="Arial" w:cs="Arial" w:eastAsia="Arial" w:hAnsi="Arial"/>
          <w:sz w:val="21"/>
          <w:szCs w:val="21"/>
          <w:color w:val="auto"/>
        </w:rPr>
      </w:pPr>
    </w:p>
    <w:p>
      <w:pPr>
        <w:jc w:val="both"/>
        <w:ind w:firstLine="633"/>
        <w:spacing w:after="0" w:line="254" w:lineRule="auto"/>
        <w:tabs>
          <w:tab w:leader="none" w:pos="943"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any expenses or reserves for liabilities shall be excluded to the extent that an Issuer or a Guarantor is entitled to indemnification therefor under binding agreements;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liabilities for which an Issuer or any of Guarantors is not actually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0920"/>
          </w:cols>
          <w:pgMar w:left="640" w:top="1381" w:right="339" w:bottom="1440" w:gutter="0" w:footer="0" w:header="0"/>
        </w:sectPr>
      </w:pPr>
    </w:p>
    <w:bookmarkStart w:id="20" w:name="page21"/>
    <w:bookmarkEnd w:id="20"/>
    <w:p>
      <w:pPr>
        <w:jc w:val="both"/>
        <w:ind w:left="320"/>
        <w:spacing w:after="0" w:line="254" w:lineRule="auto"/>
        <w:rPr>
          <w:sz w:val="20"/>
          <w:szCs w:val="20"/>
          <w:color w:val="auto"/>
        </w:rPr>
      </w:pPr>
      <w:r>
        <w:rPr>
          <w:rFonts w:ascii="Arial" w:cs="Arial" w:eastAsia="Arial" w:hAnsi="Arial"/>
          <w:sz w:val="21"/>
          <w:szCs w:val="21"/>
          <w:color w:val="auto"/>
        </w:rPr>
        <w:t>indemnified shall reduce Consolidated Net Income for the period in which it is determined that such Issuer or such Guarantor will not be indemnified (to the extent such liabilities would otherwise reduce Consolidated Net Income without giving effect to this clause (h));</w:t>
      </w:r>
    </w:p>
    <w:p>
      <w:pPr>
        <w:spacing w:after="0" w:line="168" w:lineRule="exact"/>
        <w:rPr>
          <w:sz w:val="20"/>
          <w:szCs w:val="20"/>
          <w:color w:val="auto"/>
        </w:rPr>
      </w:pPr>
    </w:p>
    <w:p>
      <w:pPr>
        <w:jc w:val="both"/>
        <w:ind w:left="320" w:firstLine="633"/>
        <w:spacing w:after="0" w:line="280" w:lineRule="auto"/>
        <w:tabs>
          <w:tab w:leader="none" w:pos="1256" w:val="left"/>
        </w:tabs>
        <w:numPr>
          <w:ilvl w:val="0"/>
          <w:numId w:val="24"/>
        </w:numPr>
        <w:rPr>
          <w:rFonts w:ascii="Arial" w:cs="Arial" w:eastAsia="Arial" w:hAnsi="Arial"/>
          <w:sz w:val="19"/>
          <w:szCs w:val="19"/>
          <w:color w:val="auto"/>
        </w:rPr>
      </w:pPr>
      <w:r>
        <w:rPr>
          <w:rFonts w:ascii="Arial" w:cs="Arial" w:eastAsia="Arial" w:hAnsi="Arial"/>
          <w:sz w:val="19"/>
          <w:szCs w:val="19"/>
          <w:color w:val="auto"/>
        </w:rPr>
        <w:t>losses, to the extent covered by insurance and actually reimbursed, or, so long as Wynn Resorts Finance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146" w:lineRule="exact"/>
        <w:rPr>
          <w:rFonts w:ascii="Arial" w:cs="Arial" w:eastAsia="Arial" w:hAnsi="Arial"/>
          <w:sz w:val="19"/>
          <w:szCs w:val="19"/>
          <w:color w:val="auto"/>
        </w:rPr>
      </w:pPr>
    </w:p>
    <w:p>
      <w:pPr>
        <w:ind w:left="320" w:firstLine="633"/>
        <w:spacing w:after="0" w:line="274" w:lineRule="auto"/>
        <w:tabs>
          <w:tab w:leader="none" w:pos="1256" w:val="left"/>
        </w:tabs>
        <w:numPr>
          <w:ilvl w:val="0"/>
          <w:numId w:val="24"/>
        </w:numPr>
        <w:rPr>
          <w:rFonts w:ascii="Arial" w:cs="Arial" w:eastAsia="Arial" w:hAnsi="Arial"/>
          <w:sz w:val="21"/>
          <w:szCs w:val="21"/>
          <w:color w:val="auto"/>
        </w:rPr>
      </w:pPr>
      <w:r>
        <w:rPr>
          <w:rFonts w:ascii="Arial" w:cs="Arial" w:eastAsia="Arial" w:hAnsi="Arial"/>
          <w:sz w:val="21"/>
          <w:szCs w:val="21"/>
          <w:color w:val="auto"/>
        </w:rPr>
        <w:t>gains and losses resulting solely from fluctuations in currency values and the related tax effects shall be excluded, and charges relating to Accounting Standards Codification Nos. 815 and 820 shall be excluded.</w:t>
      </w:r>
    </w:p>
    <w:p>
      <w:pPr>
        <w:spacing w:after="0" w:line="146" w:lineRule="exact"/>
        <w:rPr>
          <w:sz w:val="20"/>
          <w:szCs w:val="20"/>
          <w:color w:val="auto"/>
        </w:rPr>
      </w:pPr>
    </w:p>
    <w:p>
      <w:pPr>
        <w:jc w:val="both"/>
        <w:ind w:firstLine="842"/>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Senior Secured Net Leverage Ratio</w:t>
      </w:r>
      <w:r>
        <w:rPr>
          <w:rFonts w:ascii="Arial" w:cs="Arial" w:eastAsia="Arial" w:hAnsi="Arial"/>
          <w:sz w:val="19"/>
          <w:szCs w:val="19"/>
          <w:color w:val="auto"/>
        </w:rPr>
        <w:t>” means, as of any date of determination, the ratio of (a) (i) Consolidated Indebtedness of the Issuers and the Guarantors that is secured by Liens on the property or assets of an Issuer or a Guarantor as of such date (other than (x) any such Consolidated Indebtedness that is expressly subordinated in right of payment to the Notes and</w:t>
      </w:r>
    </w:p>
    <w:p>
      <w:pPr>
        <w:spacing w:after="0" w:line="2" w:lineRule="exact"/>
        <w:rPr>
          <w:sz w:val="20"/>
          <w:szCs w:val="20"/>
          <w:color w:val="auto"/>
        </w:rPr>
      </w:pPr>
    </w:p>
    <w:p>
      <w:pPr>
        <w:jc w:val="both"/>
        <w:ind w:firstLine="5"/>
        <w:spacing w:after="0" w:line="267" w:lineRule="auto"/>
        <w:tabs>
          <w:tab w:leader="none" w:pos="311"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any such Consolidated Indebtedness that benefits from the pledge securing the Existing LV Notes (but is not otherwise secured by any Liens on property or assets of an Issuer or a Guarantor as of such date))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Unrestricted Operating Cash to</w:t>
      </w:r>
    </w:p>
    <w:p>
      <w:pPr>
        <w:jc w:val="both"/>
        <w:ind w:firstLine="5"/>
        <w:spacing w:after="0" w:line="242" w:lineRule="auto"/>
        <w:tabs>
          <w:tab w:leader="none" w:pos="309"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Consolidated EBITDA for the Test Period most recently ended prior to such date; </w:t>
      </w:r>
      <w:r>
        <w:rPr>
          <w:rFonts w:ascii="Arial" w:cs="Arial" w:eastAsia="Arial" w:hAnsi="Arial"/>
          <w:sz w:val="21"/>
          <w:szCs w:val="21"/>
          <w:i w:val="1"/>
          <w:iCs w:val="1"/>
          <w:color w:val="auto"/>
        </w:rPr>
        <w:t>provided</w:t>
      </w:r>
      <w:r>
        <w:rPr>
          <w:rFonts w:ascii="Arial" w:cs="Arial" w:eastAsia="Arial" w:hAnsi="Arial"/>
          <w:sz w:val="21"/>
          <w:szCs w:val="21"/>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66"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Corporate Trust Office of the Trustee</w:t>
      </w:r>
      <w:r>
        <w:rPr>
          <w:rFonts w:ascii="Arial" w:cs="Arial" w:eastAsia="Arial" w:hAnsi="Arial"/>
          <w:sz w:val="21"/>
          <w:szCs w:val="21"/>
          <w:color w:val="auto"/>
        </w:rPr>
        <w:t>” means the address of the Trustee specified in Section 14.01 hereof or such other address as to which the Trustee may give notice to the Issuers.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Custodian</w:t>
      </w:r>
      <w:r>
        <w:rPr>
          <w:rFonts w:ascii="Arial" w:cs="Arial" w:eastAsia="Arial" w:hAnsi="Arial"/>
          <w:sz w:val="20"/>
          <w:szCs w:val="20"/>
          <w:color w:val="auto"/>
        </w:rPr>
        <w:t>” means the Trustee, as custodian with respect to the Notes in global form, or any successor entity thereto.</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03"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xml:space="preserve">” means a certificated Note registered in the name of the Holder thereof and issued in accordance with Section 2.06 hereof, substantially in the form of </w:t>
      </w:r>
      <w:r>
        <w:rPr>
          <w:rFonts w:ascii="Arial" w:cs="Arial" w:eastAsia="Arial" w:hAnsi="Arial"/>
          <w:sz w:val="21"/>
          <w:szCs w:val="21"/>
          <w:u w:val="single" w:color="auto"/>
          <w:color w:val="auto"/>
        </w:rPr>
        <w:t>Exhibit A-1</w:t>
      </w:r>
      <w:r>
        <w:rPr>
          <w:rFonts w:ascii="Arial" w:cs="Arial" w:eastAsia="Arial" w:hAnsi="Arial"/>
          <w:sz w:val="21"/>
          <w:szCs w:val="21"/>
          <w:color w:val="auto"/>
        </w:rPr>
        <w:t xml:space="preserve"> hereto except that such Note shall not bear the Global Note Legend and shall not have the “Schedule of Exchanges of Interest in the Global Note” attached thereto.</w:t>
      </w:r>
    </w:p>
    <w:p>
      <w:pPr>
        <w:spacing w:after="0" w:line="154"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Depositary</w:t>
      </w:r>
      <w:r>
        <w:rPr>
          <w:rFonts w:ascii="Arial" w:cs="Arial" w:eastAsia="Arial" w:hAnsi="Arial"/>
          <w:sz w:val="21"/>
          <w:szCs w:val="21"/>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81" w:right="339" w:bottom="1440" w:gutter="0" w:footer="0" w:header="0"/>
        </w:sectPr>
      </w:pPr>
    </w:p>
    <w:bookmarkStart w:id="21" w:name="page22"/>
    <w:bookmarkEnd w:id="21"/>
    <w:p>
      <w:pPr>
        <w:jc w:val="both"/>
        <w:ind w:firstLine="6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Derivative Instrument</w:t>
      </w:r>
      <w:r>
        <w:rPr>
          <w:rFonts w:ascii="Arial" w:cs="Arial" w:eastAsia="Arial" w:hAnsi="Arial"/>
          <w:sz w:val="20"/>
          <w:szCs w:val="20"/>
          <w:color w:val="auto"/>
        </w:rPr>
        <w:t>” means with respect to a Person other than any Person that is a Regulated Bank,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 or the creditworthiness of any Issuer and/or any one or more of the Guarantors (the “</w:t>
      </w:r>
      <w:r>
        <w:rPr>
          <w:rFonts w:ascii="Arial" w:cs="Arial" w:eastAsia="Arial" w:hAnsi="Arial"/>
          <w:sz w:val="20"/>
          <w:szCs w:val="20"/>
          <w:i w:val="1"/>
          <w:iCs w:val="1"/>
          <w:color w:val="auto"/>
        </w:rPr>
        <w:t>Performance References</w:t>
      </w:r>
      <w:r>
        <w:rPr>
          <w:rFonts w:ascii="Arial" w:cs="Arial" w:eastAsia="Arial" w:hAnsi="Arial"/>
          <w:sz w:val="20"/>
          <w:szCs w:val="20"/>
          <w:color w:val="auto"/>
        </w:rPr>
        <w:t>”).</w:t>
      </w:r>
    </w:p>
    <w:p>
      <w:pPr>
        <w:spacing w:after="0" w:line="15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Designated Officer</w:t>
      </w:r>
      <w:r>
        <w:rPr>
          <w:rFonts w:ascii="Arial" w:cs="Arial" w:eastAsia="Arial" w:hAnsi="Arial"/>
          <w:sz w:val="21"/>
          <w:szCs w:val="21"/>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154" w:lineRule="exact"/>
        <w:rPr>
          <w:sz w:val="20"/>
          <w:szCs w:val="20"/>
          <w:color w:val="auto"/>
        </w:rPr>
      </w:pPr>
    </w:p>
    <w:p>
      <w:pPr>
        <w:jc w:val="both"/>
        <w:ind w:firstLine="632"/>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Development Project</w:t>
      </w:r>
      <w:r>
        <w:rPr>
          <w:rFonts w:ascii="Arial" w:cs="Arial" w:eastAsia="Arial" w:hAnsi="Arial"/>
          <w:sz w:val="19"/>
          <w:szCs w:val="19"/>
          <w:color w:val="auto"/>
        </w:rPr>
        <w:t>” means investments, Capital Expenditures and other expenditures, directly or indirectly, (a) in any joint ventures in which an Issuer or any Guarantor, directly or indirectly, has control or with whom it has a management, development or similar contract and, in the case of a joint venture, in which an Issuer or any Guarantor owns (directly or indirectly) at least 25% of the Equity Interest in such joint venture, or (b) in, or expenditures with respect to, casinos, casino resorts, “racinos,” racetracks, non-gaming resorts, hotels, distributed gaming applications, entertainment developments, restaurants, retail developments or taverns or persons that own casinos, casino resorts, “racinos,” racetracks, non-gaming resorts, hotels, distributed gaming applications, entertainment developments, restaurants, retail developments or taverns (including casinos, casino resorts, “racinos,” racetracks, non-gaming resorts, hotels, distributed gaming applications, entertainment developments, restaurants, retail developments or taverns in development or under construction that are not presently open or operating with respect to which an Issuer or any of Guarantor has (directly or indirectly through subsidiaries) entered into a management, development or similar contract (or an agreement to enter into such a management, development or similar contract) and such contract remains in full force and effect at the time of such investment, though it may be subject to regulatory approvals), in each case, used to finance, or made for the purpose of allowing such joint ventures, casinos, casino resorts, “racinos,” racetracks, non-gaming resorts, hotels, distributed gaming applications, entertainment developments, restaurants, retail developments or taverns, as the case may be, to finance, the purchase, development, construction or other acquisition of any fixed or capital assets or the refurbishment of existing assets or properties that develops, adds to or significantly improves the property of such joint ventures, casinos, casino resorts, “racinos,” racetracks, non-gaming resorts, hotels, distributed gaming applications, entertainment developments, restaurants, retail developments or taverns and assets ancillary or related thereto (including, without limitation, hotels, restaurants, entertainment, retail and other similar projects), or the construction and development of casinos, casino resorts, “racinos,” racetracks, non-gaming resorts, hotels, distributed gaming applications, entertainment developments, restaurants, retail developments or taverns or assets ancillary or related thereto (including, without limitation, hotels, restaurants, entertainment, retail and other similar projects) and including Pre-Opening Expenses with respect to such joint ventures, casinos, casino resorts, “racinos,” racetracks, non-gaming resorts, hotels, distributed gaming applications, entertainment developments, restaurants, retail developments and taverns.</w:t>
      </w:r>
    </w:p>
    <w:p>
      <w:pPr>
        <w:spacing w:after="0" w:line="174"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Domestic Subsidiary</w:t>
      </w:r>
      <w:r>
        <w:rPr>
          <w:rFonts w:ascii="Arial" w:cs="Arial" w:eastAsia="Arial" w:hAnsi="Arial"/>
          <w:sz w:val="21"/>
          <w:szCs w:val="21"/>
          <w:color w:val="auto"/>
        </w:rPr>
        <w:t>” means any Subsidiary of Wynn Resorts Finance (other than Wynn Resorts Capital) that was formed under the laws of the United States or any state of the United States or the District of Columbia or that guarantees or otherwise provides direct credit support for any Indebtedness of Wynn Resorts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81" w:right="339" w:bottom="1440" w:gutter="0" w:footer="0" w:header="0"/>
        </w:sectPr>
      </w:pPr>
    </w:p>
    <w:bookmarkStart w:id="22" w:name="page23"/>
    <w:bookmarkEnd w:id="22"/>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Equity Interests</w:t>
      </w:r>
      <w:r>
        <w:rPr>
          <w:rFonts w:ascii="Arial" w:cs="Arial" w:eastAsia="Arial" w:hAnsi="Arial"/>
          <w:sz w:val="21"/>
          <w:szCs w:val="21"/>
          <w:color w:val="auto"/>
        </w:rPr>
        <w:t>” means Capital Stock and all warrants, options or other rights to acquire Capital Stock (but excluding any debt security that is convertible into, or exchangeable for, Capital Stock).</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Euroclear</w:t>
      </w:r>
      <w:r>
        <w:rPr>
          <w:rFonts w:ascii="Arial" w:cs="Arial" w:eastAsia="Arial" w:hAnsi="Arial"/>
          <w:sz w:val="21"/>
          <w:szCs w:val="21"/>
          <w:color w:val="auto"/>
        </w:rPr>
        <w:t>” means Euroclear Bank, S.A./N.V., as operator of the Euroclear system.</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Exchange Act</w:t>
      </w:r>
      <w:r>
        <w:rPr>
          <w:rFonts w:ascii="Arial" w:cs="Arial" w:eastAsia="Arial" w:hAnsi="Arial"/>
          <w:sz w:val="21"/>
          <w:szCs w:val="21"/>
          <w:color w:val="auto"/>
        </w:rPr>
        <w:t>” means the Securities Exchange Act of 1934, as amended.</w:t>
      </w:r>
    </w:p>
    <w:p>
      <w:pPr>
        <w:spacing w:after="0" w:line="180" w:lineRule="exact"/>
        <w:rPr>
          <w:sz w:val="20"/>
          <w:szCs w:val="20"/>
          <w:color w:val="auto"/>
        </w:rPr>
      </w:pPr>
    </w:p>
    <w:p>
      <w:pPr>
        <w:jc w:val="both"/>
        <w:ind w:firstLine="632"/>
        <w:spacing w:after="0" w:line="21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Excluded Subsidiary</w:t>
      </w:r>
      <w:r>
        <w:rPr>
          <w:rFonts w:ascii="Arial" w:cs="Arial" w:eastAsia="Arial" w:hAnsi="Arial"/>
          <w:sz w:val="21"/>
          <w:szCs w:val="21"/>
          <w:color w:val="auto"/>
        </w:rPr>
        <w:t>” means any Subsidiary of Wynn Resorts Finance, other than Wynn Resorts Capital, that is designated by the Board of Directors of Wynn Resorts Capital as an Excluded Subsidiary pursuant to a resolution of the Board of Directors (and any Subsidiary of each such Excluded Subsidiary), but only to the extent that such Subsidiary of Wynn Resorts Finance does not, directly or indirectly, guarantee or otherwise provide direct credit support for the Senior Credit Facilities or any other Indebtedness of Wynn Resorts Finance and is not subject to any covenants in, or Liens securing, the Existing LV Notes; provided that if any Excluded Subsidiary directly or indirectly, guarantees or otherwise provides direct credit support for any Indebtedness of Wynn Resorts Finance or becomes subject to the covenants in, or Liens securing, the Existing LV Notes, such Excluded Subsidiary will thereafter not be an Excluded Subsidiary.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Existing LV Notes</w:t>
      </w:r>
      <w:r>
        <w:rPr>
          <w:rFonts w:ascii="Arial" w:cs="Arial" w:eastAsia="Arial" w:hAnsi="Arial"/>
          <w:sz w:val="21"/>
          <w:szCs w:val="21"/>
          <w:color w:val="auto"/>
        </w:rPr>
        <w:t>” means the 2023 LV Notes, the 2025 LV Notes and the 2027 LV Notes.</w:t>
      </w:r>
    </w:p>
    <w:p>
      <w:pPr>
        <w:spacing w:after="0" w:line="180" w:lineRule="exact"/>
        <w:rPr>
          <w:sz w:val="20"/>
          <w:szCs w:val="20"/>
          <w:color w:val="auto"/>
        </w:rPr>
      </w:pPr>
    </w:p>
    <w:p>
      <w:pPr>
        <w:jc w:val="both"/>
        <w:ind w:firstLine="632"/>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Expansion Capital Expenditures</w:t>
      </w:r>
      <w:r>
        <w:rPr>
          <w:rFonts w:ascii="Arial" w:cs="Arial" w:eastAsia="Arial" w:hAnsi="Arial"/>
          <w:sz w:val="21"/>
          <w:szCs w:val="21"/>
          <w:color w:val="auto"/>
        </w:rPr>
        <w:t>” means any capital expenditure by an Issuer or any of Guarantor in respect of the purchase, construction, or other acquisition of any fixed or capital assets or the refurbishment of existing assets or properties that, in Wynn Resorts Finance’s reasonable determination, adds to or improves (or is reasonably expected to add to or improve) the property of the Issuers and the Guarantors, excluding any such capital expenditures fully financed with net cash proceeds of an asset sale or casualty event and excluding capital expenditures made in the ordinary course made to maintain, repair, restore or refurbish the property of the Issuers and the Guarantors in its then existing state or to support the continuation of such Person’s day to day operations as then conducted.</w:t>
      </w:r>
    </w:p>
    <w:p>
      <w:pPr>
        <w:spacing w:after="0" w:line="156"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Fair Market Value</w:t>
      </w:r>
      <w:r>
        <w:rPr>
          <w:rFonts w:ascii="Arial" w:cs="Arial" w:eastAsia="Arial" w:hAnsi="Arial"/>
          <w:sz w:val="20"/>
          <w:szCs w:val="20"/>
          <w:color w:val="auto"/>
        </w:rPr>
        <w:t>” means the value that would be paid by a willing buyer to an unaffiliated willing seller in a transaction not involving distress or necessity of either party, determined in good faith by (1) an appropriate officer of Wynn Resorts Finance, in the case of any value equal to or less than $50.0 million or (2) the Board of Directors of Wynn Resorts Capital, in the event of any value greater than $50.0 million (in each case, unless otherwise provided in this Indenture).</w:t>
      </w:r>
    </w:p>
    <w:p>
      <w:pPr>
        <w:spacing w:after="0" w:line="156"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Funded Debt</w:t>
      </w:r>
      <w:r>
        <w:rPr>
          <w:rFonts w:ascii="Arial" w:cs="Arial" w:eastAsia="Arial" w:hAnsi="Arial"/>
          <w:sz w:val="21"/>
          <w:szCs w:val="21"/>
          <w:color w:val="auto"/>
        </w:rPr>
        <w:t>” means all Indebtedness of Wynn Resorts Finance or any Guarantor that (i) matures by its terms on, or is renewable at the option of any obligor thereon to, a date more than one year after the date of original issuance of such Indebtedness and (ii) ranks at least pari passu with the Notes or the applicable Note Guarantee.</w:t>
      </w:r>
    </w:p>
    <w:p>
      <w:pPr>
        <w:spacing w:after="0" w:line="154"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Gaming Authority</w:t>
      </w:r>
      <w:r>
        <w:rPr>
          <w:rFonts w:ascii="Arial" w:cs="Arial" w:eastAsia="Arial" w:hAnsi="Arial"/>
          <w:sz w:val="20"/>
          <w:szCs w:val="20"/>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Issue Date or thereafter in existence, including the Massachusetts Gaming Commission, the Nevada Gaming Commission, the Nevada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Resorts Finance or any of the Guarantors, or the ownership of an interest in any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68" w:right="339" w:bottom="1440" w:gutter="0" w:footer="0" w:header="0"/>
        </w:sectPr>
      </w:pPr>
    </w:p>
    <w:bookmarkStart w:id="23" w:name="page24"/>
    <w:bookmarkEnd w:id="23"/>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Gaming Facility</w:t>
      </w:r>
      <w:r>
        <w:rPr>
          <w:rFonts w:ascii="Arial" w:cs="Arial" w:eastAsia="Arial" w:hAnsi="Arial"/>
          <w:sz w:val="21"/>
          <w:szCs w:val="21"/>
          <w:color w:val="auto"/>
        </w:rPr>
        <w:t>” means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Gaming Law</w:t>
      </w:r>
      <w:r>
        <w:rPr>
          <w:rFonts w:ascii="Arial" w:cs="Arial" w:eastAsia="Arial" w:hAnsi="Arial"/>
          <w:sz w:val="21"/>
          <w:szCs w:val="21"/>
          <w:color w:val="auto"/>
        </w:rPr>
        <w:t>” means the gaming laws, rules, regulations or ordinances of any jurisdiction or jurisdictions to which Wynn Resorts Finance or any of the Guarantors is, or may be, at any time subject.</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Gaming License</w:t>
      </w:r>
      <w:r>
        <w:rPr>
          <w:rFonts w:ascii="Arial" w:cs="Arial" w:eastAsia="Arial" w:hAnsi="Arial"/>
          <w:sz w:val="21"/>
          <w:szCs w:val="21"/>
          <w:color w:val="auto"/>
        </w:rPr>
        <w:t>” means any license, permit, franchise or other authorization from any Gaming Authority necessary on the Issue Date or at any time thereafter to own, lease, operate or otherwise conduct the gaming business of Wynn Resorts Finance or any of the Guarantors, or to own an interest in any such entity.</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Global Note Legend</w:t>
      </w:r>
      <w:r>
        <w:rPr>
          <w:rFonts w:ascii="Arial" w:cs="Arial" w:eastAsia="Arial" w:hAnsi="Arial"/>
          <w:sz w:val="21"/>
          <w:szCs w:val="21"/>
          <w:color w:val="auto"/>
        </w:rPr>
        <w:t>” means the legend set forth in Section 2.06(f)(2), which is required to be placed on all Global Notes issued under this Indenture.</w:t>
      </w:r>
    </w:p>
    <w:p>
      <w:pPr>
        <w:spacing w:after="0" w:line="155"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Global Notes</w:t>
      </w:r>
      <w:r>
        <w:rPr>
          <w:rFonts w:ascii="Arial" w:cs="Arial" w:eastAsia="Arial" w:hAnsi="Arial"/>
          <w:sz w:val="21"/>
          <w:szCs w:val="21"/>
          <w:color w:val="auto"/>
        </w:rPr>
        <w:t xml:space="preserve">” means each of the global Notes issued in accordance with Section 2.01 and substantially in the form of </w:t>
      </w:r>
      <w:r>
        <w:rPr>
          <w:rFonts w:ascii="Arial" w:cs="Arial" w:eastAsia="Arial" w:hAnsi="Arial"/>
          <w:sz w:val="21"/>
          <w:szCs w:val="21"/>
          <w:u w:val="single" w:color="auto"/>
          <w:color w:val="auto"/>
        </w:rPr>
        <w:t>Exhibit A-1</w:t>
      </w:r>
      <w:r>
        <w:rPr>
          <w:rFonts w:ascii="Arial" w:cs="Arial" w:eastAsia="Arial" w:hAnsi="Arial"/>
          <w:sz w:val="21"/>
          <w:szCs w:val="21"/>
          <w:color w:val="auto"/>
        </w:rPr>
        <w:t xml:space="preserve">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Government Securities</w:t>
      </w:r>
      <w:r>
        <w:rPr>
          <w:rFonts w:ascii="Arial" w:cs="Arial" w:eastAsia="Arial" w:hAnsi="Arial"/>
          <w:sz w:val="21"/>
          <w:szCs w:val="21"/>
          <w:color w:val="auto"/>
        </w:rPr>
        <w:t>” means securities that are:</w:t>
      </w:r>
    </w:p>
    <w:p>
      <w:pPr>
        <w:spacing w:after="0" w:line="178" w:lineRule="exact"/>
        <w:rPr>
          <w:sz w:val="20"/>
          <w:szCs w:val="20"/>
          <w:color w:val="auto"/>
        </w:rPr>
      </w:pPr>
    </w:p>
    <w:p>
      <w:pPr>
        <w:ind w:left="1900" w:hanging="632"/>
        <w:spacing w:after="0"/>
        <w:tabs>
          <w:tab w:leader="none" w:pos="19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direct obligations of the United States of America for the timely payment of which its full faith and credit is</w:t>
      </w:r>
    </w:p>
    <w:p>
      <w:pPr>
        <w:spacing w:after="0"/>
        <w:rPr>
          <w:sz w:val="20"/>
          <w:szCs w:val="20"/>
          <w:color w:val="auto"/>
        </w:rPr>
      </w:pPr>
      <w:r>
        <w:rPr>
          <w:rFonts w:ascii="Arial" w:cs="Arial" w:eastAsia="Arial" w:hAnsi="Arial"/>
          <w:sz w:val="21"/>
          <w:szCs w:val="21"/>
          <w:color w:val="auto"/>
        </w:rPr>
        <w:t>pledged; or</w:t>
      </w:r>
    </w:p>
    <w:p>
      <w:pPr>
        <w:spacing w:after="0" w:line="162" w:lineRule="exact"/>
        <w:rPr>
          <w:sz w:val="20"/>
          <w:szCs w:val="20"/>
          <w:color w:val="auto"/>
        </w:rPr>
      </w:pPr>
    </w:p>
    <w:p>
      <w:pPr>
        <w:jc w:val="both"/>
        <w:ind w:firstLine="1268"/>
        <w:spacing w:after="0" w:line="228" w:lineRule="auto"/>
        <w:tabs>
          <w:tab w:leader="none" w:pos="1890" w:val="left"/>
        </w:tabs>
        <w:numPr>
          <w:ilvl w:val="0"/>
          <w:numId w:val="28"/>
        </w:numPr>
        <w:rPr>
          <w:rFonts w:ascii="Arial" w:cs="Arial" w:eastAsia="Arial" w:hAnsi="Arial"/>
          <w:sz w:val="21"/>
          <w:szCs w:val="21"/>
          <w:color w:val="auto"/>
        </w:rPr>
      </w:pPr>
      <w:r>
        <w:rPr>
          <w:rFonts w:ascii="Arial" w:cs="Arial" w:eastAsia="Arial" w:hAnsi="Arial"/>
          <w:sz w:val="21"/>
          <w:szCs w:val="21"/>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54"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56"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Guarantee</w:t>
      </w:r>
      <w:r>
        <w:rPr>
          <w:rFonts w:ascii="Arial" w:cs="Arial" w:eastAsia="Arial" w:hAnsi="Arial"/>
          <w:sz w:val="21"/>
          <w:szCs w:val="21"/>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Guarantor</w:t>
      </w:r>
      <w:r>
        <w:rPr>
          <w:rFonts w:ascii="Arial" w:cs="Arial" w:eastAsia="Arial" w:hAnsi="Arial"/>
          <w:sz w:val="21"/>
          <w:szCs w:val="21"/>
          <w:color w:val="auto"/>
        </w:rPr>
        <w:t>” means each of:</w:t>
      </w:r>
    </w:p>
    <w:p>
      <w:pPr>
        <w:spacing w:after="0" w:line="180" w:lineRule="exact"/>
        <w:rPr>
          <w:sz w:val="20"/>
          <w:szCs w:val="20"/>
          <w:color w:val="auto"/>
        </w:rPr>
      </w:pPr>
    </w:p>
    <w:p>
      <w:pPr>
        <w:ind w:left="1900" w:hanging="632"/>
        <w:spacing w:after="0"/>
        <w:tabs>
          <w:tab w:leader="none" w:pos="190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Domestic Subsidiaries, other than Excluded Subsidiaries, and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2" w:lineRule="exact"/>
        <w:rPr>
          <w:rFonts w:ascii="Arial" w:cs="Arial" w:eastAsia="Arial" w:hAnsi="Arial"/>
          <w:sz w:val="21"/>
          <w:szCs w:val="21"/>
          <w:color w:val="auto"/>
        </w:rPr>
      </w:pPr>
    </w:p>
    <w:p>
      <w:pPr>
        <w:ind w:left="5520"/>
        <w:spacing w:after="0"/>
        <w:rPr>
          <w:rFonts w:ascii="Arial" w:cs="Arial" w:eastAsia="Arial" w:hAnsi="Arial"/>
          <w:sz w:val="21"/>
          <w:szCs w:val="21"/>
          <w:color w:val="auto"/>
        </w:rPr>
      </w:pPr>
      <w:r>
        <w:rPr>
          <w:rFonts w:ascii="Arial" w:cs="Arial" w:eastAsia="Arial" w:hAnsi="Arial"/>
          <w:sz w:val="21"/>
          <w:szCs w:val="21"/>
          <w:color w:val="auto"/>
        </w:rPr>
        <w:t>14</w:t>
      </w:r>
    </w:p>
    <w:p>
      <w:pPr>
        <w:sectPr>
          <w:pgSz w:w="11900" w:h="16838" w:orient="portrait"/>
          <w:cols w:equalWidth="0" w:num="1">
            <w:col w:w="11240"/>
          </w:cols>
          <w:pgMar w:left="320" w:top="1368" w:right="339" w:bottom="1440" w:gutter="0" w:footer="0" w:header="0"/>
        </w:sectPr>
      </w:pPr>
    </w:p>
    <w:bookmarkStart w:id="24" w:name="page25"/>
    <w:bookmarkEnd w:id="24"/>
    <w:p>
      <w:pPr>
        <w:ind w:firstLine="1268"/>
        <w:spacing w:after="0" w:line="237" w:lineRule="auto"/>
        <w:tabs>
          <w:tab w:leader="none" w:pos="1890" w:val="left"/>
        </w:tabs>
        <w:numPr>
          <w:ilvl w:val="0"/>
          <w:numId w:val="30"/>
        </w:numPr>
        <w:rPr>
          <w:rFonts w:ascii="Arial" w:cs="Arial" w:eastAsia="Arial" w:hAnsi="Arial"/>
          <w:sz w:val="21"/>
          <w:szCs w:val="21"/>
          <w:color w:val="auto"/>
        </w:rPr>
      </w:pPr>
      <w:r>
        <w:rPr>
          <w:rFonts w:ascii="Arial" w:cs="Arial" w:eastAsia="Arial" w:hAnsi="Arial"/>
          <w:sz w:val="21"/>
          <w:szCs w:val="21"/>
          <w:color w:val="auto"/>
        </w:rPr>
        <w:t>any other Person that provides a Guarantee by executing a supplemental indenture in accordance with the provisions of this Indenture,</w:t>
      </w:r>
    </w:p>
    <w:p>
      <w:pPr>
        <w:spacing w:after="0" w:line="155"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and, except to the extent the applicable Note Guarantee is released in accordance with Section 11.05 hereof, their respective successors and assigns (other than the Issuers). A Person shall cease to be a Guarantor following the release of its Note Guarantee as described in Section 11.05 hereof.</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Hedging Obligations</w:t>
      </w:r>
      <w:r>
        <w:rPr>
          <w:rFonts w:ascii="Arial" w:cs="Arial" w:eastAsia="Arial" w:hAnsi="Arial"/>
          <w:sz w:val="21"/>
          <w:szCs w:val="21"/>
          <w:color w:val="auto"/>
        </w:rPr>
        <w:t>” means, with respect to any specified Person, the obligations of such Person under:</w:t>
      </w:r>
    </w:p>
    <w:p>
      <w:pPr>
        <w:spacing w:after="0" w:line="180" w:lineRule="exact"/>
        <w:rPr>
          <w:sz w:val="20"/>
          <w:szCs w:val="20"/>
          <w:color w:val="auto"/>
        </w:rPr>
      </w:pPr>
    </w:p>
    <w:p>
      <w:pPr>
        <w:ind w:firstLine="1268"/>
        <w:spacing w:after="0" w:line="237" w:lineRule="auto"/>
        <w:tabs>
          <w:tab w:leader="none" w:pos="1890" w:val="left"/>
        </w:tabs>
        <w:numPr>
          <w:ilvl w:val="0"/>
          <w:numId w:val="31"/>
        </w:numPr>
        <w:rPr>
          <w:rFonts w:ascii="Arial" w:cs="Arial" w:eastAsia="Arial" w:hAnsi="Arial"/>
          <w:sz w:val="21"/>
          <w:szCs w:val="21"/>
          <w:color w:val="auto"/>
        </w:rPr>
      </w:pPr>
      <w:r>
        <w:rPr>
          <w:rFonts w:ascii="Arial" w:cs="Arial" w:eastAsia="Arial" w:hAnsi="Arial"/>
          <w:sz w:val="21"/>
          <w:szCs w:val="21"/>
          <w:color w:val="auto"/>
        </w:rPr>
        <w:t>interest rate swap agreements (whether from fixed to floating or from floating to fixed), interest rate cap agreements and interest rate collar agreements;</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other agreements or arrangements designed to manage interest rates or interest rate risk; and</w:t>
      </w:r>
    </w:p>
    <w:p>
      <w:pPr>
        <w:spacing w:after="0" w:line="179" w:lineRule="exact"/>
        <w:rPr>
          <w:rFonts w:ascii="Arial" w:cs="Arial" w:eastAsia="Arial" w:hAnsi="Arial"/>
          <w:sz w:val="21"/>
          <w:szCs w:val="21"/>
          <w:color w:val="auto"/>
        </w:rPr>
      </w:pPr>
    </w:p>
    <w:p>
      <w:pPr>
        <w:ind w:firstLine="1268"/>
        <w:spacing w:after="0" w:line="237" w:lineRule="auto"/>
        <w:tabs>
          <w:tab w:leader="none" w:pos="1890" w:val="left"/>
        </w:tabs>
        <w:numPr>
          <w:ilvl w:val="0"/>
          <w:numId w:val="31"/>
        </w:numPr>
        <w:rPr>
          <w:rFonts w:ascii="Arial" w:cs="Arial" w:eastAsia="Arial" w:hAnsi="Arial"/>
          <w:sz w:val="21"/>
          <w:szCs w:val="21"/>
          <w:color w:val="auto"/>
        </w:rPr>
      </w:pPr>
      <w:r>
        <w:rPr>
          <w:rFonts w:ascii="Arial" w:cs="Arial" w:eastAsia="Arial" w:hAnsi="Arial"/>
          <w:sz w:val="21"/>
          <w:szCs w:val="21"/>
          <w:color w:val="auto"/>
        </w:rPr>
        <w:t>other agreements or arrangements designed to protect such Person against fluctuations in currency exchange rates and/or commodity prices.</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Holder</w:t>
      </w:r>
      <w:r>
        <w:rPr>
          <w:rFonts w:ascii="Arial" w:cs="Arial" w:eastAsia="Arial" w:hAnsi="Arial"/>
          <w:sz w:val="21"/>
          <w:szCs w:val="21"/>
          <w:color w:val="auto"/>
        </w:rPr>
        <w:t>” or “</w:t>
      </w:r>
      <w:r>
        <w:rPr>
          <w:rFonts w:ascii="Arial" w:cs="Arial" w:eastAsia="Arial" w:hAnsi="Arial"/>
          <w:sz w:val="21"/>
          <w:szCs w:val="21"/>
          <w:i w:val="1"/>
          <w:iCs w:val="1"/>
          <w:color w:val="auto"/>
        </w:rPr>
        <w:t>holder</w:t>
      </w:r>
      <w:r>
        <w:rPr>
          <w:rFonts w:ascii="Arial" w:cs="Arial" w:eastAsia="Arial" w:hAnsi="Arial"/>
          <w:sz w:val="21"/>
          <w:szCs w:val="21"/>
          <w:color w:val="auto"/>
        </w:rPr>
        <w:t>” means any registered holder, from time to time, of the Notes. Only registered holders shall have any rights under this Indenture.</w:t>
      </w:r>
    </w:p>
    <w:p>
      <w:pPr>
        <w:spacing w:after="0" w:line="155"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IAI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spacing w:after="0" w:line="138"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Immaterial Subsidiary</w:t>
      </w:r>
      <w:r>
        <w:rPr>
          <w:rFonts w:ascii="Arial" w:cs="Arial" w:eastAsia="Arial" w:hAnsi="Arial"/>
          <w:sz w:val="21"/>
          <w:szCs w:val="21"/>
          <w:color w:val="auto"/>
        </w:rPr>
        <w:t>” means, as of any date, any Subsidiary whose total assets, as of that date, are less than $150.0 million; provided that a Subsidiary shall not be considered to be an Immaterial Subsidiary if it, directly or indirectly, guarantees or otherwise provides direct credit support for any Indebtedness of Wynn Resorts Finance.</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Indebtedness</w:t>
      </w:r>
      <w:r>
        <w:rPr>
          <w:rFonts w:ascii="Arial" w:cs="Arial" w:eastAsia="Arial" w:hAnsi="Arial"/>
          <w:sz w:val="21"/>
          <w:szCs w:val="21"/>
          <w:color w:val="auto"/>
        </w:rPr>
        <w:t>” means, with respect to any specified Person, any indebtedness of such Person (excluding accrued expenses and trade payables), whether or not contingent:</w:t>
      </w:r>
    </w:p>
    <w:p>
      <w:pPr>
        <w:spacing w:after="0" w:line="155" w:lineRule="exact"/>
        <w:rPr>
          <w:sz w:val="20"/>
          <w:szCs w:val="20"/>
          <w:color w:val="auto"/>
        </w:rPr>
      </w:pPr>
    </w:p>
    <w:p>
      <w:pPr>
        <w:ind w:left="1900" w:hanging="632"/>
        <w:spacing w:after="0"/>
        <w:tabs>
          <w:tab w:leader="none" w:pos="19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in respect of borrowed money;</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in respect thereof);</w:t>
      </w:r>
    </w:p>
    <w:p>
      <w:pPr>
        <w:spacing w:after="0" w:line="161" w:lineRule="exact"/>
        <w:rPr>
          <w:rFonts w:ascii="Arial" w:cs="Arial" w:eastAsia="Arial" w:hAnsi="Arial"/>
          <w:sz w:val="18"/>
          <w:szCs w:val="18"/>
          <w:color w:val="auto"/>
        </w:rPr>
      </w:pPr>
    </w:p>
    <w:p>
      <w:pPr>
        <w:ind w:left="1900" w:hanging="632"/>
        <w:spacing w:after="0"/>
        <w:tabs>
          <w:tab w:leader="none" w:pos="19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in respect of banker’s acceptances;</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representing a Capital Lease Obligation or Attributable Debt;</w:t>
      </w:r>
    </w:p>
    <w:p>
      <w:pPr>
        <w:spacing w:after="0" w:line="179" w:lineRule="exact"/>
        <w:rPr>
          <w:rFonts w:ascii="Arial" w:cs="Arial" w:eastAsia="Arial" w:hAnsi="Arial"/>
          <w:sz w:val="21"/>
          <w:szCs w:val="21"/>
          <w:color w:val="auto"/>
        </w:rPr>
      </w:pPr>
    </w:p>
    <w:p>
      <w:pPr>
        <w:ind w:firstLine="1268"/>
        <w:spacing w:after="0" w:line="237" w:lineRule="auto"/>
        <w:tabs>
          <w:tab w:leader="none" w:pos="1890" w:val="left"/>
        </w:tabs>
        <w:numPr>
          <w:ilvl w:val="0"/>
          <w:numId w:val="32"/>
        </w:numPr>
        <w:rPr>
          <w:rFonts w:ascii="Arial" w:cs="Arial" w:eastAsia="Arial" w:hAnsi="Arial"/>
          <w:sz w:val="21"/>
          <w:szCs w:val="21"/>
          <w:color w:val="auto"/>
        </w:rPr>
      </w:pPr>
      <w:r>
        <w:rPr>
          <w:rFonts w:ascii="Arial" w:cs="Arial" w:eastAsia="Arial" w:hAnsi="Arial"/>
          <w:sz w:val="21"/>
          <w:szCs w:val="21"/>
          <w:color w:val="auto"/>
        </w:rPr>
        <w:t>representing the balance deferred and unpaid of the purchase price of any property or services due more than six months after such property is acquired or such services are completed; or</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representing any Hedging Obligations,</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if and to the extent any of the preceding items (other than letters of credit, Attributable Debt and Hedging Obligations) would appear as a liability upon a balance sheet of the specified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68" w:right="339" w:bottom="1440" w:gutter="0" w:footer="0" w:header="0"/>
        </w:sectPr>
      </w:pPr>
    </w:p>
    <w:bookmarkStart w:id="25" w:name="page26"/>
    <w:bookmarkEnd w:id="25"/>
    <w:p>
      <w:pPr>
        <w:jc w:val="both"/>
        <w:spacing w:after="0" w:line="239" w:lineRule="auto"/>
        <w:rPr>
          <w:sz w:val="20"/>
          <w:szCs w:val="20"/>
          <w:color w:val="auto"/>
        </w:rPr>
      </w:pPr>
      <w:r>
        <w:rPr>
          <w:rFonts w:ascii="Arial" w:cs="Arial" w:eastAsia="Arial" w:hAnsi="Arial"/>
          <w:sz w:val="20"/>
          <w:szCs w:val="20"/>
          <w:color w:val="auto"/>
        </w:rPr>
        <w:t>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amount of any Indebtedness outstanding as of any date shall be:</w:t>
      </w:r>
    </w:p>
    <w:p>
      <w:pPr>
        <w:spacing w:after="0" w:line="180" w:lineRule="exact"/>
        <w:rPr>
          <w:sz w:val="20"/>
          <w:szCs w:val="20"/>
          <w:color w:val="auto"/>
        </w:rPr>
      </w:pPr>
    </w:p>
    <w:p>
      <w:pPr>
        <w:ind w:left="1900" w:hanging="632"/>
        <w:spacing w:after="0"/>
        <w:tabs>
          <w:tab w:leader="none" w:pos="19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accreted value of the Indebtedness, in the case of any Indebtedness issued with original issue discount;</w:t>
      </w:r>
    </w:p>
    <w:p>
      <w:pPr>
        <w:spacing w:after="0" w:line="202" w:lineRule="exact"/>
        <w:rPr>
          <w:rFonts w:ascii="Arial" w:cs="Arial" w:eastAsia="Arial" w:hAnsi="Arial"/>
          <w:sz w:val="19"/>
          <w:szCs w:val="19"/>
          <w:color w:val="auto"/>
        </w:rPr>
      </w:pPr>
    </w:p>
    <w:p>
      <w:pPr>
        <w:ind w:firstLine="1268"/>
        <w:spacing w:after="0" w:line="237" w:lineRule="auto"/>
        <w:tabs>
          <w:tab w:leader="none" w:pos="189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principal amount of the Indebtedness, together with any interest on the Indebtedness that is more than 30 days past due, in the case of any other Indebtedness;</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 the case of a Guarantee of Indebtedness, the maximum amount of the Indebtedness guaranteed under such</w:t>
      </w:r>
    </w:p>
    <w:p>
      <w:pPr>
        <w:spacing w:after="0" w:line="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Guarantee; and</w:t>
      </w:r>
    </w:p>
    <w:p>
      <w:pPr>
        <w:spacing w:after="0" w:line="161" w:lineRule="exact"/>
        <w:rPr>
          <w:rFonts w:ascii="Arial" w:cs="Arial" w:eastAsia="Arial" w:hAnsi="Arial"/>
          <w:sz w:val="19"/>
          <w:szCs w:val="19"/>
          <w:color w:val="auto"/>
        </w:rPr>
      </w:pPr>
    </w:p>
    <w:p>
      <w:pPr>
        <w:ind w:left="1900" w:hanging="632"/>
        <w:spacing w:after="0"/>
        <w:tabs>
          <w:tab w:leader="none" w:pos="19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 the case of Indebtedness of others secured by a Lien on any asset of the specified Person, the lesser of:</w:t>
      </w:r>
    </w:p>
    <w:p>
      <w:pPr>
        <w:spacing w:after="0" w:line="202" w:lineRule="exact"/>
        <w:rPr>
          <w:rFonts w:ascii="Arial" w:cs="Arial" w:eastAsia="Arial" w:hAnsi="Arial"/>
          <w:sz w:val="19"/>
          <w:szCs w:val="19"/>
          <w:color w:val="auto"/>
        </w:rPr>
      </w:pPr>
    </w:p>
    <w:p>
      <w:pPr>
        <w:ind w:firstLine="1900"/>
        <w:spacing w:after="0" w:line="237" w:lineRule="auto"/>
        <w:tabs>
          <w:tab w:leader="none" w:pos="2523"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face amount of such Indebtedness (plus, in the case of any letter of credit or similar instrument, the amount of any reimbursement obligations in respect thereof), and</w:t>
      </w:r>
    </w:p>
    <w:p>
      <w:pPr>
        <w:spacing w:after="0" w:line="154" w:lineRule="exact"/>
        <w:rPr>
          <w:rFonts w:ascii="Arial" w:cs="Arial" w:eastAsia="Arial" w:hAnsi="Arial"/>
          <w:sz w:val="21"/>
          <w:szCs w:val="21"/>
          <w:color w:val="auto"/>
        </w:rPr>
      </w:pPr>
    </w:p>
    <w:p>
      <w:pPr>
        <w:ind w:left="2520" w:hanging="620"/>
        <w:spacing w:after="0"/>
        <w:tabs>
          <w:tab w:leader="none" w:pos="2520"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Fair Market Value of the asset(s) subject to such Lien.</w:t>
      </w:r>
    </w:p>
    <w:p>
      <w:pPr>
        <w:spacing w:after="0" w:line="180" w:lineRule="exact"/>
        <w:rPr>
          <w:sz w:val="20"/>
          <w:szCs w:val="20"/>
          <w:color w:val="auto"/>
        </w:rPr>
      </w:pPr>
    </w:p>
    <w:p>
      <w:pPr>
        <w:jc w:val="both"/>
        <w:ind w:left="640" w:firstLine="632"/>
        <w:spacing w:after="0" w:line="228" w:lineRule="auto"/>
        <w:rPr>
          <w:sz w:val="20"/>
          <w:szCs w:val="20"/>
          <w:color w:val="auto"/>
        </w:rPr>
      </w:pPr>
      <w:r>
        <w:rPr>
          <w:rFonts w:ascii="Arial" w:cs="Arial" w:eastAsia="Arial" w:hAnsi="Arial"/>
          <w:sz w:val="21"/>
          <w:szCs w:val="21"/>
          <w:color w:val="auto"/>
        </w:rPr>
        <w:t>Notwithstanding anything contained in this Indenture to the contrary, any obligation of the Issuers or Guarantors incurred in the ordinary course of business in respect of casino chips or similar instruments shall not constitute “Indebtedness” for any purpose under this Indenture.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Indenture</w:t>
      </w:r>
      <w:r>
        <w:rPr>
          <w:rFonts w:ascii="Arial" w:cs="Arial" w:eastAsia="Arial" w:hAnsi="Arial"/>
          <w:sz w:val="21"/>
          <w:szCs w:val="21"/>
          <w:color w:val="auto"/>
        </w:rPr>
        <w:t>” means this Indenture, as amended or supplemented from time to time.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Independent Investment Banker</w:t>
      </w:r>
      <w:r>
        <w:rPr>
          <w:rFonts w:ascii="Arial" w:cs="Arial" w:eastAsia="Arial" w:hAnsi="Arial"/>
          <w:sz w:val="20"/>
          <w:szCs w:val="20"/>
          <w:color w:val="auto"/>
        </w:rPr>
        <w:t>” means one of the Reference Treasury Dealers appointed by Wynn Resorts Finance.</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Indirect Participant</w:t>
      </w:r>
      <w:r>
        <w:rPr>
          <w:rFonts w:ascii="Arial" w:cs="Arial" w:eastAsia="Arial" w:hAnsi="Arial"/>
          <w:sz w:val="21"/>
          <w:szCs w:val="21"/>
          <w:color w:val="auto"/>
        </w:rPr>
        <w:t>” means a Person who holds a beneficial interest in a Global Note through a Participant.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Initial Notes</w:t>
      </w:r>
      <w:r>
        <w:rPr>
          <w:rFonts w:ascii="Arial" w:cs="Arial" w:eastAsia="Arial" w:hAnsi="Arial"/>
          <w:sz w:val="19"/>
          <w:szCs w:val="19"/>
          <w:color w:val="auto"/>
        </w:rPr>
        <w:t>” means the first $600,000,000 aggregate principal amount of Notes issued under this Indenture on the Issue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162"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Institutional Accredited Investor</w:t>
      </w:r>
      <w:r>
        <w:rPr>
          <w:rFonts w:ascii="Arial" w:cs="Arial" w:eastAsia="Arial" w:hAnsi="Arial"/>
          <w:sz w:val="21"/>
          <w:szCs w:val="21"/>
          <w:color w:val="auto"/>
        </w:rPr>
        <w:t>” means an institution that is an “accredited investor” as defined in Rule 501(a)(1), (2), (3) or (7) under the Securities Act, who are not also QIBs.</w:t>
      </w:r>
    </w:p>
    <w:p>
      <w:pPr>
        <w:spacing w:after="0" w:line="155"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Investment Grade</w:t>
      </w:r>
      <w:r>
        <w:rPr>
          <w:rFonts w:ascii="Arial" w:cs="Arial" w:eastAsia="Arial" w:hAnsi="Arial"/>
          <w:sz w:val="21"/>
          <w:szCs w:val="21"/>
          <w:color w:val="auto"/>
        </w:rPr>
        <w:t>” means a rating of Baa3 or better by Moody’s (or its equivalent under any successor rating categories of Moody’s), a rating of BBB- or better by S&amp;P (or its equivalent under any successor rating categories of S&amp;P) or the equivalent Investment Grade credit rating from any additional Rating Agency or Rating Agencies selected by Wynn Resorts Finance, as applicable.</w:t>
      </w:r>
    </w:p>
    <w:p>
      <w:pPr>
        <w:spacing w:after="0" w:line="155"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IP Licensing Fees</w:t>
      </w:r>
      <w:r>
        <w:rPr>
          <w:rFonts w:ascii="Arial" w:cs="Arial" w:eastAsia="Arial" w:hAnsi="Arial"/>
          <w:sz w:val="20"/>
          <w:szCs w:val="20"/>
          <w:color w:val="auto"/>
        </w:rPr>
        <w:t>” means any fees payable by an Issuer or a Guarantor to any Affiliate (other than an Issuer or a Guarantor) pursuant to (a) (i) that certain 2014 Intellectual Property Licensing Agreement, dated as of November 20, 2014, among Wynn Resorts Holdings, LLC, Wynn Resorts and Wynn Massachusetts Resort and (ii) that certain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68" w:right="339" w:bottom="1440" w:gutter="0" w:footer="0" w:header="0"/>
        </w:sectPr>
      </w:pPr>
    </w:p>
    <w:bookmarkStart w:id="26" w:name="page27"/>
    <w:bookmarkEnd w:id="26"/>
    <w:p>
      <w:pPr>
        <w:jc w:val="both"/>
        <w:spacing w:after="0" w:line="236" w:lineRule="auto"/>
        <w:rPr>
          <w:sz w:val="20"/>
          <w:szCs w:val="20"/>
          <w:color w:val="auto"/>
        </w:rPr>
      </w:pPr>
      <w:r>
        <w:rPr>
          <w:rFonts w:ascii="Arial" w:cs="Arial" w:eastAsia="Arial" w:hAnsi="Arial"/>
          <w:sz w:val="19"/>
          <w:szCs w:val="19"/>
          <w:color w:val="auto"/>
        </w:rPr>
        <w:t>Licensing Agreement, dated as of February 26, 2015, among Wynn Resorts, Wynn Resorts Holdings, LLC and Wynn Las Vegas, (iii) that certain Intellectual Property License Agreement, dated as of September 19, 2009, among Wynn Resorts Holdings, LLC, Wynn Resorts, and Wynn Macau, Limited, and (iv) that certain Amended and Restated Intellectual Property License Agreement, dated as of September 19, 2009, by and among Wynn Resorts Holdings, LLC, Wynn Resorts, and Wynn Resorts (Macau), S.A. and</w:t>
      </w:r>
    </w:p>
    <w:p>
      <w:pPr>
        <w:spacing w:after="0" w:line="1" w:lineRule="exact"/>
        <w:rPr>
          <w:sz w:val="20"/>
          <w:szCs w:val="20"/>
          <w:color w:val="auto"/>
        </w:rPr>
      </w:pPr>
    </w:p>
    <w:p>
      <w:pPr>
        <w:ind w:firstLine="5"/>
        <w:spacing w:after="0" w:line="228" w:lineRule="auto"/>
        <w:tabs>
          <w:tab w:leader="none" w:pos="318" w:val="left"/>
        </w:tabs>
        <w:numPr>
          <w:ilvl w:val="0"/>
          <w:numId w:val="34"/>
        </w:numPr>
        <w:rPr>
          <w:rFonts w:ascii="Arial" w:cs="Arial" w:eastAsia="Arial" w:hAnsi="Arial"/>
          <w:sz w:val="21"/>
          <w:szCs w:val="21"/>
          <w:color w:val="auto"/>
        </w:rPr>
      </w:pPr>
      <w:r>
        <w:rPr>
          <w:rFonts w:ascii="Arial" w:cs="Arial" w:eastAsia="Arial" w:hAnsi="Arial"/>
          <w:sz w:val="21"/>
          <w:szCs w:val="21"/>
          <w:color w:val="auto"/>
        </w:rPr>
        <w:t>without duplication to any fees paid under any agreement described in clause (a), licensing agreements in form and substance substantially similar to any agreement described in clause (a).</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Issue Date</w:t>
      </w:r>
      <w:r>
        <w:rPr>
          <w:rFonts w:ascii="Arial" w:cs="Arial" w:eastAsia="Arial" w:hAnsi="Arial"/>
          <w:sz w:val="21"/>
          <w:szCs w:val="21"/>
          <w:color w:val="auto"/>
        </w:rPr>
        <w:t>” means February 16, 2023.</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Issuers</w:t>
      </w:r>
      <w:r>
        <w:rPr>
          <w:rFonts w:ascii="Arial" w:cs="Arial" w:eastAsia="Arial" w:hAnsi="Arial"/>
          <w:sz w:val="21"/>
          <w:szCs w:val="21"/>
          <w:color w:val="auto"/>
        </w:rPr>
        <w:t>” means Wynn Resorts Finance and Wynn Resorts Capital.</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Joint Venture</w:t>
      </w:r>
      <w:r>
        <w:rPr>
          <w:rFonts w:ascii="Arial" w:cs="Arial" w:eastAsia="Arial" w:hAnsi="Arial"/>
          <w:sz w:val="21"/>
          <w:szCs w:val="21"/>
          <w:color w:val="auto"/>
        </w:rPr>
        <w:t>” means any partnership, corporation or other entity, in which up to and including 50% of the partnership interests, outstanding Voting Stock or other Equity Interests is owned, directly or indirectly, by Wynn Resorts Finance and/or one or more of its Subsidiaries.</w:t>
      </w:r>
    </w:p>
    <w:p>
      <w:pPr>
        <w:spacing w:after="0" w:line="154"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Legal Holiday</w:t>
      </w:r>
      <w:r>
        <w:rPr>
          <w:rFonts w:ascii="Arial" w:cs="Arial" w:eastAsia="Arial" w:hAnsi="Arial"/>
          <w:sz w:val="21"/>
          <w:szCs w:val="21"/>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55"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Lien</w:t>
      </w:r>
      <w:r>
        <w:rPr>
          <w:rFonts w:ascii="Arial" w:cs="Arial" w:eastAsia="Arial" w:hAnsi="Arial"/>
          <w:sz w:val="21"/>
          <w:szCs w:val="21"/>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an aircraft shall not be considered a Lien for purposes of this Indenture.</w:t>
      </w:r>
    </w:p>
    <w:p>
      <w:pPr>
        <w:spacing w:after="0" w:line="170"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Long Derivative Instrument</w:t>
      </w:r>
      <w:r>
        <w:rPr>
          <w:rFonts w:ascii="Arial" w:cs="Arial" w:eastAsia="Arial" w:hAnsi="Arial"/>
          <w:sz w:val="21"/>
          <w:szCs w:val="21"/>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86"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Macau Resort</w:t>
      </w:r>
      <w:r>
        <w:rPr>
          <w:rFonts w:ascii="Arial" w:cs="Arial" w:eastAsia="Arial" w:hAnsi="Arial"/>
          <w:sz w:val="19"/>
          <w:szCs w:val="19"/>
          <w:color w:val="auto"/>
        </w:rPr>
        <w:t>” means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50" w:lineRule="exact"/>
        <w:rPr>
          <w:sz w:val="20"/>
          <w:szCs w:val="20"/>
          <w:color w:val="auto"/>
        </w:rPr>
      </w:pPr>
    </w:p>
    <w:p>
      <w:pPr>
        <w:jc w:val="both"/>
        <w:ind w:firstLine="6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Management Fees</w:t>
      </w:r>
      <w:r>
        <w:rPr>
          <w:rFonts w:ascii="Arial" w:cs="Arial" w:eastAsia="Arial" w:hAnsi="Arial"/>
          <w:sz w:val="20"/>
          <w:szCs w:val="20"/>
          <w:color w:val="auto"/>
        </w:rPr>
        <w:t>” means (a) any fees, costs, expenses or reimbursements payable by an Issuer or a Guarantor to any Affiliate (other than an Issuer or a Guarantor) pursuant to (i) that certain Management Fee and Corporate Allocation Agreement, dated as of November 20, 2014, between Wynn Massachusetts Resort and Wynn Resorts and (ii) that certain Management Agreement, dated February 26, 2015,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68" w:right="339" w:bottom="1440" w:gutter="0" w:footer="0" w:header="0"/>
        </w:sectPr>
      </w:pPr>
    </w:p>
    <w:bookmarkStart w:id="27" w:name="page28"/>
    <w:bookmarkEnd w:id="27"/>
    <w:p>
      <w:pPr>
        <w:jc w:val="both"/>
        <w:ind w:firstLine="632"/>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Minimum Cage Cash Amount</w:t>
      </w:r>
      <w:r>
        <w:rPr>
          <w:rFonts w:ascii="Arial" w:cs="Arial" w:eastAsia="Arial" w:hAnsi="Arial"/>
          <w:sz w:val="21"/>
          <w:szCs w:val="21"/>
          <w:color w:val="auto"/>
        </w:rPr>
        <w:t>” means, as of any date of determination, an amount equal to $15.0 million multiplied by the number of material Gaming Facilities (as determined by Wynn Resorts Finance in good faith) owned and operated by an Issuer or a Guarantor. For purposes of this definition, as of the Issue Date each of (a) the Wynn Las Vegas Resort and Encore at Wynn Las Vegas (taken as a whole) and (b) the Wynn Massachusetts Resort shall count as material Gaming Facilities such that as of the Issue Date the Minimum Cage Cash Amount shall be $30.0 million.</w:t>
      </w:r>
    </w:p>
    <w:p>
      <w:pPr>
        <w:spacing w:after="0" w:line="160" w:lineRule="exact"/>
        <w:rPr>
          <w:sz w:val="20"/>
          <w:szCs w:val="20"/>
          <w:color w:val="auto"/>
        </w:rPr>
      </w:pPr>
    </w:p>
    <w:p>
      <w:pPr>
        <w:jc w:val="both"/>
        <w:ind w:firstLine="632"/>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26"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Net Short</w:t>
      </w:r>
      <w:r>
        <w:rPr>
          <w:rFonts w:ascii="Arial" w:cs="Arial" w:eastAsia="Arial" w:hAnsi="Arial"/>
          <w:sz w:val="21"/>
          <w:szCs w:val="21"/>
          <w:color w:val="auto"/>
        </w:rPr>
        <w:t>” 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 Issuer or any Guarantor immediately prior to such date of determination.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Non-U.S. Person</w:t>
      </w:r>
      <w:r>
        <w:rPr>
          <w:rFonts w:ascii="Arial" w:cs="Arial" w:eastAsia="Arial" w:hAnsi="Arial"/>
          <w:sz w:val="21"/>
          <w:szCs w:val="21"/>
          <w:color w:val="auto"/>
        </w:rPr>
        <w:t>” means a Person who is not a U.S. Person.</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Note Guarantee</w:t>
      </w:r>
      <w:r>
        <w:rPr>
          <w:rFonts w:ascii="Arial" w:cs="Arial" w:eastAsia="Arial" w:hAnsi="Arial"/>
          <w:sz w:val="21"/>
          <w:szCs w:val="21"/>
          <w:color w:val="auto"/>
        </w:rPr>
        <w:t>” means the Guarantee, by each Guarantor of the Issuers’ obligations under this Indenture and the Notes, executed pursuant to the provisions of this Indenture.</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Notes</w:t>
      </w:r>
      <w:r>
        <w:rPr>
          <w:rFonts w:ascii="Arial" w:cs="Arial" w:eastAsia="Arial" w:hAnsi="Arial"/>
          <w:sz w:val="21"/>
          <w:szCs w:val="21"/>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54"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Obligations</w:t>
      </w:r>
      <w:r>
        <w:rPr>
          <w:rFonts w:ascii="Arial" w:cs="Arial" w:eastAsia="Arial" w:hAnsi="Arial"/>
          <w:sz w:val="21"/>
          <w:szCs w:val="21"/>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Officer</w:t>
      </w:r>
      <w:r>
        <w:rPr>
          <w:rFonts w:ascii="Arial" w:cs="Arial" w:eastAsia="Arial" w:hAnsi="Arial"/>
          <w:sz w:val="21"/>
          <w:szCs w:val="21"/>
          <w:color w:val="auto"/>
        </w:rPr>
        <w:t>” means:</w:t>
      </w:r>
    </w:p>
    <w:p>
      <w:pPr>
        <w:spacing w:after="0" w:line="180" w:lineRule="exact"/>
        <w:rPr>
          <w:sz w:val="20"/>
          <w:szCs w:val="20"/>
          <w:color w:val="auto"/>
        </w:rPr>
      </w:pPr>
    </w:p>
    <w:p>
      <w:pPr>
        <w:ind w:left="1900" w:hanging="632"/>
        <w:spacing w:after="0"/>
        <w:tabs>
          <w:tab w:leader="none" w:pos="1900" w:val="left"/>
        </w:tabs>
        <w:numPr>
          <w:ilvl w:val="0"/>
          <w:numId w:val="35"/>
        </w:numPr>
        <w:rPr>
          <w:rFonts w:ascii="Arial" w:cs="Arial" w:eastAsia="Arial" w:hAnsi="Arial"/>
          <w:sz w:val="21"/>
          <w:szCs w:val="21"/>
          <w:color w:val="auto"/>
        </w:rPr>
      </w:pPr>
      <w:r>
        <w:rPr>
          <w:rFonts w:ascii="Arial" w:cs="Arial" w:eastAsia="Arial" w:hAnsi="Arial"/>
          <w:sz w:val="21"/>
          <w:szCs w:val="21"/>
          <w:color w:val="auto"/>
        </w:rPr>
        <w:t>with respect to a corporation, a Designated Officer of such corporation;</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0"/>
          <w:numId w:val="35"/>
        </w:numPr>
        <w:rPr>
          <w:rFonts w:ascii="Arial" w:cs="Arial" w:eastAsia="Arial" w:hAnsi="Arial"/>
          <w:sz w:val="21"/>
          <w:szCs w:val="21"/>
          <w:color w:val="auto"/>
        </w:rPr>
      </w:pPr>
      <w:r>
        <w:rPr>
          <w:rFonts w:ascii="Arial" w:cs="Arial" w:eastAsia="Arial" w:hAnsi="Arial"/>
          <w:sz w:val="21"/>
          <w:szCs w:val="21"/>
          <w:color w:val="auto"/>
        </w:rPr>
        <w:t>with respect to a partnership, a Designated Officer of the general partner of such partnership; and</w:t>
      </w:r>
    </w:p>
    <w:p>
      <w:pPr>
        <w:spacing w:after="0" w:line="179" w:lineRule="exact"/>
        <w:rPr>
          <w:rFonts w:ascii="Arial" w:cs="Arial" w:eastAsia="Arial" w:hAnsi="Arial"/>
          <w:sz w:val="21"/>
          <w:szCs w:val="21"/>
          <w:color w:val="auto"/>
        </w:rPr>
      </w:pPr>
    </w:p>
    <w:p>
      <w:pPr>
        <w:jc w:val="both"/>
        <w:ind w:firstLine="1268"/>
        <w:spacing w:after="0" w:line="228" w:lineRule="auto"/>
        <w:tabs>
          <w:tab w:leader="none" w:pos="1890" w:val="left"/>
        </w:tabs>
        <w:numPr>
          <w:ilvl w:val="0"/>
          <w:numId w:val="35"/>
        </w:numPr>
        <w:rPr>
          <w:rFonts w:ascii="Arial" w:cs="Arial" w:eastAsia="Arial" w:hAnsi="Arial"/>
          <w:sz w:val="21"/>
          <w:szCs w:val="21"/>
          <w:color w:val="auto"/>
        </w:rPr>
      </w:pPr>
      <w:r>
        <w:rPr>
          <w:rFonts w:ascii="Arial" w:cs="Arial" w:eastAsia="Arial" w:hAnsi="Arial"/>
          <w:sz w:val="21"/>
          <w:szCs w:val="21"/>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81" w:right="339" w:bottom="1440" w:gutter="0" w:footer="0" w:header="0"/>
        </w:sectPr>
      </w:pPr>
    </w:p>
    <w:bookmarkStart w:id="28" w:name="page29"/>
    <w:bookmarkEnd w:id="28"/>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Officers’ Certificate</w:t>
      </w:r>
      <w:r>
        <w:rPr>
          <w:rFonts w:ascii="Arial" w:cs="Arial" w:eastAsia="Arial" w:hAnsi="Arial"/>
          <w:sz w:val="21"/>
          <w:szCs w:val="21"/>
          <w:color w:val="auto"/>
        </w:rPr>
        <w:t>” means, with respect to any Person, a certificate signed on behalf of such Person by:</w:t>
      </w:r>
    </w:p>
    <w:p>
      <w:pPr>
        <w:spacing w:after="0" w:line="180" w:lineRule="exact"/>
        <w:rPr>
          <w:sz w:val="20"/>
          <w:szCs w:val="20"/>
          <w:color w:val="auto"/>
        </w:rPr>
      </w:pPr>
    </w:p>
    <w:p>
      <w:pPr>
        <w:ind w:left="1900" w:hanging="632"/>
        <w:spacing w:after="0"/>
        <w:tabs>
          <w:tab w:leader="none" w:pos="1900" w:val="left"/>
        </w:tabs>
        <w:numPr>
          <w:ilvl w:val="0"/>
          <w:numId w:val="36"/>
        </w:numPr>
        <w:rPr>
          <w:rFonts w:ascii="Arial" w:cs="Arial" w:eastAsia="Arial" w:hAnsi="Arial"/>
          <w:sz w:val="21"/>
          <w:szCs w:val="21"/>
          <w:color w:val="auto"/>
        </w:rPr>
      </w:pPr>
      <w:r>
        <w:rPr>
          <w:rFonts w:ascii="Arial" w:cs="Arial" w:eastAsia="Arial" w:hAnsi="Arial"/>
          <w:sz w:val="21"/>
          <w:szCs w:val="21"/>
          <w:color w:val="auto"/>
        </w:rPr>
        <w:t>with respect to a corporation, two Designated Officers of such corporation;</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with respect to a partnership, two Designated Officers of the general partner of such partnership; and</w:t>
      </w:r>
    </w:p>
    <w:p>
      <w:pPr>
        <w:spacing w:after="0" w:line="191" w:lineRule="exact"/>
        <w:rPr>
          <w:rFonts w:ascii="Arial" w:cs="Arial" w:eastAsia="Arial" w:hAnsi="Arial"/>
          <w:sz w:val="20"/>
          <w:szCs w:val="20"/>
          <w:color w:val="auto"/>
        </w:rPr>
      </w:pPr>
    </w:p>
    <w:p>
      <w:pPr>
        <w:ind w:firstLine="1268"/>
        <w:spacing w:after="0" w:line="285" w:lineRule="auto"/>
        <w:tabs>
          <w:tab w:leader="none" w:pos="189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each case, that meets the requirement of Section 14.05 hereof.</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Opinion of Counsel</w:t>
      </w:r>
      <w:r>
        <w:rPr>
          <w:rFonts w:ascii="Arial" w:cs="Arial" w:eastAsia="Arial" w:hAnsi="Arial"/>
          <w:sz w:val="21"/>
          <w:szCs w:val="21"/>
          <w:color w:val="auto"/>
        </w:rPr>
        <w:t>” means an opinion from legal counsel that meets the requirements of Section 14.05 hereof. The counsel may be an employee of or counsel to Wynn Resorts Finance, any Guarantor, as the case may be.</w:t>
      </w:r>
    </w:p>
    <w:p>
      <w:pPr>
        <w:spacing w:after="0" w:line="155"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Parent Entity</w:t>
      </w:r>
      <w:r>
        <w:rPr>
          <w:rFonts w:ascii="Arial" w:cs="Arial" w:eastAsia="Arial" w:hAnsi="Arial"/>
          <w:sz w:val="21"/>
          <w:szCs w:val="21"/>
          <w:color w:val="auto"/>
        </w:rPr>
        <w:t>” means (a) Wynn Resorts, (b) Wynn Resorts Holdings or (c) any entity that is or becomes a holding company or intermediary holding company for Wynn Resorts Holdings or Wynn Resorts Finance.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Participant</w:t>
      </w:r>
      <w:r>
        <w:rPr>
          <w:rFonts w:ascii="Arial" w:cs="Arial" w:eastAsia="Arial" w:hAnsi="Arial"/>
          <w:sz w:val="21"/>
          <w:szCs w:val="21"/>
          <w:color w:val="auto"/>
        </w:rPr>
        <w:t>” means, with respect to the Depositary, a Person who has an account with the Depositary.</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Permitted C-Corp. Conversion</w:t>
      </w:r>
      <w:r>
        <w:rPr>
          <w:rFonts w:ascii="Arial" w:cs="Arial" w:eastAsia="Arial" w:hAnsi="Arial"/>
          <w:sz w:val="21"/>
          <w:szCs w:val="21"/>
          <w:color w:val="auto"/>
        </w:rPr>
        <w:t>” means a transaction resulting in Wynn Resorts Finance or any of the Guarantors becoming a subchapter “C” corporation under the Code, so long as, in connection with such transaction:</w:t>
      </w:r>
    </w:p>
    <w:p>
      <w:pPr>
        <w:spacing w:after="0" w:line="155" w:lineRule="exact"/>
        <w:rPr>
          <w:sz w:val="20"/>
          <w:szCs w:val="20"/>
          <w:color w:val="auto"/>
        </w:rPr>
      </w:pPr>
    </w:p>
    <w:p>
      <w:pPr>
        <w:jc w:val="both"/>
        <w:ind w:firstLine="1268"/>
        <w:spacing w:after="0" w:line="223" w:lineRule="auto"/>
        <w:tabs>
          <w:tab w:leader="none" w:pos="189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55" w:lineRule="exact"/>
        <w:rPr>
          <w:rFonts w:ascii="Arial" w:cs="Arial" w:eastAsia="Arial" w:hAnsi="Arial"/>
          <w:sz w:val="21"/>
          <w:szCs w:val="21"/>
          <w:color w:val="auto"/>
        </w:rPr>
      </w:pPr>
    </w:p>
    <w:p>
      <w:pPr>
        <w:jc w:val="both"/>
        <w:ind w:firstLine="1268"/>
        <w:spacing w:after="0" w:line="234" w:lineRule="auto"/>
        <w:tabs>
          <w:tab w:leader="none" w:pos="189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subchapter “C” corporation resulting from such transaction assumes in writing all of the obligations, if any, of the applicable entity under (a) this Indenture, the Notes, and the Note Guarantees by the Guarantors and (b) all other documents and instruments to which such Person is a party (other than, in the case of clause (a) only, any documents and instruments that, individually or in the aggregate, are not material to the subchapter “C” corporation);</w:t>
      </w:r>
    </w:p>
    <w:p>
      <w:pPr>
        <w:spacing w:after="0" w:line="155" w:lineRule="exact"/>
        <w:rPr>
          <w:rFonts w:ascii="Arial" w:cs="Arial" w:eastAsia="Arial" w:hAnsi="Arial"/>
          <w:sz w:val="20"/>
          <w:szCs w:val="20"/>
          <w:color w:val="auto"/>
        </w:rPr>
      </w:pPr>
    </w:p>
    <w:p>
      <w:pPr>
        <w:ind w:left="1900" w:hanging="632"/>
        <w:spacing w:after="0"/>
        <w:tabs>
          <w:tab w:leader="none" w:pos="19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Trustee is given not less than 45 days’ advance written notice of such transaction;</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such transaction would not cause or result in a Default or an Event of Default;</w:t>
      </w:r>
    </w:p>
    <w:p>
      <w:pPr>
        <w:spacing w:after="0" w:line="179" w:lineRule="exact"/>
        <w:rPr>
          <w:rFonts w:ascii="Arial" w:cs="Arial" w:eastAsia="Arial" w:hAnsi="Arial"/>
          <w:sz w:val="21"/>
          <w:szCs w:val="21"/>
          <w:color w:val="auto"/>
        </w:rPr>
      </w:pPr>
    </w:p>
    <w:p>
      <w:pPr>
        <w:ind w:firstLine="1268"/>
        <w:spacing w:after="0" w:line="258" w:lineRule="auto"/>
        <w:tabs>
          <w:tab w:leader="none" w:pos="189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37" w:lineRule="exact"/>
        <w:rPr>
          <w:rFonts w:ascii="Arial" w:cs="Arial" w:eastAsia="Arial" w:hAnsi="Arial"/>
          <w:sz w:val="20"/>
          <w:szCs w:val="20"/>
          <w:color w:val="auto"/>
        </w:rPr>
      </w:pPr>
    </w:p>
    <w:p>
      <w:pPr>
        <w:ind w:firstLine="1268"/>
        <w:spacing w:after="0" w:line="237" w:lineRule="auto"/>
        <w:tabs>
          <w:tab w:leader="none" w:pos="1890" w:val="left"/>
        </w:tabs>
        <w:numPr>
          <w:ilvl w:val="0"/>
          <w:numId w:val="37"/>
        </w:numPr>
        <w:rPr>
          <w:rFonts w:ascii="Arial" w:cs="Arial" w:eastAsia="Arial" w:hAnsi="Arial"/>
          <w:sz w:val="21"/>
          <w:szCs w:val="21"/>
          <w:color w:val="auto"/>
        </w:rPr>
      </w:pPr>
      <w:r>
        <w:rPr>
          <w:rFonts w:ascii="Arial" w:cs="Arial" w:eastAsia="Arial" w:hAnsi="Arial"/>
          <w:sz w:val="21"/>
          <w:szCs w:val="21"/>
          <w:color w:val="auto"/>
        </w:rPr>
        <w:t>such transaction does not require any Holder or Beneficial Owner of the Notes to obtain a Gaming License or be qualified or found suitable under the laws of any applicable gaming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68" w:right="339" w:bottom="1440" w:gutter="0" w:footer="0" w:header="0"/>
        </w:sectPr>
      </w:pPr>
    </w:p>
    <w:bookmarkStart w:id="29" w:name="page30"/>
    <w:bookmarkEnd w:id="29"/>
    <w:p>
      <w:pPr>
        <w:jc w:val="both"/>
        <w:ind w:firstLine="1268"/>
        <w:spacing w:after="0" w:line="223" w:lineRule="auto"/>
        <w:tabs>
          <w:tab w:leader="none" w:pos="1890" w:val="left"/>
        </w:tabs>
        <w:numPr>
          <w:ilvl w:val="0"/>
          <w:numId w:val="38"/>
        </w:numPr>
        <w:rPr>
          <w:rFonts w:ascii="Arial" w:cs="Arial" w:eastAsia="Arial" w:hAnsi="Arial"/>
          <w:sz w:val="21"/>
          <w:szCs w:val="21"/>
          <w:color w:val="auto"/>
        </w:rPr>
      </w:pPr>
      <w:r>
        <w:rPr>
          <w:rFonts w:ascii="Arial" w:cs="Arial" w:eastAsia="Arial" w:hAnsi="Arial"/>
          <w:sz w:val="21"/>
          <w:szCs w:val="21"/>
          <w:color w:val="auto"/>
        </w:rPr>
        <w:t>Wynn Resorts Finance shall have delivered to the Trustee an Opinion of Counsel of national repute in the United States reasonably acceptable to the Trustee, confirming that neither Issuer, nor any Guarantor nor any of the Holders shall recognize income, gain or loss for United States federal or state income tax purposes as a result of such Permitted C-Corp. Conversion; and</w:t>
      </w:r>
    </w:p>
    <w:p>
      <w:pPr>
        <w:spacing w:after="0" w:line="155" w:lineRule="exact"/>
        <w:rPr>
          <w:rFonts w:ascii="Arial" w:cs="Arial" w:eastAsia="Arial" w:hAnsi="Arial"/>
          <w:sz w:val="21"/>
          <w:szCs w:val="21"/>
          <w:color w:val="auto"/>
        </w:rPr>
      </w:pPr>
    </w:p>
    <w:p>
      <w:pPr>
        <w:ind w:firstLine="1268"/>
        <w:spacing w:after="0" w:line="237" w:lineRule="auto"/>
        <w:tabs>
          <w:tab w:leader="none" w:pos="1890" w:val="left"/>
        </w:tabs>
        <w:numPr>
          <w:ilvl w:val="0"/>
          <w:numId w:val="38"/>
        </w:numPr>
        <w:rPr>
          <w:rFonts w:ascii="Arial" w:cs="Arial" w:eastAsia="Arial" w:hAnsi="Arial"/>
          <w:sz w:val="21"/>
          <w:szCs w:val="21"/>
          <w:color w:val="auto"/>
        </w:rPr>
      </w:pPr>
      <w:r>
        <w:rPr>
          <w:rFonts w:ascii="Arial" w:cs="Arial" w:eastAsia="Arial" w:hAnsi="Arial"/>
          <w:sz w:val="21"/>
          <w:szCs w:val="21"/>
          <w:color w:val="auto"/>
        </w:rPr>
        <w:t>Wynn Resorts Finance shall have delivered to the Trustee a certificate of the Chief Financial Officer of Wynn Resorts Finance confirming that the conditions in clauses (1) through (7) have been satisfied.</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Person</w:t>
      </w:r>
      <w:r>
        <w:rPr>
          <w:rFonts w:ascii="Arial" w:cs="Arial" w:eastAsia="Arial" w:hAnsi="Arial"/>
          <w:sz w:val="21"/>
          <w:szCs w:val="21"/>
          <w:color w:val="auto"/>
        </w:rPr>
        <w:t>” means any individual, corporation, partnership, joint venture, association, joint-stock company, trust, unincorporated organization, limited liability company or government or other entity.</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Pre-Opening Expenses</w:t>
      </w:r>
      <w:r>
        <w:rPr>
          <w:rFonts w:ascii="Arial" w:cs="Arial" w:eastAsia="Arial" w:hAnsi="Arial"/>
          <w:sz w:val="21"/>
          <w:szCs w:val="21"/>
          <w:color w:val="auto"/>
        </w:rPr>
        <w:t>” means, with respect to any fiscal period, the amount of expenses (including Consolidated Interest Expense) incurred with respect to capital projects which are appropriately classified as “pre-opening expenses” on the applicable financial statements of the Issuers and the Guarantors for such period.</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Principal Property</w:t>
      </w:r>
      <w:r>
        <w:rPr>
          <w:rFonts w:ascii="Arial" w:cs="Arial" w:eastAsia="Arial" w:hAnsi="Arial"/>
          <w:sz w:val="21"/>
          <w:szCs w:val="21"/>
          <w:color w:val="auto"/>
        </w:rPr>
        <w:t>” means any real estate or other physical facility or depreciable asset or securities the net book value of which on the date of determination exceeds the greater of $25.0 million and 2.0% of the Total Assets.</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Private Placement Legend</w:t>
      </w:r>
      <w:r>
        <w:rPr>
          <w:rFonts w:ascii="Arial" w:cs="Arial" w:eastAsia="Arial" w:hAnsi="Arial"/>
          <w:sz w:val="21"/>
          <w:szCs w:val="21"/>
          <w:color w:val="auto"/>
        </w:rPr>
        <w:t>” means the legend set forth in Section 2.06(g)(1) hereof to be placed on all Notes issued under this Indenture except where otherwise permitted by the provisions of this Indenture.</w:t>
      </w:r>
    </w:p>
    <w:p>
      <w:pPr>
        <w:spacing w:after="0" w:line="168"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21"/>
          <w:szCs w:val="21"/>
          <w:i w:val="1"/>
          <w:iCs w:val="1"/>
          <w:color w:val="auto"/>
        </w:rPr>
        <w:t xml:space="preserve">“Property” </w:t>
      </w:r>
      <w:r>
        <w:rPr>
          <w:rFonts w:ascii="Arial" w:cs="Arial" w:eastAsia="Arial" w:hAnsi="Arial"/>
          <w:sz w:val="21"/>
          <w:szCs w:val="21"/>
          <w:color w:val="auto"/>
        </w:rPr>
        <w:t>means any right, title or interest in or to property or assets of any kind whatsoever, whether real, personal or</w:t>
      </w:r>
      <w:r>
        <w:rPr>
          <w:rFonts w:ascii="Arial" w:cs="Arial" w:eastAsia="Arial" w:hAnsi="Arial"/>
          <w:sz w:val="21"/>
          <w:szCs w:val="21"/>
          <w:i w:val="1"/>
          <w:iCs w:val="1"/>
          <w:color w:val="auto"/>
        </w:rPr>
        <w:t xml:space="preserve"> </w:t>
      </w:r>
      <w:r>
        <w:rPr>
          <w:rFonts w:ascii="Arial" w:cs="Arial" w:eastAsia="Arial" w:hAnsi="Arial"/>
          <w:sz w:val="21"/>
          <w:szCs w:val="21"/>
          <w:color w:val="auto"/>
        </w:rPr>
        <w:t>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QIB</w:t>
      </w:r>
      <w:r>
        <w:rPr>
          <w:rFonts w:ascii="Arial" w:cs="Arial" w:eastAsia="Arial" w:hAnsi="Arial"/>
          <w:sz w:val="21"/>
          <w:szCs w:val="21"/>
          <w:color w:val="auto"/>
        </w:rPr>
        <w:t>” means a “qualified institutional buyer” as defined in Rule 144A.</w:t>
      </w:r>
    </w:p>
    <w:p>
      <w:pPr>
        <w:spacing w:after="0" w:line="193"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Qualifying Act of Terrorism</w:t>
      </w:r>
      <w:r>
        <w:rPr>
          <w:rFonts w:ascii="Arial" w:cs="Arial" w:eastAsia="Arial" w:hAnsi="Arial"/>
          <w:sz w:val="21"/>
          <w:szCs w:val="21"/>
          <w:color w:val="auto"/>
        </w:rPr>
        <w:t>” means (a) any Act of Terrorism which occurs on any property of Wynn Resorts Finance or its Affiliates or in which Wynn Resorts Finance or any of its Affiliates, or any property of any of them, is the target or (b) any Act of Terrorism which occurs at any Gaming Facility or material hospitality or entertainment establishment in any market in which Wynn Resorts Finance or any of its Affiliates operates a facility.</w:t>
      </w:r>
    </w:p>
    <w:p>
      <w:pPr>
        <w:spacing w:after="0" w:line="160"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Qualifying Project</w:t>
      </w:r>
      <w:r>
        <w:rPr>
          <w:rFonts w:ascii="Arial" w:cs="Arial" w:eastAsia="Arial" w:hAnsi="Arial"/>
          <w:sz w:val="19"/>
          <w:szCs w:val="19"/>
          <w:color w:val="auto"/>
        </w:rPr>
        <w:t>” means the facilities of Wynn Resorts and its Subsidiaries which are operating or for which the financing for the development, construction and opening thereof has been obtained. For purposes of this definition, each of the Wynn Las Vegas Resort, Encore at Wynn Las Vegas, the Macau Resort and the Wynn Massachusetts Resort shall count as separate projects.</w:t>
      </w:r>
    </w:p>
    <w:p>
      <w:pPr>
        <w:spacing w:after="0" w:line="138"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Rating Agencies</w:t>
      </w:r>
      <w:r>
        <w:rPr>
          <w:rFonts w:ascii="Arial" w:cs="Arial" w:eastAsia="Arial" w:hAnsi="Arial"/>
          <w:sz w:val="20"/>
          <w:szCs w:val="20"/>
          <w:color w:val="auto"/>
        </w:rPr>
        <w:t>” means (a) each of Moody’s and S&amp;P; and (b) if either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68" w:right="339" w:bottom="1440" w:gutter="0" w:footer="0" w:header="0"/>
        </w:sectPr>
      </w:pPr>
    </w:p>
    <w:bookmarkStart w:id="30" w:name="page31"/>
    <w:bookmarkEnd w:id="30"/>
    <w:p>
      <w:pPr>
        <w:spacing w:after="0"/>
        <w:rPr>
          <w:sz w:val="20"/>
          <w:szCs w:val="20"/>
          <w:color w:val="auto"/>
        </w:rPr>
      </w:pPr>
      <w:r>
        <w:rPr>
          <w:rFonts w:ascii="Arial" w:cs="Arial" w:eastAsia="Arial" w:hAnsi="Arial"/>
          <w:sz w:val="19"/>
          <w:szCs w:val="19"/>
          <w:color w:val="auto"/>
        </w:rPr>
        <w:t>Wynn Resorts Capital’s Board of Directors) as a replacement agency for Moody’s or S&amp;P, or each of them, as the case may be.</w:t>
      </w:r>
    </w:p>
    <w:p>
      <w:pPr>
        <w:spacing w:after="0" w:line="203" w:lineRule="exact"/>
        <w:rPr>
          <w:sz w:val="20"/>
          <w:szCs w:val="20"/>
          <w:color w:val="auto"/>
        </w:rPr>
      </w:pPr>
    </w:p>
    <w:p>
      <w:pPr>
        <w:jc w:val="both"/>
        <w:ind w:firstLine="632"/>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Rating Categories</w:t>
      </w:r>
      <w:r>
        <w:rPr>
          <w:rFonts w:ascii="Arial" w:cs="Arial" w:eastAsia="Arial" w:hAnsi="Arial"/>
          <w:sz w:val="21"/>
          <w:szCs w:val="21"/>
          <w:color w:val="auto"/>
        </w:rPr>
        <w:t>” means (a) with respect to S&amp;P, any of the following categories: BB, B, CCC, CC, C and D (or equivalent successor categories); (b) with respect to Moody’s, any of the following categories: Ba, B, Caa, Ca, C and D (or equivalent successor categories); and (c) the equivalent of any such category of S&amp;P or Moody’s used by another Rating Agency selected by us. In determining whether the rating of the Notes has decreased by one or more gradations, gradations within Rating Categories ((i) + and—for S&amp;P; (ii) 1, 2 and 3 for Moody’s; and (iii) the equivalent gradations for another Rating Agency selected by us) shall be taken into account (e.g., with respect to S&amp;P, a decline in a rating from BB+ to BB, or from BB- to B+, will constitute a decrease of one gradation).</w:t>
      </w:r>
    </w:p>
    <w:p>
      <w:pPr>
        <w:spacing w:after="0" w:line="156"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Rating Date</w:t>
      </w:r>
      <w:r>
        <w:rPr>
          <w:rFonts w:ascii="Arial" w:cs="Arial" w:eastAsia="Arial" w:hAnsi="Arial"/>
          <w:sz w:val="21"/>
          <w:szCs w:val="21"/>
          <w:color w:val="auto"/>
        </w:rPr>
        <w:t>” means the date that is 60 days prior to the earlier of (a) a Change of Control or (b) public notice of the occurrence of a Change of Control or the intention by Wynn Resorts Finance to affect a Change of Control.</w:t>
      </w:r>
    </w:p>
    <w:p>
      <w:pPr>
        <w:spacing w:after="0" w:line="155"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Ratings Event</w:t>
      </w:r>
      <w:r>
        <w:rPr>
          <w:rFonts w:ascii="Arial" w:cs="Arial" w:eastAsia="Arial" w:hAnsi="Arial"/>
          <w:sz w:val="21"/>
          <w:szCs w:val="21"/>
          <w:color w:val="auto"/>
        </w:rPr>
        <w:t>” shall be deemed to occur if on, or within 60 days after the earlier of, (i) the occurrence of a Change of Control or (ii) public notice of the occurrence of a Change of Control or the intention by Wynn Resorts Finance to effect a Change of Control (which period shall be extended so long as the rating of the notes is under publicly announced consideration for a possible downgrade by any of the Rating Agencies):</w:t>
      </w:r>
    </w:p>
    <w:p>
      <w:pPr>
        <w:spacing w:after="0" w:line="155" w:lineRule="exact"/>
        <w:rPr>
          <w:sz w:val="20"/>
          <w:szCs w:val="20"/>
          <w:color w:val="auto"/>
        </w:rPr>
      </w:pPr>
    </w:p>
    <w:p>
      <w:pPr>
        <w:jc w:val="both"/>
        <w:ind w:firstLine="1268"/>
        <w:spacing w:after="0" w:line="228" w:lineRule="auto"/>
        <w:tabs>
          <w:tab w:leader="none" w:pos="189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rating of the Notes by each Rating Agency shall be decreased by one or more gradations to or within a Rating Category (including gradations within Rating Categories as well as between Rating Categories) as compared to the rating of the Notes on the Rating Date, and</w:t>
      </w:r>
    </w:p>
    <w:p>
      <w:pPr>
        <w:spacing w:after="0" w:line="153" w:lineRule="exact"/>
        <w:rPr>
          <w:rFonts w:ascii="Arial" w:cs="Arial" w:eastAsia="Arial" w:hAnsi="Arial"/>
          <w:sz w:val="21"/>
          <w:szCs w:val="21"/>
          <w:color w:val="auto"/>
        </w:rPr>
      </w:pPr>
    </w:p>
    <w:p>
      <w:pPr>
        <w:ind w:firstLine="1268"/>
        <w:spacing w:after="0" w:line="258" w:lineRule="auto"/>
        <w:tabs>
          <w:tab w:leader="none" w:pos="189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Notes are rated below the respective rating of the Notes on the Issue Date by both Rating Agencies. On the Issue Date, Moody’s had assigned a rating of B2 to the Notes and S&amp;P had assigned a rating of B+ to the Notes.</w:t>
      </w:r>
    </w:p>
    <w:p>
      <w:pPr>
        <w:spacing w:after="0" w:line="150" w:lineRule="exact"/>
        <w:rPr>
          <w:sz w:val="20"/>
          <w:szCs w:val="20"/>
          <w:color w:val="auto"/>
        </w:rPr>
      </w:pPr>
    </w:p>
    <w:p>
      <w:pPr>
        <w:jc w:val="both"/>
        <w:ind w:firstLine="632"/>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Recurring Dividend Amount</w:t>
      </w:r>
      <w:r>
        <w:rPr>
          <w:rFonts w:ascii="Arial" w:cs="Arial" w:eastAsia="Arial" w:hAnsi="Arial"/>
          <w:sz w:val="20"/>
          <w:szCs w:val="20"/>
          <w:color w:val="auto"/>
        </w:rPr>
        <w:t>” means, the amount of dividends paid to (or, at Wynn Resorts Finance’s option, declared to be paid to) Wynn Group Asia by its direct and Subsidiaries during the applicable Test Period in the amounts set forth below:</w:t>
      </w:r>
    </w:p>
    <w:p>
      <w:pPr>
        <w:spacing w:after="0" w:line="166" w:lineRule="exact"/>
        <w:rPr>
          <w:sz w:val="20"/>
          <w:szCs w:val="20"/>
          <w:color w:val="auto"/>
        </w:rPr>
      </w:pPr>
    </w:p>
    <w:tbl>
      <w:tblPr>
        <w:tblLayout w:type="fixed"/>
        <w:tblInd w:w="108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0"/>
              </w:rPr>
              <w:t>Test Period Ending</w:t>
            </w: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5"/>
              </w:rPr>
              <w:t>Recurring Dividend Amount (millions)</w:t>
            </w:r>
          </w:p>
        </w:tc>
      </w:tr>
      <w:tr>
        <w:trPr>
          <w:trHeight w:val="288"/>
        </w:trPr>
        <w:tc>
          <w:tcPr>
            <w:tcW w:w="3520" w:type="dxa"/>
            <w:vAlign w:val="bottom"/>
            <w:gridSpan w:val="3"/>
          </w:tcPr>
          <w:p>
            <w:pPr>
              <w:jc w:val="center"/>
              <w:ind w:right="620"/>
              <w:spacing w:after="0"/>
              <w:rPr>
                <w:sz w:val="20"/>
                <w:szCs w:val="20"/>
                <w:color w:val="auto"/>
              </w:rPr>
            </w:pPr>
            <w:r>
              <w:rPr>
                <w:rFonts w:ascii="Arial" w:cs="Arial" w:eastAsia="Arial" w:hAnsi="Arial"/>
                <w:sz w:val="21"/>
                <w:szCs w:val="21"/>
                <w:color w:val="auto"/>
                <w:w w:val="89"/>
              </w:rPr>
              <w:t>September 30, 2022</w:t>
            </w:r>
          </w:p>
        </w:tc>
        <w:tc>
          <w:tcPr>
            <w:tcW w:w="3920" w:type="dxa"/>
            <w:vAlign w:val="bottom"/>
            <w:gridSpan w:val="2"/>
          </w:tcPr>
          <w:p>
            <w:pPr>
              <w:jc w:val="center"/>
              <w:ind w:left="515"/>
              <w:spacing w:after="0"/>
              <w:rPr>
                <w:sz w:val="20"/>
                <w:szCs w:val="20"/>
                <w:color w:val="auto"/>
              </w:rPr>
            </w:pPr>
            <w:r>
              <w:rPr>
                <w:rFonts w:ascii="Arial" w:cs="Arial" w:eastAsia="Arial" w:hAnsi="Arial"/>
                <w:sz w:val="21"/>
                <w:szCs w:val="21"/>
                <w:color w:val="auto"/>
                <w:w w:val="90"/>
              </w:rPr>
              <w:t>$575.0</w:t>
            </w:r>
          </w:p>
        </w:tc>
      </w:tr>
      <w:tr>
        <w:trPr>
          <w:trHeight w:val="263"/>
        </w:trPr>
        <w:tc>
          <w:tcPr>
            <w:tcW w:w="3520" w:type="dxa"/>
            <w:vAlign w:val="bottom"/>
            <w:gridSpan w:val="3"/>
          </w:tcPr>
          <w:p>
            <w:pPr>
              <w:jc w:val="center"/>
              <w:ind w:right="620"/>
              <w:spacing w:after="0"/>
              <w:rPr>
                <w:sz w:val="20"/>
                <w:szCs w:val="20"/>
                <w:color w:val="auto"/>
              </w:rPr>
            </w:pPr>
            <w:r>
              <w:rPr>
                <w:rFonts w:ascii="Arial" w:cs="Arial" w:eastAsia="Arial" w:hAnsi="Arial"/>
                <w:sz w:val="21"/>
                <w:szCs w:val="21"/>
                <w:color w:val="auto"/>
                <w:w w:val="89"/>
              </w:rPr>
              <w:t>September 30, 2023</w:t>
            </w:r>
          </w:p>
        </w:tc>
        <w:tc>
          <w:tcPr>
            <w:tcW w:w="3920" w:type="dxa"/>
            <w:vAlign w:val="bottom"/>
            <w:gridSpan w:val="2"/>
          </w:tcPr>
          <w:p>
            <w:pPr>
              <w:jc w:val="center"/>
              <w:ind w:left="515"/>
              <w:spacing w:after="0"/>
              <w:rPr>
                <w:sz w:val="20"/>
                <w:szCs w:val="20"/>
                <w:color w:val="auto"/>
              </w:rPr>
            </w:pPr>
            <w:r>
              <w:rPr>
                <w:rFonts w:ascii="Arial" w:cs="Arial" w:eastAsia="Arial" w:hAnsi="Arial"/>
                <w:sz w:val="21"/>
                <w:szCs w:val="21"/>
                <w:color w:val="auto"/>
                <w:w w:val="90"/>
              </w:rPr>
              <w:t>$632.0</w:t>
            </w:r>
          </w:p>
        </w:tc>
      </w:tr>
      <w:tr>
        <w:trPr>
          <w:trHeight w:val="268"/>
        </w:trPr>
        <w:tc>
          <w:tcPr>
            <w:tcW w:w="3520" w:type="dxa"/>
            <w:vAlign w:val="bottom"/>
            <w:gridSpan w:val="3"/>
          </w:tcPr>
          <w:p>
            <w:pPr>
              <w:jc w:val="center"/>
              <w:ind w:right="620"/>
              <w:spacing w:after="0"/>
              <w:rPr>
                <w:sz w:val="20"/>
                <w:szCs w:val="20"/>
                <w:color w:val="auto"/>
              </w:rPr>
            </w:pPr>
            <w:r>
              <w:rPr>
                <w:rFonts w:ascii="Arial" w:cs="Arial" w:eastAsia="Arial" w:hAnsi="Arial"/>
                <w:sz w:val="21"/>
                <w:szCs w:val="21"/>
                <w:color w:val="auto"/>
                <w:w w:val="88"/>
              </w:rPr>
              <w:t>September 30, 2024 and thereafter</w:t>
            </w:r>
          </w:p>
        </w:tc>
        <w:tc>
          <w:tcPr>
            <w:tcW w:w="3920" w:type="dxa"/>
            <w:vAlign w:val="bottom"/>
            <w:gridSpan w:val="2"/>
          </w:tcPr>
          <w:p>
            <w:pPr>
              <w:jc w:val="center"/>
              <w:ind w:left="515"/>
              <w:spacing w:after="0"/>
              <w:rPr>
                <w:sz w:val="20"/>
                <w:szCs w:val="20"/>
                <w:color w:val="auto"/>
              </w:rPr>
            </w:pPr>
            <w:r>
              <w:rPr>
                <w:rFonts w:ascii="Arial" w:cs="Arial" w:eastAsia="Arial" w:hAnsi="Arial"/>
                <w:sz w:val="21"/>
                <w:szCs w:val="21"/>
                <w:color w:val="auto"/>
                <w:w w:val="90"/>
              </w:rPr>
              <w:t>$695.0</w:t>
            </w:r>
          </w:p>
        </w:tc>
      </w:tr>
    </w:tbl>
    <w:p>
      <w:pPr>
        <w:spacing w:after="0" w:line="298"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Reference Treasury Dealer</w:t>
      </w:r>
      <w:r>
        <w:rPr>
          <w:rFonts w:ascii="Arial" w:cs="Arial" w:eastAsia="Arial" w:hAnsi="Arial"/>
          <w:sz w:val="21"/>
          <w:szCs w:val="21"/>
          <w:color w:val="auto"/>
        </w:rPr>
        <w:t>” means any primary U.S. Government securities dealer in New York City selected by Wynn Resorts Finance.</w:t>
      </w:r>
    </w:p>
    <w:p>
      <w:pPr>
        <w:spacing w:after="0" w:line="155"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Reference Treasury Dealer Quotations</w:t>
      </w:r>
      <w:r>
        <w:rPr>
          <w:rFonts w:ascii="Arial" w:cs="Arial" w:eastAsia="Arial" w:hAnsi="Arial"/>
          <w:sz w:val="21"/>
          <w:szCs w:val="21"/>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68" w:right="339" w:bottom="1440" w:gutter="0" w:footer="0" w:header="0"/>
        </w:sectPr>
      </w:pPr>
    </w:p>
    <w:bookmarkStart w:id="31" w:name="page32"/>
    <w:bookmarkEnd w:id="31"/>
    <w:p>
      <w:pPr>
        <w:jc w:val="both"/>
        <w:spacing w:after="0" w:line="218" w:lineRule="auto"/>
        <w:rPr>
          <w:sz w:val="20"/>
          <w:szCs w:val="20"/>
          <w:color w:val="auto"/>
        </w:rPr>
      </w:pPr>
      <w:r>
        <w:rPr>
          <w:rFonts w:ascii="Arial" w:cs="Arial" w:eastAsia="Arial" w:hAnsi="Arial"/>
          <w:sz w:val="21"/>
          <w:szCs w:val="21"/>
          <w:color w:val="auto"/>
        </w:rPr>
        <w:t>date on which Wynn Resorts Finance deposits the amount required under this Indenture most nearly equal to the period from the redemption date to the maturity date.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Resorts Finance deposits the amount required under this Indenture most nearly equal to the period from the redemption date to the maturity date.</w:t>
      </w:r>
    </w:p>
    <w:p>
      <w:pPr>
        <w:spacing w:after="0" w:line="158" w:lineRule="exact"/>
        <w:rPr>
          <w:sz w:val="20"/>
          <w:szCs w:val="20"/>
          <w:color w:val="auto"/>
        </w:rPr>
      </w:pPr>
    </w:p>
    <w:p>
      <w:pPr>
        <w:jc w:val="both"/>
        <w:ind w:firstLine="632"/>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Regulated Bank</w:t>
      </w:r>
      <w:r>
        <w:rPr>
          <w:rFonts w:ascii="Arial" w:cs="Arial" w:eastAsia="Arial" w:hAnsi="Arial"/>
          <w:sz w:val="20"/>
          <w:szCs w:val="20"/>
          <w:color w:val="auto"/>
        </w:rPr>
        <w:t>” means (x) a banking organization with a consolidated combined capital and surplus of at least $5.0 billion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Federal Reserve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to the extent that (1) all of the Capital Stock of such Affiliate is directly or indirectly owned by either (I) such Person set forth in clause (x) or (II) a parent entity that also owns, directly or indirectly, all of the Capital Stock of such Person set forth in clause (x) and (2) such Affiliate is a securities broker or dealer registered with the SEC under Section 15 of the Exchange Act.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Regulation S</w:t>
      </w:r>
      <w:r>
        <w:rPr>
          <w:rFonts w:ascii="Arial" w:cs="Arial" w:eastAsia="Arial" w:hAnsi="Arial"/>
          <w:sz w:val="21"/>
          <w:szCs w:val="21"/>
          <w:color w:val="auto"/>
        </w:rPr>
        <w:t>” means Regulation S promulgated under the Securities Act.</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Regulation S Global Note</w:t>
      </w:r>
      <w:r>
        <w:rPr>
          <w:rFonts w:ascii="Arial" w:cs="Arial" w:eastAsia="Arial" w:hAnsi="Arial"/>
          <w:sz w:val="21"/>
          <w:szCs w:val="21"/>
          <w:color w:val="auto"/>
        </w:rPr>
        <w:t>” means a Regulation S Temporary Global Note or Regulation S Permanent Global Note, as appropriate.</w:t>
      </w:r>
    </w:p>
    <w:p>
      <w:pPr>
        <w:spacing w:after="0" w:line="155"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Regulation S Permanent Global Note</w:t>
      </w:r>
      <w:r>
        <w:rPr>
          <w:rFonts w:ascii="Arial" w:cs="Arial" w:eastAsia="Arial" w:hAnsi="Arial"/>
          <w:sz w:val="21"/>
          <w:szCs w:val="21"/>
          <w:color w:val="auto"/>
        </w:rPr>
        <w:t xml:space="preserve">” means a permanent Global Note in the form of </w:t>
      </w:r>
      <w:r>
        <w:rPr>
          <w:rFonts w:ascii="Arial" w:cs="Arial" w:eastAsia="Arial" w:hAnsi="Arial"/>
          <w:sz w:val="21"/>
          <w:szCs w:val="21"/>
          <w:u w:val="single" w:color="auto"/>
          <w:color w:val="auto"/>
        </w:rPr>
        <w:t>Exhibit A-1</w:t>
      </w:r>
      <w:r>
        <w:rPr>
          <w:rFonts w:ascii="Arial" w:cs="Arial" w:eastAsia="Arial" w:hAnsi="Arial"/>
          <w:sz w:val="21"/>
          <w:szCs w:val="21"/>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Regulation S Temporary Global Note</w:t>
      </w:r>
      <w:r>
        <w:rPr>
          <w:rFonts w:ascii="Arial" w:cs="Arial" w:eastAsia="Arial" w:hAnsi="Arial"/>
          <w:sz w:val="21"/>
          <w:szCs w:val="21"/>
          <w:color w:val="auto"/>
        </w:rPr>
        <w:t xml:space="preserve">” means a temporary Global Note in the form of </w:t>
      </w:r>
      <w:r>
        <w:rPr>
          <w:rFonts w:ascii="Arial" w:cs="Arial" w:eastAsia="Arial" w:hAnsi="Arial"/>
          <w:sz w:val="21"/>
          <w:szCs w:val="21"/>
          <w:u w:val="single" w:color="auto"/>
          <w:color w:val="auto"/>
        </w:rPr>
        <w:t>Exhibit A-2</w:t>
      </w:r>
      <w:r>
        <w:rPr>
          <w:rFonts w:ascii="Arial" w:cs="Arial" w:eastAsia="Arial" w:hAnsi="Arial"/>
          <w:sz w:val="21"/>
          <w:szCs w:val="21"/>
          <w:color w:val="auto"/>
        </w:rPr>
        <w:t xml:space="preserve"> hereto deposited with or on behalf of and registered in the name of the Depositary or its nominee, issued in a denomination equal to the outstanding principal amount of the Notes initially sold in reliance on Rule 903 of Regulation S.</w:t>
      </w:r>
    </w:p>
    <w:p>
      <w:pPr>
        <w:spacing w:after="0" w:line="154"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Responsible Officer</w:t>
      </w:r>
      <w:r>
        <w:rPr>
          <w:rFonts w:ascii="Arial" w:cs="Arial" w:eastAsia="Arial" w:hAnsi="Arial"/>
          <w:sz w:val="20"/>
          <w:szCs w:val="20"/>
          <w:color w:val="auto"/>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who shall have direct responsibility for the administration of this Indenture, and also means, with respect to a particular corporate trust matter, any other officer to whom such matter is referred because of his knowledge of and familiarity with the particular subject.</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Restricted Definitive Note</w:t>
      </w:r>
      <w:r>
        <w:rPr>
          <w:rFonts w:ascii="Arial" w:cs="Arial" w:eastAsia="Arial" w:hAnsi="Arial"/>
          <w:sz w:val="21"/>
          <w:szCs w:val="21"/>
          <w:color w:val="auto"/>
        </w:rPr>
        <w:t>” means a Definitive Note bearing the Private Placement Legend.</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Restricted Global Note</w:t>
      </w:r>
      <w:r>
        <w:rPr>
          <w:rFonts w:ascii="Arial" w:cs="Arial" w:eastAsia="Arial" w:hAnsi="Arial"/>
          <w:sz w:val="21"/>
          <w:szCs w:val="21"/>
          <w:color w:val="auto"/>
        </w:rPr>
        <w:t>” means a Global Note bearing the Private Placement Legend.</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Restricted Period</w:t>
      </w:r>
      <w:r>
        <w:rPr>
          <w:rFonts w:ascii="Arial" w:cs="Arial" w:eastAsia="Arial" w:hAnsi="Arial"/>
          <w:sz w:val="21"/>
          <w:szCs w:val="21"/>
          <w:color w:val="auto"/>
        </w:rPr>
        <w:t>” means the 40-day distribution compliance period as defined in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368" w:right="339" w:bottom="1440" w:gutter="0" w:footer="0" w:header="0"/>
        </w:sectPr>
      </w:pPr>
    </w:p>
    <w:bookmarkStart w:id="32" w:name="page33"/>
    <w:bookmarkEnd w:id="32"/>
    <w:p>
      <w:pPr>
        <w:jc w:val="both"/>
        <w:ind w:firstLine="632"/>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Revolving Credit Facility</w:t>
      </w:r>
      <w:r>
        <w:rPr>
          <w:rFonts w:ascii="Arial" w:cs="Arial" w:eastAsia="Arial" w:hAnsi="Arial"/>
          <w:sz w:val="21"/>
          <w:szCs w:val="21"/>
          <w:color w:val="auto"/>
        </w:rPr>
        <w:t>” means the first lien revolving credit facility in an aggregate principal amount of up to $850.0 million entered into on the 2029 WRF Notes Issue Date by Wynn Resorts Finance.</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Rule 144</w:t>
      </w:r>
      <w:r>
        <w:rPr>
          <w:rFonts w:ascii="Arial" w:cs="Arial" w:eastAsia="Arial" w:hAnsi="Arial"/>
          <w:sz w:val="21"/>
          <w:szCs w:val="21"/>
          <w:color w:val="auto"/>
        </w:rPr>
        <w:t>” means Rule 144 promulgated under the Securities Act.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Rule 144A</w:t>
      </w:r>
      <w:r>
        <w:rPr>
          <w:rFonts w:ascii="Arial" w:cs="Arial" w:eastAsia="Arial" w:hAnsi="Arial"/>
          <w:sz w:val="21"/>
          <w:szCs w:val="21"/>
          <w:color w:val="auto"/>
        </w:rPr>
        <w:t>” means Rule 144A promulgated under the Securities Act.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Rule 903</w:t>
      </w:r>
      <w:r>
        <w:rPr>
          <w:rFonts w:ascii="Arial" w:cs="Arial" w:eastAsia="Arial" w:hAnsi="Arial"/>
          <w:sz w:val="21"/>
          <w:szCs w:val="21"/>
          <w:color w:val="auto"/>
        </w:rPr>
        <w:t>” means Rule 903 promulgated under the Securities Act.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Rule 904</w:t>
      </w:r>
      <w:r>
        <w:rPr>
          <w:rFonts w:ascii="Arial" w:cs="Arial" w:eastAsia="Arial" w:hAnsi="Arial"/>
          <w:sz w:val="21"/>
          <w:szCs w:val="21"/>
          <w:color w:val="auto"/>
        </w:rPr>
        <w:t>” means Rule 904 promulgated under the Securities Act.</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S&amp;P</w:t>
      </w:r>
      <w:r>
        <w:rPr>
          <w:rFonts w:ascii="Arial" w:cs="Arial" w:eastAsia="Arial" w:hAnsi="Arial"/>
          <w:sz w:val="21"/>
          <w:szCs w:val="21"/>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167" w:lineRule="exact"/>
        <w:rPr>
          <w:sz w:val="20"/>
          <w:szCs w:val="20"/>
          <w:color w:val="auto"/>
        </w:rPr>
      </w:pPr>
    </w:p>
    <w:p>
      <w:pPr>
        <w:jc w:val="both"/>
        <w:ind w:firstLine="632"/>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Sale and Leaseback Transaction</w:t>
      </w:r>
      <w:r>
        <w:rPr>
          <w:rFonts w:ascii="Arial" w:cs="Arial" w:eastAsia="Arial" w:hAnsi="Arial"/>
          <w:sz w:val="21"/>
          <w:szCs w:val="21"/>
          <w:color w:val="auto"/>
        </w:rPr>
        <w:t>” means, with respect to any Person, an arrangement whereby such Person enters into a lease of property previously transferred by such Person to the lessor.</w:t>
      </w:r>
    </w:p>
    <w:p>
      <w:pPr>
        <w:spacing w:after="0" w:line="172" w:lineRule="exact"/>
        <w:rPr>
          <w:sz w:val="20"/>
          <w:szCs w:val="20"/>
          <w:color w:val="auto"/>
        </w:rPr>
      </w:pPr>
    </w:p>
    <w:p>
      <w:pPr>
        <w:jc w:val="both"/>
        <w:ind w:firstLine="632"/>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Screened Affiliate</w:t>
      </w:r>
      <w:r>
        <w:rPr>
          <w:rFonts w:ascii="Arial" w:cs="Arial" w:eastAsia="Arial" w:hAnsi="Arial"/>
          <w:sz w:val="19"/>
          <w:szCs w:val="19"/>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Wynn Resorts Finance or its Subsidiaries, (iii) whose investment policies are not directed by such Holder or any other Affiliate of such Holder that is acting in concert with such Holder in connection with its investment in the Notes, and</w:t>
      </w:r>
    </w:p>
    <w:p>
      <w:pPr>
        <w:spacing w:after="0" w:line="4" w:lineRule="exact"/>
        <w:rPr>
          <w:sz w:val="20"/>
          <w:szCs w:val="20"/>
          <w:color w:val="auto"/>
        </w:rPr>
      </w:pPr>
    </w:p>
    <w:p>
      <w:pPr>
        <w:ind w:firstLine="5"/>
        <w:spacing w:after="0" w:line="243" w:lineRule="auto"/>
        <w:tabs>
          <w:tab w:leader="none" w:pos="363" w:val="left"/>
        </w:tabs>
        <w:numPr>
          <w:ilvl w:val="0"/>
          <w:numId w:val="40"/>
        </w:numPr>
        <w:rPr>
          <w:rFonts w:ascii="Arial" w:cs="Arial" w:eastAsia="Arial" w:hAnsi="Arial"/>
          <w:sz w:val="21"/>
          <w:szCs w:val="21"/>
          <w:color w:val="auto"/>
        </w:rPr>
      </w:pPr>
      <w:r>
        <w:rPr>
          <w:rFonts w:ascii="Arial" w:cs="Arial" w:eastAsia="Arial" w:hAnsi="Arial"/>
          <w:sz w:val="21"/>
          <w:szCs w:val="21"/>
          <w:color w:val="auto"/>
        </w:rPr>
        <w:t>whose investment decisions are not influenced by the investment decisions of such Holder or any other Affiliate of such Holder that is acting in concert with such Holders in connection with its investment in the Notes.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SEC</w:t>
      </w:r>
      <w:r>
        <w:rPr>
          <w:rFonts w:ascii="Arial" w:cs="Arial" w:eastAsia="Arial" w:hAnsi="Arial"/>
          <w:sz w:val="21"/>
          <w:szCs w:val="21"/>
          <w:color w:val="auto"/>
        </w:rPr>
        <w:t>” means the Securities and Exchange Commission.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Securities Act</w:t>
      </w:r>
      <w:r>
        <w:rPr>
          <w:rFonts w:ascii="Arial" w:cs="Arial" w:eastAsia="Arial" w:hAnsi="Arial"/>
          <w:sz w:val="21"/>
          <w:szCs w:val="21"/>
          <w:color w:val="auto"/>
        </w:rPr>
        <w:t>” means the Securities Act of 1933, as amended.</w:t>
      </w:r>
    </w:p>
    <w:p>
      <w:pPr>
        <w:spacing w:after="0" w:line="193" w:lineRule="exact"/>
        <w:rPr>
          <w:sz w:val="20"/>
          <w:szCs w:val="20"/>
          <w:color w:val="auto"/>
        </w:rPr>
      </w:pPr>
    </w:p>
    <w:p>
      <w:pPr>
        <w:jc w:val="both"/>
        <w:ind w:firstLine="632"/>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Senior Credit Facilities</w:t>
      </w:r>
      <w:r>
        <w:rPr>
          <w:rFonts w:ascii="Arial" w:cs="Arial" w:eastAsia="Arial" w:hAnsi="Arial"/>
          <w:sz w:val="19"/>
          <w:szCs w:val="19"/>
          <w:color w:val="auto"/>
        </w:rPr>
        <w:t>” means the Revolving Credit Facility and the Term Facility,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exchange, refinance, renew or defease any part of the loans, notes, other credit facilities or commitments thereunder, including any such replacement, refunding, exchange or refinancing facility or indenture that increases the amount borrowable thereunder or alters the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381" w:right="339" w:bottom="1440" w:gutter="0" w:footer="0" w:header="0"/>
        </w:sectPr>
      </w:pPr>
    </w:p>
    <w:bookmarkStart w:id="33" w:name="page34"/>
    <w:bookmarkEnd w:id="33"/>
    <w:p>
      <w:pPr>
        <w:jc w:val="both"/>
        <w:spacing w:after="0" w:line="261" w:lineRule="auto"/>
        <w:rPr>
          <w:sz w:val="20"/>
          <w:szCs w:val="20"/>
          <w:color w:val="auto"/>
        </w:rPr>
      </w:pPr>
      <w:r>
        <w:rPr>
          <w:rFonts w:ascii="Arial" w:cs="Arial" w:eastAsia="Arial" w:hAnsi="Arial"/>
          <w:sz w:val="21"/>
          <w:szCs w:val="21"/>
          <w:color w:val="auto"/>
        </w:rPr>
        <w:t>thereof or adds Subsidiaries as additional borrowers or guarantors thereunder and whether by the same or any other agent, lender or group of lenders.</w:t>
      </w:r>
    </w:p>
    <w:p>
      <w:pPr>
        <w:spacing w:after="0" w:line="172"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Short Derivative Instrument</w:t>
      </w:r>
      <w:r>
        <w:rPr>
          <w:rFonts w:ascii="Arial" w:cs="Arial" w:eastAsia="Arial" w:hAnsi="Arial"/>
          <w:sz w:val="21"/>
          <w:szCs w:val="21"/>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73" w:lineRule="exact"/>
        <w:rPr>
          <w:sz w:val="20"/>
          <w:szCs w:val="20"/>
          <w:color w:val="auto"/>
        </w:rPr>
      </w:pPr>
    </w:p>
    <w:p>
      <w:pPr>
        <w:jc w:val="both"/>
        <w:ind w:firstLine="632"/>
        <w:spacing w:after="0" w:line="269" w:lineRule="auto"/>
        <w:rPr>
          <w:sz w:val="20"/>
          <w:szCs w:val="20"/>
          <w:color w:val="auto"/>
        </w:rPr>
      </w:pPr>
      <w:r>
        <w:rPr>
          <w:rFonts w:ascii="Arial" w:cs="Arial" w:eastAsia="Arial" w:hAnsi="Arial"/>
          <w:sz w:val="20"/>
          <w:szCs w:val="20"/>
          <w:i w:val="1"/>
          <w:iCs w:val="1"/>
          <w:color w:val="auto"/>
        </w:rPr>
        <w:t xml:space="preserve">“Specified Transaction” </w:t>
      </w:r>
      <w:r>
        <w:rPr>
          <w:rFonts w:ascii="Arial" w:cs="Arial" w:eastAsia="Arial" w:hAnsi="Arial"/>
          <w:sz w:val="20"/>
          <w:szCs w:val="20"/>
          <w:color w:val="auto"/>
        </w:rPr>
        <w:t>means any (a) incurrence or repayment of Indebtedness (other than for working capital purposes or</w:t>
      </w:r>
      <w:r>
        <w:rPr>
          <w:rFonts w:ascii="Arial" w:cs="Arial" w:eastAsia="Arial" w:hAnsi="Arial"/>
          <w:sz w:val="20"/>
          <w:szCs w:val="20"/>
          <w:i w:val="1"/>
          <w:iCs w:val="1"/>
          <w:color w:val="auto"/>
        </w:rPr>
        <w:t xml:space="preserve"> </w:t>
      </w:r>
      <w:r>
        <w:rPr>
          <w:rFonts w:ascii="Arial" w:cs="Arial" w:eastAsia="Arial" w:hAnsi="Arial"/>
          <w:sz w:val="20"/>
          <w:szCs w:val="20"/>
          <w:color w:val="auto"/>
        </w:rPr>
        <w:t>under a revolving credit facility), (b) investment that results in a Person becoming a Guarantor, (c) acquisition, (d) asset sale, and (e) acquisition or investment constituting an acquisition of assets constituting a business unit, line of business or division of another Person. For the avoidance of doubt, the Transactions shall constitute a Specified Transaction.</w:t>
      </w:r>
    </w:p>
    <w:p>
      <w:pPr>
        <w:spacing w:after="0" w:line="140"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Stated Maturity</w:t>
      </w:r>
      <w:r>
        <w:rPr>
          <w:rFonts w:ascii="Arial" w:cs="Arial" w:eastAsia="Arial" w:hAnsi="Arial"/>
          <w:sz w:val="21"/>
          <w:szCs w:val="21"/>
          <w:color w:val="auto"/>
        </w:rPr>
        <w:t>” means, with respect to any installment of interest or principal on any series of Indebtedness, the date on which the payment of interest or principal was scheduled to be paid in the documentation governing such Indebtedness as of the Issue Date, and shall not include any contingent obligations to repay, redeem or repurchase any such interest or principal prior to the date originally scheduled for the payment thereof.</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Subsidiary</w:t>
      </w:r>
      <w:r>
        <w:rPr>
          <w:rFonts w:ascii="Arial" w:cs="Arial" w:eastAsia="Arial" w:hAnsi="Arial"/>
          <w:sz w:val="21"/>
          <w:szCs w:val="21"/>
          <w:color w:val="auto"/>
        </w:rPr>
        <w:t>” means, with respect to any specified Person:</w:t>
      </w:r>
    </w:p>
    <w:p>
      <w:pPr>
        <w:spacing w:after="0" w:line="180" w:lineRule="exact"/>
        <w:rPr>
          <w:sz w:val="20"/>
          <w:szCs w:val="20"/>
          <w:color w:val="auto"/>
        </w:rPr>
      </w:pPr>
    </w:p>
    <w:p>
      <w:pPr>
        <w:jc w:val="both"/>
        <w:ind w:firstLine="1268"/>
        <w:spacing w:after="0" w:line="220" w:lineRule="auto"/>
        <w:tabs>
          <w:tab w:leader="none" w:pos="189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56" w:lineRule="exact"/>
        <w:rPr>
          <w:rFonts w:ascii="Arial" w:cs="Arial" w:eastAsia="Arial" w:hAnsi="Arial"/>
          <w:sz w:val="21"/>
          <w:szCs w:val="21"/>
          <w:color w:val="auto"/>
        </w:rPr>
      </w:pPr>
    </w:p>
    <w:p>
      <w:pPr>
        <w:jc w:val="both"/>
        <w:ind w:firstLine="1268"/>
        <w:spacing w:after="0" w:line="228" w:lineRule="auto"/>
        <w:tabs>
          <w:tab w:leader="none" w:pos="189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53" w:lineRule="exact"/>
        <w:rPr>
          <w:rFonts w:ascii="Arial" w:cs="Arial" w:eastAsia="Arial" w:hAnsi="Arial"/>
          <w:sz w:val="21"/>
          <w:szCs w:val="21"/>
          <w:color w:val="auto"/>
        </w:rPr>
      </w:pPr>
    </w:p>
    <w:p>
      <w:pPr>
        <w:jc w:val="both"/>
        <w:ind w:firstLine="1268"/>
        <w:spacing w:after="0" w:line="228" w:lineRule="auto"/>
        <w:tabs>
          <w:tab w:leader="none" w:pos="189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6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Substituted Consolidated EBITDA</w:t>
      </w:r>
      <w:r>
        <w:rPr>
          <w:rFonts w:ascii="Arial" w:cs="Arial" w:eastAsia="Arial" w:hAnsi="Arial"/>
          <w:sz w:val="21"/>
          <w:szCs w:val="21"/>
          <w:color w:val="auto"/>
        </w:rPr>
        <w:t>” means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Wynn Resorts Finance).</w:t>
      </w:r>
    </w:p>
    <w:p>
      <w:pPr>
        <w:spacing w:after="0" w:line="160"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Test Period</w:t>
      </w:r>
      <w:r>
        <w:rPr>
          <w:rFonts w:ascii="Arial" w:cs="Arial" w:eastAsia="Arial" w:hAnsi="Arial"/>
          <w:sz w:val="21"/>
          <w:szCs w:val="21"/>
          <w:color w:val="auto"/>
        </w:rPr>
        <w:t>” means, for any date of determination, the period of the four most recently ended consecutive fiscal quarters of the Issuers and the Guarantors for which quarterly or annual financial statements have been delivered or are required to have been delivered to the trustee pursuant to the “Reports” covenant; provided that, solely for purposes of determining (x) adjustments to Consolidated EBITDA for purposes of clause (F) of the definition thereof,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381" w:right="339" w:bottom="1440" w:gutter="0" w:footer="0" w:header="0"/>
        </w:sectPr>
      </w:pPr>
    </w:p>
    <w:bookmarkStart w:id="34" w:name="page35"/>
    <w:bookmarkEnd w:id="34"/>
    <w:p>
      <w:pPr>
        <w:jc w:val="both"/>
        <w:spacing w:after="0" w:line="220" w:lineRule="auto"/>
        <w:rPr>
          <w:sz w:val="20"/>
          <w:szCs w:val="20"/>
          <w:color w:val="auto"/>
        </w:rPr>
      </w:pPr>
      <w:r>
        <w:rPr>
          <w:rFonts w:ascii="Arial" w:cs="Arial" w:eastAsia="Arial" w:hAnsi="Arial"/>
          <w:sz w:val="21"/>
          <w:szCs w:val="21"/>
          <w:color w:val="auto"/>
        </w:rPr>
        <w:t>Consolidated Net Income related to dividends and distributions paid or declared to Wynn Group Asia by its direct or indirect Subsidiaries for purposes of clause (c) of the definition thereof, and (z) the Recurring Dividend Amount, “Test Period” shall be deemed the period of the four most recently ended consecutive fiscal quarters of Wynn Resorts Finance and its Subsidiaries ending September 30 for which quarterly or annual financial statements have been delivered or are required to have been delivered to the trustee.</w:t>
      </w:r>
    </w:p>
    <w:p>
      <w:pPr>
        <w:spacing w:after="0" w:line="170" w:lineRule="exact"/>
        <w:rPr>
          <w:sz w:val="20"/>
          <w:szCs w:val="20"/>
          <w:color w:val="auto"/>
        </w:rPr>
      </w:pPr>
    </w:p>
    <w:p>
      <w:pPr>
        <w:jc w:val="both"/>
        <w:ind w:firstLine="632"/>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Term Facility</w:t>
      </w:r>
      <w:r>
        <w:rPr>
          <w:rFonts w:ascii="Arial" w:cs="Arial" w:eastAsia="Arial" w:hAnsi="Arial"/>
          <w:sz w:val="21"/>
          <w:szCs w:val="21"/>
          <w:color w:val="auto"/>
        </w:rPr>
        <w:t>” means the first lien term loan A facility in an aggregate principal amount of up to $1,000.0 million entered into on the 2029 WRF Notes Issue Date by Wynn Resorts Finance.</w:t>
      </w:r>
    </w:p>
    <w:p>
      <w:pPr>
        <w:spacing w:after="0" w:line="159"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Total Assets</w:t>
      </w:r>
      <w:r>
        <w:rPr>
          <w:rFonts w:ascii="Arial" w:cs="Arial" w:eastAsia="Arial" w:hAnsi="Arial"/>
          <w:sz w:val="21"/>
          <w:szCs w:val="21"/>
          <w:color w:val="auto"/>
        </w:rPr>
        <w:t>” means at any date, the total assets of Wynn Resorts Finance and the Guarantors at such date, determined on a consolidated basis in accordance with US GAAP.</w:t>
      </w:r>
    </w:p>
    <w:p>
      <w:pPr>
        <w:spacing w:after="0" w:line="168" w:lineRule="exact"/>
        <w:rPr>
          <w:sz w:val="20"/>
          <w:szCs w:val="20"/>
          <w:color w:val="auto"/>
        </w:rPr>
      </w:pPr>
    </w:p>
    <w:p>
      <w:pPr>
        <w:jc w:val="both"/>
        <w:ind w:firstLine="632"/>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Transactions</w:t>
      </w:r>
      <w:r>
        <w:rPr>
          <w:rFonts w:ascii="Arial" w:cs="Arial" w:eastAsia="Arial" w:hAnsi="Arial"/>
          <w:sz w:val="21"/>
          <w:szCs w:val="21"/>
          <w:color w:val="auto"/>
        </w:rPr>
        <w:t>” means, collectively, (a) the issuance of the Notes, (b) the redemption of the 2025 WRF Notes, and (c) the payment of fees and expenses in connection with the foregoing.</w:t>
      </w:r>
    </w:p>
    <w:p>
      <w:pPr>
        <w:spacing w:after="0" w:line="159"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Trigger Event</w:t>
      </w:r>
      <w:r>
        <w:rPr>
          <w:rFonts w:ascii="Arial" w:cs="Arial" w:eastAsia="Arial" w:hAnsi="Arial"/>
          <w:sz w:val="21"/>
          <w:szCs w:val="21"/>
          <w:color w:val="auto"/>
        </w:rPr>
        <w:t>” means the transfer of shares of Equity Interests of any Subsidiary or any Gaming Facility into trust or other similar arrangement required by any Gaming Authority from time to time.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Trust Indenture Act</w:t>
      </w:r>
      <w:r>
        <w:rPr>
          <w:rFonts w:ascii="Arial" w:cs="Arial" w:eastAsia="Arial" w:hAnsi="Arial"/>
          <w:sz w:val="21"/>
          <w:szCs w:val="21"/>
          <w:color w:val="auto"/>
        </w:rPr>
        <w:t>” means the Trust Indenture Act of 1939, as amended, as in effect of the Issue Date.</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Trustee</w:t>
      </w:r>
      <w:r>
        <w:rPr>
          <w:rFonts w:ascii="Arial" w:cs="Arial" w:eastAsia="Arial" w:hAnsi="Arial"/>
          <w:sz w:val="21"/>
          <w:szCs w:val="21"/>
          <w:color w:val="auto"/>
        </w:rPr>
        <w:t>” means the party named as such in the preamble to this Indenture until a successor replaces it in accordance with the applicable provisions of this Indenture and thereafter means the successor serving hereunder.</w:t>
      </w:r>
    </w:p>
    <w:p>
      <w:pPr>
        <w:spacing w:after="0" w:line="155"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Unrestricted Operating Cash</w:t>
      </w:r>
      <w:r>
        <w:rPr>
          <w:rFonts w:ascii="Arial" w:cs="Arial" w:eastAsia="Arial" w:hAnsi="Arial"/>
          <w:sz w:val="21"/>
          <w:szCs w:val="21"/>
          <w:color w:val="auto"/>
        </w:rPr>
        <w:t>” means, as of any date of determination, cash and cash equivalents of the Issuers and the Guarantors that would not appear as “restricted” on a combined or consolidated balance sheet of the Issuers and the Guarantors in an amount in excess of the Minimum Cage Cash Amount and excluding cash and cash equivalents constituting dividends paid to Wynn Group Asia by its direct and indirect Subsidiaries.</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Unrestricted Definitive Note</w:t>
      </w:r>
      <w:r>
        <w:rPr>
          <w:rFonts w:ascii="Arial" w:cs="Arial" w:eastAsia="Arial" w:hAnsi="Arial"/>
          <w:sz w:val="21"/>
          <w:szCs w:val="21"/>
          <w:color w:val="auto"/>
        </w:rPr>
        <w:t>” means a Definitive Note that does not bear and is not required to bear the Private Placement Legend.</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Unrestricted Global Note</w:t>
      </w:r>
      <w:r>
        <w:rPr>
          <w:rFonts w:ascii="Arial" w:cs="Arial" w:eastAsia="Arial" w:hAnsi="Arial"/>
          <w:sz w:val="19"/>
          <w:szCs w:val="19"/>
          <w:color w:val="auto"/>
        </w:rPr>
        <w:t>” means a Global Note that does not bear and is not required to bear the Private Placement Legend.</w:t>
      </w:r>
    </w:p>
    <w:p>
      <w:pPr>
        <w:spacing w:after="0" w:line="203"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US GAAP</w:t>
      </w:r>
      <w:r>
        <w:rPr>
          <w:rFonts w:ascii="Arial" w:cs="Arial" w:eastAsia="Arial" w:hAnsi="Arial"/>
          <w:sz w:val="21"/>
          <w:szCs w:val="21"/>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U.S. Person</w:t>
      </w:r>
      <w:r>
        <w:rPr>
          <w:rFonts w:ascii="Arial" w:cs="Arial" w:eastAsia="Arial" w:hAnsi="Arial"/>
          <w:sz w:val="21"/>
          <w:szCs w:val="21"/>
          <w:color w:val="auto"/>
        </w:rPr>
        <w:t>” means a U.S. Person as defined in Rule 902(k) promulgated under the Securities Act.</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Voting Stock</w:t>
      </w:r>
      <w:r>
        <w:rPr>
          <w:rFonts w:ascii="Arial" w:cs="Arial" w:eastAsia="Arial" w:hAnsi="Arial"/>
          <w:sz w:val="21"/>
          <w:szCs w:val="21"/>
          <w:color w:val="auto"/>
        </w:rPr>
        <w:t>” of any Person as of any date means the Capital Stock of such Person that is at the time entitled to vote in the election of the Board of Directors of such Person.</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Wynn Group Asia</w:t>
      </w:r>
      <w:r>
        <w:rPr>
          <w:rFonts w:ascii="Arial" w:cs="Arial" w:eastAsia="Arial" w:hAnsi="Arial"/>
          <w:sz w:val="21"/>
          <w:szCs w:val="21"/>
          <w:color w:val="auto"/>
        </w:rPr>
        <w:t>” means Wynn Group Asia, Inc., a Nevada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368" w:right="339" w:bottom="1440" w:gutter="0" w:footer="0" w:header="0"/>
        </w:sectPr>
      </w:pPr>
    </w:p>
    <w:bookmarkStart w:id="35" w:name="page36"/>
    <w:bookmarkEnd w:id="35"/>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Wynn Las Vegas</w:t>
      </w:r>
      <w:r>
        <w:rPr>
          <w:rFonts w:ascii="Arial" w:cs="Arial" w:eastAsia="Arial" w:hAnsi="Arial"/>
          <w:sz w:val="21"/>
          <w:szCs w:val="21"/>
          <w:color w:val="auto"/>
        </w:rPr>
        <w:t>” means Wynn Las Vegas, LLC, a Nevada limited liability company, or any successor thereto.</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Wynn Massachusetts Resort</w:t>
      </w:r>
      <w:r>
        <w:rPr>
          <w:rFonts w:ascii="Arial" w:cs="Arial" w:eastAsia="Arial" w:hAnsi="Arial"/>
          <w:sz w:val="21"/>
          <w:szCs w:val="21"/>
          <w:color w:val="auto"/>
        </w:rPr>
        <w:t>” means the casino resort and related amenities owned and/or operated by Wynn Resorts Finance and its Subsidiaries in Everett, Massachusetts.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Wynn Resorts</w:t>
      </w:r>
      <w:r>
        <w:rPr>
          <w:rFonts w:ascii="Arial" w:cs="Arial" w:eastAsia="Arial" w:hAnsi="Arial"/>
          <w:sz w:val="21"/>
          <w:szCs w:val="21"/>
          <w:color w:val="auto"/>
        </w:rPr>
        <w:t>” means Wynn Resorts, Limited, a Nevada corporation, or any successor thereto.</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Wynn Resorts Capital</w:t>
      </w:r>
      <w:r>
        <w:rPr>
          <w:rFonts w:ascii="Arial" w:cs="Arial" w:eastAsia="Arial" w:hAnsi="Arial"/>
          <w:sz w:val="21"/>
          <w:szCs w:val="21"/>
          <w:color w:val="auto"/>
        </w:rPr>
        <w:t>” means Wynn Resorts Capital Corp., a Nevada corporation, or any successor thereto.</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Wynn Resorts Finance</w:t>
      </w:r>
      <w:r>
        <w:rPr>
          <w:rFonts w:ascii="Arial" w:cs="Arial" w:eastAsia="Arial" w:hAnsi="Arial"/>
          <w:sz w:val="19"/>
          <w:szCs w:val="19"/>
          <w:color w:val="auto"/>
        </w:rPr>
        <w:t>” means Wynn Resorts Finance, LLC, a Nevada limited liability company, or any successor thereto.</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Wynn Resorts Holdings</w:t>
      </w:r>
      <w:r>
        <w:rPr>
          <w:rFonts w:ascii="Arial" w:cs="Arial" w:eastAsia="Arial" w:hAnsi="Arial"/>
          <w:sz w:val="19"/>
          <w:szCs w:val="19"/>
          <w:color w:val="auto"/>
        </w:rPr>
        <w:t>” means Wynn Resorts Holdings, LLC, a Nevada limited liability company, or any successor thereto.</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ARTICLE 1.  </w:t>
      </w:r>
      <w:r>
        <w:rPr>
          <w:rFonts w:ascii="Arial" w:cs="Arial" w:eastAsia="Arial" w:hAnsi="Arial"/>
          <w:sz w:val="21"/>
          <w:szCs w:val="21"/>
          <w:i w:val="1"/>
          <w:iCs w:val="1"/>
          <w:color w:val="auto"/>
        </w:rPr>
        <w:t>Other Definitions.</w:t>
      </w:r>
    </w:p>
    <w:p>
      <w:pPr>
        <w:spacing w:after="0" w:line="196" w:lineRule="exact"/>
        <w:rPr>
          <w:sz w:val="20"/>
          <w:szCs w:val="20"/>
          <w:color w:val="auto"/>
        </w:rPr>
      </w:pPr>
    </w:p>
    <w:tbl>
      <w:tblPr>
        <w:tblLayout w:type="fixed"/>
        <w:tblInd w:w="3260" w:type="dxa"/>
        <w:tblCellMar>
          <w:top w:w="0" w:type="dxa"/>
          <w:left w:w="0" w:type="dxa"/>
          <w:bottom w:w="0" w:type="dxa"/>
          <w:right w:w="0" w:type="dxa"/>
        </w:tblCellMar>
      </w:tblPr>
      <w:tr>
        <w:trPr>
          <w:trHeight w:val="241"/>
        </w:trPr>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21"/>
                <w:szCs w:val="21"/>
                <w:b w:val="1"/>
                <w:bCs w:val="1"/>
                <w:color w:val="auto"/>
                <w:w w:val="90"/>
              </w:rPr>
              <w:t>Defined</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5420" w:type="dxa"/>
            <w:vAlign w:val="bottom"/>
            <w:gridSpan w:val="2"/>
            <w:vMerge w:val="restart"/>
          </w:tcPr>
          <w:p>
            <w:pPr>
              <w:jc w:val="center"/>
              <w:ind w:right="4940"/>
              <w:spacing w:after="0"/>
              <w:rPr>
                <w:sz w:val="20"/>
                <w:szCs w:val="20"/>
                <w:color w:val="auto"/>
              </w:rPr>
            </w:pPr>
            <w:r>
              <w:rPr>
                <w:rFonts w:ascii="Arial" w:cs="Arial" w:eastAsia="Arial" w:hAnsi="Arial"/>
                <w:sz w:val="21"/>
                <w:szCs w:val="21"/>
                <w:b w:val="1"/>
                <w:bCs w:val="1"/>
                <w:color w:val="auto"/>
                <w:w w:val="93"/>
              </w:rPr>
              <w:t>Term</w:t>
            </w:r>
          </w:p>
        </w:tc>
        <w:tc>
          <w:tcPr>
            <w:tcW w:w="88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21"/>
                <w:szCs w:val="21"/>
                <w:b w:val="1"/>
                <w:bCs w:val="1"/>
                <w:color w:val="auto"/>
                <w:w w:val="87"/>
              </w:rPr>
              <w:t>in Section</w:t>
            </w: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20" w:type="dxa"/>
            <w:vAlign w:val="bottom"/>
            <w:gridSpan w:val="2"/>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700" w:type="dxa"/>
            <w:vAlign w:val="bottom"/>
            <w:gridSpan w:val="3"/>
          </w:tcPr>
          <w:p>
            <w:pPr>
              <w:jc w:val="center"/>
              <w:ind w:right="3660"/>
              <w:spacing w:after="0"/>
              <w:rPr>
                <w:sz w:val="20"/>
                <w:szCs w:val="20"/>
                <w:color w:val="auto"/>
              </w:rPr>
            </w:pPr>
            <w:r>
              <w:rPr>
                <w:rFonts w:ascii="Arial" w:cs="Arial" w:eastAsia="Arial" w:hAnsi="Arial"/>
                <w:sz w:val="21"/>
                <w:szCs w:val="21"/>
                <w:i w:val="1"/>
                <w:iCs w:val="1"/>
                <w:color w:val="auto"/>
                <w:w w:val="98"/>
              </w:rPr>
              <w:t>“Authentication Order”</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2.02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60"/>
              <w:spacing w:after="0"/>
              <w:rPr>
                <w:sz w:val="20"/>
                <w:szCs w:val="20"/>
                <w:color w:val="auto"/>
              </w:rPr>
            </w:pPr>
            <w:r>
              <w:rPr>
                <w:rFonts w:ascii="Arial" w:cs="Arial" w:eastAsia="Arial" w:hAnsi="Arial"/>
                <w:sz w:val="21"/>
                <w:szCs w:val="21"/>
                <w:i w:val="1"/>
                <w:iCs w:val="1"/>
                <w:color w:val="auto"/>
              </w:rPr>
              <w:t>“Beneficiary”</w:t>
            </w:r>
          </w:p>
        </w:tc>
        <w:tc>
          <w:tcPr>
            <w:tcW w:w="880" w:type="dxa"/>
            <w:vAlign w:val="bottom"/>
          </w:tcPr>
          <w:p>
            <w:pPr>
              <w:jc w:val="center"/>
              <w:spacing w:after="0"/>
              <w:rPr>
                <w:sz w:val="20"/>
                <w:szCs w:val="20"/>
                <w:color w:val="auto"/>
              </w:rPr>
            </w:pPr>
            <w:r>
              <w:rPr>
                <w:rFonts w:ascii="Arial" w:cs="Arial" w:eastAsia="Arial" w:hAnsi="Arial"/>
                <w:sz w:val="21"/>
                <w:szCs w:val="21"/>
                <w:color w:val="auto"/>
                <w:w w:val="91"/>
              </w:rPr>
              <w:t>13.01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40"/>
              <w:spacing w:after="0"/>
              <w:rPr>
                <w:sz w:val="20"/>
                <w:szCs w:val="20"/>
                <w:color w:val="auto"/>
              </w:rPr>
            </w:pPr>
            <w:r>
              <w:rPr>
                <w:rFonts w:ascii="Arial" w:cs="Arial" w:eastAsia="Arial" w:hAnsi="Arial"/>
                <w:sz w:val="21"/>
                <w:szCs w:val="21"/>
                <w:i w:val="1"/>
                <w:iCs w:val="1"/>
                <w:color w:val="auto"/>
                <w:w w:val="97"/>
              </w:rPr>
              <w:t>“Change of Control Offer”</w:t>
            </w:r>
          </w:p>
        </w:tc>
        <w:tc>
          <w:tcPr>
            <w:tcW w:w="900" w:type="dxa"/>
            <w:vAlign w:val="bottom"/>
            <w:gridSpan w:val="2"/>
          </w:tcPr>
          <w:p>
            <w:pPr>
              <w:jc w:val="center"/>
              <w:ind w:right="20"/>
              <w:spacing w:after="0"/>
              <w:rPr>
                <w:sz w:val="20"/>
                <w:szCs w:val="20"/>
                <w:color w:val="auto"/>
              </w:rPr>
            </w:pPr>
            <w:r>
              <w:rPr>
                <w:rFonts w:ascii="Arial" w:cs="Arial" w:eastAsia="Arial" w:hAnsi="Arial"/>
                <w:sz w:val="21"/>
                <w:szCs w:val="21"/>
                <w:color w:val="auto"/>
                <w:w w:val="90"/>
              </w:rPr>
              <w:t>4.11(a)</w:t>
            </w: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60"/>
              <w:spacing w:after="0"/>
              <w:rPr>
                <w:sz w:val="20"/>
                <w:szCs w:val="20"/>
                <w:color w:val="auto"/>
              </w:rPr>
            </w:pPr>
            <w:r>
              <w:rPr>
                <w:rFonts w:ascii="Arial" w:cs="Arial" w:eastAsia="Arial" w:hAnsi="Arial"/>
                <w:sz w:val="21"/>
                <w:szCs w:val="21"/>
                <w:i w:val="1"/>
                <w:iCs w:val="1"/>
                <w:color w:val="auto"/>
                <w:w w:val="95"/>
              </w:rPr>
              <w:t>“Change of Control Payment”</w:t>
            </w:r>
          </w:p>
        </w:tc>
        <w:tc>
          <w:tcPr>
            <w:tcW w:w="900" w:type="dxa"/>
            <w:vAlign w:val="bottom"/>
            <w:gridSpan w:val="2"/>
          </w:tcPr>
          <w:p>
            <w:pPr>
              <w:jc w:val="center"/>
              <w:ind w:right="20"/>
              <w:spacing w:after="0"/>
              <w:rPr>
                <w:sz w:val="20"/>
                <w:szCs w:val="20"/>
                <w:color w:val="auto"/>
              </w:rPr>
            </w:pPr>
            <w:r>
              <w:rPr>
                <w:rFonts w:ascii="Arial" w:cs="Arial" w:eastAsia="Arial" w:hAnsi="Arial"/>
                <w:sz w:val="21"/>
                <w:szCs w:val="21"/>
                <w:color w:val="auto"/>
                <w:w w:val="90"/>
              </w:rPr>
              <w:t>4.11(a)</w:t>
            </w: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40"/>
              <w:spacing w:after="0"/>
              <w:rPr>
                <w:sz w:val="20"/>
                <w:szCs w:val="20"/>
                <w:color w:val="auto"/>
              </w:rPr>
            </w:pPr>
            <w:r>
              <w:rPr>
                <w:rFonts w:ascii="Arial" w:cs="Arial" w:eastAsia="Arial" w:hAnsi="Arial"/>
                <w:sz w:val="21"/>
                <w:szCs w:val="21"/>
                <w:i w:val="1"/>
                <w:iCs w:val="1"/>
                <w:color w:val="auto"/>
                <w:w w:val="94"/>
              </w:rPr>
              <w:t>“Change of Control Payment Date”</w:t>
            </w:r>
          </w:p>
        </w:tc>
        <w:tc>
          <w:tcPr>
            <w:tcW w:w="900" w:type="dxa"/>
            <w:vAlign w:val="bottom"/>
            <w:gridSpan w:val="2"/>
          </w:tcPr>
          <w:p>
            <w:pPr>
              <w:jc w:val="center"/>
              <w:ind w:right="20"/>
              <w:spacing w:after="0"/>
              <w:rPr>
                <w:sz w:val="20"/>
                <w:szCs w:val="20"/>
                <w:color w:val="auto"/>
              </w:rPr>
            </w:pPr>
            <w:r>
              <w:rPr>
                <w:rFonts w:ascii="Arial" w:cs="Arial" w:eastAsia="Arial" w:hAnsi="Arial"/>
                <w:sz w:val="21"/>
                <w:szCs w:val="21"/>
                <w:color w:val="auto"/>
                <w:w w:val="91"/>
              </w:rPr>
              <w:t>4.11(a)(2)</w:t>
            </w: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60"/>
              <w:spacing w:after="0"/>
              <w:rPr>
                <w:sz w:val="20"/>
                <w:szCs w:val="20"/>
                <w:color w:val="auto"/>
              </w:rPr>
            </w:pPr>
            <w:r>
              <w:rPr>
                <w:rFonts w:ascii="Arial" w:cs="Arial" w:eastAsia="Arial" w:hAnsi="Arial"/>
                <w:sz w:val="21"/>
                <w:szCs w:val="21"/>
                <w:i w:val="1"/>
                <w:iCs w:val="1"/>
                <w:color w:val="auto"/>
                <w:w w:val="93"/>
              </w:rPr>
              <w:t>“Covenant Defeasance”</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8.03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60"/>
              <w:spacing w:after="0"/>
              <w:rPr>
                <w:sz w:val="20"/>
                <w:szCs w:val="20"/>
                <w:color w:val="auto"/>
              </w:rPr>
            </w:pPr>
            <w:r>
              <w:rPr>
                <w:rFonts w:ascii="Arial" w:cs="Arial" w:eastAsia="Arial" w:hAnsi="Arial"/>
                <w:sz w:val="21"/>
                <w:szCs w:val="21"/>
                <w:i w:val="1"/>
                <w:iCs w:val="1"/>
                <w:color w:val="auto"/>
              </w:rPr>
              <w:t>“Directing Holder”</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6.06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60"/>
              <w:spacing w:after="0"/>
              <w:rPr>
                <w:sz w:val="20"/>
                <w:szCs w:val="20"/>
                <w:color w:val="auto"/>
              </w:rPr>
            </w:pPr>
            <w:r>
              <w:rPr>
                <w:rFonts w:ascii="Arial" w:cs="Arial" w:eastAsia="Arial" w:hAnsi="Arial"/>
                <w:sz w:val="21"/>
                <w:szCs w:val="21"/>
                <w:i w:val="1"/>
                <w:iCs w:val="1"/>
                <w:color w:val="auto"/>
              </w:rPr>
              <w:t>“DTC”</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2.03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60"/>
              <w:spacing w:after="0"/>
              <w:rPr>
                <w:sz w:val="20"/>
                <w:szCs w:val="20"/>
                <w:color w:val="auto"/>
              </w:rPr>
            </w:pPr>
            <w:r>
              <w:rPr>
                <w:rFonts w:ascii="Arial" w:cs="Arial" w:eastAsia="Arial" w:hAnsi="Arial"/>
                <w:sz w:val="21"/>
                <w:szCs w:val="21"/>
                <w:i w:val="1"/>
                <w:iCs w:val="1"/>
                <w:color w:val="auto"/>
              </w:rPr>
              <w:t>“Initial Default”</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6.01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40"/>
              <w:spacing w:after="0"/>
              <w:rPr>
                <w:sz w:val="20"/>
                <w:szCs w:val="20"/>
                <w:color w:val="auto"/>
              </w:rPr>
            </w:pPr>
            <w:r>
              <w:rPr>
                <w:rFonts w:ascii="Arial" w:cs="Arial" w:eastAsia="Arial" w:hAnsi="Arial"/>
                <w:sz w:val="21"/>
                <w:szCs w:val="21"/>
                <w:i w:val="1"/>
                <w:iCs w:val="1"/>
                <w:color w:val="auto"/>
                <w:w w:val="94"/>
              </w:rPr>
              <w:t>“Legal Defeasance”</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8.02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60"/>
              <w:spacing w:after="0"/>
              <w:rPr>
                <w:sz w:val="20"/>
                <w:szCs w:val="20"/>
                <w:color w:val="auto"/>
              </w:rPr>
            </w:pPr>
            <w:r>
              <w:rPr>
                <w:rFonts w:ascii="Arial" w:cs="Arial" w:eastAsia="Arial" w:hAnsi="Arial"/>
                <w:sz w:val="21"/>
                <w:szCs w:val="21"/>
                <w:i w:val="1"/>
                <w:iCs w:val="1"/>
                <w:color w:val="auto"/>
                <w:w w:val="99"/>
              </w:rPr>
              <w:t>“Noteholder Direction”</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6.06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60"/>
              <w:spacing w:after="0"/>
              <w:rPr>
                <w:sz w:val="20"/>
                <w:szCs w:val="20"/>
                <w:color w:val="auto"/>
              </w:rPr>
            </w:pPr>
            <w:r>
              <w:rPr>
                <w:rFonts w:ascii="Arial" w:cs="Arial" w:eastAsia="Arial" w:hAnsi="Arial"/>
                <w:sz w:val="21"/>
                <w:szCs w:val="21"/>
                <w:i w:val="1"/>
                <w:iCs w:val="1"/>
                <w:color w:val="auto"/>
                <w:w w:val="99"/>
              </w:rPr>
              <w:t>“Note Obligations”</w:t>
            </w:r>
          </w:p>
        </w:tc>
        <w:tc>
          <w:tcPr>
            <w:tcW w:w="900" w:type="dxa"/>
            <w:vAlign w:val="bottom"/>
            <w:gridSpan w:val="2"/>
          </w:tcPr>
          <w:p>
            <w:pPr>
              <w:jc w:val="center"/>
              <w:ind w:right="20"/>
              <w:spacing w:after="0"/>
              <w:rPr>
                <w:sz w:val="20"/>
                <w:szCs w:val="20"/>
                <w:color w:val="auto"/>
              </w:rPr>
            </w:pPr>
            <w:r>
              <w:rPr>
                <w:rFonts w:ascii="Arial" w:cs="Arial" w:eastAsia="Arial" w:hAnsi="Arial"/>
                <w:sz w:val="21"/>
                <w:szCs w:val="21"/>
                <w:color w:val="auto"/>
                <w:w w:val="92"/>
              </w:rPr>
              <w:t>13.01(b)</w:t>
            </w: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40"/>
              <w:spacing w:after="0"/>
              <w:rPr>
                <w:sz w:val="20"/>
                <w:szCs w:val="20"/>
                <w:color w:val="auto"/>
              </w:rPr>
            </w:pPr>
            <w:r>
              <w:rPr>
                <w:rFonts w:ascii="Arial" w:cs="Arial" w:eastAsia="Arial" w:hAnsi="Arial"/>
                <w:sz w:val="21"/>
                <w:szCs w:val="21"/>
                <w:i w:val="1"/>
                <w:iCs w:val="1"/>
                <w:color w:val="auto"/>
                <w:w w:val="99"/>
              </w:rPr>
              <w:t>“Paying Agent”</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2.03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40"/>
              <w:spacing w:after="0"/>
              <w:rPr>
                <w:sz w:val="20"/>
                <w:szCs w:val="20"/>
                <w:color w:val="auto"/>
              </w:rPr>
            </w:pPr>
            <w:r>
              <w:rPr>
                <w:rFonts w:ascii="Arial" w:cs="Arial" w:eastAsia="Arial" w:hAnsi="Arial"/>
                <w:sz w:val="21"/>
                <w:szCs w:val="21"/>
                <w:i w:val="1"/>
                <w:iCs w:val="1"/>
                <w:color w:val="auto"/>
                <w:w w:val="95"/>
              </w:rPr>
              <w:t>“Position Representation”</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6.06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jc w:val="center"/>
              <w:ind w:right="3640"/>
              <w:spacing w:after="0"/>
              <w:rPr>
                <w:sz w:val="20"/>
                <w:szCs w:val="20"/>
                <w:color w:val="auto"/>
              </w:rPr>
            </w:pPr>
            <w:r>
              <w:rPr>
                <w:rFonts w:ascii="Arial" w:cs="Arial" w:eastAsia="Arial" w:hAnsi="Arial"/>
                <w:sz w:val="21"/>
                <w:szCs w:val="21"/>
                <w:i w:val="1"/>
                <w:iCs w:val="1"/>
                <w:color w:val="auto"/>
              </w:rPr>
              <w:t>“Registrar”</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2.03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700" w:type="dxa"/>
            <w:vAlign w:val="bottom"/>
            <w:gridSpan w:val="3"/>
          </w:tcPr>
          <w:p>
            <w:pPr>
              <w:jc w:val="center"/>
              <w:ind w:right="3660"/>
              <w:spacing w:after="0"/>
              <w:rPr>
                <w:sz w:val="20"/>
                <w:szCs w:val="20"/>
                <w:color w:val="auto"/>
              </w:rPr>
            </w:pPr>
            <w:r>
              <w:rPr>
                <w:rFonts w:ascii="Arial" w:cs="Arial" w:eastAsia="Arial" w:hAnsi="Arial"/>
                <w:sz w:val="21"/>
                <w:szCs w:val="21"/>
                <w:i w:val="1"/>
                <w:iCs w:val="1"/>
                <w:color w:val="auto"/>
                <w:w w:val="97"/>
              </w:rPr>
              <w:t>“Verification Covenant”</w:t>
            </w:r>
          </w:p>
        </w:tc>
        <w:tc>
          <w:tcPr>
            <w:tcW w:w="880" w:type="dxa"/>
            <w:vAlign w:val="bottom"/>
          </w:tcPr>
          <w:p>
            <w:pPr>
              <w:jc w:val="center"/>
              <w:spacing w:after="0"/>
              <w:rPr>
                <w:sz w:val="20"/>
                <w:szCs w:val="20"/>
                <w:color w:val="auto"/>
              </w:rPr>
            </w:pPr>
            <w:r>
              <w:rPr>
                <w:rFonts w:ascii="Arial" w:cs="Arial" w:eastAsia="Arial" w:hAnsi="Arial"/>
                <w:sz w:val="21"/>
                <w:szCs w:val="21"/>
                <w:color w:val="auto"/>
                <w:w w:val="87"/>
              </w:rPr>
              <w:t>6.06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color w:val="auto"/>
        </w:rPr>
        <w:t>Section 1.01</w:t>
      </w:r>
      <w:r>
        <w:rPr>
          <w:sz w:val="20"/>
          <w:szCs w:val="20"/>
          <w:color w:val="auto"/>
        </w:rPr>
        <w:tab/>
      </w:r>
      <w:r>
        <w:rPr>
          <w:rFonts w:ascii="Arial" w:cs="Arial" w:eastAsia="Arial" w:hAnsi="Arial"/>
          <w:sz w:val="19"/>
          <w:szCs w:val="19"/>
          <w:i w:val="1"/>
          <w:iCs w:val="1"/>
          <w:color w:val="auto"/>
        </w:rPr>
        <w:t>Rules of Construction.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Unless the context otherwise requires:</w:t>
      </w:r>
    </w:p>
    <w:p>
      <w:pPr>
        <w:spacing w:after="0" w:line="180" w:lineRule="exact"/>
        <w:rPr>
          <w:sz w:val="20"/>
          <w:szCs w:val="20"/>
          <w:color w:val="auto"/>
        </w:rPr>
      </w:pPr>
    </w:p>
    <w:p>
      <w:pPr>
        <w:ind w:left="1900" w:hanging="632"/>
        <w:spacing w:after="0"/>
        <w:tabs>
          <w:tab w:leader="none" w:pos="19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 term has the meaning assigned to it;</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68" w:right="339" w:bottom="1440" w:gutter="0" w:footer="0" w:header="0"/>
        </w:sectPr>
      </w:pPr>
    </w:p>
    <w:bookmarkStart w:id="36" w:name="page37"/>
    <w:bookmarkEnd w:id="36"/>
    <w:p>
      <w:pPr>
        <w:ind w:left="1900" w:hanging="632"/>
        <w:spacing w:after="0"/>
        <w:tabs>
          <w:tab w:leader="none" w:pos="19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“or” is not exclusive;</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words in the singular include the plural, and in the plural include the singular;</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“will” shall be interpreted to express a command;</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provisions apply to successive events and transactions;</w:t>
      </w:r>
    </w:p>
    <w:p>
      <w:pPr>
        <w:spacing w:after="0" w:line="179" w:lineRule="exact"/>
        <w:rPr>
          <w:rFonts w:ascii="Arial" w:cs="Arial" w:eastAsia="Arial" w:hAnsi="Arial"/>
          <w:sz w:val="21"/>
          <w:szCs w:val="21"/>
          <w:color w:val="auto"/>
        </w:rPr>
      </w:pPr>
    </w:p>
    <w:p>
      <w:pPr>
        <w:ind w:firstLine="1268"/>
        <w:spacing w:after="0" w:line="237" w:lineRule="auto"/>
        <w:tabs>
          <w:tab w:leader="none" w:pos="1890" w:val="left"/>
        </w:tabs>
        <w:numPr>
          <w:ilvl w:val="0"/>
          <w:numId w:val="43"/>
        </w:numPr>
        <w:rPr>
          <w:rFonts w:ascii="Arial" w:cs="Arial" w:eastAsia="Arial" w:hAnsi="Arial"/>
          <w:sz w:val="21"/>
          <w:szCs w:val="21"/>
          <w:color w:val="auto"/>
        </w:rPr>
      </w:pPr>
      <w:r>
        <w:rPr>
          <w:rFonts w:ascii="Arial" w:cs="Arial" w:eastAsia="Arial" w:hAnsi="Arial"/>
          <w:sz w:val="21"/>
          <w:szCs w:val="21"/>
          <w:color w:val="auto"/>
        </w:rPr>
        <w:t>references to sections of or rules under the Securities Act shall be deemed to include substitute, replacement of successor sections or rules adopted by the SEC from time to time;</w:t>
      </w:r>
    </w:p>
    <w:p>
      <w:pPr>
        <w:spacing w:after="0" w:line="154" w:lineRule="exact"/>
        <w:rPr>
          <w:rFonts w:ascii="Arial" w:cs="Arial" w:eastAsia="Arial" w:hAnsi="Arial"/>
          <w:sz w:val="21"/>
          <w:szCs w:val="21"/>
          <w:color w:val="auto"/>
        </w:rPr>
      </w:pPr>
    </w:p>
    <w:p>
      <w:pPr>
        <w:ind w:firstLine="1268"/>
        <w:spacing w:after="0" w:line="237" w:lineRule="auto"/>
        <w:tabs>
          <w:tab w:leader="none" w:pos="1890" w:val="left"/>
        </w:tabs>
        <w:numPr>
          <w:ilvl w:val="0"/>
          <w:numId w:val="43"/>
        </w:numPr>
        <w:rPr>
          <w:rFonts w:ascii="Arial" w:cs="Arial" w:eastAsia="Arial" w:hAnsi="Arial"/>
          <w:sz w:val="21"/>
          <w:szCs w:val="21"/>
          <w:color w:val="auto"/>
        </w:rPr>
      </w:pPr>
      <w:r>
        <w:rPr>
          <w:rFonts w:ascii="Arial" w:cs="Arial" w:eastAsia="Arial" w:hAnsi="Arial"/>
          <w:sz w:val="21"/>
          <w:szCs w:val="21"/>
          <w:color w:val="auto"/>
        </w:rPr>
        <w:t>references to any statute, law, rule or regulation shall be deemed to refer to the same as from time to time amended and in effect and to any successor statute, law, rule or regulation; and</w:t>
      </w:r>
    </w:p>
    <w:p>
      <w:pPr>
        <w:spacing w:after="0" w:line="154" w:lineRule="exact"/>
        <w:rPr>
          <w:rFonts w:ascii="Arial" w:cs="Arial" w:eastAsia="Arial" w:hAnsi="Arial"/>
          <w:sz w:val="21"/>
          <w:szCs w:val="21"/>
          <w:color w:val="auto"/>
        </w:rPr>
      </w:pPr>
    </w:p>
    <w:p>
      <w:pPr>
        <w:jc w:val="both"/>
        <w:ind w:firstLine="1268"/>
        <w:spacing w:after="0" w:line="228" w:lineRule="auto"/>
        <w:tabs>
          <w:tab w:leader="none" w:pos="1890" w:val="left"/>
        </w:tabs>
        <w:numPr>
          <w:ilvl w:val="0"/>
          <w:numId w:val="43"/>
        </w:numPr>
        <w:rPr>
          <w:rFonts w:ascii="Arial" w:cs="Arial" w:eastAsia="Arial" w:hAnsi="Arial"/>
          <w:sz w:val="21"/>
          <w:szCs w:val="21"/>
          <w:color w:val="auto"/>
        </w:rPr>
      </w:pPr>
      <w:r>
        <w:rPr>
          <w:rFonts w:ascii="Arial" w:cs="Arial" w:eastAsia="Arial" w:hAnsi="Arial"/>
          <w:sz w:val="21"/>
          <w:szCs w:val="21"/>
          <w:color w:val="auto"/>
        </w:rPr>
        <w:t>references to any contract, agreement or instrument shall mean the same as amended, modified, supplemented or amended and restated from time to time, in each case, in accordance with any applicable restrictions contained therein or in this Indenture.</w:t>
      </w:r>
    </w:p>
    <w:p>
      <w:pPr>
        <w:spacing w:after="0" w:line="148" w:lineRule="exact"/>
        <w:rPr>
          <w:sz w:val="20"/>
          <w:szCs w:val="20"/>
          <w:color w:val="auto"/>
        </w:rPr>
      </w:pPr>
    </w:p>
    <w:p>
      <w:pPr>
        <w:ind w:left="5200"/>
        <w:spacing w:after="0"/>
        <w:rPr>
          <w:sz w:val="20"/>
          <w:szCs w:val="20"/>
          <w:color w:val="auto"/>
        </w:rPr>
      </w:pPr>
      <w:r>
        <w:rPr>
          <w:rFonts w:ascii="Arial" w:cs="Arial" w:eastAsia="Arial" w:hAnsi="Arial"/>
          <w:sz w:val="21"/>
          <w:szCs w:val="21"/>
          <w:b w:val="1"/>
          <w:bCs w:val="1"/>
          <w:color w:val="auto"/>
        </w:rPr>
        <w:t>ARTICLE 2.</w:t>
      </w:r>
    </w:p>
    <w:p>
      <w:pPr>
        <w:spacing w:after="0" w:line="180"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THE NOTES</w:t>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i w:val="1"/>
          <w:iCs w:val="1"/>
          <w:color w:val="auto"/>
        </w:rPr>
        <w:t>Section 2.1</w:t>
      </w:r>
      <w:r>
        <w:rPr>
          <w:sz w:val="20"/>
          <w:szCs w:val="20"/>
          <w:color w:val="auto"/>
        </w:rPr>
        <w:tab/>
      </w:r>
      <w:r>
        <w:rPr>
          <w:rFonts w:ascii="Arial" w:cs="Arial" w:eastAsia="Arial" w:hAnsi="Arial"/>
          <w:sz w:val="19"/>
          <w:szCs w:val="19"/>
          <w:i w:val="1"/>
          <w:iCs w:val="1"/>
          <w:color w:val="auto"/>
        </w:rPr>
        <w:t>Form and Dating.</w:t>
      </w:r>
    </w:p>
    <w:p>
      <w:pPr>
        <w:spacing w:after="0" w:line="180" w:lineRule="exact"/>
        <w:rPr>
          <w:sz w:val="20"/>
          <w:szCs w:val="20"/>
          <w:color w:val="auto"/>
        </w:rPr>
      </w:pPr>
    </w:p>
    <w:p>
      <w:pPr>
        <w:jc w:val="both"/>
        <w:ind w:firstLine="637"/>
        <w:spacing w:after="0" w:line="223" w:lineRule="auto"/>
        <w:tabs>
          <w:tab w:leader="none" w:pos="1260" w:val="left"/>
        </w:tabs>
        <w:numPr>
          <w:ilvl w:val="0"/>
          <w:numId w:val="44"/>
        </w:numPr>
        <w:rPr>
          <w:rFonts w:ascii="Arial" w:cs="Arial" w:eastAsia="Arial" w:hAnsi="Arial"/>
          <w:sz w:val="21"/>
          <w:szCs w:val="21"/>
          <w:color w:val="auto"/>
        </w:rPr>
      </w:pPr>
      <w:r>
        <w:rPr>
          <w:rFonts w:ascii="Arial" w:cs="Arial" w:eastAsia="Arial" w:hAnsi="Arial"/>
          <w:sz w:val="21"/>
          <w:szCs w:val="21"/>
          <w:i w:val="1"/>
          <w:iCs w:val="1"/>
          <w:color w:val="auto"/>
        </w:rPr>
        <w:t>General</w:t>
      </w:r>
      <w:r>
        <w:rPr>
          <w:rFonts w:ascii="Arial" w:cs="Arial" w:eastAsia="Arial" w:hAnsi="Arial"/>
          <w:sz w:val="21"/>
          <w:szCs w:val="21"/>
          <w:color w:val="auto"/>
        </w:rPr>
        <w:t>. The Notes and the Trustee’s certificate of authentication shall be substantially in the form of</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Exhibits A-1</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and </w:t>
      </w:r>
      <w:r>
        <w:rPr>
          <w:rFonts w:ascii="Arial" w:cs="Arial" w:eastAsia="Arial" w:hAnsi="Arial"/>
          <w:sz w:val="21"/>
          <w:szCs w:val="21"/>
          <w:u w:val="single" w:color="auto"/>
          <w:color w:val="auto"/>
        </w:rPr>
        <w:t>A-2</w:t>
      </w:r>
      <w:r>
        <w:rPr>
          <w:rFonts w:ascii="Arial" w:cs="Arial" w:eastAsia="Arial" w:hAnsi="Arial"/>
          <w:sz w:val="21"/>
          <w:szCs w:val="21"/>
          <w:color w:val="auto"/>
        </w:rPr>
        <w:t xml:space="preserve"> hereto. The Notes may have notations, legends or endorsements required by law, stock exchange rule or usage. Each Note shall be dated the date of its authentication. The Notes shall be in denominations of $2,000 or an integral multiple of $1,000 in excess of $2,000.</w:t>
      </w:r>
    </w:p>
    <w:p>
      <w:pPr>
        <w:spacing w:after="0" w:line="155"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55" w:lineRule="exact"/>
        <w:rPr>
          <w:sz w:val="20"/>
          <w:szCs w:val="20"/>
          <w:color w:val="auto"/>
        </w:rPr>
      </w:pPr>
    </w:p>
    <w:p>
      <w:pPr>
        <w:jc w:val="both"/>
        <w:ind w:firstLine="637"/>
        <w:spacing w:after="0" w:line="236" w:lineRule="auto"/>
        <w:tabs>
          <w:tab w:leader="none" w:pos="1259"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Global Notes</w:t>
      </w:r>
      <w:r>
        <w:rPr>
          <w:rFonts w:ascii="Arial" w:cs="Arial" w:eastAsia="Arial" w:hAnsi="Arial"/>
          <w:sz w:val="19"/>
          <w:szCs w:val="19"/>
          <w:color w:val="auto"/>
        </w:rPr>
        <w:t>. Notes issued in global form shall be substantially in the form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Exhibits A-1</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A-2</w:t>
      </w:r>
      <w:r>
        <w:rPr>
          <w:rFonts w:ascii="Arial" w:cs="Arial" w:eastAsia="Arial" w:hAnsi="Arial"/>
          <w:sz w:val="19"/>
          <w:szCs w:val="19"/>
          <w:i w:val="1"/>
          <w:iCs w:val="1"/>
          <w:color w:val="auto"/>
        </w:rPr>
        <w:t xml:space="preserve"> </w:t>
      </w:r>
      <w:r>
        <w:rPr>
          <w:rFonts w:ascii="Arial" w:cs="Arial" w:eastAsia="Arial" w:hAnsi="Arial"/>
          <w:sz w:val="19"/>
          <w:szCs w:val="19"/>
          <w:color w:val="auto"/>
        </w:rPr>
        <w:t>attached hereto</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the Global Note Legend thereon and the “</w:t>
      </w:r>
      <w:r>
        <w:rPr>
          <w:rFonts w:ascii="Arial" w:cs="Arial" w:eastAsia="Arial" w:hAnsi="Arial"/>
          <w:sz w:val="19"/>
          <w:szCs w:val="19"/>
          <w:i w:val="1"/>
          <w:iCs w:val="1"/>
          <w:color w:val="auto"/>
        </w:rPr>
        <w:t>Schedule of Exchanges of Interests in the Global Note</w:t>
      </w:r>
      <w:r>
        <w:rPr>
          <w:rFonts w:ascii="Arial" w:cs="Arial" w:eastAsia="Arial" w:hAnsi="Arial"/>
          <w:sz w:val="19"/>
          <w:szCs w:val="19"/>
          <w:color w:val="auto"/>
        </w:rPr>
        <w:t xml:space="preserv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368" w:right="339" w:bottom="1440" w:gutter="0" w:footer="0" w:header="0"/>
        </w:sectPr>
      </w:pPr>
    </w:p>
    <w:bookmarkStart w:id="37" w:name="page38"/>
    <w:bookmarkEnd w:id="37"/>
    <w:p>
      <w:pPr>
        <w:spacing w:after="0" w:line="237" w:lineRule="auto"/>
        <w:rPr>
          <w:sz w:val="20"/>
          <w:szCs w:val="20"/>
          <w:color w:val="auto"/>
        </w:rPr>
      </w:pPr>
      <w:r>
        <w:rPr>
          <w:rFonts w:ascii="Arial" w:cs="Arial" w:eastAsia="Arial" w:hAnsi="Arial"/>
          <w:sz w:val="21"/>
          <w:szCs w:val="21"/>
          <w:color w:val="auto"/>
        </w:rPr>
        <w:t>represented thereby shall be made by the Trustee or the Custodian, at the direction of the Trustee, in accordance with instructions given by the Holder thereof as required by Section 2.06 hereof.</w:t>
      </w:r>
    </w:p>
    <w:p>
      <w:pPr>
        <w:spacing w:after="0" w:line="155" w:lineRule="exact"/>
        <w:rPr>
          <w:sz w:val="20"/>
          <w:szCs w:val="20"/>
          <w:color w:val="auto"/>
        </w:rPr>
      </w:pPr>
    </w:p>
    <w:p>
      <w:pPr>
        <w:jc w:val="both"/>
        <w:ind w:firstLine="637"/>
        <w:spacing w:after="0" w:line="218" w:lineRule="auto"/>
        <w:tabs>
          <w:tab w:leader="none" w:pos="1260" w:val="left"/>
        </w:tabs>
        <w:numPr>
          <w:ilvl w:val="0"/>
          <w:numId w:val="46"/>
        </w:numPr>
        <w:rPr>
          <w:rFonts w:ascii="Arial" w:cs="Arial" w:eastAsia="Arial" w:hAnsi="Arial"/>
          <w:sz w:val="21"/>
          <w:szCs w:val="21"/>
          <w:color w:val="auto"/>
        </w:rPr>
      </w:pPr>
      <w:r>
        <w:rPr>
          <w:rFonts w:ascii="Arial" w:cs="Arial" w:eastAsia="Arial" w:hAnsi="Arial"/>
          <w:sz w:val="21"/>
          <w:szCs w:val="21"/>
          <w:i w:val="1"/>
          <w:iCs w:val="1"/>
          <w:color w:val="auto"/>
        </w:rPr>
        <w:t>Temporary Global Notes</w:t>
      </w:r>
      <w:r>
        <w:rPr>
          <w:rFonts w:ascii="Arial" w:cs="Arial" w:eastAsia="Arial" w:hAnsi="Arial"/>
          <w:sz w:val="21"/>
          <w:szCs w:val="21"/>
          <w:color w:val="auto"/>
        </w:rPr>
        <w:t>. Notes offered and sold in reliance on Regulation S shall be issued initially in the form of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Regulation S Temporary Global Note substantially in the form of </w:t>
      </w:r>
      <w:r>
        <w:rPr>
          <w:rFonts w:ascii="Arial" w:cs="Arial" w:eastAsia="Arial" w:hAnsi="Arial"/>
          <w:sz w:val="21"/>
          <w:szCs w:val="21"/>
          <w:u w:val="single" w:color="auto"/>
          <w:color w:val="auto"/>
        </w:rPr>
        <w:t>Exhibit A-2</w:t>
      </w:r>
      <w:r>
        <w:rPr>
          <w:rFonts w:ascii="Arial" w:cs="Arial" w:eastAsia="Arial" w:hAnsi="Arial"/>
          <w:sz w:val="21"/>
          <w:szCs w:val="21"/>
          <w:color w:val="auto"/>
        </w:rPr>
        <w:t xml:space="preserve"> attached hereto, which shall be deposited on behalf of the holders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spacing w:after="0" w:line="157" w:lineRule="exact"/>
        <w:rPr>
          <w:rFonts w:ascii="Arial" w:cs="Arial" w:eastAsia="Arial" w:hAnsi="Arial"/>
          <w:sz w:val="21"/>
          <w:szCs w:val="21"/>
          <w:color w:val="auto"/>
        </w:rPr>
      </w:pPr>
    </w:p>
    <w:p>
      <w:pPr>
        <w:jc w:val="both"/>
        <w:ind w:left="640" w:firstLine="628"/>
        <w:spacing w:after="0" w:line="229" w:lineRule="auto"/>
        <w:tabs>
          <w:tab w:leader="none" w:pos="1899" w:val="left"/>
        </w:tabs>
        <w:numPr>
          <w:ilvl w:val="1"/>
          <w:numId w:val="46"/>
        </w:numPr>
        <w:rPr>
          <w:rFonts w:ascii="Arial" w:cs="Arial" w:eastAsia="Arial" w:hAnsi="Arial"/>
          <w:sz w:val="20"/>
          <w:szCs w:val="20"/>
          <w:color w:val="auto"/>
        </w:rPr>
      </w:pPr>
      <w:r>
        <w:rPr>
          <w:rFonts w:ascii="Arial" w:cs="Arial" w:eastAsia="Arial" w:hAnsi="Arial"/>
          <w:sz w:val="20"/>
          <w:szCs w:val="20"/>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157" w:lineRule="exact"/>
        <w:rPr>
          <w:rFonts w:ascii="Arial" w:cs="Arial" w:eastAsia="Arial" w:hAnsi="Arial"/>
          <w:sz w:val="20"/>
          <w:szCs w:val="20"/>
          <w:color w:val="auto"/>
        </w:rPr>
      </w:pPr>
    </w:p>
    <w:p>
      <w:pPr>
        <w:ind w:left="1900" w:hanging="632"/>
        <w:spacing w:after="0"/>
        <w:tabs>
          <w:tab w:leader="none" w:pos="1900" w:val="left"/>
        </w:tabs>
        <w:numPr>
          <w:ilvl w:val="1"/>
          <w:numId w:val="46"/>
        </w:numPr>
        <w:rPr>
          <w:rFonts w:ascii="Arial" w:cs="Arial" w:eastAsia="Arial" w:hAnsi="Arial"/>
          <w:sz w:val="21"/>
          <w:szCs w:val="21"/>
          <w:color w:val="auto"/>
        </w:rPr>
      </w:pPr>
      <w:r>
        <w:rPr>
          <w:rFonts w:ascii="Arial" w:cs="Arial" w:eastAsia="Arial" w:hAnsi="Arial"/>
          <w:sz w:val="21"/>
          <w:szCs w:val="21"/>
          <w:color w:val="auto"/>
        </w:rPr>
        <w:t>an Officers’ Certificate from each of the Issuers.</w:t>
      </w:r>
    </w:p>
    <w:p>
      <w:pPr>
        <w:spacing w:after="0" w:line="180"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57" w:lineRule="exact"/>
        <w:rPr>
          <w:sz w:val="20"/>
          <w:szCs w:val="20"/>
          <w:color w:val="auto"/>
        </w:rPr>
      </w:pPr>
    </w:p>
    <w:p>
      <w:pPr>
        <w:jc w:val="both"/>
        <w:ind w:firstLine="637"/>
        <w:spacing w:after="0" w:line="249" w:lineRule="auto"/>
        <w:tabs>
          <w:tab w:leader="none" w:pos="1259" w:val="left"/>
        </w:tabs>
        <w:numPr>
          <w:ilvl w:val="0"/>
          <w:numId w:val="47"/>
        </w:numPr>
        <w:rPr>
          <w:rFonts w:ascii="Arial" w:cs="Arial" w:eastAsia="Arial" w:hAnsi="Arial"/>
          <w:sz w:val="19"/>
          <w:szCs w:val="19"/>
          <w:color w:val="auto"/>
        </w:rPr>
      </w:pPr>
      <w:r>
        <w:rPr>
          <w:rFonts w:ascii="Arial" w:cs="Arial" w:eastAsia="Arial" w:hAnsi="Arial"/>
          <w:sz w:val="19"/>
          <w:szCs w:val="19"/>
          <w:i w:val="1"/>
          <w:iCs w:val="1"/>
          <w:color w:val="auto"/>
        </w:rPr>
        <w:t>Euroclear and Clearstream Procedures Applicable</w:t>
      </w:r>
      <w:r>
        <w:rPr>
          <w:rFonts w:ascii="Arial" w:cs="Arial" w:eastAsia="Arial" w:hAnsi="Arial"/>
          <w:sz w:val="19"/>
          <w:szCs w:val="19"/>
          <w:color w:val="auto"/>
        </w:rPr>
        <w:t>. The provisions of the “Operating Procedures of the Euroclear</w:t>
      </w:r>
      <w:r>
        <w:rPr>
          <w:rFonts w:ascii="Arial" w:cs="Arial" w:eastAsia="Arial" w:hAnsi="Arial"/>
          <w:sz w:val="19"/>
          <w:szCs w:val="19"/>
          <w:i w:val="1"/>
          <w:iCs w:val="1"/>
          <w:color w:val="auto"/>
        </w:rPr>
        <w:t xml:space="preserve"> </w:t>
      </w:r>
      <w:r>
        <w:rPr>
          <w:rFonts w:ascii="Arial" w:cs="Arial" w:eastAsia="Arial" w:hAnsi="Arial"/>
          <w:sz w:val="19"/>
          <w:szCs w:val="19"/>
          <w:color w:val="auto"/>
        </w:rPr>
        <w:t>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146" w:lineRule="exact"/>
        <w:rPr>
          <w:sz w:val="20"/>
          <w:szCs w:val="20"/>
          <w:color w:val="auto"/>
        </w:rPr>
      </w:pPr>
    </w:p>
    <w:p>
      <w:pPr>
        <w:spacing w:after="0"/>
        <w:tabs>
          <w:tab w:leader="none" w:pos="1140" w:val="left"/>
        </w:tabs>
        <w:rPr>
          <w:sz w:val="20"/>
          <w:szCs w:val="20"/>
          <w:color w:val="auto"/>
        </w:rPr>
      </w:pPr>
      <w:r>
        <w:rPr>
          <w:rFonts w:ascii="Arial" w:cs="Arial" w:eastAsia="Arial" w:hAnsi="Arial"/>
          <w:sz w:val="21"/>
          <w:szCs w:val="21"/>
          <w:i w:val="1"/>
          <w:iCs w:val="1"/>
          <w:color w:val="auto"/>
        </w:rPr>
        <w:t>Section 2.2</w:t>
      </w:r>
      <w:r>
        <w:rPr>
          <w:sz w:val="20"/>
          <w:szCs w:val="20"/>
          <w:color w:val="auto"/>
        </w:rPr>
        <w:tab/>
      </w:r>
      <w:r>
        <w:rPr>
          <w:rFonts w:ascii="Arial" w:cs="Arial" w:eastAsia="Arial" w:hAnsi="Arial"/>
          <w:sz w:val="19"/>
          <w:szCs w:val="19"/>
          <w:i w:val="1"/>
          <w:iCs w:val="1"/>
          <w:color w:val="auto"/>
        </w:rPr>
        <w:t>Execution and Authentication.</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A Designated Officer on behalf of each of Wynn Resorts Finance and Wynn Resorts Capital must sign the Notes for the Issuers by manual or facsimile signature.</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If an Officer whose signature is on a Note no longer holds that office at the time a Note is authenticated, the Note shall nevertheless be valid.</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A Note shall not be valid until authenticated by the manual signature of the Trustee. The signature shall be conclusive evidence that the Note has been authenticated under this Indenture.</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The Trustee shall, upon receipt of a written order of the Issuers signed by a Designated Officer of each of Wynn Resorts Finance and Wynn Resorts Capital (an “</w:t>
      </w:r>
      <w:r>
        <w:rPr>
          <w:rFonts w:ascii="Arial" w:cs="Arial" w:eastAsia="Arial" w:hAnsi="Arial"/>
          <w:sz w:val="21"/>
          <w:szCs w:val="21"/>
          <w:i w:val="1"/>
          <w:iCs w:val="1"/>
          <w:u w:val="single" w:color="auto"/>
          <w:color w:val="auto"/>
        </w:rPr>
        <w:t>Authentication Order</w:t>
      </w:r>
      <w:r>
        <w:rPr>
          <w:rFonts w:ascii="Arial" w:cs="Arial" w:eastAsia="Arial" w:hAnsi="Arial"/>
          <w:sz w:val="21"/>
          <w:szCs w:val="21"/>
          <w:color w:val="auto"/>
        </w:rPr>
        <w:t>”), authenticate Notes for original issue that may be validly issued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368" w:right="339" w:bottom="1440" w:gutter="0" w:footer="0" w:header="0"/>
        </w:sectPr>
      </w:pPr>
    </w:p>
    <w:bookmarkStart w:id="38" w:name="page39"/>
    <w:bookmarkEnd w:id="38"/>
    <w:p>
      <w:pPr>
        <w:jc w:val="both"/>
        <w:spacing w:after="0" w:line="237" w:lineRule="auto"/>
        <w:rPr>
          <w:sz w:val="20"/>
          <w:szCs w:val="20"/>
          <w:color w:val="auto"/>
        </w:rPr>
      </w:pPr>
      <w:r>
        <w:rPr>
          <w:rFonts w:ascii="Arial" w:cs="Arial" w:eastAsia="Arial" w:hAnsi="Arial"/>
          <w:sz w:val="21"/>
          <w:szCs w:val="21"/>
          <w:color w:val="auto"/>
        </w:rPr>
        <w:t>including any Additional Notes (including Notes to be issued in substitution for outstanding Notes to reflect any name change of either Issuer, by succession permitted hereunder or otherwise).</w:t>
      </w:r>
    </w:p>
    <w:p>
      <w:pPr>
        <w:spacing w:after="0" w:line="155" w:lineRule="exact"/>
        <w:rPr>
          <w:sz w:val="20"/>
          <w:szCs w:val="20"/>
          <w:color w:val="auto"/>
        </w:rPr>
      </w:pPr>
    </w:p>
    <w:p>
      <w:pPr>
        <w:jc w:val="both"/>
        <w:ind w:firstLine="632"/>
        <w:spacing w:after="0" w:line="285" w:lineRule="auto"/>
        <w:rPr>
          <w:sz w:val="20"/>
          <w:szCs w:val="20"/>
          <w:color w:val="auto"/>
        </w:rPr>
      </w:pPr>
      <w:r>
        <w:rPr>
          <w:rFonts w:ascii="Arial" w:cs="Arial" w:eastAsia="Arial" w:hAnsi="Arial"/>
          <w:sz w:val="19"/>
          <w:szCs w:val="19"/>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13"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155" w:lineRule="exact"/>
        <w:rPr>
          <w:sz w:val="20"/>
          <w:szCs w:val="20"/>
          <w:color w:val="auto"/>
        </w:rPr>
      </w:pPr>
    </w:p>
    <w:p>
      <w:pPr>
        <w:spacing w:after="0"/>
        <w:tabs>
          <w:tab w:leader="none" w:pos="1340" w:val="left"/>
        </w:tabs>
        <w:rPr>
          <w:sz w:val="20"/>
          <w:szCs w:val="20"/>
          <w:color w:val="auto"/>
        </w:rPr>
      </w:pPr>
      <w:r>
        <w:rPr>
          <w:rFonts w:ascii="Arial" w:cs="Arial" w:eastAsia="Arial" w:hAnsi="Arial"/>
          <w:sz w:val="21"/>
          <w:szCs w:val="21"/>
          <w:i w:val="1"/>
          <w:iCs w:val="1"/>
          <w:color w:val="auto"/>
        </w:rPr>
        <w:t>Section 2.3</w:t>
      </w:r>
      <w:r>
        <w:rPr>
          <w:sz w:val="20"/>
          <w:szCs w:val="20"/>
          <w:color w:val="auto"/>
        </w:rPr>
        <w:tab/>
      </w:r>
      <w:r>
        <w:rPr>
          <w:rFonts w:ascii="Arial" w:cs="Arial" w:eastAsia="Arial" w:hAnsi="Arial"/>
          <w:sz w:val="19"/>
          <w:szCs w:val="19"/>
          <w:i w:val="1"/>
          <w:iCs w:val="1"/>
          <w:color w:val="auto"/>
        </w:rPr>
        <w:t>Execution and Authentication.</w:t>
      </w:r>
    </w:p>
    <w:p>
      <w:pPr>
        <w:spacing w:after="0" w:line="180" w:lineRule="exact"/>
        <w:rPr>
          <w:sz w:val="20"/>
          <w:szCs w:val="20"/>
          <w:color w:val="auto"/>
        </w:rPr>
      </w:pPr>
    </w:p>
    <w:p>
      <w:pPr>
        <w:jc w:val="both"/>
        <w:ind w:firstLine="632"/>
        <w:spacing w:after="0" w:line="216" w:lineRule="auto"/>
        <w:rPr>
          <w:sz w:val="20"/>
          <w:szCs w:val="20"/>
          <w:color w:val="auto"/>
        </w:rPr>
      </w:pPr>
      <w:r>
        <w:rPr>
          <w:rFonts w:ascii="Arial" w:cs="Arial" w:eastAsia="Arial" w:hAnsi="Arial"/>
          <w:sz w:val="21"/>
          <w:szCs w:val="21"/>
          <w:color w:val="auto"/>
        </w:rPr>
        <w:t>The Issuers shall maintain an office or agency where Notes may be presented for registration of transfer or for exchange (“</w:t>
      </w:r>
      <w:r>
        <w:rPr>
          <w:rFonts w:ascii="Arial" w:cs="Arial" w:eastAsia="Arial" w:hAnsi="Arial"/>
          <w:sz w:val="21"/>
          <w:szCs w:val="21"/>
          <w:i w:val="1"/>
          <w:iCs w:val="1"/>
          <w:u w:val="single" w:color="auto"/>
          <w:color w:val="auto"/>
        </w:rPr>
        <w:t>Registrar</w:t>
      </w:r>
      <w:r>
        <w:rPr>
          <w:rFonts w:ascii="Arial" w:cs="Arial" w:eastAsia="Arial" w:hAnsi="Arial"/>
          <w:sz w:val="21"/>
          <w:szCs w:val="21"/>
          <w:color w:val="auto"/>
        </w:rPr>
        <w:t>”) and an office or agency where Notes may be presented for payment (“</w:t>
      </w:r>
      <w:r>
        <w:rPr>
          <w:rFonts w:ascii="Arial" w:cs="Arial" w:eastAsia="Arial" w:hAnsi="Arial"/>
          <w:sz w:val="21"/>
          <w:szCs w:val="21"/>
          <w:i w:val="1"/>
          <w:iCs w:val="1"/>
          <w:u w:val="single" w:color="auto"/>
          <w:color w:val="auto"/>
        </w:rPr>
        <w:t>Paying Agent</w:t>
      </w:r>
      <w:r>
        <w:rPr>
          <w:rFonts w:ascii="Arial" w:cs="Arial" w:eastAsia="Arial" w:hAnsi="Arial"/>
          <w:sz w:val="21"/>
          <w:szCs w:val="21"/>
          <w:color w:val="auto"/>
        </w:rPr>
        <w:t>”).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Issuers initially appoint The Depository Trust Company (“</w:t>
      </w:r>
      <w:r>
        <w:rPr>
          <w:rFonts w:ascii="Arial" w:cs="Arial" w:eastAsia="Arial" w:hAnsi="Arial"/>
          <w:sz w:val="19"/>
          <w:szCs w:val="19"/>
          <w:i w:val="1"/>
          <w:iCs w:val="1"/>
          <w:u w:val="single" w:color="auto"/>
          <w:color w:val="auto"/>
        </w:rPr>
        <w:t>DTC</w:t>
      </w:r>
      <w:r>
        <w:rPr>
          <w:rFonts w:ascii="Arial" w:cs="Arial" w:eastAsia="Arial" w:hAnsi="Arial"/>
          <w:sz w:val="19"/>
          <w:szCs w:val="19"/>
          <w:color w:val="auto"/>
        </w:rPr>
        <w:t>”) to act as Depositary with respect to the Global Notes.</w:t>
      </w:r>
    </w:p>
    <w:p>
      <w:pPr>
        <w:spacing w:after="0" w:line="203"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The Issuers initially appoint the Trustee to act as the Registrar and Paying Agent and to act as Custodian with respect to the Global Notes.</w:t>
      </w:r>
    </w:p>
    <w:p>
      <w:pPr>
        <w:spacing w:after="0" w:line="155" w:lineRule="exact"/>
        <w:rPr>
          <w:sz w:val="20"/>
          <w:szCs w:val="20"/>
          <w:color w:val="auto"/>
        </w:rPr>
      </w:pPr>
    </w:p>
    <w:p>
      <w:pPr>
        <w:spacing w:after="0"/>
        <w:tabs>
          <w:tab w:leader="none" w:pos="1340" w:val="left"/>
        </w:tabs>
        <w:rPr>
          <w:sz w:val="20"/>
          <w:szCs w:val="20"/>
          <w:color w:val="auto"/>
        </w:rPr>
      </w:pPr>
      <w:r>
        <w:rPr>
          <w:rFonts w:ascii="Arial" w:cs="Arial" w:eastAsia="Arial" w:hAnsi="Arial"/>
          <w:sz w:val="21"/>
          <w:szCs w:val="21"/>
          <w:i w:val="1"/>
          <w:iCs w:val="1"/>
          <w:color w:val="auto"/>
        </w:rPr>
        <w:t>Section 2.4</w:t>
      </w:r>
      <w:r>
        <w:rPr>
          <w:sz w:val="20"/>
          <w:szCs w:val="20"/>
          <w:color w:val="auto"/>
        </w:rPr>
        <w:tab/>
      </w:r>
      <w:r>
        <w:rPr>
          <w:rFonts w:ascii="Arial" w:cs="Arial" w:eastAsia="Arial" w:hAnsi="Arial"/>
          <w:sz w:val="19"/>
          <w:szCs w:val="19"/>
          <w:i w:val="1"/>
          <w:iCs w:val="1"/>
          <w:color w:val="auto"/>
        </w:rPr>
        <w:t>Execution and Authentication.Paying Agent to Hold Money in Trust.</w:t>
      </w:r>
    </w:p>
    <w:p>
      <w:pPr>
        <w:spacing w:after="0" w:line="180"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19"/>
          <w:szCs w:val="19"/>
          <w:color w:val="auto"/>
        </w:rPr>
        <w:t>The Issuers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154" w:lineRule="exact"/>
        <w:rPr>
          <w:sz w:val="20"/>
          <w:szCs w:val="20"/>
          <w:color w:val="auto"/>
        </w:rPr>
      </w:pPr>
    </w:p>
    <w:p>
      <w:pPr>
        <w:spacing w:after="0"/>
        <w:tabs>
          <w:tab w:leader="none" w:pos="1340" w:val="left"/>
        </w:tabs>
        <w:rPr>
          <w:sz w:val="20"/>
          <w:szCs w:val="20"/>
          <w:color w:val="auto"/>
        </w:rPr>
      </w:pPr>
      <w:r>
        <w:rPr>
          <w:rFonts w:ascii="Arial" w:cs="Arial" w:eastAsia="Arial" w:hAnsi="Arial"/>
          <w:sz w:val="21"/>
          <w:szCs w:val="21"/>
          <w:i w:val="1"/>
          <w:iCs w:val="1"/>
          <w:color w:val="auto"/>
        </w:rPr>
        <w:t>Section 2.5</w:t>
      </w:r>
      <w:r>
        <w:rPr>
          <w:sz w:val="20"/>
          <w:szCs w:val="20"/>
          <w:color w:val="auto"/>
        </w:rPr>
        <w:tab/>
      </w:r>
      <w:r>
        <w:rPr>
          <w:rFonts w:ascii="Arial" w:cs="Arial" w:eastAsia="Arial" w:hAnsi="Arial"/>
          <w:sz w:val="19"/>
          <w:szCs w:val="19"/>
          <w:i w:val="1"/>
          <w:iCs w:val="1"/>
          <w:color w:val="auto"/>
        </w:rPr>
        <w:t>Holder Lists.</w:t>
      </w:r>
    </w:p>
    <w:p>
      <w:pPr>
        <w:spacing w:after="0" w:line="180"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20"/>
          <w:szCs w:val="20"/>
          <w:color w:val="auto"/>
        </w:rPr>
        <w:t>The Trustee shall preserve in as current a form as is reasonably practicable the most recent list available to it of the names and addresses of all Holders. If the Trustee is not the Registrar, the Issuers shall furnish to the Trustee at least seven Business Days before each interest payment date and at such other times as the Trustee may request in writing, a list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368" w:right="339" w:bottom="1440" w:gutter="0" w:footer="0" w:header="0"/>
        </w:sectPr>
      </w:pPr>
    </w:p>
    <w:bookmarkStart w:id="39" w:name="page40"/>
    <w:bookmarkEnd w:id="39"/>
    <w:p>
      <w:pPr>
        <w:spacing w:after="0"/>
        <w:rPr>
          <w:sz w:val="20"/>
          <w:szCs w:val="20"/>
          <w:color w:val="auto"/>
        </w:rPr>
      </w:pPr>
      <w:r>
        <w:rPr>
          <w:rFonts w:ascii="Arial" w:cs="Arial" w:eastAsia="Arial" w:hAnsi="Arial"/>
          <w:sz w:val="21"/>
          <w:szCs w:val="21"/>
          <w:color w:val="auto"/>
        </w:rPr>
        <w:t>form and as of such date as the Trustee may reasonably require of the names and addresses of the Holders of Notes.</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i w:val="1"/>
          <w:iCs w:val="1"/>
          <w:color w:val="auto"/>
        </w:rPr>
        <w:t>Section 2.6</w:t>
      </w:r>
      <w:r>
        <w:rPr>
          <w:sz w:val="20"/>
          <w:szCs w:val="20"/>
          <w:color w:val="auto"/>
        </w:rPr>
        <w:tab/>
      </w:r>
      <w:r>
        <w:rPr>
          <w:rFonts w:ascii="Arial" w:cs="Arial" w:eastAsia="Arial" w:hAnsi="Arial"/>
          <w:sz w:val="18"/>
          <w:szCs w:val="18"/>
          <w:i w:val="1"/>
          <w:iCs w:val="1"/>
          <w:color w:val="auto"/>
        </w:rPr>
        <w:t>Transfer and Exchange.</w:t>
      </w:r>
    </w:p>
    <w:p>
      <w:pPr>
        <w:spacing w:after="0" w:line="180" w:lineRule="exact"/>
        <w:rPr>
          <w:sz w:val="20"/>
          <w:szCs w:val="20"/>
          <w:color w:val="auto"/>
        </w:rPr>
      </w:pPr>
    </w:p>
    <w:p>
      <w:pPr>
        <w:jc w:val="both"/>
        <w:ind w:firstLine="637"/>
        <w:spacing w:after="0" w:line="223" w:lineRule="auto"/>
        <w:tabs>
          <w:tab w:leader="none" w:pos="1260" w:val="left"/>
        </w:tabs>
        <w:numPr>
          <w:ilvl w:val="0"/>
          <w:numId w:val="48"/>
        </w:numPr>
        <w:rPr>
          <w:rFonts w:ascii="Arial" w:cs="Arial" w:eastAsia="Arial" w:hAnsi="Arial"/>
          <w:sz w:val="21"/>
          <w:szCs w:val="21"/>
          <w:color w:val="auto"/>
        </w:rPr>
      </w:pPr>
      <w:r>
        <w:rPr>
          <w:rFonts w:ascii="Arial" w:cs="Arial" w:eastAsia="Arial" w:hAnsi="Arial"/>
          <w:sz w:val="21"/>
          <w:szCs w:val="21"/>
          <w:i w:val="1"/>
          <w:iCs w:val="1"/>
          <w:color w:val="auto"/>
        </w:rPr>
        <w:t>Transfer and Exchange of Global Notes</w:t>
      </w:r>
      <w:r>
        <w:rPr>
          <w:rFonts w:ascii="Arial" w:cs="Arial" w:eastAsia="Arial" w:hAnsi="Arial"/>
          <w:sz w:val="21"/>
          <w:szCs w:val="21"/>
          <w:color w:val="auto"/>
        </w:rPr>
        <w:t>. A Global Note may not be transferred as a whole except by the Depositary to</w:t>
      </w:r>
      <w:r>
        <w:rPr>
          <w:rFonts w:ascii="Arial" w:cs="Arial" w:eastAsia="Arial" w:hAnsi="Arial"/>
          <w:sz w:val="21"/>
          <w:szCs w:val="21"/>
          <w:i w:val="1"/>
          <w:iCs w:val="1"/>
          <w:color w:val="auto"/>
        </w:rPr>
        <w:t xml:space="preserve"> </w:t>
      </w:r>
      <w:r>
        <w:rPr>
          <w:rFonts w:ascii="Arial" w:cs="Arial" w:eastAsia="Arial" w:hAnsi="Arial"/>
          <w:sz w:val="21"/>
          <w:szCs w:val="21"/>
          <w:color w:val="auto"/>
        </w:rPr>
        <w:t>a nominee of the Depositary, 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155" w:lineRule="exact"/>
        <w:rPr>
          <w:rFonts w:ascii="Arial" w:cs="Arial" w:eastAsia="Arial" w:hAnsi="Arial"/>
          <w:sz w:val="21"/>
          <w:szCs w:val="21"/>
          <w:color w:val="auto"/>
        </w:rPr>
      </w:pPr>
    </w:p>
    <w:p>
      <w:pPr>
        <w:jc w:val="both"/>
        <w:ind w:left="640" w:firstLine="628"/>
        <w:spacing w:after="0" w:line="223" w:lineRule="auto"/>
        <w:tabs>
          <w:tab w:leader="none" w:pos="1899" w:val="left"/>
        </w:tabs>
        <w:numPr>
          <w:ilvl w:val="1"/>
          <w:numId w:val="48"/>
        </w:numPr>
        <w:rPr>
          <w:rFonts w:ascii="Arial" w:cs="Arial" w:eastAsia="Arial" w:hAnsi="Arial"/>
          <w:sz w:val="21"/>
          <w:szCs w:val="21"/>
          <w:color w:val="auto"/>
        </w:rPr>
      </w:pPr>
      <w:r>
        <w:rPr>
          <w:rFonts w:ascii="Arial" w:cs="Arial" w:eastAsia="Arial" w:hAnsi="Arial"/>
          <w:sz w:val="21"/>
          <w:szCs w:val="21"/>
          <w:color w:val="auto"/>
        </w:rPr>
        <w:t>Wynn Resorts Finance delivers to the Trustee written notice from the Depositary that it is unwilling or unable to continue to act as Depositary or that it is no longer a clearing agency registered under the Exchange Act and, in either case, a successor Depositary is not appointed by Wynn Resorts Finance within 120 days after the date of such notice from the Depositary;</w:t>
      </w:r>
    </w:p>
    <w:p>
      <w:pPr>
        <w:spacing w:after="0" w:line="155" w:lineRule="exact"/>
        <w:rPr>
          <w:rFonts w:ascii="Arial" w:cs="Arial" w:eastAsia="Arial" w:hAnsi="Arial"/>
          <w:sz w:val="21"/>
          <w:szCs w:val="21"/>
          <w:color w:val="auto"/>
        </w:rPr>
      </w:pPr>
    </w:p>
    <w:p>
      <w:pPr>
        <w:jc w:val="both"/>
        <w:ind w:left="640" w:firstLine="628"/>
        <w:spacing w:after="0" w:line="220" w:lineRule="auto"/>
        <w:tabs>
          <w:tab w:leader="none" w:pos="1899"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 (A) the expiration of the Restricted Period and (B) the receipt by the Registrar of any certificates required pursuant to Rule 903(b)(3)(ii)(B) under the Securities Act; or</w:t>
      </w:r>
    </w:p>
    <w:p>
      <w:pPr>
        <w:spacing w:after="0" w:line="156" w:lineRule="exact"/>
        <w:rPr>
          <w:rFonts w:ascii="Arial" w:cs="Arial" w:eastAsia="Arial" w:hAnsi="Arial"/>
          <w:sz w:val="21"/>
          <w:szCs w:val="21"/>
          <w:color w:val="auto"/>
        </w:rPr>
      </w:pPr>
    </w:p>
    <w:p>
      <w:pPr>
        <w:jc w:val="both"/>
        <w:ind w:left="640" w:firstLine="628"/>
        <w:spacing w:after="0" w:line="228" w:lineRule="auto"/>
        <w:tabs>
          <w:tab w:leader="none" w:pos="1899" w:val="left"/>
        </w:tabs>
        <w:numPr>
          <w:ilvl w:val="1"/>
          <w:numId w:val="48"/>
        </w:numPr>
        <w:rPr>
          <w:rFonts w:ascii="Arial" w:cs="Arial" w:eastAsia="Arial" w:hAnsi="Arial"/>
          <w:sz w:val="21"/>
          <w:szCs w:val="21"/>
          <w:color w:val="auto"/>
        </w:rPr>
      </w:pPr>
      <w:r>
        <w:rPr>
          <w:rFonts w:ascii="Arial" w:cs="Arial" w:eastAsia="Arial" w:hAnsi="Arial"/>
          <w:sz w:val="21"/>
          <w:szCs w:val="21"/>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154"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152" w:lineRule="exact"/>
        <w:rPr>
          <w:sz w:val="20"/>
          <w:szCs w:val="20"/>
          <w:color w:val="auto"/>
        </w:rPr>
      </w:pPr>
    </w:p>
    <w:p>
      <w:pPr>
        <w:jc w:val="both"/>
        <w:ind w:firstLine="637"/>
        <w:spacing w:after="0" w:line="218" w:lineRule="auto"/>
        <w:tabs>
          <w:tab w:leader="none" w:pos="1259" w:val="left"/>
        </w:tabs>
        <w:numPr>
          <w:ilvl w:val="0"/>
          <w:numId w:val="49"/>
        </w:numPr>
        <w:rPr>
          <w:rFonts w:ascii="Arial" w:cs="Arial" w:eastAsia="Arial" w:hAnsi="Arial"/>
          <w:sz w:val="21"/>
          <w:szCs w:val="21"/>
          <w:color w:val="auto"/>
        </w:rPr>
      </w:pPr>
      <w:r>
        <w:rPr>
          <w:rFonts w:ascii="Arial" w:cs="Arial" w:eastAsia="Arial" w:hAnsi="Arial"/>
          <w:sz w:val="21"/>
          <w:szCs w:val="21"/>
          <w:i w:val="1"/>
          <w:iCs w:val="1"/>
          <w:color w:val="auto"/>
        </w:rPr>
        <w:t>Transfer and Exchange of Beneficial Interests in the Global Notes</w:t>
      </w:r>
      <w:r>
        <w:rPr>
          <w:rFonts w:ascii="Arial" w:cs="Arial" w:eastAsia="Arial" w:hAnsi="Arial"/>
          <w:sz w:val="21"/>
          <w:szCs w:val="21"/>
          <w:color w:val="auto"/>
        </w:rPr>
        <w:t>. The transfer and exchange of beneficial interests in</w:t>
      </w:r>
      <w:r>
        <w:rPr>
          <w:rFonts w:ascii="Arial" w:cs="Arial" w:eastAsia="Arial" w:hAnsi="Arial"/>
          <w:sz w:val="21"/>
          <w:szCs w:val="21"/>
          <w:i w:val="1"/>
          <w:iCs w:val="1"/>
          <w:color w:val="auto"/>
        </w:rPr>
        <w:t xml:space="preserve"> </w:t>
      </w:r>
      <w:r>
        <w:rPr>
          <w:rFonts w:ascii="Arial" w:cs="Arial" w:eastAsia="Arial" w:hAnsi="Arial"/>
          <w:sz w:val="21"/>
          <w:szCs w:val="21"/>
          <w:color w:val="auto"/>
        </w:rPr>
        <w:t>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57" w:lineRule="exact"/>
        <w:rPr>
          <w:rFonts w:ascii="Arial" w:cs="Arial" w:eastAsia="Arial" w:hAnsi="Arial"/>
          <w:sz w:val="21"/>
          <w:szCs w:val="21"/>
          <w:color w:val="auto"/>
        </w:rPr>
      </w:pPr>
    </w:p>
    <w:p>
      <w:pPr>
        <w:jc w:val="both"/>
        <w:ind w:left="640" w:firstLine="628"/>
        <w:spacing w:after="0" w:line="231" w:lineRule="auto"/>
        <w:tabs>
          <w:tab w:leader="none" w:pos="1899" w:val="left"/>
        </w:tabs>
        <w:numPr>
          <w:ilvl w:val="1"/>
          <w:numId w:val="49"/>
        </w:numPr>
        <w:rPr>
          <w:rFonts w:ascii="Arial" w:cs="Arial" w:eastAsia="Arial" w:hAnsi="Arial"/>
          <w:sz w:val="20"/>
          <w:szCs w:val="20"/>
          <w:color w:val="auto"/>
        </w:rPr>
      </w:pPr>
      <w:r>
        <w:rPr>
          <w:rFonts w:ascii="Arial" w:cs="Arial" w:eastAsia="Arial" w:hAnsi="Arial"/>
          <w:sz w:val="20"/>
          <w:szCs w:val="20"/>
          <w:i w:val="1"/>
          <w:iCs w:val="1"/>
          <w:color w:val="auto"/>
        </w:rPr>
        <w:t>Transfer of Beneficial Interests in the Same Global Note</w:t>
      </w:r>
      <w:r>
        <w:rPr>
          <w:rFonts w:ascii="Arial" w:cs="Arial" w:eastAsia="Arial" w:hAnsi="Arial"/>
          <w:sz w:val="20"/>
          <w:szCs w:val="20"/>
          <w:color w:val="auto"/>
        </w:rPr>
        <w:t>. Beneficial interests in any Restricted Global Note</w:t>
      </w:r>
      <w:r>
        <w:rPr>
          <w:rFonts w:ascii="Arial" w:cs="Arial" w:eastAsia="Arial" w:hAnsi="Arial"/>
          <w:sz w:val="20"/>
          <w:szCs w:val="20"/>
          <w:i w:val="1"/>
          <w:iCs w:val="1"/>
          <w:color w:val="auto"/>
        </w:rPr>
        <w:t xml:space="preserve"> </w:t>
      </w:r>
      <w:r>
        <w:rPr>
          <w:rFonts w:ascii="Arial" w:cs="Arial" w:eastAsia="Arial" w:hAnsi="Arial"/>
          <w:sz w:val="20"/>
          <w:szCs w:val="20"/>
          <w:color w:val="auto"/>
        </w:rPr>
        <w:t>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368" w:right="339" w:bottom="1440" w:gutter="0" w:footer="0" w:header="0"/>
        </w:sectPr>
      </w:pPr>
    </w:p>
    <w:bookmarkStart w:id="40" w:name="page41"/>
    <w:bookmarkEnd w:id="40"/>
    <w:p>
      <w:pPr>
        <w:jc w:val="both"/>
        <w:ind w:left="640"/>
        <w:spacing w:after="0" w:line="228" w:lineRule="auto"/>
        <w:rPr>
          <w:sz w:val="20"/>
          <w:szCs w:val="20"/>
          <w:color w:val="auto"/>
        </w:rPr>
      </w:pPr>
      <w:r>
        <w:rPr>
          <w:rFonts w:ascii="Arial" w:cs="Arial" w:eastAsia="Arial" w:hAnsi="Arial"/>
          <w:sz w:val="21"/>
          <w:szCs w:val="21"/>
          <w:color w:val="auto"/>
        </w:rPr>
        <w:t>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54" w:lineRule="exact"/>
        <w:rPr>
          <w:sz w:val="20"/>
          <w:szCs w:val="20"/>
          <w:color w:val="auto"/>
        </w:rPr>
      </w:pPr>
    </w:p>
    <w:p>
      <w:pPr>
        <w:jc w:val="both"/>
        <w:ind w:left="640" w:firstLine="628"/>
        <w:spacing w:after="0" w:line="228" w:lineRule="auto"/>
        <w:tabs>
          <w:tab w:leader="none" w:pos="1899" w:val="left"/>
        </w:tabs>
        <w:numPr>
          <w:ilvl w:val="0"/>
          <w:numId w:val="50"/>
        </w:numPr>
        <w:rPr>
          <w:rFonts w:ascii="Arial" w:cs="Arial" w:eastAsia="Arial" w:hAnsi="Arial"/>
          <w:sz w:val="21"/>
          <w:szCs w:val="21"/>
          <w:color w:val="auto"/>
        </w:rPr>
      </w:pPr>
      <w:r>
        <w:rPr>
          <w:rFonts w:ascii="Arial" w:cs="Arial" w:eastAsia="Arial" w:hAnsi="Arial"/>
          <w:sz w:val="21"/>
          <w:szCs w:val="21"/>
          <w:i w:val="1"/>
          <w:iCs w:val="1"/>
          <w:color w:val="auto"/>
        </w:rPr>
        <w:t>All Other Transfers and Exchanges of Beneficial Interests in Global Notes</w:t>
      </w:r>
      <w:r>
        <w:rPr>
          <w:rFonts w:ascii="Arial" w:cs="Arial" w:eastAsia="Arial" w:hAnsi="Arial"/>
          <w:sz w:val="21"/>
          <w:szCs w:val="21"/>
          <w:color w:val="auto"/>
        </w:rPr>
        <w:t>. In connection with all transfers and</w:t>
      </w:r>
      <w:r>
        <w:rPr>
          <w:rFonts w:ascii="Arial" w:cs="Arial" w:eastAsia="Arial" w:hAnsi="Arial"/>
          <w:sz w:val="21"/>
          <w:szCs w:val="21"/>
          <w:i w:val="1"/>
          <w:iCs w:val="1"/>
          <w:color w:val="auto"/>
        </w:rPr>
        <w:t xml:space="preserve"> </w:t>
      </w:r>
      <w:r>
        <w:rPr>
          <w:rFonts w:ascii="Arial" w:cs="Arial" w:eastAsia="Arial" w:hAnsi="Arial"/>
          <w:sz w:val="21"/>
          <w:szCs w:val="21"/>
          <w:color w:val="auto"/>
        </w:rPr>
        <w:t>exchanges of beneficial interests that are not subject to Section 2.06(b)(1) above, the transferor of such beneficial interest must deliver to the Registrar either:</w:t>
      </w:r>
    </w:p>
    <w:p>
      <w:pPr>
        <w:spacing w:after="0" w:line="153" w:lineRule="exact"/>
        <w:rPr>
          <w:rFonts w:ascii="Arial" w:cs="Arial" w:eastAsia="Arial" w:hAnsi="Arial"/>
          <w:sz w:val="21"/>
          <w:szCs w:val="21"/>
          <w:color w:val="auto"/>
        </w:rPr>
      </w:pPr>
    </w:p>
    <w:p>
      <w:pPr>
        <w:ind w:left="2520" w:hanging="620"/>
        <w:spacing w:after="0"/>
        <w:tabs>
          <w:tab w:leader="none" w:pos="25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both:</w:t>
      </w:r>
    </w:p>
    <w:p>
      <w:pPr>
        <w:spacing w:after="0" w:line="179" w:lineRule="exact"/>
        <w:rPr>
          <w:rFonts w:ascii="Arial" w:cs="Arial" w:eastAsia="Arial" w:hAnsi="Arial"/>
          <w:sz w:val="21"/>
          <w:szCs w:val="21"/>
          <w:color w:val="auto"/>
        </w:rPr>
      </w:pPr>
    </w:p>
    <w:p>
      <w:pPr>
        <w:jc w:val="both"/>
        <w:ind w:firstLine="2532"/>
        <w:spacing w:after="0" w:line="228" w:lineRule="auto"/>
        <w:tabs>
          <w:tab w:leader="none" w:pos="3146" w:val="left"/>
        </w:tabs>
        <w:numPr>
          <w:ilvl w:val="2"/>
          <w:numId w:val="50"/>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53" w:lineRule="exact"/>
        <w:rPr>
          <w:rFonts w:ascii="Arial" w:cs="Arial" w:eastAsia="Arial" w:hAnsi="Arial"/>
          <w:sz w:val="21"/>
          <w:szCs w:val="21"/>
          <w:color w:val="auto"/>
        </w:rPr>
      </w:pPr>
    </w:p>
    <w:p>
      <w:pPr>
        <w:ind w:firstLine="2532"/>
        <w:spacing w:after="0" w:line="237" w:lineRule="auto"/>
        <w:tabs>
          <w:tab w:leader="none" w:pos="3152" w:val="left"/>
        </w:tabs>
        <w:numPr>
          <w:ilvl w:val="2"/>
          <w:numId w:val="50"/>
        </w:numPr>
        <w:rPr>
          <w:rFonts w:ascii="Arial" w:cs="Arial" w:eastAsia="Arial" w:hAnsi="Arial"/>
          <w:sz w:val="21"/>
          <w:szCs w:val="21"/>
          <w:color w:val="auto"/>
        </w:rPr>
      </w:pPr>
      <w:r>
        <w:rPr>
          <w:rFonts w:ascii="Arial" w:cs="Arial" w:eastAsia="Arial" w:hAnsi="Arial"/>
          <w:sz w:val="21"/>
          <w:szCs w:val="21"/>
          <w:color w:val="auto"/>
        </w:rPr>
        <w:t>instructions given in accordance with the Applicable Procedures containing information regarding the Participant account to be credited with such increase; or</w:t>
      </w:r>
    </w:p>
    <w:p>
      <w:pPr>
        <w:spacing w:after="0" w:line="154" w:lineRule="exact"/>
        <w:rPr>
          <w:rFonts w:ascii="Arial" w:cs="Arial" w:eastAsia="Arial" w:hAnsi="Arial"/>
          <w:sz w:val="21"/>
          <w:szCs w:val="21"/>
          <w:color w:val="auto"/>
        </w:rPr>
      </w:pPr>
    </w:p>
    <w:p>
      <w:pPr>
        <w:ind w:left="2520" w:hanging="620"/>
        <w:spacing w:after="0"/>
        <w:tabs>
          <w:tab w:leader="none" w:pos="25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both:</w:t>
      </w:r>
    </w:p>
    <w:p>
      <w:pPr>
        <w:spacing w:after="0" w:line="179" w:lineRule="exact"/>
        <w:rPr>
          <w:rFonts w:ascii="Arial" w:cs="Arial" w:eastAsia="Arial" w:hAnsi="Arial"/>
          <w:sz w:val="21"/>
          <w:szCs w:val="21"/>
          <w:color w:val="auto"/>
        </w:rPr>
      </w:pPr>
    </w:p>
    <w:p>
      <w:pPr>
        <w:jc w:val="both"/>
        <w:ind w:firstLine="2532"/>
        <w:spacing w:after="0" w:line="228" w:lineRule="auto"/>
        <w:tabs>
          <w:tab w:leader="none" w:pos="3146" w:val="left"/>
        </w:tabs>
        <w:numPr>
          <w:ilvl w:val="2"/>
          <w:numId w:val="50"/>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53" w:lineRule="exact"/>
        <w:rPr>
          <w:rFonts w:ascii="Arial" w:cs="Arial" w:eastAsia="Arial" w:hAnsi="Arial"/>
          <w:sz w:val="21"/>
          <w:szCs w:val="21"/>
          <w:color w:val="auto"/>
        </w:rPr>
      </w:pPr>
    </w:p>
    <w:p>
      <w:pPr>
        <w:ind w:firstLine="2532"/>
        <w:spacing w:after="0" w:line="258" w:lineRule="auto"/>
        <w:tabs>
          <w:tab w:leader="none" w:pos="3152" w:val="left"/>
        </w:tabs>
        <w:numPr>
          <w:ilvl w:val="2"/>
          <w:numId w:val="50"/>
        </w:numPr>
        <w:rPr>
          <w:rFonts w:ascii="Arial" w:cs="Arial" w:eastAsia="Arial" w:hAnsi="Arial"/>
          <w:sz w:val="20"/>
          <w:szCs w:val="20"/>
          <w:color w:val="auto"/>
        </w:rPr>
      </w:pPr>
      <w:r>
        <w:rPr>
          <w:rFonts w:ascii="Arial" w:cs="Arial" w:eastAsia="Arial" w:hAnsi="Arial"/>
          <w:sz w:val="20"/>
          <w:szCs w:val="20"/>
          <w:color w:val="auto"/>
        </w:rPr>
        <w:t>instructions given by the Depositary to the Registrar containing information regarding the Person in whose name such Definitive Note shall be registered to effect the transfer or exchange referred to in (1) above;</w:t>
      </w:r>
    </w:p>
    <w:p>
      <w:pPr>
        <w:spacing w:after="0" w:line="137" w:lineRule="exact"/>
        <w:rPr>
          <w:sz w:val="20"/>
          <w:szCs w:val="20"/>
          <w:color w:val="auto"/>
        </w:rPr>
      </w:pPr>
    </w:p>
    <w:p>
      <w:pPr>
        <w:jc w:val="both"/>
        <w:ind w:left="1260"/>
        <w:spacing w:after="0" w:line="228"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no event shall Definitive Notes be issued upon the transfer or exchange of beneficial interests in the</w:t>
      </w:r>
      <w:r>
        <w:rPr>
          <w:rFonts w:ascii="Arial" w:cs="Arial" w:eastAsia="Arial" w:hAnsi="Arial"/>
          <w:sz w:val="21"/>
          <w:szCs w:val="21"/>
          <w:i w:val="1"/>
          <w:iCs w:val="1"/>
          <w:color w:val="auto"/>
        </w:rPr>
        <w:t xml:space="preserve"> </w:t>
      </w:r>
      <w:r>
        <w:rPr>
          <w:rFonts w:ascii="Arial" w:cs="Arial" w:eastAsia="Arial" w:hAnsi="Arial"/>
          <w:sz w:val="21"/>
          <w:szCs w:val="21"/>
          <w:color w:val="auto"/>
        </w:rPr>
        <w:t>Regulation S Temporary Global Note prior to (A) the expiration of the Restricted Period and (B) the receipt by the Registrar of any certificates required pursuant to Rule 903 under the Securities Act.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Upon satisfaction of all of the requirements for transfer or exchange of beneficial interests in Global Notes contained in this</w:t>
      </w:r>
    </w:p>
    <w:p>
      <w:pPr>
        <w:spacing w:after="0" w:line="231" w:lineRule="auto"/>
        <w:rPr>
          <w:sz w:val="20"/>
          <w:szCs w:val="20"/>
          <w:color w:val="auto"/>
        </w:rPr>
      </w:pPr>
      <w:r>
        <w:rPr>
          <w:rFonts w:ascii="Arial" w:cs="Arial" w:eastAsia="Arial" w:hAnsi="Arial"/>
          <w:sz w:val="19"/>
          <w:szCs w:val="19"/>
          <w:color w:val="auto"/>
        </w:rPr>
        <w:t>Indenture and the Notes or otherwise applicable under the Securities Act, the Trustee shall adjust the principal amount of the relevant</w:t>
      </w:r>
    </w:p>
    <w:p>
      <w:pPr>
        <w:spacing w:after="0"/>
        <w:rPr>
          <w:sz w:val="20"/>
          <w:szCs w:val="20"/>
          <w:color w:val="auto"/>
        </w:rPr>
      </w:pPr>
      <w:r>
        <w:rPr>
          <w:rFonts w:ascii="Arial" w:cs="Arial" w:eastAsia="Arial" w:hAnsi="Arial"/>
          <w:sz w:val="21"/>
          <w:szCs w:val="21"/>
          <w:color w:val="auto"/>
        </w:rPr>
        <w:t>Global Note(s) pursuant to Section 2.06(g) hereof.</w:t>
      </w:r>
    </w:p>
    <w:p>
      <w:pPr>
        <w:spacing w:after="0" w:line="162" w:lineRule="exact"/>
        <w:rPr>
          <w:sz w:val="20"/>
          <w:szCs w:val="20"/>
          <w:color w:val="auto"/>
        </w:rPr>
      </w:pPr>
    </w:p>
    <w:p>
      <w:pPr>
        <w:jc w:val="both"/>
        <w:ind w:left="640" w:firstLine="628"/>
        <w:spacing w:after="0" w:line="223" w:lineRule="auto"/>
        <w:tabs>
          <w:tab w:leader="none" w:pos="1899"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Transfer of Beneficial Interests to Another Restricted Global Note</w:t>
      </w:r>
      <w:r>
        <w:rPr>
          <w:rFonts w:ascii="Arial" w:cs="Arial" w:eastAsia="Arial" w:hAnsi="Arial"/>
          <w:sz w:val="21"/>
          <w:szCs w:val="21"/>
          <w:color w:val="auto"/>
        </w:rPr>
        <w:t>. A beneficial interest in any Restricted</w:t>
      </w:r>
      <w:r>
        <w:rPr>
          <w:rFonts w:ascii="Arial" w:cs="Arial" w:eastAsia="Arial" w:hAnsi="Arial"/>
          <w:sz w:val="21"/>
          <w:szCs w:val="21"/>
          <w:i w:val="1"/>
          <w:iCs w:val="1"/>
          <w:color w:val="auto"/>
        </w:rPr>
        <w:t xml:space="preserve"> </w:t>
      </w:r>
      <w:r>
        <w:rPr>
          <w:rFonts w:ascii="Arial" w:cs="Arial" w:eastAsia="Arial" w:hAnsi="Arial"/>
          <w:sz w:val="21"/>
          <w:szCs w:val="21"/>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55" w:lineRule="exact"/>
        <w:rPr>
          <w:rFonts w:ascii="Arial" w:cs="Arial" w:eastAsia="Arial" w:hAnsi="Arial"/>
          <w:sz w:val="21"/>
          <w:szCs w:val="21"/>
          <w:color w:val="auto"/>
        </w:rPr>
      </w:pPr>
    </w:p>
    <w:p>
      <w:pPr>
        <w:ind w:firstLine="1900"/>
        <w:spacing w:after="0" w:line="237" w:lineRule="auto"/>
        <w:tabs>
          <w:tab w:leader="none" w:pos="2516" w:val="left"/>
        </w:tabs>
        <w:numPr>
          <w:ilvl w:val="1"/>
          <w:numId w:val="51"/>
        </w:numPr>
        <w:rPr>
          <w:rFonts w:ascii="Arial" w:cs="Arial" w:eastAsia="Arial" w:hAnsi="Arial"/>
          <w:sz w:val="21"/>
          <w:szCs w:val="21"/>
          <w:color w:val="auto"/>
        </w:rPr>
      </w:pPr>
      <w:r>
        <w:rPr>
          <w:rFonts w:ascii="Arial" w:cs="Arial" w:eastAsia="Arial" w:hAnsi="Arial"/>
          <w:sz w:val="21"/>
          <w:szCs w:val="21"/>
          <w:color w:val="auto"/>
        </w:rPr>
        <w:t xml:space="preserve">if the transferee shall take delivery in the form of a beneficial interest in the 144A Global Note, then the transferor must deliver a certificate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(1) thereof;</w:t>
      </w:r>
    </w:p>
    <w:p>
      <w:pPr>
        <w:spacing w:after="0" w:line="154" w:lineRule="exact"/>
        <w:rPr>
          <w:rFonts w:ascii="Arial" w:cs="Arial" w:eastAsia="Arial" w:hAnsi="Arial"/>
          <w:sz w:val="21"/>
          <w:szCs w:val="21"/>
          <w:color w:val="auto"/>
        </w:rPr>
      </w:pPr>
    </w:p>
    <w:p>
      <w:pPr>
        <w:ind w:firstLine="1900"/>
        <w:spacing w:after="0" w:line="237" w:lineRule="auto"/>
        <w:tabs>
          <w:tab w:leader="none" w:pos="2518" w:val="left"/>
        </w:tabs>
        <w:numPr>
          <w:ilvl w:val="1"/>
          <w:numId w:val="51"/>
        </w:numPr>
        <w:rPr>
          <w:rFonts w:ascii="Arial" w:cs="Arial" w:eastAsia="Arial" w:hAnsi="Arial"/>
          <w:sz w:val="21"/>
          <w:szCs w:val="21"/>
          <w:color w:val="auto"/>
        </w:rPr>
      </w:pPr>
      <w:r>
        <w:rPr>
          <w:rFonts w:ascii="Arial" w:cs="Arial" w:eastAsia="Arial" w:hAnsi="Arial"/>
          <w:sz w:val="21"/>
          <w:szCs w:val="21"/>
          <w:color w:val="auto"/>
        </w:rPr>
        <w:t>if the transferee shall take delivery in the form of a beneficial interest in the Regulation S Temporary Global Note or the Regulation S Permanent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368"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 xml:space="preserve">then the transferor must deliver a certificate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(2) thereof; and</w:t>
      </w:r>
    </w:p>
    <w:p>
      <w:pPr>
        <w:spacing w:after="0" w:line="191" w:lineRule="exact"/>
        <w:rPr>
          <w:sz w:val="20"/>
          <w:szCs w:val="20"/>
          <w:color w:val="auto"/>
        </w:rPr>
      </w:pPr>
    </w:p>
    <w:p>
      <w:pPr>
        <w:jc w:val="both"/>
        <w:ind w:firstLine="1900"/>
        <w:spacing w:after="0" w:line="228" w:lineRule="auto"/>
        <w:tabs>
          <w:tab w:leader="none" w:pos="2518" w:val="left"/>
        </w:tabs>
        <w:numPr>
          <w:ilvl w:val="1"/>
          <w:numId w:val="52"/>
        </w:numPr>
        <w:rPr>
          <w:rFonts w:ascii="Arial" w:cs="Arial" w:eastAsia="Arial" w:hAnsi="Arial"/>
          <w:sz w:val="21"/>
          <w:szCs w:val="21"/>
          <w:color w:val="auto"/>
        </w:rPr>
      </w:pPr>
      <w:r>
        <w:rPr>
          <w:rFonts w:ascii="Arial" w:cs="Arial" w:eastAsia="Arial" w:hAnsi="Arial"/>
          <w:sz w:val="21"/>
          <w:szCs w:val="21"/>
          <w:color w:val="auto"/>
        </w:rPr>
        <w:t xml:space="preserve">if the transferee shall take delivery in the form of a beneficial interest in the IAI Global Note, then the transferor must deliver a certificate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certificates and Opinion of Counsel required by item (3) thereof, if applicable.</w:t>
      </w:r>
    </w:p>
    <w:p>
      <w:pPr>
        <w:spacing w:after="0" w:line="153" w:lineRule="exact"/>
        <w:rPr>
          <w:rFonts w:ascii="Arial" w:cs="Arial" w:eastAsia="Arial" w:hAnsi="Arial"/>
          <w:sz w:val="21"/>
          <w:szCs w:val="21"/>
          <w:color w:val="auto"/>
        </w:rPr>
      </w:pPr>
    </w:p>
    <w:p>
      <w:pPr>
        <w:jc w:val="both"/>
        <w:ind w:left="640" w:firstLine="628"/>
        <w:spacing w:after="0" w:line="236" w:lineRule="auto"/>
        <w:tabs>
          <w:tab w:leader="none" w:pos="1899"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a Restricted Global Note for Beneficial Interests in an Unrestricted Global Note</w:t>
      </w:r>
      <w:r>
        <w:rPr>
          <w:rFonts w:ascii="Arial" w:cs="Arial" w:eastAsia="Arial" w:hAnsi="Arial"/>
          <w:sz w:val="19"/>
          <w:szCs w:val="19"/>
          <w:color w:val="auto"/>
        </w:rPr>
        <w:t>. A beneficial interest in any Restricted Global Note may be exchanged by any holder thereof for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or transferred to a Person who takes delivery thereof in the form of a beneficial interest in an Unrestricted Global Note if the exchange or transfer complies with the requirements of Section</w:t>
      </w:r>
    </w:p>
    <w:p>
      <w:pPr>
        <w:ind w:left="640"/>
        <w:spacing w:after="0"/>
        <w:rPr>
          <w:rFonts w:ascii="Arial" w:cs="Arial" w:eastAsia="Arial" w:hAnsi="Arial"/>
          <w:sz w:val="19"/>
          <w:szCs w:val="19"/>
          <w:color w:val="auto"/>
        </w:rPr>
      </w:pPr>
      <w:r>
        <w:rPr>
          <w:rFonts w:ascii="Arial" w:cs="Arial" w:eastAsia="Arial" w:hAnsi="Arial"/>
          <w:sz w:val="21"/>
          <w:szCs w:val="21"/>
          <w:color w:val="auto"/>
        </w:rPr>
        <w:t>2.06(b)(2) above and the Registrar receives the following:</w:t>
      </w:r>
    </w:p>
    <w:p>
      <w:pPr>
        <w:spacing w:after="0" w:line="161" w:lineRule="exact"/>
        <w:rPr>
          <w:rFonts w:ascii="Arial" w:cs="Arial" w:eastAsia="Arial" w:hAnsi="Arial"/>
          <w:sz w:val="19"/>
          <w:szCs w:val="19"/>
          <w:color w:val="auto"/>
        </w:rPr>
      </w:pPr>
    </w:p>
    <w:p>
      <w:pPr>
        <w:jc w:val="both"/>
        <w:ind w:firstLine="1900"/>
        <w:spacing w:after="0" w:line="228" w:lineRule="auto"/>
        <w:tabs>
          <w:tab w:leader="none" w:pos="2516" w:val="left"/>
        </w:tabs>
        <w:numPr>
          <w:ilvl w:val="1"/>
          <w:numId w:val="53"/>
        </w:numPr>
        <w:rPr>
          <w:rFonts w:ascii="Arial" w:cs="Arial" w:eastAsia="Arial" w:hAnsi="Arial"/>
          <w:sz w:val="21"/>
          <w:szCs w:val="21"/>
          <w:color w:val="auto"/>
        </w:rPr>
      </w:pPr>
      <w:r>
        <w:rPr>
          <w:rFonts w:ascii="Arial" w:cs="Arial" w:eastAsia="Arial" w:hAnsi="Arial"/>
          <w:sz w:val="21"/>
          <w:szCs w:val="21"/>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including the certifications in item (1)(a) thereof; or</w:t>
      </w:r>
    </w:p>
    <w:p>
      <w:pPr>
        <w:spacing w:after="0" w:line="153" w:lineRule="exact"/>
        <w:rPr>
          <w:rFonts w:ascii="Arial" w:cs="Arial" w:eastAsia="Arial" w:hAnsi="Arial"/>
          <w:sz w:val="21"/>
          <w:szCs w:val="21"/>
          <w:color w:val="auto"/>
        </w:rPr>
      </w:pPr>
    </w:p>
    <w:p>
      <w:pPr>
        <w:jc w:val="both"/>
        <w:ind w:firstLine="1900"/>
        <w:spacing w:after="0" w:line="228" w:lineRule="auto"/>
        <w:tabs>
          <w:tab w:leader="none" w:pos="2518" w:val="left"/>
        </w:tabs>
        <w:numPr>
          <w:ilvl w:val="1"/>
          <w:numId w:val="53"/>
        </w:numPr>
        <w:rPr>
          <w:rFonts w:ascii="Arial" w:cs="Arial" w:eastAsia="Arial" w:hAnsi="Arial"/>
          <w:sz w:val="21"/>
          <w:szCs w:val="21"/>
          <w:color w:val="auto"/>
        </w:rPr>
      </w:pPr>
      <w:r>
        <w:rPr>
          <w:rFonts w:ascii="Arial" w:cs="Arial" w:eastAsia="Arial" w:hAnsi="Arial"/>
          <w:sz w:val="21"/>
          <w:szCs w:val="21"/>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(4) thereof;</w:t>
      </w:r>
    </w:p>
    <w:p>
      <w:pPr>
        <w:spacing w:after="0" w:line="154" w:lineRule="exact"/>
        <w:rPr>
          <w:sz w:val="20"/>
          <w:szCs w:val="20"/>
          <w:color w:val="auto"/>
        </w:rPr>
      </w:pPr>
    </w:p>
    <w:p>
      <w:pPr>
        <w:jc w:val="both"/>
        <w:ind w:left="1260"/>
        <w:spacing w:after="0" w:line="223"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5"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If any such transfer is effected pursuant to this paragraph (4)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paragraph (4) above.</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Beneficial interests in an Unrestricted Global Note cannot be exchanged for, or transferred to Persons who take delivery thereof in the form of, a beneficial interest in a Restricted Global Note.</w:t>
      </w:r>
    </w:p>
    <w:p>
      <w:pPr>
        <w:spacing w:after="0" w:line="155" w:lineRule="exact"/>
        <w:rPr>
          <w:sz w:val="20"/>
          <w:szCs w:val="20"/>
          <w:color w:val="auto"/>
        </w:rPr>
      </w:pPr>
    </w:p>
    <w:p>
      <w:pPr>
        <w:ind w:left="1260" w:hanging="623"/>
        <w:spacing w:after="0"/>
        <w:tabs>
          <w:tab w:leader="none" w:pos="1260" w:val="left"/>
        </w:tabs>
        <w:numPr>
          <w:ilvl w:val="0"/>
          <w:numId w:val="54"/>
        </w:numPr>
        <w:rPr>
          <w:rFonts w:ascii="Arial" w:cs="Arial" w:eastAsia="Arial" w:hAnsi="Arial"/>
          <w:sz w:val="21"/>
          <w:szCs w:val="21"/>
          <w:color w:val="auto"/>
        </w:rPr>
      </w:pPr>
      <w:r>
        <w:rPr>
          <w:rFonts w:ascii="Arial" w:cs="Arial" w:eastAsia="Arial" w:hAnsi="Arial"/>
          <w:sz w:val="21"/>
          <w:szCs w:val="21"/>
          <w:i w:val="1"/>
          <w:iCs w:val="1"/>
          <w:color w:val="auto"/>
        </w:rPr>
        <w:t>Transfer or Exchange of Beneficial Interests for Definitive Notes.</w:t>
      </w:r>
    </w:p>
    <w:p>
      <w:pPr>
        <w:spacing w:after="0" w:line="179" w:lineRule="exact"/>
        <w:rPr>
          <w:rFonts w:ascii="Arial" w:cs="Arial" w:eastAsia="Arial" w:hAnsi="Arial"/>
          <w:sz w:val="21"/>
          <w:szCs w:val="21"/>
          <w:color w:val="auto"/>
        </w:rPr>
      </w:pPr>
    </w:p>
    <w:p>
      <w:pPr>
        <w:jc w:val="both"/>
        <w:ind w:left="640" w:firstLine="628"/>
        <w:spacing w:after="0" w:line="223" w:lineRule="auto"/>
        <w:tabs>
          <w:tab w:leader="none" w:pos="1899" w:val="left"/>
        </w:tabs>
        <w:numPr>
          <w:ilvl w:val="1"/>
          <w:numId w:val="54"/>
        </w:numPr>
        <w:rPr>
          <w:rFonts w:ascii="Arial" w:cs="Arial" w:eastAsia="Arial" w:hAnsi="Arial"/>
          <w:sz w:val="21"/>
          <w:szCs w:val="21"/>
          <w:color w:val="auto"/>
        </w:rPr>
      </w:pPr>
      <w:r>
        <w:rPr>
          <w:rFonts w:ascii="Arial" w:cs="Arial" w:eastAsia="Arial" w:hAnsi="Arial"/>
          <w:sz w:val="21"/>
          <w:szCs w:val="21"/>
          <w:i w:val="1"/>
          <w:iCs w:val="1"/>
          <w:color w:val="auto"/>
        </w:rPr>
        <w:t>Beneficial Interests in Restricted Global Notes to Restricted Definitive Notes</w:t>
      </w:r>
      <w:r>
        <w:rPr>
          <w:rFonts w:ascii="Arial" w:cs="Arial" w:eastAsia="Arial" w:hAnsi="Arial"/>
          <w:sz w:val="21"/>
          <w:szCs w:val="21"/>
          <w:color w:val="auto"/>
        </w:rPr>
        <w:t>. If any holder of a beneficial</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55" w:lineRule="exact"/>
        <w:rPr>
          <w:rFonts w:ascii="Arial" w:cs="Arial" w:eastAsia="Arial" w:hAnsi="Arial"/>
          <w:sz w:val="21"/>
          <w:szCs w:val="21"/>
          <w:color w:val="auto"/>
        </w:rPr>
      </w:pPr>
    </w:p>
    <w:p>
      <w:pPr>
        <w:jc w:val="both"/>
        <w:ind w:firstLine="1900"/>
        <w:spacing w:after="0" w:line="228" w:lineRule="auto"/>
        <w:tabs>
          <w:tab w:leader="none" w:pos="2516" w:val="left"/>
        </w:tabs>
        <w:numPr>
          <w:ilvl w:val="2"/>
          <w:numId w:val="54"/>
        </w:numPr>
        <w:rPr>
          <w:rFonts w:ascii="Arial" w:cs="Arial" w:eastAsia="Arial" w:hAnsi="Arial"/>
          <w:sz w:val="21"/>
          <w:szCs w:val="21"/>
          <w:color w:val="auto"/>
        </w:rPr>
      </w:pPr>
      <w:r>
        <w:rPr>
          <w:rFonts w:ascii="Arial" w:cs="Arial" w:eastAsia="Arial" w:hAnsi="Arial"/>
          <w:sz w:val="21"/>
          <w:szCs w:val="21"/>
          <w:color w:val="auto"/>
        </w:rPr>
        <w:t xml:space="preserve">if the holder of such beneficial interest in a Restricted Global Note proposes to exchange such beneficial interest for a Restricted Definitive Note, a certificate from such holder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including the certifications in item (2)(a)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368" w:right="339" w:bottom="1440" w:gutter="0" w:footer="0" w:header="0"/>
        </w:sectPr>
      </w:pPr>
    </w:p>
    <w:bookmarkStart w:id="42" w:name="page43"/>
    <w:bookmarkEnd w:id="42"/>
    <w:p>
      <w:pPr>
        <w:ind w:firstLine="1900"/>
        <w:spacing w:after="0" w:line="237" w:lineRule="auto"/>
        <w:tabs>
          <w:tab w:leader="none" w:pos="2518" w:val="left"/>
        </w:tabs>
        <w:numPr>
          <w:ilvl w:val="1"/>
          <w:numId w:val="55"/>
        </w:numPr>
        <w:rPr>
          <w:rFonts w:ascii="Arial" w:cs="Arial" w:eastAsia="Arial" w:hAnsi="Arial"/>
          <w:sz w:val="21"/>
          <w:szCs w:val="21"/>
          <w:color w:val="auto"/>
        </w:rPr>
      </w:pPr>
      <w:r>
        <w:rPr>
          <w:rFonts w:ascii="Arial" w:cs="Arial" w:eastAsia="Arial" w:hAnsi="Arial"/>
          <w:sz w:val="21"/>
          <w:szCs w:val="21"/>
          <w:color w:val="auto"/>
        </w:rPr>
        <w:t xml:space="preserve">if such beneficial interest is being transferred to a QIB in accordance with Rule 144A, a certificate to the effect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(1) thereof;</w:t>
      </w:r>
    </w:p>
    <w:p>
      <w:pPr>
        <w:spacing w:after="0" w:line="154" w:lineRule="exact"/>
        <w:rPr>
          <w:rFonts w:ascii="Arial" w:cs="Arial" w:eastAsia="Arial" w:hAnsi="Arial"/>
          <w:sz w:val="21"/>
          <w:szCs w:val="21"/>
          <w:color w:val="auto"/>
        </w:rPr>
      </w:pPr>
    </w:p>
    <w:p>
      <w:pPr>
        <w:jc w:val="both"/>
        <w:ind w:firstLine="1900"/>
        <w:spacing w:after="0" w:line="228" w:lineRule="auto"/>
        <w:tabs>
          <w:tab w:leader="none" w:pos="2518" w:val="left"/>
        </w:tabs>
        <w:numPr>
          <w:ilvl w:val="1"/>
          <w:numId w:val="55"/>
        </w:numPr>
        <w:rPr>
          <w:rFonts w:ascii="Arial" w:cs="Arial" w:eastAsia="Arial" w:hAnsi="Arial"/>
          <w:sz w:val="21"/>
          <w:szCs w:val="21"/>
          <w:color w:val="auto"/>
        </w:rPr>
      </w:pPr>
      <w:r>
        <w:rPr>
          <w:rFonts w:ascii="Arial" w:cs="Arial" w:eastAsia="Arial" w:hAnsi="Arial"/>
          <w:sz w:val="21"/>
          <w:szCs w:val="21"/>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(2) thereof;</w:t>
      </w:r>
    </w:p>
    <w:p>
      <w:pPr>
        <w:spacing w:after="0" w:line="153" w:lineRule="exact"/>
        <w:rPr>
          <w:rFonts w:ascii="Arial" w:cs="Arial" w:eastAsia="Arial" w:hAnsi="Arial"/>
          <w:sz w:val="21"/>
          <w:szCs w:val="21"/>
          <w:color w:val="auto"/>
        </w:rPr>
      </w:pPr>
    </w:p>
    <w:p>
      <w:pPr>
        <w:jc w:val="both"/>
        <w:ind w:firstLine="1900"/>
        <w:spacing w:after="0" w:line="228" w:lineRule="auto"/>
        <w:tabs>
          <w:tab w:leader="none" w:pos="2516" w:val="left"/>
        </w:tabs>
        <w:numPr>
          <w:ilvl w:val="1"/>
          <w:numId w:val="55"/>
        </w:numPr>
        <w:rPr>
          <w:rFonts w:ascii="Arial" w:cs="Arial" w:eastAsia="Arial" w:hAnsi="Arial"/>
          <w:sz w:val="21"/>
          <w:szCs w:val="21"/>
          <w:color w:val="auto"/>
        </w:rPr>
      </w:pPr>
      <w:r>
        <w:rPr>
          <w:rFonts w:ascii="Arial" w:cs="Arial" w:eastAsia="Arial" w:hAnsi="Arial"/>
          <w:sz w:val="21"/>
          <w:szCs w:val="21"/>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(3)(a) thereof;</w:t>
      </w:r>
    </w:p>
    <w:p>
      <w:pPr>
        <w:spacing w:after="0" w:line="153" w:lineRule="exact"/>
        <w:rPr>
          <w:rFonts w:ascii="Arial" w:cs="Arial" w:eastAsia="Arial" w:hAnsi="Arial"/>
          <w:sz w:val="21"/>
          <w:szCs w:val="21"/>
          <w:color w:val="auto"/>
        </w:rPr>
      </w:pPr>
    </w:p>
    <w:p>
      <w:pPr>
        <w:jc w:val="both"/>
        <w:ind w:firstLine="1900"/>
        <w:spacing w:after="0" w:line="237" w:lineRule="auto"/>
        <w:tabs>
          <w:tab w:leader="none" w:pos="2519"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certificates and Opinion of Counsel required by item</w:t>
      </w:r>
    </w:p>
    <w:p>
      <w:pPr>
        <w:spacing w:after="0" w:line="2" w:lineRule="exact"/>
        <w:rPr>
          <w:rFonts w:ascii="Arial" w:cs="Arial" w:eastAsia="Arial" w:hAnsi="Arial"/>
          <w:sz w:val="19"/>
          <w:szCs w:val="19"/>
          <w:color w:val="auto"/>
        </w:rPr>
      </w:pPr>
    </w:p>
    <w:p>
      <w:pPr>
        <w:ind w:left="300" w:hanging="295"/>
        <w:spacing w:after="0"/>
        <w:tabs>
          <w:tab w:leader="none" w:pos="30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thereof, if applicable; or</w:t>
      </w:r>
    </w:p>
    <w:p>
      <w:pPr>
        <w:spacing w:after="0" w:line="161" w:lineRule="exact"/>
        <w:rPr>
          <w:rFonts w:ascii="Arial" w:cs="Arial" w:eastAsia="Arial" w:hAnsi="Arial"/>
          <w:sz w:val="21"/>
          <w:szCs w:val="21"/>
          <w:color w:val="auto"/>
        </w:rPr>
      </w:pPr>
    </w:p>
    <w:p>
      <w:pPr>
        <w:ind w:firstLine="1900"/>
        <w:spacing w:after="0" w:line="237" w:lineRule="auto"/>
        <w:tabs>
          <w:tab w:leader="none" w:pos="2521" w:val="left"/>
        </w:tabs>
        <w:numPr>
          <w:ilvl w:val="1"/>
          <w:numId w:val="56"/>
        </w:numPr>
        <w:rPr>
          <w:rFonts w:ascii="Arial" w:cs="Arial" w:eastAsia="Arial" w:hAnsi="Arial"/>
          <w:sz w:val="21"/>
          <w:szCs w:val="21"/>
          <w:color w:val="auto"/>
        </w:rPr>
      </w:pPr>
      <w:r>
        <w:rPr>
          <w:rFonts w:ascii="Arial" w:cs="Arial" w:eastAsia="Arial" w:hAnsi="Arial"/>
          <w:sz w:val="21"/>
          <w:szCs w:val="21"/>
          <w:color w:val="auto"/>
        </w:rPr>
        <w:t xml:space="preserve">if such beneficial interest is being transferred to the Issuers or any of their Subsidiaries, a certificate to the effect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(3)(b) thereof,</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Trustee shall cause the aggregate principal amount of the applicable Global Note to be reduced accordingly pursuant to Section 2.06(g)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54" w:lineRule="exact"/>
        <w:rPr>
          <w:sz w:val="20"/>
          <w:szCs w:val="20"/>
          <w:color w:val="auto"/>
        </w:rPr>
      </w:pPr>
    </w:p>
    <w:p>
      <w:pPr>
        <w:jc w:val="both"/>
        <w:ind w:left="640" w:firstLine="628"/>
        <w:spacing w:after="0" w:line="218" w:lineRule="auto"/>
        <w:tabs>
          <w:tab w:leader="none" w:pos="1899" w:val="left"/>
        </w:tabs>
        <w:numPr>
          <w:ilvl w:val="0"/>
          <w:numId w:val="57"/>
        </w:numPr>
        <w:rPr>
          <w:rFonts w:ascii="Arial" w:cs="Arial" w:eastAsia="Arial" w:hAnsi="Arial"/>
          <w:sz w:val="21"/>
          <w:szCs w:val="21"/>
          <w:color w:val="auto"/>
        </w:rPr>
      </w:pPr>
      <w:r>
        <w:rPr>
          <w:rFonts w:ascii="Arial" w:cs="Arial" w:eastAsia="Arial" w:hAnsi="Arial"/>
          <w:sz w:val="21"/>
          <w:szCs w:val="21"/>
          <w:i w:val="1"/>
          <w:iCs w:val="1"/>
          <w:color w:val="auto"/>
        </w:rPr>
        <w:t xml:space="preserve">Beneficial Interests in Regulation S Temporary Global Note to Definitive Notes. </w:t>
      </w:r>
      <w:r>
        <w:rPr>
          <w:rFonts w:ascii="Arial" w:cs="Arial" w:eastAsia="Arial" w:hAnsi="Arial"/>
          <w:sz w:val="21"/>
          <w:szCs w:val="21"/>
          <w:color w:val="auto"/>
        </w:rPr>
        <w:t>Notwithstanding Sections</w:t>
      </w:r>
      <w:r>
        <w:rPr>
          <w:rFonts w:ascii="Arial" w:cs="Arial" w:eastAsia="Arial" w:hAnsi="Arial"/>
          <w:sz w:val="21"/>
          <w:szCs w:val="21"/>
          <w:i w:val="1"/>
          <w:iCs w:val="1"/>
          <w:color w:val="auto"/>
        </w:rPr>
        <w:t xml:space="preserve"> </w:t>
      </w:r>
      <w:r>
        <w:rPr>
          <w:rFonts w:ascii="Arial" w:cs="Arial" w:eastAsia="Arial" w:hAnsi="Arial"/>
          <w:sz w:val="21"/>
          <w:szCs w:val="21"/>
          <w:color w:val="auto"/>
        </w:rPr>
        <w:t>2.06(c)(1)(A)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 (ii)(B) under the Securities Act, except in the case of a transfer pursuant to an exemption from the registration requirements of the Securities Act other than Rule 903 or Rule 904.</w:t>
      </w:r>
    </w:p>
    <w:p>
      <w:pPr>
        <w:spacing w:after="0" w:line="157" w:lineRule="exact"/>
        <w:rPr>
          <w:rFonts w:ascii="Arial" w:cs="Arial" w:eastAsia="Arial" w:hAnsi="Arial"/>
          <w:sz w:val="21"/>
          <w:szCs w:val="21"/>
          <w:color w:val="auto"/>
        </w:rPr>
      </w:pPr>
    </w:p>
    <w:p>
      <w:pPr>
        <w:jc w:val="both"/>
        <w:ind w:left="640" w:firstLine="628"/>
        <w:spacing w:after="0" w:line="223" w:lineRule="auto"/>
        <w:tabs>
          <w:tab w:leader="none" w:pos="1899" w:val="left"/>
        </w:tabs>
        <w:numPr>
          <w:ilvl w:val="0"/>
          <w:numId w:val="57"/>
        </w:numPr>
        <w:rPr>
          <w:rFonts w:ascii="Arial" w:cs="Arial" w:eastAsia="Arial" w:hAnsi="Arial"/>
          <w:sz w:val="21"/>
          <w:szCs w:val="21"/>
          <w:color w:val="auto"/>
        </w:rPr>
      </w:pPr>
      <w:r>
        <w:rPr>
          <w:rFonts w:ascii="Arial" w:cs="Arial" w:eastAsia="Arial" w:hAnsi="Arial"/>
          <w:sz w:val="21"/>
          <w:szCs w:val="21"/>
          <w:i w:val="1"/>
          <w:iCs w:val="1"/>
          <w:color w:val="auto"/>
        </w:rPr>
        <w:t>Beneficial Interests in Restricted Global Notes to Unrestricted Definitive Notes</w:t>
      </w:r>
      <w:r>
        <w:rPr>
          <w:rFonts w:ascii="Arial" w:cs="Arial" w:eastAsia="Arial" w:hAnsi="Arial"/>
          <w:sz w:val="21"/>
          <w:szCs w:val="21"/>
          <w:color w:val="auto"/>
        </w:rPr>
        <w:t>. A holder of a beneficial</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55" w:lineRule="exact"/>
        <w:rPr>
          <w:rFonts w:ascii="Arial" w:cs="Arial" w:eastAsia="Arial" w:hAnsi="Arial"/>
          <w:sz w:val="21"/>
          <w:szCs w:val="21"/>
          <w:color w:val="auto"/>
        </w:rPr>
      </w:pPr>
    </w:p>
    <w:p>
      <w:pPr>
        <w:jc w:val="both"/>
        <w:ind w:firstLine="2532"/>
        <w:spacing w:after="0" w:line="228" w:lineRule="auto"/>
        <w:tabs>
          <w:tab w:leader="none" w:pos="3146" w:val="left"/>
        </w:tabs>
        <w:numPr>
          <w:ilvl w:val="1"/>
          <w:numId w:val="57"/>
        </w:numPr>
        <w:rPr>
          <w:rFonts w:ascii="Arial" w:cs="Arial" w:eastAsia="Arial" w:hAnsi="Arial"/>
          <w:sz w:val="21"/>
          <w:szCs w:val="21"/>
          <w:color w:val="auto"/>
        </w:rPr>
      </w:pPr>
      <w:r>
        <w:rPr>
          <w:rFonts w:ascii="Arial" w:cs="Arial" w:eastAsia="Arial" w:hAnsi="Arial"/>
          <w:sz w:val="21"/>
          <w:szCs w:val="21"/>
          <w:color w:val="auto"/>
        </w:rPr>
        <w:t xml:space="preserve">if the holder of such beneficial interest in a Restricted Global Note proposes to exchange such beneficial interest for an Unrestricted Definitive Note, a certificate from such holder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including the certifications in item (1)(b)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368" w:right="339" w:bottom="1440" w:gutter="0" w:footer="0" w:header="0"/>
        </w:sectPr>
      </w:pPr>
    </w:p>
    <w:bookmarkStart w:id="43" w:name="page44"/>
    <w:bookmarkEnd w:id="43"/>
    <w:p>
      <w:pPr>
        <w:jc w:val="both"/>
        <w:ind w:firstLine="2532"/>
        <w:spacing w:after="0" w:line="228" w:lineRule="auto"/>
        <w:tabs>
          <w:tab w:leader="none" w:pos="3152"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(4) thereof;</w:t>
      </w:r>
    </w:p>
    <w:p>
      <w:pPr>
        <w:spacing w:after="0" w:line="154" w:lineRule="exact"/>
        <w:rPr>
          <w:sz w:val="20"/>
          <w:szCs w:val="20"/>
          <w:color w:val="auto"/>
        </w:rPr>
      </w:pPr>
    </w:p>
    <w:p>
      <w:pPr>
        <w:jc w:val="both"/>
        <w:ind w:left="1260"/>
        <w:spacing w:after="0" w:line="223"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5" w:lineRule="exact"/>
        <w:rPr>
          <w:sz w:val="20"/>
          <w:szCs w:val="20"/>
          <w:color w:val="auto"/>
        </w:rPr>
      </w:pPr>
    </w:p>
    <w:p>
      <w:pPr>
        <w:jc w:val="both"/>
        <w:ind w:left="640" w:firstLine="628"/>
        <w:spacing w:after="0" w:line="236" w:lineRule="auto"/>
        <w:tabs>
          <w:tab w:leader="none" w:pos="1899" w:val="left"/>
        </w:tabs>
        <w:numPr>
          <w:ilvl w:val="2"/>
          <w:numId w:val="59"/>
        </w:numPr>
        <w:rPr>
          <w:rFonts w:ascii="Arial" w:cs="Arial" w:eastAsia="Arial" w:hAnsi="Arial"/>
          <w:sz w:val="19"/>
          <w:szCs w:val="19"/>
          <w:color w:val="auto"/>
        </w:rPr>
      </w:pPr>
      <w:r>
        <w:rPr>
          <w:rFonts w:ascii="Arial" w:cs="Arial" w:eastAsia="Arial" w:hAnsi="Arial"/>
          <w:sz w:val="19"/>
          <w:szCs w:val="19"/>
          <w:i w:val="1"/>
          <w:iCs w:val="1"/>
          <w:color w:val="auto"/>
        </w:rPr>
        <w:t>Beneficial Interests in Unrestricted Global Notes to Unrestricted Definitive Notes</w:t>
      </w:r>
      <w:r>
        <w:rPr>
          <w:rFonts w:ascii="Arial" w:cs="Arial" w:eastAsia="Arial" w:hAnsi="Arial"/>
          <w:sz w:val="19"/>
          <w:szCs w:val="19"/>
          <w:color w:val="auto"/>
        </w:rPr>
        <w:t>. If any holder of a beneficial</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w:t>
      </w:r>
    </w:p>
    <w:p>
      <w:pPr>
        <w:spacing w:after="0" w:line="163" w:lineRule="exact"/>
        <w:rPr>
          <w:rFonts w:ascii="Arial" w:cs="Arial" w:eastAsia="Arial" w:hAnsi="Arial"/>
          <w:sz w:val="19"/>
          <w:szCs w:val="19"/>
          <w:color w:val="auto"/>
        </w:rPr>
      </w:pPr>
    </w:p>
    <w:p>
      <w:pPr>
        <w:ind w:left="1260" w:hanging="623"/>
        <w:spacing w:after="0"/>
        <w:tabs>
          <w:tab w:leader="none" w:pos="1260" w:val="left"/>
        </w:tabs>
        <w:numPr>
          <w:ilvl w:val="1"/>
          <w:numId w:val="60"/>
        </w:numPr>
        <w:rPr>
          <w:rFonts w:ascii="Arial" w:cs="Arial" w:eastAsia="Arial" w:hAnsi="Arial"/>
          <w:sz w:val="21"/>
          <w:szCs w:val="21"/>
          <w:color w:val="auto"/>
        </w:rPr>
      </w:pPr>
      <w:r>
        <w:rPr>
          <w:rFonts w:ascii="Arial" w:cs="Arial" w:eastAsia="Arial" w:hAnsi="Arial"/>
          <w:sz w:val="21"/>
          <w:szCs w:val="21"/>
          <w:i w:val="1"/>
          <w:iCs w:val="1"/>
          <w:color w:val="auto"/>
        </w:rPr>
        <w:t>Transfer and Exchange of Definitive Notes for Beneficial Interests.</w:t>
      </w:r>
    </w:p>
    <w:p>
      <w:pPr>
        <w:spacing w:after="0" w:line="179" w:lineRule="exact"/>
        <w:rPr>
          <w:rFonts w:ascii="Arial" w:cs="Arial" w:eastAsia="Arial" w:hAnsi="Arial"/>
          <w:sz w:val="21"/>
          <w:szCs w:val="21"/>
          <w:color w:val="auto"/>
        </w:rPr>
      </w:pPr>
    </w:p>
    <w:p>
      <w:pPr>
        <w:jc w:val="both"/>
        <w:ind w:left="640" w:firstLine="628"/>
        <w:spacing w:after="0" w:line="223" w:lineRule="auto"/>
        <w:tabs>
          <w:tab w:leader="none" w:pos="1899" w:val="left"/>
        </w:tabs>
        <w:numPr>
          <w:ilvl w:val="2"/>
          <w:numId w:val="60"/>
        </w:numPr>
        <w:rPr>
          <w:rFonts w:ascii="Arial" w:cs="Arial" w:eastAsia="Arial" w:hAnsi="Arial"/>
          <w:sz w:val="21"/>
          <w:szCs w:val="21"/>
          <w:color w:val="auto"/>
        </w:rPr>
      </w:pPr>
      <w:r>
        <w:rPr>
          <w:rFonts w:ascii="Arial" w:cs="Arial" w:eastAsia="Arial" w:hAnsi="Arial"/>
          <w:sz w:val="21"/>
          <w:szCs w:val="21"/>
          <w:i w:val="1"/>
          <w:iCs w:val="1"/>
          <w:color w:val="auto"/>
        </w:rPr>
        <w:t xml:space="preserve">Restricted Definitive Notes to Beneficial Interests in Restricted Global Notes. </w:t>
      </w:r>
      <w:r>
        <w:rPr>
          <w:rFonts w:ascii="Arial" w:cs="Arial" w:eastAsia="Arial" w:hAnsi="Arial"/>
          <w:sz w:val="21"/>
          <w:szCs w:val="21"/>
          <w:color w:val="auto"/>
        </w:rPr>
        <w:t>If any Holder of a Restricted</w:t>
      </w:r>
      <w:r>
        <w:rPr>
          <w:rFonts w:ascii="Arial" w:cs="Arial" w:eastAsia="Arial" w:hAnsi="Arial"/>
          <w:sz w:val="21"/>
          <w:szCs w:val="21"/>
          <w:i w:val="1"/>
          <w:iCs w:val="1"/>
          <w:color w:val="auto"/>
        </w:rPr>
        <w:t xml:space="preserve"> </w:t>
      </w:r>
      <w:r>
        <w:rPr>
          <w:rFonts w:ascii="Arial" w:cs="Arial" w:eastAsia="Arial" w:hAnsi="Arial"/>
          <w:sz w:val="21"/>
          <w:szCs w:val="21"/>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55" w:lineRule="exact"/>
        <w:rPr>
          <w:rFonts w:ascii="Arial" w:cs="Arial" w:eastAsia="Arial" w:hAnsi="Arial"/>
          <w:sz w:val="21"/>
          <w:szCs w:val="21"/>
          <w:color w:val="auto"/>
        </w:rPr>
      </w:pPr>
    </w:p>
    <w:p>
      <w:pPr>
        <w:jc w:val="both"/>
        <w:ind w:firstLine="1900"/>
        <w:spacing w:after="0" w:line="228" w:lineRule="auto"/>
        <w:tabs>
          <w:tab w:leader="none" w:pos="2516" w:val="left"/>
        </w:tabs>
        <w:numPr>
          <w:ilvl w:val="3"/>
          <w:numId w:val="60"/>
        </w:numPr>
        <w:rPr>
          <w:rFonts w:ascii="Arial" w:cs="Arial" w:eastAsia="Arial" w:hAnsi="Arial"/>
          <w:sz w:val="21"/>
          <w:szCs w:val="21"/>
          <w:color w:val="auto"/>
        </w:rPr>
      </w:pPr>
      <w:r>
        <w:rPr>
          <w:rFonts w:ascii="Arial" w:cs="Arial" w:eastAsia="Arial" w:hAnsi="Arial"/>
          <w:sz w:val="21"/>
          <w:szCs w:val="21"/>
          <w:color w:val="auto"/>
        </w:rPr>
        <w:t xml:space="preserve">if the Holder of such Restricted Definitive Note proposes to exchange such Note for a beneficial interest in a Restricted Global Note, a certificate from such Holder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including the certifications in item (2)(b) thereof;</w:t>
      </w:r>
    </w:p>
    <w:p>
      <w:pPr>
        <w:spacing w:after="0" w:line="153" w:lineRule="exact"/>
        <w:rPr>
          <w:rFonts w:ascii="Arial" w:cs="Arial" w:eastAsia="Arial" w:hAnsi="Arial"/>
          <w:sz w:val="21"/>
          <w:szCs w:val="21"/>
          <w:color w:val="auto"/>
        </w:rPr>
      </w:pPr>
    </w:p>
    <w:p>
      <w:pPr>
        <w:ind w:firstLine="1900"/>
        <w:spacing w:after="0" w:line="237" w:lineRule="auto"/>
        <w:tabs>
          <w:tab w:leader="none" w:pos="2518" w:val="left"/>
        </w:tabs>
        <w:numPr>
          <w:ilvl w:val="3"/>
          <w:numId w:val="60"/>
        </w:numPr>
        <w:rPr>
          <w:rFonts w:ascii="Arial" w:cs="Arial" w:eastAsia="Arial" w:hAnsi="Arial"/>
          <w:sz w:val="21"/>
          <w:szCs w:val="21"/>
          <w:color w:val="auto"/>
        </w:rPr>
      </w:pPr>
      <w:r>
        <w:rPr>
          <w:rFonts w:ascii="Arial" w:cs="Arial" w:eastAsia="Arial" w:hAnsi="Arial"/>
          <w:sz w:val="21"/>
          <w:szCs w:val="21"/>
          <w:color w:val="auto"/>
        </w:rPr>
        <w:t xml:space="preserve">if such Restricted Definitive Note is being transferred to a QIB in accordance with Rule 144A, a certificate to the effect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(1) thereof;</w:t>
      </w:r>
    </w:p>
    <w:p>
      <w:pPr>
        <w:spacing w:after="0" w:line="154" w:lineRule="exact"/>
        <w:rPr>
          <w:rFonts w:ascii="Arial" w:cs="Arial" w:eastAsia="Arial" w:hAnsi="Arial"/>
          <w:sz w:val="21"/>
          <w:szCs w:val="21"/>
          <w:color w:val="auto"/>
        </w:rPr>
      </w:pPr>
    </w:p>
    <w:p>
      <w:pPr>
        <w:jc w:val="both"/>
        <w:ind w:firstLine="1900"/>
        <w:spacing w:after="0" w:line="241" w:lineRule="auto"/>
        <w:tabs>
          <w:tab w:leader="none" w:pos="2518" w:val="left"/>
        </w:tabs>
        <w:numPr>
          <w:ilvl w:val="3"/>
          <w:numId w:val="60"/>
        </w:numPr>
        <w:rPr>
          <w:rFonts w:ascii="Arial" w:cs="Arial" w:eastAsia="Arial" w:hAnsi="Arial"/>
          <w:sz w:val="19"/>
          <w:szCs w:val="19"/>
          <w:color w:val="auto"/>
        </w:rPr>
      </w:pPr>
      <w:r>
        <w:rPr>
          <w:rFonts w:ascii="Arial" w:cs="Arial" w:eastAsia="Arial" w:hAnsi="Arial"/>
          <w:sz w:val="19"/>
          <w:szCs w:val="19"/>
          <w:color w:val="auto"/>
        </w:rPr>
        <w:t xml:space="preserve">if such Restricted Definitive Note is being transferred to a Non-U.S. Person in an offshore transaction in accordance with Rule 903 or Rule 904, a certificate to the effect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w:t>
      </w:r>
    </w:p>
    <w:p>
      <w:pPr>
        <w:ind w:left="300" w:hanging="295"/>
        <w:spacing w:after="0"/>
        <w:tabs>
          <w:tab w:leader="none" w:pos="3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thereof;</w:t>
      </w:r>
    </w:p>
    <w:p>
      <w:pPr>
        <w:spacing w:after="0" w:line="161" w:lineRule="exact"/>
        <w:rPr>
          <w:rFonts w:ascii="Arial" w:cs="Arial" w:eastAsia="Arial" w:hAnsi="Arial"/>
          <w:sz w:val="21"/>
          <w:szCs w:val="21"/>
          <w:color w:val="auto"/>
        </w:rPr>
      </w:pPr>
    </w:p>
    <w:p>
      <w:pPr>
        <w:jc w:val="both"/>
        <w:ind w:firstLine="1900"/>
        <w:spacing w:after="0" w:line="228" w:lineRule="auto"/>
        <w:tabs>
          <w:tab w:leader="none" w:pos="2516" w:val="left"/>
        </w:tabs>
        <w:numPr>
          <w:ilvl w:val="3"/>
          <w:numId w:val="61"/>
        </w:numPr>
        <w:rPr>
          <w:rFonts w:ascii="Arial" w:cs="Arial" w:eastAsia="Arial" w:hAnsi="Arial"/>
          <w:sz w:val="21"/>
          <w:szCs w:val="21"/>
          <w:color w:val="auto"/>
        </w:rPr>
      </w:pPr>
      <w:r>
        <w:rPr>
          <w:rFonts w:ascii="Arial" w:cs="Arial" w:eastAsia="Arial" w:hAnsi="Arial"/>
          <w:sz w:val="21"/>
          <w:szCs w:val="21"/>
          <w:color w:val="auto"/>
        </w:rPr>
        <w:t xml:space="preserve">if such Restricted Definitive Note is being transferred pursuant to an exemption from the registration requirements of the Securities Act in accordance with Rule 144, a certificate to the effect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(3)(a)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368" w:right="339" w:bottom="1440" w:gutter="0" w:footer="0" w:header="0"/>
        </w:sectPr>
      </w:pPr>
    </w:p>
    <w:bookmarkStart w:id="44" w:name="page45"/>
    <w:bookmarkEnd w:id="44"/>
    <w:p>
      <w:pPr>
        <w:jc w:val="both"/>
        <w:ind w:firstLine="1900"/>
        <w:spacing w:after="0" w:line="223" w:lineRule="auto"/>
        <w:tabs>
          <w:tab w:leader="none" w:pos="2519"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certificates and Opinion of Counsel required by item (3) thereof, if applicable; or</w:t>
      </w:r>
    </w:p>
    <w:p>
      <w:pPr>
        <w:spacing w:after="0" w:line="155" w:lineRule="exact"/>
        <w:rPr>
          <w:rFonts w:ascii="Arial" w:cs="Arial" w:eastAsia="Arial" w:hAnsi="Arial"/>
          <w:sz w:val="21"/>
          <w:szCs w:val="21"/>
          <w:color w:val="auto"/>
        </w:rPr>
      </w:pPr>
    </w:p>
    <w:p>
      <w:pPr>
        <w:ind w:firstLine="1900"/>
        <w:spacing w:after="0" w:line="237" w:lineRule="auto"/>
        <w:tabs>
          <w:tab w:leader="none" w:pos="2521"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if such Restricted Definitive Note is being transferred to the Issuers or any of their Subsidiaries, a certificate to the effect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(3)(b) thereof,</w:t>
      </w:r>
    </w:p>
    <w:p>
      <w:pPr>
        <w:spacing w:after="0" w:line="155"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w:t>
      </w:r>
    </w:p>
    <w:p>
      <w:pPr>
        <w:spacing w:after="0" w:line="154" w:lineRule="exact"/>
        <w:rPr>
          <w:sz w:val="20"/>
          <w:szCs w:val="20"/>
          <w:color w:val="auto"/>
        </w:rPr>
      </w:pPr>
    </w:p>
    <w:p>
      <w:pPr>
        <w:jc w:val="both"/>
        <w:ind w:left="640" w:firstLine="628"/>
        <w:spacing w:after="0" w:line="223" w:lineRule="auto"/>
        <w:tabs>
          <w:tab w:leader="none" w:pos="1899"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 xml:space="preserve">Restricted Definitive Notes to Beneficial Interests in Unrestricted Global Notes. </w:t>
      </w:r>
      <w:r>
        <w:rPr>
          <w:rFonts w:ascii="Arial" w:cs="Arial" w:eastAsia="Arial" w:hAnsi="Arial"/>
          <w:sz w:val="21"/>
          <w:szCs w:val="21"/>
          <w:color w:val="auto"/>
        </w:rPr>
        <w:t>A Holder of a Restricted</w:t>
      </w:r>
      <w:r>
        <w:rPr>
          <w:rFonts w:ascii="Arial" w:cs="Arial" w:eastAsia="Arial" w:hAnsi="Arial"/>
          <w:sz w:val="21"/>
          <w:szCs w:val="21"/>
          <w:i w:val="1"/>
          <w:iCs w:val="1"/>
          <w:color w:val="auto"/>
        </w:rPr>
        <w:t xml:space="preserve"> </w:t>
      </w:r>
      <w:r>
        <w:rPr>
          <w:rFonts w:ascii="Arial" w:cs="Arial" w:eastAsia="Arial" w:hAnsi="Arial"/>
          <w:sz w:val="21"/>
          <w:szCs w:val="21"/>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55" w:lineRule="exact"/>
        <w:rPr>
          <w:rFonts w:ascii="Arial" w:cs="Arial" w:eastAsia="Arial" w:hAnsi="Arial"/>
          <w:sz w:val="21"/>
          <w:szCs w:val="21"/>
          <w:color w:val="auto"/>
        </w:rPr>
      </w:pPr>
    </w:p>
    <w:p>
      <w:pPr>
        <w:jc w:val="both"/>
        <w:ind w:firstLine="1900"/>
        <w:spacing w:after="0" w:line="228" w:lineRule="auto"/>
        <w:tabs>
          <w:tab w:leader="none" w:pos="2516" w:val="left"/>
        </w:tabs>
        <w:numPr>
          <w:ilvl w:val="1"/>
          <w:numId w:val="63"/>
        </w:numPr>
        <w:rPr>
          <w:rFonts w:ascii="Arial" w:cs="Arial" w:eastAsia="Arial" w:hAnsi="Arial"/>
          <w:sz w:val="21"/>
          <w:szCs w:val="21"/>
          <w:color w:val="auto"/>
        </w:rPr>
      </w:pPr>
      <w:r>
        <w:rPr>
          <w:rFonts w:ascii="Arial" w:cs="Arial" w:eastAsia="Arial" w:hAnsi="Arial"/>
          <w:sz w:val="21"/>
          <w:szCs w:val="21"/>
          <w:color w:val="auto"/>
        </w:rPr>
        <w:t xml:space="preserve">if the Holder of such Definitive Notes proposes to exchange such Notes for a beneficial interest in the Unrestricted Global Note, a certificate from such Holder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including the certifications in item (1)(c) thereof; or</w:t>
      </w:r>
    </w:p>
    <w:p>
      <w:pPr>
        <w:spacing w:after="0" w:line="153" w:lineRule="exact"/>
        <w:rPr>
          <w:rFonts w:ascii="Arial" w:cs="Arial" w:eastAsia="Arial" w:hAnsi="Arial"/>
          <w:sz w:val="21"/>
          <w:szCs w:val="21"/>
          <w:color w:val="auto"/>
        </w:rPr>
      </w:pPr>
    </w:p>
    <w:p>
      <w:pPr>
        <w:jc w:val="both"/>
        <w:ind w:firstLine="1900"/>
        <w:spacing w:after="0" w:line="228" w:lineRule="auto"/>
        <w:tabs>
          <w:tab w:leader="none" w:pos="2518" w:val="left"/>
        </w:tabs>
        <w:numPr>
          <w:ilvl w:val="1"/>
          <w:numId w:val="63"/>
        </w:numPr>
        <w:rPr>
          <w:rFonts w:ascii="Arial" w:cs="Arial" w:eastAsia="Arial" w:hAnsi="Arial"/>
          <w:sz w:val="21"/>
          <w:szCs w:val="21"/>
          <w:color w:val="auto"/>
        </w:rPr>
      </w:pPr>
      <w:r>
        <w:rPr>
          <w:rFonts w:ascii="Arial" w:cs="Arial" w:eastAsia="Arial" w:hAnsi="Arial"/>
          <w:sz w:val="21"/>
          <w:szCs w:val="21"/>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(4) thereof;</w:t>
      </w:r>
    </w:p>
    <w:p>
      <w:pPr>
        <w:spacing w:after="0" w:line="154" w:lineRule="exact"/>
        <w:rPr>
          <w:sz w:val="20"/>
          <w:szCs w:val="20"/>
          <w:color w:val="auto"/>
        </w:rPr>
      </w:pPr>
    </w:p>
    <w:p>
      <w:pPr>
        <w:jc w:val="both"/>
        <w:ind w:left="1260"/>
        <w:spacing w:after="0" w:line="223"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5" w:lineRule="exact"/>
        <w:rPr>
          <w:sz w:val="20"/>
          <w:szCs w:val="20"/>
          <w:color w:val="auto"/>
        </w:rPr>
      </w:pPr>
    </w:p>
    <w:p>
      <w:pPr>
        <w:ind w:left="640" w:firstLine="632"/>
        <w:spacing w:after="0" w:line="285"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13" w:lineRule="exact"/>
        <w:rPr>
          <w:sz w:val="20"/>
          <w:szCs w:val="20"/>
          <w:color w:val="auto"/>
        </w:rPr>
      </w:pPr>
    </w:p>
    <w:p>
      <w:pPr>
        <w:jc w:val="both"/>
        <w:ind w:left="640" w:firstLine="628"/>
        <w:spacing w:after="0" w:line="244" w:lineRule="auto"/>
        <w:tabs>
          <w:tab w:leader="none" w:pos="1899"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 xml:space="preserve">Unrestricted Definitive Notes to Beneficial Interests in Unrestricted Global Notes. </w:t>
      </w:r>
      <w:r>
        <w:rPr>
          <w:rFonts w:ascii="Arial" w:cs="Arial" w:eastAsia="Arial" w:hAnsi="Arial"/>
          <w:sz w:val="19"/>
          <w:szCs w:val="19"/>
          <w:color w:val="auto"/>
        </w:rPr>
        <w:t>A Holder of an Unrestricted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any such exchange or transfer from a Definitive Note to a beneficial interest is effected pursuant to subparagraphs</w:t>
      </w:r>
    </w:p>
    <w:p>
      <w:pPr>
        <w:spacing w:after="0" w:line="10" w:lineRule="exact"/>
        <w:rPr>
          <w:sz w:val="20"/>
          <w:szCs w:val="20"/>
          <w:color w:val="auto"/>
        </w:rPr>
      </w:pPr>
    </w:p>
    <w:p>
      <w:pPr>
        <w:jc w:val="both"/>
        <w:ind w:left="640" w:hanging="3"/>
        <w:spacing w:after="0" w:line="248" w:lineRule="auto"/>
        <w:tabs>
          <w:tab w:leader="none" w:pos="944" w:val="left"/>
        </w:tabs>
        <w:numPr>
          <w:ilvl w:val="0"/>
          <w:numId w:val="65"/>
        </w:numPr>
        <w:rPr>
          <w:rFonts w:ascii="Arial" w:cs="Arial" w:eastAsia="Arial" w:hAnsi="Arial"/>
          <w:sz w:val="19"/>
          <w:szCs w:val="19"/>
          <w:color w:val="auto"/>
        </w:rPr>
      </w:pPr>
      <w:r>
        <w:rPr>
          <w:rFonts w:ascii="Arial" w:cs="Arial" w:eastAsia="Arial" w:hAnsi="Arial"/>
          <w:sz w:val="19"/>
          <w:szCs w:val="19"/>
          <w:color w:val="auto"/>
        </w:rPr>
        <w:t>or (3)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368" w:right="339" w:bottom="1440" w:gutter="0" w:footer="0" w:header="0"/>
        </w:sectPr>
      </w:pPr>
    </w:p>
    <w:bookmarkStart w:id="45" w:name="page46"/>
    <w:bookmarkEnd w:id="45"/>
    <w:p>
      <w:pPr>
        <w:jc w:val="both"/>
        <w:ind w:firstLine="637"/>
        <w:spacing w:after="0" w:line="242" w:lineRule="auto"/>
        <w:tabs>
          <w:tab w:leader="none" w:pos="1260"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 xml:space="preserve">Transfer and Exchange of Definitive Notes for Definitive Notes. </w:t>
      </w:r>
      <w:r>
        <w:rPr>
          <w:rFonts w:ascii="Arial" w:cs="Arial" w:eastAsia="Arial" w:hAnsi="Arial"/>
          <w:sz w:val="19"/>
          <w:szCs w:val="19"/>
          <w:color w:val="auto"/>
        </w:rPr>
        <w:t>Upon request by a Holder of Definitive Notes and</w:t>
      </w:r>
      <w:r>
        <w:rPr>
          <w:rFonts w:ascii="Arial" w:cs="Arial" w:eastAsia="Arial" w:hAnsi="Arial"/>
          <w:sz w:val="19"/>
          <w:szCs w:val="19"/>
          <w:i w:val="1"/>
          <w:iCs w:val="1"/>
          <w:color w:val="auto"/>
        </w:rPr>
        <w:t xml:space="preserve"> </w:t>
      </w:r>
      <w:r>
        <w:rPr>
          <w:rFonts w:ascii="Arial" w:cs="Arial" w:eastAsia="Arial" w:hAnsi="Arial"/>
          <w:sz w:val="19"/>
          <w:szCs w:val="19"/>
          <w:color w:val="auto"/>
        </w:rPr>
        <w:t>such 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51" w:lineRule="exact"/>
        <w:rPr>
          <w:rFonts w:ascii="Arial" w:cs="Arial" w:eastAsia="Arial" w:hAnsi="Arial"/>
          <w:sz w:val="19"/>
          <w:szCs w:val="19"/>
          <w:color w:val="auto"/>
        </w:rPr>
      </w:pPr>
    </w:p>
    <w:p>
      <w:pPr>
        <w:jc w:val="both"/>
        <w:ind w:left="640" w:firstLine="628"/>
        <w:spacing w:after="0" w:line="228" w:lineRule="auto"/>
        <w:tabs>
          <w:tab w:leader="none" w:pos="1899" w:val="left"/>
        </w:tabs>
        <w:numPr>
          <w:ilvl w:val="1"/>
          <w:numId w:val="66"/>
        </w:numPr>
        <w:rPr>
          <w:rFonts w:ascii="Arial" w:cs="Arial" w:eastAsia="Arial" w:hAnsi="Arial"/>
          <w:sz w:val="21"/>
          <w:szCs w:val="21"/>
          <w:color w:val="auto"/>
        </w:rPr>
      </w:pPr>
      <w:r>
        <w:rPr>
          <w:rFonts w:ascii="Arial" w:cs="Arial" w:eastAsia="Arial" w:hAnsi="Arial"/>
          <w:sz w:val="21"/>
          <w:szCs w:val="21"/>
          <w:i w:val="1"/>
          <w:iCs w:val="1"/>
          <w:color w:val="auto"/>
        </w:rPr>
        <w:t xml:space="preserve">Restricted Definitive Notes to Restricted Definitive Notes. </w:t>
      </w:r>
      <w:r>
        <w:rPr>
          <w:rFonts w:ascii="Arial" w:cs="Arial" w:eastAsia="Arial" w:hAnsi="Arial"/>
          <w:sz w:val="21"/>
          <w:szCs w:val="21"/>
          <w:color w:val="auto"/>
        </w:rPr>
        <w:t>Any Restricted Definitive Note may be transferred</w:t>
      </w:r>
      <w:r>
        <w:rPr>
          <w:rFonts w:ascii="Arial" w:cs="Arial" w:eastAsia="Arial" w:hAnsi="Arial"/>
          <w:sz w:val="21"/>
          <w:szCs w:val="21"/>
          <w:i w:val="1"/>
          <w:iCs w:val="1"/>
          <w:color w:val="auto"/>
        </w:rPr>
        <w:t xml:space="preserve"> </w:t>
      </w:r>
      <w:r>
        <w:rPr>
          <w:rFonts w:ascii="Arial" w:cs="Arial" w:eastAsia="Arial" w:hAnsi="Arial"/>
          <w:sz w:val="21"/>
          <w:szCs w:val="21"/>
          <w:color w:val="auto"/>
        </w:rPr>
        <w:t>to and registered in the name of Persons who take delivery thereof in the form of a Restricted Definitive Note if the Registrar receives the following:</w:t>
      </w:r>
    </w:p>
    <w:p>
      <w:pPr>
        <w:spacing w:after="0" w:line="153" w:lineRule="exact"/>
        <w:rPr>
          <w:rFonts w:ascii="Arial" w:cs="Arial" w:eastAsia="Arial" w:hAnsi="Arial"/>
          <w:sz w:val="21"/>
          <w:szCs w:val="21"/>
          <w:color w:val="auto"/>
        </w:rPr>
      </w:pPr>
    </w:p>
    <w:p>
      <w:pPr>
        <w:ind w:firstLine="1900"/>
        <w:spacing w:after="0" w:line="237" w:lineRule="auto"/>
        <w:tabs>
          <w:tab w:leader="none" w:pos="2516" w:val="left"/>
        </w:tabs>
        <w:numPr>
          <w:ilvl w:val="2"/>
          <w:numId w:val="66"/>
        </w:numPr>
        <w:rPr>
          <w:rFonts w:ascii="Arial" w:cs="Arial" w:eastAsia="Arial" w:hAnsi="Arial"/>
          <w:sz w:val="21"/>
          <w:szCs w:val="21"/>
          <w:color w:val="auto"/>
        </w:rPr>
      </w:pPr>
      <w:r>
        <w:rPr>
          <w:rFonts w:ascii="Arial" w:cs="Arial" w:eastAsia="Arial" w:hAnsi="Arial"/>
          <w:sz w:val="21"/>
          <w:szCs w:val="21"/>
          <w:color w:val="auto"/>
        </w:rPr>
        <w:t xml:space="preserve">if the transfer shall be made pursuant to Rule 144A, then the transferor must deliver a certificate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(1) thereof;</w:t>
      </w:r>
    </w:p>
    <w:p>
      <w:pPr>
        <w:spacing w:after="0" w:line="154" w:lineRule="exact"/>
        <w:rPr>
          <w:rFonts w:ascii="Arial" w:cs="Arial" w:eastAsia="Arial" w:hAnsi="Arial"/>
          <w:sz w:val="21"/>
          <w:szCs w:val="21"/>
          <w:color w:val="auto"/>
        </w:rPr>
      </w:pPr>
    </w:p>
    <w:p>
      <w:pPr>
        <w:ind w:firstLine="1900"/>
        <w:spacing w:after="0" w:line="237" w:lineRule="auto"/>
        <w:tabs>
          <w:tab w:leader="none" w:pos="2518" w:val="left"/>
        </w:tabs>
        <w:numPr>
          <w:ilvl w:val="2"/>
          <w:numId w:val="66"/>
        </w:numPr>
        <w:rPr>
          <w:rFonts w:ascii="Arial" w:cs="Arial" w:eastAsia="Arial" w:hAnsi="Arial"/>
          <w:sz w:val="21"/>
          <w:szCs w:val="21"/>
          <w:color w:val="auto"/>
        </w:rPr>
      </w:pPr>
      <w:r>
        <w:rPr>
          <w:rFonts w:ascii="Arial" w:cs="Arial" w:eastAsia="Arial" w:hAnsi="Arial"/>
          <w:sz w:val="21"/>
          <w:szCs w:val="21"/>
          <w:color w:val="auto"/>
        </w:rPr>
        <w:t xml:space="preserve">if the transfer shall be made pursuant to Rule 903 or Rule 904, then the transferor must deliver a certificate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(2) thereof; and</w:t>
      </w:r>
    </w:p>
    <w:p>
      <w:pPr>
        <w:spacing w:after="0" w:line="154" w:lineRule="exact"/>
        <w:rPr>
          <w:rFonts w:ascii="Arial" w:cs="Arial" w:eastAsia="Arial" w:hAnsi="Arial"/>
          <w:sz w:val="21"/>
          <w:szCs w:val="21"/>
          <w:color w:val="auto"/>
        </w:rPr>
      </w:pPr>
    </w:p>
    <w:p>
      <w:pPr>
        <w:jc w:val="both"/>
        <w:ind w:firstLine="1900"/>
        <w:spacing w:after="0" w:line="228" w:lineRule="auto"/>
        <w:tabs>
          <w:tab w:leader="none" w:pos="2518" w:val="left"/>
        </w:tabs>
        <w:numPr>
          <w:ilvl w:val="2"/>
          <w:numId w:val="66"/>
        </w:numPr>
        <w:rPr>
          <w:rFonts w:ascii="Arial" w:cs="Arial" w:eastAsia="Arial" w:hAnsi="Arial"/>
          <w:sz w:val="21"/>
          <w:szCs w:val="21"/>
          <w:color w:val="auto"/>
        </w:rPr>
      </w:pPr>
      <w:r>
        <w:rPr>
          <w:rFonts w:ascii="Arial" w:cs="Arial" w:eastAsia="Arial" w:hAnsi="Arial"/>
          <w:sz w:val="21"/>
          <w:szCs w:val="21"/>
          <w:color w:val="auto"/>
        </w:rPr>
        <w:t xml:space="preserve">if the transfer shall be made pursuant to any other exemption from the registration requirements of the Securities Act, then the transferor must deliver a certificate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certificates and Opinion of Counsel required by item (3) thereof, if applicable.</w:t>
      </w:r>
    </w:p>
    <w:p>
      <w:pPr>
        <w:spacing w:after="0" w:line="153" w:lineRule="exact"/>
        <w:rPr>
          <w:rFonts w:ascii="Arial" w:cs="Arial" w:eastAsia="Arial" w:hAnsi="Arial"/>
          <w:sz w:val="21"/>
          <w:szCs w:val="21"/>
          <w:color w:val="auto"/>
        </w:rPr>
      </w:pPr>
    </w:p>
    <w:p>
      <w:pPr>
        <w:jc w:val="both"/>
        <w:ind w:left="640" w:firstLine="628"/>
        <w:spacing w:after="0" w:line="228" w:lineRule="auto"/>
        <w:tabs>
          <w:tab w:leader="none" w:pos="1899" w:val="left"/>
        </w:tabs>
        <w:numPr>
          <w:ilvl w:val="1"/>
          <w:numId w:val="66"/>
        </w:numPr>
        <w:rPr>
          <w:rFonts w:ascii="Arial" w:cs="Arial" w:eastAsia="Arial" w:hAnsi="Arial"/>
          <w:sz w:val="21"/>
          <w:szCs w:val="21"/>
          <w:color w:val="auto"/>
        </w:rPr>
      </w:pPr>
      <w:r>
        <w:rPr>
          <w:rFonts w:ascii="Arial" w:cs="Arial" w:eastAsia="Arial" w:hAnsi="Arial"/>
          <w:sz w:val="21"/>
          <w:szCs w:val="21"/>
          <w:i w:val="1"/>
          <w:iCs w:val="1"/>
          <w:color w:val="auto"/>
        </w:rPr>
        <w:t xml:space="preserve">Restricted Definitive Notes to Unrestricted Definitive Notes. </w:t>
      </w:r>
      <w:r>
        <w:rPr>
          <w:rFonts w:ascii="Arial" w:cs="Arial" w:eastAsia="Arial" w:hAnsi="Arial"/>
          <w:sz w:val="21"/>
          <w:szCs w:val="21"/>
          <w:color w:val="auto"/>
        </w:rPr>
        <w:t>Any Restricted Definitive Note may be</w:t>
      </w:r>
      <w:r>
        <w:rPr>
          <w:rFonts w:ascii="Arial" w:cs="Arial" w:eastAsia="Arial" w:hAnsi="Arial"/>
          <w:sz w:val="21"/>
          <w:szCs w:val="21"/>
          <w:i w:val="1"/>
          <w:iCs w:val="1"/>
          <w:color w:val="auto"/>
        </w:rPr>
        <w:t xml:space="preserve"> </w:t>
      </w:r>
      <w:r>
        <w:rPr>
          <w:rFonts w:ascii="Arial" w:cs="Arial" w:eastAsia="Arial" w:hAnsi="Arial"/>
          <w:sz w:val="21"/>
          <w:szCs w:val="21"/>
          <w:color w:val="auto"/>
        </w:rPr>
        <w:t>exchanged by the Holder thereof for an Unrestricted Definitive Note or transferred to a Person or Persons who take delivery thereof in the form of an Unrestricted Definitive Note if the Registrar receives the following:</w:t>
      </w:r>
    </w:p>
    <w:p>
      <w:pPr>
        <w:spacing w:after="0" w:line="153" w:lineRule="exact"/>
        <w:rPr>
          <w:rFonts w:ascii="Arial" w:cs="Arial" w:eastAsia="Arial" w:hAnsi="Arial"/>
          <w:sz w:val="21"/>
          <w:szCs w:val="21"/>
          <w:color w:val="auto"/>
        </w:rPr>
      </w:pPr>
    </w:p>
    <w:p>
      <w:pPr>
        <w:ind w:firstLine="1900"/>
        <w:spacing w:after="0" w:line="285" w:lineRule="auto"/>
        <w:tabs>
          <w:tab w:leader="none" w:pos="2516" w:val="left"/>
        </w:tabs>
        <w:numPr>
          <w:ilvl w:val="2"/>
          <w:numId w:val="66"/>
        </w:numPr>
        <w:rPr>
          <w:rFonts w:ascii="Arial" w:cs="Arial" w:eastAsia="Arial" w:hAnsi="Arial"/>
          <w:sz w:val="19"/>
          <w:szCs w:val="19"/>
          <w:color w:val="auto"/>
        </w:rPr>
      </w:pPr>
      <w:r>
        <w:rPr>
          <w:rFonts w:ascii="Arial" w:cs="Arial" w:eastAsia="Arial" w:hAnsi="Arial"/>
          <w:sz w:val="19"/>
          <w:szCs w:val="19"/>
          <w:color w:val="auto"/>
        </w:rPr>
        <w:t xml:space="preserve">if the Holder of such Restricted Definitive Notes proposes to exchange such Notes for an Unrestricted Definitive Note, a certificate from such Holder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including the certifications in item (1)(d) thereof; or</w:t>
      </w:r>
    </w:p>
    <w:p>
      <w:pPr>
        <w:spacing w:after="0" w:line="112" w:lineRule="exact"/>
        <w:rPr>
          <w:rFonts w:ascii="Arial" w:cs="Arial" w:eastAsia="Arial" w:hAnsi="Arial"/>
          <w:sz w:val="19"/>
          <w:szCs w:val="19"/>
          <w:color w:val="auto"/>
        </w:rPr>
      </w:pPr>
    </w:p>
    <w:p>
      <w:pPr>
        <w:jc w:val="both"/>
        <w:ind w:firstLine="1900"/>
        <w:spacing w:after="0" w:line="228" w:lineRule="auto"/>
        <w:tabs>
          <w:tab w:leader="none" w:pos="2518" w:val="left"/>
        </w:tabs>
        <w:numPr>
          <w:ilvl w:val="2"/>
          <w:numId w:val="66"/>
        </w:numPr>
        <w:rPr>
          <w:rFonts w:ascii="Arial" w:cs="Arial" w:eastAsia="Arial" w:hAnsi="Arial"/>
          <w:sz w:val="21"/>
          <w:szCs w:val="21"/>
          <w:color w:val="auto"/>
        </w:rPr>
      </w:pPr>
      <w:r>
        <w:rPr>
          <w:rFonts w:ascii="Arial" w:cs="Arial" w:eastAsia="Arial" w:hAnsi="Arial"/>
          <w:sz w:val="21"/>
          <w:szCs w:val="21"/>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(4) thereof;</w:t>
      </w:r>
    </w:p>
    <w:p>
      <w:pPr>
        <w:spacing w:after="0" w:line="154" w:lineRule="exact"/>
        <w:rPr>
          <w:sz w:val="20"/>
          <w:szCs w:val="20"/>
          <w:color w:val="auto"/>
        </w:rPr>
      </w:pPr>
    </w:p>
    <w:p>
      <w:pPr>
        <w:jc w:val="both"/>
        <w:ind w:left="640"/>
        <w:spacing w:after="0" w:line="239" w:lineRule="auto"/>
        <w:rPr>
          <w:sz w:val="20"/>
          <w:szCs w:val="20"/>
          <w:color w:val="auto"/>
        </w:rPr>
      </w:pPr>
      <w:r>
        <w:rPr>
          <w:rFonts w:ascii="Arial" w:cs="Arial" w:eastAsia="Arial" w:hAnsi="Arial"/>
          <w:sz w:val="20"/>
          <w:szCs w:val="20"/>
          <w:color w:val="auto"/>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5" w:lineRule="exact"/>
        <w:rPr>
          <w:sz w:val="20"/>
          <w:szCs w:val="20"/>
          <w:color w:val="auto"/>
        </w:rPr>
      </w:pPr>
    </w:p>
    <w:p>
      <w:pPr>
        <w:jc w:val="both"/>
        <w:ind w:left="640" w:firstLine="628"/>
        <w:spacing w:after="0" w:line="223" w:lineRule="auto"/>
        <w:tabs>
          <w:tab w:leader="none" w:pos="1899" w:val="left"/>
        </w:tabs>
        <w:numPr>
          <w:ilvl w:val="0"/>
          <w:numId w:val="67"/>
        </w:numPr>
        <w:rPr>
          <w:rFonts w:ascii="Arial" w:cs="Arial" w:eastAsia="Arial" w:hAnsi="Arial"/>
          <w:sz w:val="21"/>
          <w:szCs w:val="21"/>
          <w:color w:val="auto"/>
        </w:rPr>
      </w:pPr>
      <w:r>
        <w:rPr>
          <w:rFonts w:ascii="Arial" w:cs="Arial" w:eastAsia="Arial" w:hAnsi="Arial"/>
          <w:sz w:val="21"/>
          <w:szCs w:val="21"/>
          <w:i w:val="1"/>
          <w:iCs w:val="1"/>
          <w:color w:val="auto"/>
        </w:rPr>
        <w:t xml:space="preserve">Unrestricted Definitive Notes to Unrestricted Definitive Notes. </w:t>
      </w:r>
      <w:r>
        <w:rPr>
          <w:rFonts w:ascii="Arial" w:cs="Arial" w:eastAsia="Arial" w:hAnsi="Arial"/>
          <w:sz w:val="21"/>
          <w:szCs w:val="21"/>
          <w:color w:val="auto"/>
        </w:rPr>
        <w:t>A Holder of Unrestricted Definitive Notes may</w:t>
      </w:r>
      <w:r>
        <w:rPr>
          <w:rFonts w:ascii="Arial" w:cs="Arial" w:eastAsia="Arial" w:hAnsi="Arial"/>
          <w:sz w:val="21"/>
          <w:szCs w:val="21"/>
          <w:i w:val="1"/>
          <w:iCs w:val="1"/>
          <w:color w:val="auto"/>
        </w:rPr>
        <w:t xml:space="preserve"> </w:t>
      </w:r>
      <w:r>
        <w:rPr>
          <w:rFonts w:ascii="Arial" w:cs="Arial" w:eastAsia="Arial" w:hAnsi="Arial"/>
          <w:sz w:val="21"/>
          <w:szCs w:val="21"/>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368" w:right="339" w:bottom="1440" w:gutter="0" w:footer="0" w:header="0"/>
        </w:sectPr>
      </w:pPr>
    </w:p>
    <w:bookmarkStart w:id="46" w:name="page47"/>
    <w:bookmarkEnd w:id="46"/>
    <w:p>
      <w:pPr>
        <w:ind w:firstLine="637"/>
        <w:spacing w:after="0" w:line="237" w:lineRule="auto"/>
        <w:tabs>
          <w:tab w:leader="none" w:pos="1263" w:val="left"/>
        </w:tabs>
        <w:numPr>
          <w:ilvl w:val="0"/>
          <w:numId w:val="68"/>
        </w:numPr>
        <w:rPr>
          <w:rFonts w:ascii="Arial" w:cs="Arial" w:eastAsia="Arial" w:hAnsi="Arial"/>
          <w:sz w:val="21"/>
          <w:szCs w:val="21"/>
          <w:color w:val="auto"/>
        </w:rPr>
      </w:pPr>
      <w:r>
        <w:rPr>
          <w:rFonts w:ascii="Arial" w:cs="Arial" w:eastAsia="Arial" w:hAnsi="Arial"/>
          <w:sz w:val="21"/>
          <w:szCs w:val="21"/>
          <w:i w:val="1"/>
          <w:iCs w:val="1"/>
          <w:color w:val="auto"/>
        </w:rPr>
        <w:t>Legends</w:t>
      </w:r>
      <w:r>
        <w:rPr>
          <w:rFonts w:ascii="Arial" w:cs="Arial" w:eastAsia="Arial" w:hAnsi="Arial"/>
          <w:sz w:val="21"/>
          <w:szCs w:val="21"/>
          <w:color w:val="auto"/>
        </w:rPr>
        <w:t>. The following legends shall appear on the face of all Global Notes and Definitive Notes issued under this</w:t>
      </w:r>
      <w:r>
        <w:rPr>
          <w:rFonts w:ascii="Arial" w:cs="Arial" w:eastAsia="Arial" w:hAnsi="Arial"/>
          <w:sz w:val="21"/>
          <w:szCs w:val="21"/>
          <w:i w:val="1"/>
          <w:iCs w:val="1"/>
          <w:color w:val="auto"/>
        </w:rPr>
        <w:t xml:space="preserve"> </w:t>
      </w:r>
      <w:r>
        <w:rPr>
          <w:rFonts w:ascii="Arial" w:cs="Arial" w:eastAsia="Arial" w:hAnsi="Arial"/>
          <w:sz w:val="21"/>
          <w:szCs w:val="21"/>
          <w:color w:val="auto"/>
        </w:rPr>
        <w:t>Indenture unless specifically stated otherwise in the applicable provisions of this Indenture.</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1"/>
          <w:numId w:val="68"/>
        </w:numPr>
        <w:rPr>
          <w:rFonts w:ascii="Arial" w:cs="Arial" w:eastAsia="Arial" w:hAnsi="Arial"/>
          <w:sz w:val="21"/>
          <w:szCs w:val="21"/>
          <w:color w:val="auto"/>
        </w:rPr>
      </w:pPr>
      <w:r>
        <w:rPr>
          <w:rFonts w:ascii="Arial" w:cs="Arial" w:eastAsia="Arial" w:hAnsi="Arial"/>
          <w:sz w:val="21"/>
          <w:szCs w:val="21"/>
          <w:i w:val="1"/>
          <w:iCs w:val="1"/>
          <w:color w:val="auto"/>
        </w:rPr>
        <w:t>Private Placement Legend.</w:t>
      </w:r>
    </w:p>
    <w:p>
      <w:pPr>
        <w:spacing w:after="0" w:line="179" w:lineRule="exact"/>
        <w:rPr>
          <w:rFonts w:ascii="Arial" w:cs="Arial" w:eastAsia="Arial" w:hAnsi="Arial"/>
          <w:sz w:val="21"/>
          <w:szCs w:val="21"/>
          <w:color w:val="auto"/>
        </w:rPr>
      </w:pPr>
    </w:p>
    <w:p>
      <w:pPr>
        <w:ind w:firstLine="1900"/>
        <w:spacing w:after="0" w:line="258" w:lineRule="auto"/>
        <w:tabs>
          <w:tab w:leader="none" w:pos="2516" w:val="left"/>
        </w:tabs>
        <w:numPr>
          <w:ilvl w:val="2"/>
          <w:numId w:val="68"/>
        </w:numPr>
        <w:rPr>
          <w:rFonts w:ascii="Arial" w:cs="Arial" w:eastAsia="Arial" w:hAnsi="Arial"/>
          <w:sz w:val="20"/>
          <w:szCs w:val="20"/>
          <w:color w:val="auto"/>
        </w:rPr>
      </w:pPr>
      <w:r>
        <w:rPr>
          <w:rFonts w:ascii="Arial" w:cs="Arial" w:eastAsia="Arial" w:hAnsi="Arial"/>
          <w:sz w:val="20"/>
          <w:szCs w:val="20"/>
          <w:color w:val="auto"/>
        </w:rPr>
        <w:t>Except as permitted by subparagraph (B) below, each Global Note and each Definitive Note (and all Notes issued in exchange therefor or substitution thereof) shall bear the legend in substantially the following form:</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(B) IT IS NOT A U.S. PERSON, IS NOT ACQUIRING THIS NOTE FOR THE ACCOUNT OR BENEFIT OF A U.S. PERSON AND IS ACQUIRING THIS NOTE IN AN OFFSHORE TRANSACTION IN COMPLIANCE WITH REGULATION S UNDER THE SECURITIES ACT OR (C) IT IS AN INSTITUTIONAL “ACCREDITED INVESTOR” (AS DEFINED IN RULE 501(A)(1), (2), (3) OR (7) OF REGULATION D UNDER THE SECURITIES ACT) (AN “IAI”), (2) AGREES THAT IT WILL NOT, PRIOR TO THE DATE [IN THE CASE OF RULE 144A NOTES: ON WHICH WYNN RESORTS FINANCE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WYNN RESORTS FINANCE OR ANY AFFILIATE OF WYNN RESORTS FINANCE WAS THE OWNER OF THIS NOTE (OR ANY PREDECESSOR OF SUCH NOTE)] RESELL OR OTHERWISE TRANSFER THIS NOTE EXCEPT (A) TO WYNN RESORTS FINANCE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WYNN RESORTS FINANCE THAT SUCH TRANSFER IS IN COMPLIANCE WITH THE SECURITIES ACT OR (F) PURSUANT TO AN EFFECTIVE REGISTRATION STATEMENT UNDER THE SECURITIES ACT AND, IN EACH CASE, IN ACCORDANCE WITH APPLICABLE STATE SECURITIES LAWS, AND (3) AGREES THAT IT WILL DELIVER TO EACH PERSON TO WHOM THIS NOTE OR AN INTEREST HEREIN IS TRANSFERRED A NOTICE SUBSTANTIALLY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368" w:right="339" w:bottom="1440" w:gutter="0" w:footer="0" w:header="0"/>
        </w:sectPr>
      </w:pPr>
    </w:p>
    <w:bookmarkStart w:id="47" w:name="page48"/>
    <w:bookmarkEnd w:id="47"/>
    <w:p>
      <w:pPr>
        <w:jc w:val="both"/>
        <w:spacing w:after="0" w:line="244" w:lineRule="auto"/>
        <w:rPr>
          <w:sz w:val="20"/>
          <w:szCs w:val="20"/>
          <w:color w:val="auto"/>
        </w:rPr>
      </w:pPr>
      <w:r>
        <w:rPr>
          <w:rFonts w:ascii="Arial" w:cs="Arial" w:eastAsia="Arial" w:hAnsi="Arial"/>
          <w:sz w:val="21"/>
          <w:szCs w:val="21"/>
          <w:color w:val="auto"/>
        </w:rPr>
        <w:t>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89" w:lineRule="exact"/>
        <w:rPr>
          <w:sz w:val="20"/>
          <w:szCs w:val="20"/>
          <w:color w:val="auto"/>
        </w:rPr>
      </w:pPr>
    </w:p>
    <w:p>
      <w:pPr>
        <w:jc w:val="both"/>
        <w:ind w:firstLine="1900"/>
        <w:spacing w:after="0" w:line="254" w:lineRule="auto"/>
        <w:tabs>
          <w:tab w:leader="none" w:pos="2518" w:val="left"/>
        </w:tabs>
        <w:numPr>
          <w:ilvl w:val="1"/>
          <w:numId w:val="69"/>
        </w:numPr>
        <w:rPr>
          <w:rFonts w:ascii="Arial" w:cs="Arial" w:eastAsia="Arial" w:hAnsi="Arial"/>
          <w:sz w:val="21"/>
          <w:szCs w:val="21"/>
          <w:color w:val="auto"/>
        </w:rPr>
      </w:pPr>
      <w:r>
        <w:rPr>
          <w:rFonts w:ascii="Arial" w:cs="Arial" w:eastAsia="Arial" w:hAnsi="Arial"/>
          <w:sz w:val="21"/>
          <w:szCs w:val="21"/>
          <w:color w:val="auto"/>
        </w:rPr>
        <w:t>Notwithstanding the foregoing, any Global Note or Definitive Note issued pursuant to subparagraphs (b)(4), (c)(3), (c)(4), (d)(2), (d)(3), (e)(2) or (e)(3) of this Section 2.06 (and all Notes issued in exchange therefor or substitution thereof) shall not bear the Private Placement Legend.</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0"/>
          <w:numId w:val="70"/>
        </w:numPr>
        <w:rPr>
          <w:rFonts w:ascii="Arial" w:cs="Arial" w:eastAsia="Arial" w:hAnsi="Arial"/>
          <w:sz w:val="21"/>
          <w:szCs w:val="21"/>
          <w:color w:val="auto"/>
        </w:rPr>
      </w:pPr>
      <w:r>
        <w:rPr>
          <w:rFonts w:ascii="Arial" w:cs="Arial" w:eastAsia="Arial" w:hAnsi="Arial"/>
          <w:sz w:val="21"/>
          <w:szCs w:val="21"/>
          <w:i w:val="1"/>
          <w:iCs w:val="1"/>
          <w:color w:val="auto"/>
        </w:rPr>
        <w:t xml:space="preserve">Global Note Legend. </w:t>
      </w:r>
      <w:r>
        <w:rPr>
          <w:rFonts w:ascii="Arial" w:cs="Arial" w:eastAsia="Arial" w:hAnsi="Arial"/>
          <w:sz w:val="21"/>
          <w:szCs w:val="21"/>
          <w:color w:val="auto"/>
        </w:rPr>
        <w:t>Each Global Note shall bear a legend in substantially the following form:</w:t>
      </w:r>
    </w:p>
    <w:p>
      <w:pPr>
        <w:spacing w:after="0" w:line="180" w:lineRule="exact"/>
        <w:rPr>
          <w:sz w:val="20"/>
          <w:szCs w:val="20"/>
          <w:color w:val="auto"/>
        </w:rPr>
      </w:pPr>
    </w:p>
    <w:p>
      <w:pPr>
        <w:jc w:val="both"/>
        <w:spacing w:after="0" w:line="216" w:lineRule="auto"/>
        <w:rPr>
          <w:sz w:val="20"/>
          <w:szCs w:val="20"/>
          <w:color w:val="auto"/>
        </w:rPr>
      </w:pPr>
      <w:r>
        <w:rPr>
          <w:rFonts w:ascii="Arial" w:cs="Arial" w:eastAsia="Arial" w:hAnsi="Arial"/>
          <w:sz w:val="21"/>
          <w:szCs w:val="2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156"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61" w:lineRule="exact"/>
        <w:rPr>
          <w:sz w:val="20"/>
          <w:szCs w:val="20"/>
          <w:color w:val="auto"/>
        </w:rPr>
      </w:pPr>
    </w:p>
    <w:p>
      <w:pPr>
        <w:ind w:left="640" w:firstLine="628"/>
        <w:spacing w:after="0" w:line="237" w:lineRule="auto"/>
        <w:tabs>
          <w:tab w:leader="none" w:pos="1899" w:val="left"/>
        </w:tabs>
        <w:numPr>
          <w:ilvl w:val="0"/>
          <w:numId w:val="71"/>
        </w:numPr>
        <w:rPr>
          <w:rFonts w:ascii="Arial" w:cs="Arial" w:eastAsia="Arial" w:hAnsi="Arial"/>
          <w:sz w:val="21"/>
          <w:szCs w:val="21"/>
          <w:color w:val="auto"/>
        </w:rPr>
      </w:pPr>
      <w:r>
        <w:rPr>
          <w:rFonts w:ascii="Arial" w:cs="Arial" w:eastAsia="Arial" w:hAnsi="Arial"/>
          <w:sz w:val="21"/>
          <w:szCs w:val="21"/>
          <w:i w:val="1"/>
          <w:iCs w:val="1"/>
          <w:color w:val="auto"/>
        </w:rPr>
        <w:t xml:space="preserve">Regulation S Temporary Global Note Legend. </w:t>
      </w:r>
      <w:r>
        <w:rPr>
          <w:rFonts w:ascii="Arial" w:cs="Arial" w:eastAsia="Arial" w:hAnsi="Arial"/>
          <w:sz w:val="21"/>
          <w:szCs w:val="21"/>
          <w:color w:val="auto"/>
        </w:rPr>
        <w:t>The Regulation S Temporary Global Note shall bear a Legend</w:t>
      </w:r>
      <w:r>
        <w:rPr>
          <w:rFonts w:ascii="Arial" w:cs="Arial" w:eastAsia="Arial" w:hAnsi="Arial"/>
          <w:sz w:val="21"/>
          <w:szCs w:val="21"/>
          <w:i w:val="1"/>
          <w:iCs w:val="1"/>
          <w:color w:val="auto"/>
        </w:rPr>
        <w:t xml:space="preserve"> </w:t>
      </w:r>
      <w:r>
        <w:rPr>
          <w:rFonts w:ascii="Arial" w:cs="Arial" w:eastAsia="Arial" w:hAnsi="Arial"/>
          <w:sz w:val="21"/>
          <w:szCs w:val="21"/>
          <w:color w:val="auto"/>
        </w:rPr>
        <w:t>in substantially the following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381" w:right="339" w:bottom="1440" w:gutter="0" w:footer="0" w:header="0"/>
        </w:sectPr>
      </w:pPr>
    </w:p>
    <w:bookmarkStart w:id="48" w:name="page49"/>
    <w:bookmarkEnd w:id="48"/>
    <w:p>
      <w:pPr>
        <w:jc w:val="both"/>
        <w:spacing w:after="0" w:line="234" w:lineRule="auto"/>
        <w:rPr>
          <w:sz w:val="20"/>
          <w:szCs w:val="20"/>
          <w:color w:val="auto"/>
        </w:rPr>
      </w:pPr>
      <w:r>
        <w:rPr>
          <w:rFonts w:ascii="Arial" w:cs="Arial" w:eastAsia="Arial" w:hAnsi="Arial"/>
          <w:sz w:val="20"/>
          <w:szCs w:val="20"/>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156" w:lineRule="exact"/>
        <w:rPr>
          <w:sz w:val="20"/>
          <w:szCs w:val="20"/>
          <w:color w:val="auto"/>
        </w:rPr>
      </w:pPr>
    </w:p>
    <w:p>
      <w:pPr>
        <w:jc w:val="both"/>
        <w:ind w:firstLine="637"/>
        <w:spacing w:after="0" w:line="237" w:lineRule="auto"/>
        <w:tabs>
          <w:tab w:leader="none" w:pos="1259"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 xml:space="preserve">Cancellation and/or Adjustment of Global Notes. </w:t>
      </w:r>
      <w:r>
        <w:rPr>
          <w:rFonts w:ascii="Arial" w:cs="Arial" w:eastAsia="Arial" w:hAnsi="Arial"/>
          <w:sz w:val="19"/>
          <w:szCs w:val="19"/>
          <w:color w:val="auto"/>
        </w:rPr>
        <w:t>At such time as all beneficial interests in a particular Global Note</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58" w:lineRule="exact"/>
        <w:rPr>
          <w:rFonts w:ascii="Arial" w:cs="Arial" w:eastAsia="Arial" w:hAnsi="Arial"/>
          <w:sz w:val="19"/>
          <w:szCs w:val="19"/>
          <w:color w:val="auto"/>
        </w:rPr>
      </w:pPr>
    </w:p>
    <w:p>
      <w:pPr>
        <w:ind w:left="1260" w:hanging="623"/>
        <w:spacing w:after="0"/>
        <w:tabs>
          <w:tab w:leader="none" w:pos="1260" w:val="left"/>
        </w:tabs>
        <w:numPr>
          <w:ilvl w:val="0"/>
          <w:numId w:val="72"/>
        </w:numPr>
        <w:rPr>
          <w:rFonts w:ascii="Arial" w:cs="Arial" w:eastAsia="Arial" w:hAnsi="Arial"/>
          <w:sz w:val="21"/>
          <w:szCs w:val="21"/>
          <w:color w:val="auto"/>
        </w:rPr>
      </w:pPr>
      <w:r>
        <w:rPr>
          <w:rFonts w:ascii="Arial" w:cs="Arial" w:eastAsia="Arial" w:hAnsi="Arial"/>
          <w:sz w:val="21"/>
          <w:szCs w:val="21"/>
          <w:i w:val="1"/>
          <w:iCs w:val="1"/>
          <w:color w:val="auto"/>
        </w:rPr>
        <w:t>General Provisions Relating to Transfers and Exchanges.</w:t>
      </w:r>
    </w:p>
    <w:p>
      <w:pPr>
        <w:spacing w:after="0" w:line="179" w:lineRule="exact"/>
        <w:rPr>
          <w:rFonts w:ascii="Arial" w:cs="Arial" w:eastAsia="Arial" w:hAnsi="Arial"/>
          <w:sz w:val="21"/>
          <w:szCs w:val="21"/>
          <w:color w:val="auto"/>
        </w:rPr>
      </w:pPr>
    </w:p>
    <w:p>
      <w:pPr>
        <w:jc w:val="both"/>
        <w:ind w:left="640" w:firstLine="628"/>
        <w:spacing w:after="0" w:line="228" w:lineRule="auto"/>
        <w:tabs>
          <w:tab w:leader="none" w:pos="1899" w:val="left"/>
        </w:tabs>
        <w:numPr>
          <w:ilvl w:val="1"/>
          <w:numId w:val="72"/>
        </w:numPr>
        <w:rPr>
          <w:rFonts w:ascii="Arial" w:cs="Arial" w:eastAsia="Arial" w:hAnsi="Arial"/>
          <w:sz w:val="21"/>
          <w:szCs w:val="21"/>
          <w:color w:val="auto"/>
        </w:rPr>
      </w:pPr>
      <w:r>
        <w:rPr>
          <w:rFonts w:ascii="Arial" w:cs="Arial" w:eastAsia="Arial" w:hAnsi="Arial"/>
          <w:sz w:val="21"/>
          <w:szCs w:val="21"/>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153" w:lineRule="exact"/>
        <w:rPr>
          <w:rFonts w:ascii="Arial" w:cs="Arial" w:eastAsia="Arial" w:hAnsi="Arial"/>
          <w:sz w:val="21"/>
          <w:szCs w:val="21"/>
          <w:color w:val="auto"/>
        </w:rPr>
      </w:pPr>
    </w:p>
    <w:p>
      <w:pPr>
        <w:jc w:val="both"/>
        <w:ind w:left="640" w:firstLine="628"/>
        <w:spacing w:after="0" w:line="234" w:lineRule="auto"/>
        <w:tabs>
          <w:tab w:leader="none" w:pos="1899" w:val="left"/>
        </w:tabs>
        <w:numPr>
          <w:ilvl w:val="1"/>
          <w:numId w:val="72"/>
        </w:numPr>
        <w:rPr>
          <w:rFonts w:ascii="Arial" w:cs="Arial" w:eastAsia="Arial" w:hAnsi="Arial"/>
          <w:sz w:val="20"/>
          <w:szCs w:val="20"/>
          <w:color w:val="auto"/>
        </w:rPr>
      </w:pPr>
      <w:r>
        <w:rPr>
          <w:rFonts w:ascii="Arial" w:cs="Arial" w:eastAsia="Arial" w:hAnsi="Arial"/>
          <w:sz w:val="20"/>
          <w:szCs w:val="20"/>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4.11 and 9.04 hereof).</w:t>
      </w:r>
    </w:p>
    <w:p>
      <w:pPr>
        <w:spacing w:after="0" w:line="155" w:lineRule="exact"/>
        <w:rPr>
          <w:rFonts w:ascii="Arial" w:cs="Arial" w:eastAsia="Arial" w:hAnsi="Arial"/>
          <w:sz w:val="20"/>
          <w:szCs w:val="20"/>
          <w:color w:val="auto"/>
        </w:rPr>
      </w:pPr>
    </w:p>
    <w:p>
      <w:pPr>
        <w:ind w:left="640" w:firstLine="628"/>
        <w:spacing w:after="0" w:line="237" w:lineRule="auto"/>
        <w:tabs>
          <w:tab w:leader="none" w:pos="1899" w:val="left"/>
        </w:tabs>
        <w:numPr>
          <w:ilvl w:val="1"/>
          <w:numId w:val="72"/>
        </w:numPr>
        <w:rPr>
          <w:rFonts w:ascii="Arial" w:cs="Arial" w:eastAsia="Arial" w:hAnsi="Arial"/>
          <w:sz w:val="21"/>
          <w:szCs w:val="21"/>
          <w:color w:val="auto"/>
        </w:rPr>
      </w:pPr>
      <w:r>
        <w:rPr>
          <w:rFonts w:ascii="Arial" w:cs="Arial" w:eastAsia="Arial" w:hAnsi="Arial"/>
          <w:sz w:val="21"/>
          <w:szCs w:val="21"/>
          <w:color w:val="auto"/>
        </w:rPr>
        <w:t>The Registrar shall not be required to register the transfer of or exchange any Note selected for redemption in whole or in part, except the unredeemed portion of any Note being redeemed in part.</w:t>
      </w:r>
    </w:p>
    <w:p>
      <w:pPr>
        <w:spacing w:after="0" w:line="154" w:lineRule="exact"/>
        <w:rPr>
          <w:rFonts w:ascii="Arial" w:cs="Arial" w:eastAsia="Arial" w:hAnsi="Arial"/>
          <w:sz w:val="21"/>
          <w:szCs w:val="21"/>
          <w:color w:val="auto"/>
        </w:rPr>
      </w:pPr>
    </w:p>
    <w:p>
      <w:pPr>
        <w:jc w:val="both"/>
        <w:ind w:left="640" w:firstLine="628"/>
        <w:spacing w:after="0" w:line="258" w:lineRule="auto"/>
        <w:tabs>
          <w:tab w:leader="none" w:pos="1899" w:val="left"/>
        </w:tabs>
        <w:numPr>
          <w:ilvl w:val="1"/>
          <w:numId w:val="72"/>
        </w:numPr>
        <w:rPr>
          <w:rFonts w:ascii="Arial" w:cs="Arial" w:eastAsia="Arial" w:hAnsi="Arial"/>
          <w:sz w:val="19"/>
          <w:szCs w:val="19"/>
          <w:color w:val="auto"/>
        </w:rPr>
      </w:pPr>
      <w:r>
        <w:rPr>
          <w:rFonts w:ascii="Arial" w:cs="Arial" w:eastAsia="Arial" w:hAnsi="Arial"/>
          <w:sz w:val="19"/>
          <w:szCs w:val="19"/>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137" w:lineRule="exact"/>
        <w:rPr>
          <w:rFonts w:ascii="Arial" w:cs="Arial" w:eastAsia="Arial" w:hAnsi="Arial"/>
          <w:sz w:val="19"/>
          <w:szCs w:val="19"/>
          <w:color w:val="auto"/>
        </w:rPr>
      </w:pPr>
    </w:p>
    <w:p>
      <w:pPr>
        <w:ind w:left="1900" w:hanging="632"/>
        <w:spacing w:after="0"/>
        <w:tabs>
          <w:tab w:leader="none" w:pos="1900" w:val="left"/>
        </w:tabs>
        <w:numPr>
          <w:ilvl w:val="1"/>
          <w:numId w:val="72"/>
        </w:numPr>
        <w:rPr>
          <w:rFonts w:ascii="Arial" w:cs="Arial" w:eastAsia="Arial" w:hAnsi="Arial"/>
          <w:sz w:val="21"/>
          <w:szCs w:val="21"/>
          <w:color w:val="auto"/>
        </w:rPr>
      </w:pPr>
      <w:r>
        <w:rPr>
          <w:rFonts w:ascii="Arial" w:cs="Arial" w:eastAsia="Arial" w:hAnsi="Arial"/>
          <w:sz w:val="21"/>
          <w:szCs w:val="21"/>
          <w:color w:val="auto"/>
        </w:rPr>
        <w:t>Neither the Registrar nor the Issuers shall be required:</w:t>
      </w:r>
    </w:p>
    <w:p>
      <w:pPr>
        <w:spacing w:after="0" w:line="179" w:lineRule="exact"/>
        <w:rPr>
          <w:rFonts w:ascii="Arial" w:cs="Arial" w:eastAsia="Arial" w:hAnsi="Arial"/>
          <w:sz w:val="21"/>
          <w:szCs w:val="21"/>
          <w:color w:val="auto"/>
        </w:rPr>
      </w:pPr>
    </w:p>
    <w:p>
      <w:pPr>
        <w:jc w:val="both"/>
        <w:ind w:firstLine="1900"/>
        <w:spacing w:after="0" w:line="228" w:lineRule="auto"/>
        <w:tabs>
          <w:tab w:leader="none" w:pos="2516" w:val="left"/>
        </w:tabs>
        <w:numPr>
          <w:ilvl w:val="2"/>
          <w:numId w:val="72"/>
        </w:numPr>
        <w:rPr>
          <w:rFonts w:ascii="Arial" w:cs="Arial" w:eastAsia="Arial" w:hAnsi="Arial"/>
          <w:sz w:val="21"/>
          <w:szCs w:val="21"/>
          <w:color w:val="auto"/>
        </w:rPr>
      </w:pPr>
      <w:r>
        <w:rPr>
          <w:rFonts w:ascii="Arial" w:cs="Arial" w:eastAsia="Arial" w:hAnsi="Arial"/>
          <w:sz w:val="21"/>
          <w:szCs w:val="21"/>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368" w:right="339" w:bottom="1440" w:gutter="0" w:footer="0" w:header="0"/>
        </w:sectPr>
      </w:pPr>
    </w:p>
    <w:bookmarkStart w:id="49" w:name="page50"/>
    <w:bookmarkEnd w:id="49"/>
    <w:p>
      <w:pPr>
        <w:ind w:firstLine="1900"/>
        <w:spacing w:after="0" w:line="237" w:lineRule="auto"/>
        <w:tabs>
          <w:tab w:leader="none" w:pos="2518" w:val="left"/>
        </w:tabs>
        <w:numPr>
          <w:ilvl w:val="1"/>
          <w:numId w:val="73"/>
        </w:numPr>
        <w:rPr>
          <w:rFonts w:ascii="Arial" w:cs="Arial" w:eastAsia="Arial" w:hAnsi="Arial"/>
          <w:sz w:val="21"/>
          <w:szCs w:val="21"/>
          <w:color w:val="auto"/>
        </w:rPr>
      </w:pPr>
      <w:r>
        <w:rPr>
          <w:rFonts w:ascii="Arial" w:cs="Arial" w:eastAsia="Arial" w:hAnsi="Arial"/>
          <w:sz w:val="21"/>
          <w:szCs w:val="21"/>
          <w:color w:val="auto"/>
        </w:rPr>
        <w:t>to register the transfer of or to exchange any Note selected for redemption in whole or in part, except the unredeemed portion of any Note being redeemed in part; or</w:t>
      </w:r>
    </w:p>
    <w:p>
      <w:pPr>
        <w:spacing w:after="0" w:line="154" w:lineRule="exact"/>
        <w:rPr>
          <w:rFonts w:ascii="Arial" w:cs="Arial" w:eastAsia="Arial" w:hAnsi="Arial"/>
          <w:sz w:val="21"/>
          <w:szCs w:val="21"/>
          <w:color w:val="auto"/>
        </w:rPr>
      </w:pPr>
    </w:p>
    <w:p>
      <w:pPr>
        <w:ind w:left="2520" w:hanging="620"/>
        <w:spacing w:after="0"/>
        <w:tabs>
          <w:tab w:leader="none" w:pos="25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register the transfer of or to exchange a Note between a record date and the next succeeding interest</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payment date.</w:t>
      </w:r>
    </w:p>
    <w:p>
      <w:pPr>
        <w:spacing w:after="0" w:line="161" w:lineRule="exact"/>
        <w:rPr>
          <w:rFonts w:ascii="Arial" w:cs="Arial" w:eastAsia="Arial" w:hAnsi="Arial"/>
          <w:sz w:val="18"/>
          <w:szCs w:val="18"/>
          <w:color w:val="auto"/>
        </w:rPr>
      </w:pPr>
    </w:p>
    <w:p>
      <w:pPr>
        <w:jc w:val="both"/>
        <w:ind w:left="640" w:firstLine="628"/>
        <w:spacing w:after="0" w:line="223" w:lineRule="auto"/>
        <w:tabs>
          <w:tab w:leader="none" w:pos="1899" w:val="left"/>
        </w:tabs>
        <w:numPr>
          <w:ilvl w:val="0"/>
          <w:numId w:val="74"/>
        </w:numPr>
        <w:rPr>
          <w:rFonts w:ascii="Arial" w:cs="Arial" w:eastAsia="Arial" w:hAnsi="Arial"/>
          <w:sz w:val="21"/>
          <w:szCs w:val="21"/>
          <w:color w:val="auto"/>
        </w:rPr>
      </w:pPr>
      <w:r>
        <w:rPr>
          <w:rFonts w:ascii="Arial" w:cs="Arial" w:eastAsia="Arial" w:hAnsi="Arial"/>
          <w:sz w:val="21"/>
          <w:szCs w:val="21"/>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155" w:lineRule="exact"/>
        <w:rPr>
          <w:rFonts w:ascii="Arial" w:cs="Arial" w:eastAsia="Arial" w:hAnsi="Arial"/>
          <w:sz w:val="21"/>
          <w:szCs w:val="21"/>
          <w:color w:val="auto"/>
        </w:rPr>
      </w:pPr>
    </w:p>
    <w:p>
      <w:pPr>
        <w:ind w:left="1900" w:hanging="632"/>
        <w:spacing w:after="0"/>
        <w:tabs>
          <w:tab w:leader="none" w:pos="19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Trustee shall authenticate Global Notes and Definitive Notes in accordance with the provisions of Section</w:t>
      </w:r>
    </w:p>
    <w:p>
      <w:pPr>
        <w:spacing w:after="0" w:line="10"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2.02 hereof.</w:t>
      </w:r>
    </w:p>
    <w:p>
      <w:pPr>
        <w:spacing w:after="0" w:line="161" w:lineRule="exact"/>
        <w:rPr>
          <w:rFonts w:ascii="Arial" w:cs="Arial" w:eastAsia="Arial" w:hAnsi="Arial"/>
          <w:sz w:val="19"/>
          <w:szCs w:val="19"/>
          <w:color w:val="auto"/>
        </w:rPr>
      </w:pPr>
    </w:p>
    <w:p>
      <w:pPr>
        <w:ind w:left="640" w:firstLine="628"/>
        <w:spacing w:after="0" w:line="237" w:lineRule="auto"/>
        <w:tabs>
          <w:tab w:leader="none" w:pos="1899" w:val="left"/>
        </w:tabs>
        <w:numPr>
          <w:ilvl w:val="0"/>
          <w:numId w:val="74"/>
        </w:numPr>
        <w:rPr>
          <w:rFonts w:ascii="Arial" w:cs="Arial" w:eastAsia="Arial" w:hAnsi="Arial"/>
          <w:sz w:val="21"/>
          <w:szCs w:val="21"/>
          <w:color w:val="auto"/>
        </w:rPr>
      </w:pPr>
      <w:r>
        <w:rPr>
          <w:rFonts w:ascii="Arial" w:cs="Arial" w:eastAsia="Arial" w:hAnsi="Arial"/>
          <w:sz w:val="21"/>
          <w:szCs w:val="21"/>
          <w:color w:val="auto"/>
        </w:rPr>
        <w:t>All certifications and certificates required to be submitted to the Registrar pursuant to this Section 2.06 to effect a registration of transfer or exchange may be submitted by facsimile.</w:t>
      </w:r>
    </w:p>
    <w:p>
      <w:pPr>
        <w:spacing w:after="0" w:line="154" w:lineRule="exact"/>
        <w:rPr>
          <w:rFonts w:ascii="Arial" w:cs="Arial" w:eastAsia="Arial" w:hAnsi="Arial"/>
          <w:sz w:val="21"/>
          <w:szCs w:val="21"/>
          <w:color w:val="auto"/>
        </w:rPr>
      </w:pPr>
    </w:p>
    <w:p>
      <w:pPr>
        <w:jc w:val="both"/>
        <w:ind w:left="640" w:firstLine="628"/>
        <w:spacing w:after="0" w:line="220" w:lineRule="auto"/>
        <w:tabs>
          <w:tab w:leader="none" w:pos="1899"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Trustee shall have no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56"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i w:val="1"/>
          <w:iCs w:val="1"/>
          <w:color w:val="auto"/>
        </w:rPr>
        <w:t>Section 2.7</w:t>
      </w:r>
      <w:r>
        <w:rPr>
          <w:sz w:val="20"/>
          <w:szCs w:val="20"/>
          <w:color w:val="auto"/>
        </w:rPr>
        <w:tab/>
      </w:r>
      <w:r>
        <w:rPr>
          <w:rFonts w:ascii="Arial" w:cs="Arial" w:eastAsia="Arial" w:hAnsi="Arial"/>
          <w:sz w:val="18"/>
          <w:szCs w:val="18"/>
          <w:i w:val="1"/>
          <w:iCs w:val="1"/>
          <w:color w:val="auto"/>
        </w:rPr>
        <w:t>Replacement Notes.</w:t>
      </w:r>
    </w:p>
    <w:p>
      <w:pPr>
        <w:spacing w:after="0" w:line="180"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21"/>
          <w:szCs w:val="21"/>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158"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Every replacement Note is an additional obligation of the Issuers and shall be entitled to all of the benefits of this Indenture equally and proportionately with all other Notes duly issued hereunder.</w:t>
      </w:r>
    </w:p>
    <w:p>
      <w:pPr>
        <w:spacing w:after="0" w:line="155"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i w:val="1"/>
          <w:iCs w:val="1"/>
          <w:color w:val="auto"/>
        </w:rPr>
        <w:t>Section 2.8</w:t>
      </w:r>
      <w:r>
        <w:rPr>
          <w:sz w:val="20"/>
          <w:szCs w:val="20"/>
          <w:color w:val="auto"/>
        </w:rPr>
        <w:tab/>
      </w:r>
      <w:r>
        <w:rPr>
          <w:rFonts w:ascii="Arial" w:cs="Arial" w:eastAsia="Arial" w:hAnsi="Arial"/>
          <w:sz w:val="19"/>
          <w:szCs w:val="19"/>
          <w:i w:val="1"/>
          <w:iCs w:val="1"/>
          <w:color w:val="auto"/>
        </w:rPr>
        <w:t>Outstanding Notes.</w:t>
      </w:r>
    </w:p>
    <w:p>
      <w:pPr>
        <w:spacing w:after="0" w:line="180"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20"/>
          <w:szCs w:val="20"/>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368" w:right="339" w:bottom="1440" w:gutter="0" w:footer="0" w:header="0"/>
        </w:sectPr>
      </w:pPr>
    </w:p>
    <w:bookmarkStart w:id="50" w:name="page51"/>
    <w:bookmarkEnd w:id="50"/>
    <w:p>
      <w:pPr>
        <w:jc w:val="both"/>
        <w:ind w:firstLine="632"/>
        <w:spacing w:after="0" w:line="237" w:lineRule="auto"/>
        <w:rPr>
          <w:sz w:val="20"/>
          <w:szCs w:val="20"/>
          <w:color w:val="auto"/>
        </w:rPr>
      </w:pPr>
      <w:r>
        <w:rPr>
          <w:rFonts w:ascii="Arial" w:cs="Arial" w:eastAsia="Arial" w:hAnsi="Arial"/>
          <w:sz w:val="21"/>
          <w:szCs w:val="21"/>
          <w:color w:val="auto"/>
        </w:rPr>
        <w:t>If a Note is replaced pursuant to Section 2.07 hereof, it ceases to be outstanding unless the Trustee receives proof satisfactory to it that the replaced Note is held by a protected purchaser.</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If the principal amount of any Note is considered paid under Section 4.01 hereof, it ceases to be outstanding and interest on it ceases to accrue.</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i w:val="1"/>
          <w:iCs w:val="1"/>
          <w:color w:val="auto"/>
        </w:rPr>
        <w:t>Section 2.9</w:t>
      </w:r>
      <w:r>
        <w:rPr>
          <w:sz w:val="20"/>
          <w:szCs w:val="20"/>
          <w:color w:val="auto"/>
        </w:rPr>
        <w:tab/>
      </w:r>
      <w:r>
        <w:rPr>
          <w:rFonts w:ascii="Arial" w:cs="Arial" w:eastAsia="Arial" w:hAnsi="Arial"/>
          <w:sz w:val="18"/>
          <w:szCs w:val="18"/>
          <w:i w:val="1"/>
          <w:iCs w:val="1"/>
          <w:color w:val="auto"/>
        </w:rPr>
        <w:t>Treasury Notes.</w:t>
      </w:r>
    </w:p>
    <w:p>
      <w:pPr>
        <w:spacing w:after="0" w:line="180"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55"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i w:val="1"/>
          <w:iCs w:val="1"/>
          <w:color w:val="auto"/>
        </w:rPr>
        <w:t>Section 2.10</w:t>
      </w:r>
      <w:r>
        <w:rPr>
          <w:sz w:val="20"/>
          <w:szCs w:val="20"/>
          <w:color w:val="auto"/>
        </w:rPr>
        <w:tab/>
      </w:r>
      <w:r>
        <w:rPr>
          <w:rFonts w:ascii="Arial" w:cs="Arial" w:eastAsia="Arial" w:hAnsi="Arial"/>
          <w:sz w:val="18"/>
          <w:szCs w:val="18"/>
          <w:i w:val="1"/>
          <w:iCs w:val="1"/>
          <w:color w:val="auto"/>
        </w:rPr>
        <w:t>Temporary Notes.</w:t>
      </w:r>
    </w:p>
    <w:p>
      <w:pPr>
        <w:spacing w:after="0" w:line="180"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Holders of temporary Notes shall be entitled to all of the benefits of this Indenture.</w:t>
      </w:r>
    </w:p>
    <w:p>
      <w:pPr>
        <w:spacing w:after="0" w:line="180"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i w:val="1"/>
          <w:iCs w:val="1"/>
          <w:color w:val="auto"/>
        </w:rPr>
        <w:t>Section 2.11</w:t>
      </w:r>
      <w:r>
        <w:rPr>
          <w:sz w:val="20"/>
          <w:szCs w:val="20"/>
          <w:color w:val="auto"/>
        </w:rPr>
        <w:tab/>
      </w:r>
      <w:r>
        <w:rPr>
          <w:rFonts w:ascii="Arial" w:cs="Arial" w:eastAsia="Arial" w:hAnsi="Arial"/>
          <w:sz w:val="19"/>
          <w:szCs w:val="19"/>
          <w:i w:val="1"/>
          <w:iCs w:val="1"/>
          <w:color w:val="auto"/>
        </w:rPr>
        <w:t>Cancellation.</w:t>
      </w:r>
    </w:p>
    <w:p>
      <w:pPr>
        <w:spacing w:after="0" w:line="180" w:lineRule="exact"/>
        <w:rPr>
          <w:sz w:val="20"/>
          <w:szCs w:val="20"/>
          <w:color w:val="auto"/>
        </w:rPr>
      </w:pPr>
    </w:p>
    <w:p>
      <w:pPr>
        <w:jc w:val="both"/>
        <w:ind w:firstLine="632"/>
        <w:spacing w:after="0" w:line="244" w:lineRule="auto"/>
        <w:rPr>
          <w:sz w:val="20"/>
          <w:szCs w:val="20"/>
          <w:color w:val="auto"/>
        </w:rPr>
      </w:pPr>
      <w:r>
        <w:rPr>
          <w:rFonts w:ascii="Arial" w:cs="Arial" w:eastAsia="Arial" w:hAnsi="Arial"/>
          <w:sz w:val="19"/>
          <w:szCs w:val="19"/>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Certification of the destruction of all canceled Notes shall be delivered to the Issuers upon their request. The Issuers may not issue new Notes to replace Notes that they have paid or that have been delivered to the Trustee for cancellation.</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i w:val="1"/>
          <w:iCs w:val="1"/>
          <w:color w:val="auto"/>
        </w:rPr>
        <w:t>Section 2.12</w:t>
      </w:r>
      <w:r>
        <w:rPr>
          <w:sz w:val="20"/>
          <w:szCs w:val="20"/>
          <w:color w:val="auto"/>
        </w:rPr>
        <w:tab/>
      </w:r>
      <w:r>
        <w:rPr>
          <w:rFonts w:ascii="Arial" w:cs="Arial" w:eastAsia="Arial" w:hAnsi="Arial"/>
          <w:sz w:val="19"/>
          <w:szCs w:val="19"/>
          <w:i w:val="1"/>
          <w:iCs w:val="1"/>
          <w:color w:val="auto"/>
        </w:rPr>
        <w:t>Defaulted Interest.</w:t>
      </w:r>
    </w:p>
    <w:p>
      <w:pPr>
        <w:spacing w:after="0" w:line="180"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19"/>
          <w:szCs w:val="19"/>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deliver or cause to be delivered to Holders a notice that states the special record date, the related payment date and the amount of such interest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368" w:right="339" w:bottom="1440" w:gutter="0" w:footer="0" w:header="0"/>
        </w:sectPr>
      </w:pPr>
    </w:p>
    <w:bookmarkStart w:id="51" w:name="page52"/>
    <w:bookmarkEnd w:id="51"/>
    <w:p>
      <w:pPr>
        <w:spacing w:after="0"/>
        <w:tabs>
          <w:tab w:leader="none" w:pos="1280" w:val="left"/>
        </w:tabs>
        <w:rPr>
          <w:sz w:val="20"/>
          <w:szCs w:val="20"/>
          <w:color w:val="auto"/>
        </w:rPr>
      </w:pPr>
      <w:r>
        <w:rPr>
          <w:rFonts w:ascii="Arial" w:cs="Arial" w:eastAsia="Arial" w:hAnsi="Arial"/>
          <w:sz w:val="21"/>
          <w:szCs w:val="21"/>
          <w:i w:val="1"/>
          <w:iCs w:val="1"/>
          <w:color w:val="auto"/>
        </w:rPr>
        <w:t>Section 2.13</w:t>
      </w:r>
      <w:r>
        <w:rPr>
          <w:sz w:val="20"/>
          <w:szCs w:val="20"/>
          <w:color w:val="auto"/>
        </w:rPr>
        <w:tab/>
      </w:r>
      <w:r>
        <w:rPr>
          <w:rFonts w:ascii="Arial" w:cs="Arial" w:eastAsia="Arial" w:hAnsi="Arial"/>
          <w:sz w:val="19"/>
          <w:szCs w:val="19"/>
          <w:i w:val="1"/>
          <w:iCs w:val="1"/>
          <w:color w:val="auto"/>
        </w:rPr>
        <w:t>Issuance of Additional Notes.</w:t>
      </w:r>
    </w:p>
    <w:p>
      <w:pPr>
        <w:spacing w:after="0" w:line="180"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21"/>
          <w:szCs w:val="21"/>
          <w:color w:val="auto"/>
        </w:rPr>
        <w:t>The Issuers will be entitled, upon delivery of an Officers’ Certificate, Opinion of Counsel and Authentication Order, subject to compliance with Section 2.02 hereof, to issue Additional Notes under this Indenture, which shall have identical terms as the Initial Notes issued on the Issue Date, other than with respect to the date of issuance, the initial date from which interest shall accrue on such Additional Notes and issue price. Without the consent of any Holder of Notes, the Issuers will be entitled to make any amendments to this Indenture or the Note Guarantees as they reasonably determine appropriate in good faith to facilitate the issuance of such Additional Notes.</w:t>
      </w:r>
    </w:p>
    <w:p>
      <w:pPr>
        <w:spacing w:after="0" w:line="158"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20"/>
          <w:szCs w:val="20"/>
          <w:color w:val="auto"/>
        </w:rPr>
        <w:t>With respect to any Additional Notes, the Issuers will set forth in a resolution of the Board of Directors of Wynn Resorts Capital and an Officers’ Certificate, a copy of each which shall be delivered to the Trustee, the following information:</w:t>
      </w:r>
    </w:p>
    <w:p>
      <w:pPr>
        <w:spacing w:after="0" w:line="137" w:lineRule="exact"/>
        <w:rPr>
          <w:sz w:val="20"/>
          <w:szCs w:val="20"/>
          <w:color w:val="auto"/>
        </w:rPr>
      </w:pPr>
    </w:p>
    <w:p>
      <w:pPr>
        <w:ind w:left="1260" w:hanging="623"/>
        <w:spacing w:after="0"/>
        <w:tabs>
          <w:tab w:leader="none" w:pos="12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aggregate principal amount of such Additional Notes to be authenticated and delivered pursuant to this Indenture;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and</w:t>
      </w:r>
    </w:p>
    <w:p>
      <w:pPr>
        <w:spacing w:after="0" w:line="162" w:lineRule="exact"/>
        <w:rPr>
          <w:sz w:val="20"/>
          <w:szCs w:val="20"/>
          <w:color w:val="auto"/>
        </w:rPr>
      </w:pPr>
    </w:p>
    <w:p>
      <w:pPr>
        <w:jc w:val="both"/>
        <w:ind w:firstLine="637"/>
        <w:spacing w:after="0" w:line="228" w:lineRule="auto"/>
        <w:tabs>
          <w:tab w:leader="none" w:pos="1259" w:val="left"/>
        </w:tabs>
        <w:numPr>
          <w:ilvl w:val="0"/>
          <w:numId w:val="76"/>
        </w:numPr>
        <w:rPr>
          <w:rFonts w:ascii="Arial" w:cs="Arial" w:eastAsia="Arial" w:hAnsi="Arial"/>
          <w:sz w:val="21"/>
          <w:szCs w:val="21"/>
          <w:color w:val="auto"/>
        </w:rPr>
      </w:pPr>
      <w:r>
        <w:rPr>
          <w:rFonts w:ascii="Arial" w:cs="Arial" w:eastAsia="Arial" w:hAnsi="Arial"/>
          <w:sz w:val="21"/>
          <w:szCs w:val="21"/>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With respect to any Additional Notes, the Opinion of Counsel delivered to the Trustee shall state:</w:t>
      </w:r>
    </w:p>
    <w:p>
      <w:pPr>
        <w:spacing w:after="0" w:line="180" w:lineRule="exact"/>
        <w:rPr>
          <w:sz w:val="20"/>
          <w:szCs w:val="20"/>
          <w:color w:val="auto"/>
        </w:rPr>
      </w:pPr>
    </w:p>
    <w:p>
      <w:pPr>
        <w:ind w:left="1260" w:hanging="623"/>
        <w:spacing w:after="0"/>
        <w:tabs>
          <w:tab w:leader="none" w:pos="1260"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that the form and terms of such Additional Notes have been established conformity with this Indenture; and</w:t>
      </w:r>
    </w:p>
    <w:p>
      <w:pPr>
        <w:spacing w:after="0" w:line="179" w:lineRule="exact"/>
        <w:rPr>
          <w:rFonts w:ascii="Arial" w:cs="Arial" w:eastAsia="Arial" w:hAnsi="Arial"/>
          <w:sz w:val="21"/>
          <w:szCs w:val="21"/>
          <w:color w:val="auto"/>
        </w:rPr>
      </w:pPr>
    </w:p>
    <w:p>
      <w:pPr>
        <w:jc w:val="both"/>
        <w:ind w:firstLine="637"/>
        <w:spacing w:after="0" w:line="249" w:lineRule="auto"/>
        <w:tabs>
          <w:tab w:leader="none" w:pos="1259"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that such Additional Notes, when authenticated and delivered by the Trustee and issued by Wynn Resorts Finance and Wynn Resorts Capital in the manner and subject to any conditions specified in such Opinion of Counsel, will constitute valid and binding obligations of the Issuers, enforceable in accordance with their terms, subject to bankruptcy, insolvency, reorganization and other laws of general applicability relating to or affecting the enforcement of creditors’ rights and to general equity principles.</w:t>
      </w:r>
    </w:p>
    <w:p>
      <w:pPr>
        <w:spacing w:after="0" w:line="140"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3.</w:t>
      </w:r>
    </w:p>
    <w:p>
      <w:pPr>
        <w:spacing w:after="0" w:line="180"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REDEMPTION AND PREPAYMENT</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3.01</w:t>
      </w:r>
      <w:r>
        <w:rPr>
          <w:sz w:val="20"/>
          <w:szCs w:val="20"/>
          <w:color w:val="auto"/>
        </w:rPr>
        <w:tab/>
      </w:r>
      <w:r>
        <w:rPr>
          <w:rFonts w:ascii="Arial" w:cs="Arial" w:eastAsia="Arial" w:hAnsi="Arial"/>
          <w:sz w:val="18"/>
          <w:szCs w:val="18"/>
          <w:i w:val="1"/>
          <w:iCs w:val="1"/>
          <w:color w:val="auto"/>
        </w:rPr>
        <w:t>Notices to Trustee.</w:t>
      </w:r>
    </w:p>
    <w:p>
      <w:pPr>
        <w:spacing w:after="0" w:line="180" w:lineRule="exact"/>
        <w:rPr>
          <w:sz w:val="20"/>
          <w:szCs w:val="20"/>
          <w:color w:val="auto"/>
        </w:rPr>
      </w:pPr>
    </w:p>
    <w:p>
      <w:pPr>
        <w:ind w:firstLine="632"/>
        <w:spacing w:after="0" w:line="285" w:lineRule="auto"/>
        <w:rPr>
          <w:sz w:val="20"/>
          <w:szCs w:val="20"/>
          <w:color w:val="auto"/>
        </w:rPr>
      </w:pPr>
      <w:r>
        <w:rPr>
          <w:rFonts w:ascii="Arial" w:cs="Arial" w:eastAsia="Arial" w:hAnsi="Arial"/>
          <w:sz w:val="19"/>
          <w:szCs w:val="19"/>
          <w:color w:val="auto"/>
        </w:rPr>
        <w:t>If the Issuers elect to redeem Notes pursuant to the optional redemption provisions of Section 3.07 hereof, they must furnish to the Trustee, at least 15 days but not more than 60 days before a redemption date, an Officers’ Certificate setting forth:</w:t>
      </w:r>
    </w:p>
    <w:p>
      <w:pPr>
        <w:spacing w:after="0" w:line="113" w:lineRule="exact"/>
        <w:rPr>
          <w:sz w:val="20"/>
          <w:szCs w:val="20"/>
          <w:color w:val="auto"/>
        </w:rPr>
      </w:pPr>
    </w:p>
    <w:p>
      <w:pPr>
        <w:ind w:left="1260" w:hanging="623"/>
        <w:spacing w:after="0"/>
        <w:tabs>
          <w:tab w:leader="none" w:pos="126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clause of this Indenture pursuant to which the redemption shall occur;</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redemption date;</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principal amount of Notes to be redeemed; and</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368" w:right="339" w:bottom="1440" w:gutter="0" w:footer="0" w:header="0"/>
        </w:sectPr>
      </w:pPr>
    </w:p>
    <w:bookmarkStart w:id="52" w:name="page53"/>
    <w:bookmarkEnd w:id="52"/>
    <w:p>
      <w:pPr>
        <w:spacing w:after="0"/>
        <w:tabs>
          <w:tab w:leader="none" w:pos="1280" w:val="left"/>
        </w:tabs>
        <w:rPr>
          <w:sz w:val="20"/>
          <w:szCs w:val="20"/>
          <w:color w:val="auto"/>
        </w:rPr>
      </w:pPr>
      <w:r>
        <w:rPr>
          <w:rFonts w:ascii="Arial" w:cs="Arial" w:eastAsia="Arial" w:hAnsi="Arial"/>
          <w:sz w:val="21"/>
          <w:szCs w:val="21"/>
          <w:i w:val="1"/>
          <w:iCs w:val="1"/>
          <w:color w:val="auto"/>
        </w:rPr>
        <w:t>Section 3.02</w:t>
      </w:r>
      <w:r>
        <w:rPr>
          <w:sz w:val="20"/>
          <w:szCs w:val="20"/>
          <w:color w:val="auto"/>
        </w:rPr>
        <w:tab/>
      </w:r>
      <w:r>
        <w:rPr>
          <w:rFonts w:ascii="Arial" w:cs="Arial" w:eastAsia="Arial" w:hAnsi="Arial"/>
          <w:sz w:val="18"/>
          <w:szCs w:val="18"/>
          <w:i w:val="1"/>
          <w:iCs w:val="1"/>
          <w:color w:val="auto"/>
        </w:rPr>
        <w:t>Selection of Notes to Be Redeemed or Purchased.</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If less than all of the Notes are to be redeemed or purchased in an offer to purchase at any time, the Trustee shall select Notes for redemption or purchase as follows:</w:t>
      </w:r>
    </w:p>
    <w:p>
      <w:pPr>
        <w:spacing w:after="0" w:line="155" w:lineRule="exact"/>
        <w:rPr>
          <w:sz w:val="20"/>
          <w:szCs w:val="20"/>
          <w:color w:val="auto"/>
        </w:rPr>
      </w:pPr>
    </w:p>
    <w:p>
      <w:pPr>
        <w:ind w:firstLine="637"/>
        <w:spacing w:after="0" w:line="237" w:lineRule="auto"/>
        <w:tabs>
          <w:tab w:leader="none" w:pos="12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if the Notes are listed on any national securities exchange, in compliance with the requirements of the principal national securities exchange on which the Notes are listed; or</w:t>
      </w:r>
    </w:p>
    <w:p>
      <w:pPr>
        <w:spacing w:after="0" w:line="154" w:lineRule="exact"/>
        <w:rPr>
          <w:rFonts w:ascii="Arial" w:cs="Arial" w:eastAsia="Arial" w:hAnsi="Arial"/>
          <w:sz w:val="21"/>
          <w:szCs w:val="21"/>
          <w:color w:val="auto"/>
        </w:rPr>
      </w:pPr>
    </w:p>
    <w:p>
      <w:pPr>
        <w:ind w:firstLine="637"/>
        <w:spacing w:after="0" w:line="237" w:lineRule="auto"/>
        <w:tabs>
          <w:tab w:leader="none" w:pos="1259" w:val="left"/>
        </w:tabs>
        <w:numPr>
          <w:ilvl w:val="0"/>
          <w:numId w:val="79"/>
        </w:numPr>
        <w:rPr>
          <w:rFonts w:ascii="Arial" w:cs="Arial" w:eastAsia="Arial" w:hAnsi="Arial"/>
          <w:sz w:val="21"/>
          <w:szCs w:val="21"/>
          <w:color w:val="auto"/>
        </w:rPr>
      </w:pPr>
      <w:r>
        <w:rPr>
          <w:rFonts w:ascii="Arial" w:cs="Arial" w:eastAsia="Arial" w:hAnsi="Arial"/>
          <w:sz w:val="21"/>
          <w:szCs w:val="21"/>
          <w:color w:val="auto"/>
        </w:rPr>
        <w:t>if the Notes are not listed on any national securities exchange, on a pro rata basis, by lot or by such method in accordance with the Trustee’s customary procedures, and in compliance with the procedures of the Depositary.</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In the event of partial redemption or purchase by lot, the particular Notes to be redeemed or purchased shall be selected, unless otherwise provided herein, not less than 15 nor more than 60 days prior to the redemption or purchase date by the Trustee from the outstanding Notes not previously called for redemption or purchase.</w:t>
      </w:r>
    </w:p>
    <w:p>
      <w:pPr>
        <w:spacing w:after="0" w:line="154"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color w:val="auto"/>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3.03</w:t>
      </w:r>
      <w:r>
        <w:rPr>
          <w:sz w:val="20"/>
          <w:szCs w:val="20"/>
          <w:color w:val="auto"/>
        </w:rPr>
        <w:tab/>
      </w:r>
      <w:r>
        <w:rPr>
          <w:rFonts w:ascii="Arial" w:cs="Arial" w:eastAsia="Arial" w:hAnsi="Arial"/>
          <w:sz w:val="18"/>
          <w:szCs w:val="18"/>
          <w:i w:val="1"/>
          <w:iCs w:val="1"/>
          <w:color w:val="auto"/>
        </w:rPr>
        <w:t>Notice of Redemption.</w:t>
      </w:r>
    </w:p>
    <w:p>
      <w:pPr>
        <w:spacing w:after="0" w:line="180"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20"/>
          <w:szCs w:val="20"/>
          <w:color w:val="auto"/>
        </w:rPr>
        <w:t>At least 15 days but not more than 60 days before a redemption date, the Issuers shall deliver or cause to be delivered a notice of redemption to each Holder whose Notes are to be redeemed at its registered address, except that redemption notices may be delivered more than 60 days prior to a redemption date if the notice is issued in connection with a defeasance of the Notes or a satisfaction and discharge of this Indenture pursuant to Articles 8 or 12 of this Indenture.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notice shall identify the Notes to be redeemed and shall state:</w:t>
      </w:r>
    </w:p>
    <w:p>
      <w:pPr>
        <w:spacing w:after="0" w:line="180" w:lineRule="exact"/>
        <w:rPr>
          <w:sz w:val="20"/>
          <w:szCs w:val="20"/>
          <w:color w:val="auto"/>
        </w:rPr>
      </w:pPr>
    </w:p>
    <w:p>
      <w:pPr>
        <w:ind w:left="1260" w:hanging="623"/>
        <w:spacing w:after="0"/>
        <w:tabs>
          <w:tab w:leader="none" w:pos="12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redemption date;</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redemption price;</w:t>
      </w:r>
    </w:p>
    <w:p>
      <w:pPr>
        <w:spacing w:after="0" w:line="179" w:lineRule="exact"/>
        <w:rPr>
          <w:rFonts w:ascii="Arial" w:cs="Arial" w:eastAsia="Arial" w:hAnsi="Arial"/>
          <w:sz w:val="21"/>
          <w:szCs w:val="21"/>
          <w:color w:val="auto"/>
        </w:rPr>
      </w:pPr>
    </w:p>
    <w:p>
      <w:pPr>
        <w:jc w:val="both"/>
        <w:ind w:firstLine="637"/>
        <w:spacing w:after="0" w:line="228" w:lineRule="auto"/>
        <w:tabs>
          <w:tab w:leader="none" w:pos="12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153" w:lineRule="exact"/>
        <w:rPr>
          <w:rFonts w:ascii="Arial" w:cs="Arial" w:eastAsia="Arial" w:hAnsi="Arial"/>
          <w:sz w:val="21"/>
          <w:szCs w:val="21"/>
          <w:color w:val="auto"/>
        </w:rPr>
      </w:pPr>
    </w:p>
    <w:p>
      <w:pPr>
        <w:ind w:left="1260" w:hanging="623"/>
        <w:spacing w:after="0"/>
        <w:tabs>
          <w:tab w:leader="none" w:pos="12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name and address of the Paying Agent;</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that Notes called for redemption must be surrendered to the Paying Agent to collect the redemption price;</w:t>
      </w:r>
    </w:p>
    <w:p>
      <w:pPr>
        <w:spacing w:after="0" w:line="179" w:lineRule="exact"/>
        <w:rPr>
          <w:rFonts w:ascii="Arial" w:cs="Arial" w:eastAsia="Arial" w:hAnsi="Arial"/>
          <w:sz w:val="21"/>
          <w:szCs w:val="21"/>
          <w:color w:val="auto"/>
        </w:rPr>
      </w:pPr>
    </w:p>
    <w:p>
      <w:pPr>
        <w:ind w:firstLine="637"/>
        <w:spacing w:after="0" w:line="237" w:lineRule="auto"/>
        <w:tabs>
          <w:tab w:leader="none" w:pos="1263"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that, unless the Issuers default in making such redemption payment, interest on Notes called for redemption ceases to accrue on and after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368" w:right="339" w:bottom="1440" w:gutter="0" w:footer="0" w:header="0"/>
        </w:sectPr>
      </w:pPr>
    </w:p>
    <w:bookmarkStart w:id="53" w:name="page54"/>
    <w:bookmarkEnd w:id="53"/>
    <w:p>
      <w:pPr>
        <w:ind w:firstLine="637"/>
        <w:spacing w:after="0" w:line="237" w:lineRule="auto"/>
        <w:tabs>
          <w:tab w:leader="none" w:pos="1259"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paragraph of the Notes and/or Section of this Indenture pursuant to which the Notes called for redemption are being redeemed;</w:t>
      </w:r>
    </w:p>
    <w:p>
      <w:pPr>
        <w:spacing w:after="0" w:line="154" w:lineRule="exact"/>
        <w:rPr>
          <w:rFonts w:ascii="Arial" w:cs="Arial" w:eastAsia="Arial" w:hAnsi="Arial"/>
          <w:sz w:val="21"/>
          <w:szCs w:val="21"/>
          <w:color w:val="auto"/>
        </w:rPr>
      </w:pPr>
    </w:p>
    <w:p>
      <w:pPr>
        <w:ind w:firstLine="637"/>
        <w:spacing w:after="0" w:line="237" w:lineRule="auto"/>
        <w:tabs>
          <w:tab w:leader="none" w:pos="1259"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that no representation is made as to the correctness or accuracy of the CUSIP number, if any, listed in such notice or printed on the Notes; and</w:t>
      </w:r>
    </w:p>
    <w:p>
      <w:pPr>
        <w:spacing w:after="0" w:line="167" w:lineRule="exact"/>
        <w:rPr>
          <w:rFonts w:ascii="Arial" w:cs="Arial" w:eastAsia="Arial" w:hAnsi="Arial"/>
          <w:sz w:val="21"/>
          <w:szCs w:val="21"/>
          <w:color w:val="auto"/>
        </w:rPr>
      </w:pPr>
    </w:p>
    <w:p>
      <w:pPr>
        <w:ind w:left="1260" w:hanging="623"/>
        <w:spacing w:after="0"/>
        <w:tabs>
          <w:tab w:leader="none" w:pos="12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whether the redemption is subject to the satisfaction of one or more conditions.</w:t>
      </w:r>
    </w:p>
    <w:p>
      <w:pPr>
        <w:spacing w:after="0" w:line="193"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At the Issuers’ request, the Trustee shall give the notice of redemption in the Issuers’ name and at their expense; provided, however, that the Issuers have delivered to the Trustee, at least 20 days prior to the redemption date (or such shorter time period otherwise agreed to by the Trustee), an Officers’ Certificate requesting that the Trustee give such notice and setting forth the information to be stated in such notice as provided in the preceding paragraph.</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3.04</w:t>
      </w:r>
      <w:r>
        <w:rPr>
          <w:sz w:val="20"/>
          <w:szCs w:val="20"/>
          <w:color w:val="auto"/>
        </w:rPr>
        <w:tab/>
      </w:r>
      <w:r>
        <w:rPr>
          <w:rFonts w:ascii="Arial" w:cs="Arial" w:eastAsia="Arial" w:hAnsi="Arial"/>
          <w:sz w:val="19"/>
          <w:szCs w:val="19"/>
          <w:i w:val="1"/>
          <w:iCs w:val="1"/>
          <w:color w:val="auto"/>
        </w:rPr>
        <w:t>Effect of Notice of Redemption.</w:t>
      </w:r>
    </w:p>
    <w:p>
      <w:pPr>
        <w:spacing w:after="0" w:line="180" w:lineRule="exact"/>
        <w:rPr>
          <w:sz w:val="20"/>
          <w:szCs w:val="20"/>
          <w:color w:val="auto"/>
        </w:rPr>
      </w:pPr>
    </w:p>
    <w:p>
      <w:pPr>
        <w:jc w:val="both"/>
        <w:ind w:firstLine="632"/>
        <w:spacing w:after="0" w:line="215" w:lineRule="auto"/>
        <w:rPr>
          <w:sz w:val="20"/>
          <w:szCs w:val="20"/>
          <w:color w:val="auto"/>
        </w:rPr>
      </w:pPr>
      <w:r>
        <w:rPr>
          <w:rFonts w:ascii="Arial" w:cs="Arial" w:eastAsia="Arial" w:hAnsi="Arial"/>
          <w:sz w:val="21"/>
          <w:szCs w:val="21"/>
          <w:color w:val="auto"/>
        </w:rPr>
        <w:t>Any such redemption pursuant to this Article 3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 If delivered in the manner provided in Section 3.03 hereof, the notice of redemption shall be conclusively presumed to have been given whether or not the Holder receives such notice.</w:t>
      </w:r>
    </w:p>
    <w:p>
      <w:pPr>
        <w:spacing w:after="0" w:line="158"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i w:val="1"/>
          <w:iCs w:val="1"/>
          <w:color w:val="auto"/>
        </w:rPr>
        <w:t>Section 3.05</w:t>
      </w:r>
      <w:r>
        <w:rPr>
          <w:sz w:val="20"/>
          <w:szCs w:val="20"/>
          <w:color w:val="auto"/>
        </w:rPr>
        <w:tab/>
      </w:r>
      <w:r>
        <w:rPr>
          <w:rFonts w:ascii="Arial" w:cs="Arial" w:eastAsia="Arial" w:hAnsi="Arial"/>
          <w:sz w:val="19"/>
          <w:szCs w:val="19"/>
          <w:i w:val="1"/>
          <w:iCs w:val="1"/>
          <w:color w:val="auto"/>
        </w:rPr>
        <w:t>Deposit of Redemption or Purchase Price.</w:t>
      </w:r>
    </w:p>
    <w:p>
      <w:pPr>
        <w:spacing w:after="0" w:line="180"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One Business Day prior to the redemption or purchase price date, the Issuers shall deposit with the Trustee or with the Paying Agent money sufficient to pay the redemption or purchase price of and accrued interest and premium,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if any, on, all Notes to be redeemed or purchased.</w:t>
      </w:r>
    </w:p>
    <w:p>
      <w:pPr>
        <w:spacing w:after="0" w:line="156" w:lineRule="exact"/>
        <w:rPr>
          <w:sz w:val="20"/>
          <w:szCs w:val="20"/>
          <w:color w:val="auto"/>
        </w:rPr>
      </w:pPr>
    </w:p>
    <w:p>
      <w:pPr>
        <w:jc w:val="both"/>
        <w:ind w:firstLine="632"/>
        <w:spacing w:after="0" w:line="216" w:lineRule="auto"/>
        <w:rPr>
          <w:sz w:val="20"/>
          <w:szCs w:val="20"/>
          <w:color w:val="auto"/>
        </w:rPr>
      </w:pPr>
      <w:r>
        <w:rPr>
          <w:rFonts w:ascii="Arial" w:cs="Arial" w:eastAsia="Arial" w:hAnsi="Arial"/>
          <w:sz w:val="21"/>
          <w:szCs w:val="21"/>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368" w:right="339" w:bottom="1440" w:gutter="0" w:footer="0" w:header="0"/>
        </w:sectPr>
      </w:pPr>
    </w:p>
    <w:bookmarkStart w:id="54" w:name="page55"/>
    <w:bookmarkEnd w:id="54"/>
    <w:p>
      <w:pPr>
        <w:spacing w:after="0"/>
        <w:tabs>
          <w:tab w:leader="none" w:pos="1280" w:val="left"/>
        </w:tabs>
        <w:rPr>
          <w:sz w:val="20"/>
          <w:szCs w:val="20"/>
          <w:color w:val="auto"/>
        </w:rPr>
      </w:pPr>
      <w:r>
        <w:rPr>
          <w:rFonts w:ascii="Arial" w:cs="Arial" w:eastAsia="Arial" w:hAnsi="Arial"/>
          <w:sz w:val="21"/>
          <w:szCs w:val="21"/>
          <w:i w:val="1"/>
          <w:iCs w:val="1"/>
          <w:color w:val="auto"/>
        </w:rPr>
        <w:t>Section 3.06</w:t>
      </w:r>
      <w:r>
        <w:rPr>
          <w:sz w:val="20"/>
          <w:szCs w:val="20"/>
          <w:color w:val="auto"/>
        </w:rPr>
        <w:tab/>
      </w:r>
      <w:r>
        <w:rPr>
          <w:rFonts w:ascii="Arial" w:cs="Arial" w:eastAsia="Arial" w:hAnsi="Arial"/>
          <w:sz w:val="18"/>
          <w:szCs w:val="18"/>
          <w:i w:val="1"/>
          <w:iCs w:val="1"/>
          <w:color w:val="auto"/>
        </w:rPr>
        <w:t>Notes Redeemed or Purchased in Part.</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3.07</w:t>
      </w:r>
      <w:r>
        <w:rPr>
          <w:sz w:val="20"/>
          <w:szCs w:val="20"/>
          <w:color w:val="auto"/>
        </w:rPr>
        <w:tab/>
      </w:r>
      <w:r>
        <w:rPr>
          <w:rFonts w:ascii="Arial" w:cs="Arial" w:eastAsia="Arial" w:hAnsi="Arial"/>
          <w:sz w:val="19"/>
          <w:szCs w:val="19"/>
          <w:i w:val="1"/>
          <w:iCs w:val="1"/>
          <w:color w:val="auto"/>
        </w:rPr>
        <w:t>Optional Redemption.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Notes are redeemable at the Issuers’ election, in whole or in part at any time prior to their Stated Maturity.</w:t>
      </w:r>
    </w:p>
    <w:p>
      <w:pPr>
        <w:spacing w:after="0" w:line="180" w:lineRule="exact"/>
        <w:rPr>
          <w:sz w:val="20"/>
          <w:szCs w:val="20"/>
          <w:color w:val="auto"/>
        </w:rPr>
      </w:pPr>
    </w:p>
    <w:p>
      <w:pPr>
        <w:ind w:left="1260" w:hanging="623"/>
        <w:spacing w:after="0"/>
        <w:tabs>
          <w:tab w:leader="none" w:pos="12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redemption price for the Notes that are redeemed before November 15, 2030 will be equal to the greater of:</w:t>
      </w:r>
    </w:p>
    <w:p>
      <w:pPr>
        <w:spacing w:after="0" w:line="191" w:lineRule="exact"/>
        <w:rPr>
          <w:rFonts w:ascii="Arial" w:cs="Arial" w:eastAsia="Arial" w:hAnsi="Arial"/>
          <w:sz w:val="20"/>
          <w:szCs w:val="20"/>
          <w:color w:val="auto"/>
        </w:rPr>
      </w:pPr>
    </w:p>
    <w:p>
      <w:pPr>
        <w:ind w:left="1900" w:hanging="632"/>
        <w:spacing w:after="0"/>
        <w:tabs>
          <w:tab w:leader="none" w:pos="1900" w:val="left"/>
        </w:tabs>
        <w:numPr>
          <w:ilvl w:val="1"/>
          <w:numId w:val="82"/>
        </w:numPr>
        <w:rPr>
          <w:rFonts w:ascii="Arial" w:cs="Arial" w:eastAsia="Arial" w:hAnsi="Arial"/>
          <w:sz w:val="21"/>
          <w:szCs w:val="21"/>
          <w:color w:val="auto"/>
        </w:rPr>
      </w:pPr>
      <w:r>
        <w:rPr>
          <w:rFonts w:ascii="Arial" w:cs="Arial" w:eastAsia="Arial" w:hAnsi="Arial"/>
          <w:sz w:val="21"/>
          <w:szCs w:val="21"/>
          <w:color w:val="auto"/>
        </w:rPr>
        <w:t>100% of the principal amount of the Notes to be redeemed; or</w:t>
      </w:r>
    </w:p>
    <w:p>
      <w:pPr>
        <w:spacing w:after="0" w:line="179" w:lineRule="exact"/>
        <w:rPr>
          <w:rFonts w:ascii="Arial" w:cs="Arial" w:eastAsia="Arial" w:hAnsi="Arial"/>
          <w:sz w:val="21"/>
          <w:szCs w:val="21"/>
          <w:color w:val="auto"/>
        </w:rPr>
      </w:pPr>
    </w:p>
    <w:p>
      <w:pPr>
        <w:jc w:val="both"/>
        <w:ind w:left="640" w:firstLine="628"/>
        <w:spacing w:after="0" w:line="234" w:lineRule="auto"/>
        <w:tabs>
          <w:tab w:leader="none" w:pos="1899" w:val="left"/>
        </w:tabs>
        <w:numPr>
          <w:ilvl w:val="1"/>
          <w:numId w:val="82"/>
        </w:numPr>
        <w:rPr>
          <w:rFonts w:ascii="Arial" w:cs="Arial" w:eastAsia="Arial" w:hAnsi="Arial"/>
          <w:sz w:val="20"/>
          <w:szCs w:val="20"/>
          <w:color w:val="auto"/>
        </w:rPr>
      </w:pPr>
      <w:r>
        <w:rPr>
          <w:rFonts w:ascii="Arial" w:cs="Arial" w:eastAsia="Arial" w:hAnsi="Arial"/>
          <w:sz w:val="20"/>
          <w:szCs w:val="20"/>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56"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plus, in either of the above cases, accrued and unpaid interest to, but not including, the date of redemption on the Notes to be redeemed.</w:t>
      </w:r>
    </w:p>
    <w:p>
      <w:pPr>
        <w:spacing w:after="0" w:line="155" w:lineRule="exact"/>
        <w:rPr>
          <w:sz w:val="20"/>
          <w:szCs w:val="20"/>
          <w:color w:val="auto"/>
        </w:rPr>
      </w:pPr>
    </w:p>
    <w:p>
      <w:pPr>
        <w:ind w:firstLine="637"/>
        <w:spacing w:after="0" w:line="285" w:lineRule="auto"/>
        <w:tabs>
          <w:tab w:leader="none" w:pos="1259"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redemption price for Notes that are redeemed on or after November 15, 2030 will be equal to the sum of 100% of their principal amount, plus accrued and unpaid interest to, but not including, the date of redemption on the Notes to be redeemed.</w:t>
      </w:r>
    </w:p>
    <w:p>
      <w:pPr>
        <w:spacing w:after="0" w:line="113"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3.08</w:t>
      </w:r>
      <w:r>
        <w:rPr>
          <w:sz w:val="20"/>
          <w:szCs w:val="20"/>
          <w:color w:val="auto"/>
        </w:rPr>
        <w:tab/>
      </w:r>
      <w:r>
        <w:rPr>
          <w:rFonts w:ascii="Arial" w:cs="Arial" w:eastAsia="Arial" w:hAnsi="Arial"/>
          <w:sz w:val="19"/>
          <w:szCs w:val="19"/>
          <w:i w:val="1"/>
          <w:iCs w:val="1"/>
          <w:color w:val="auto"/>
        </w:rPr>
        <w:t>Mandatory Redemption.</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Other than as set forth in Section 3.09 below, the Issuers are not required to make mandatory redemption or sinking fund payments with respect to the Notes.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3.09</w:t>
      </w:r>
      <w:r>
        <w:rPr>
          <w:sz w:val="20"/>
          <w:szCs w:val="20"/>
          <w:color w:val="auto"/>
        </w:rPr>
        <w:tab/>
      </w:r>
      <w:r>
        <w:rPr>
          <w:rFonts w:ascii="Arial" w:cs="Arial" w:eastAsia="Arial" w:hAnsi="Arial"/>
          <w:sz w:val="19"/>
          <w:szCs w:val="19"/>
          <w:i w:val="1"/>
          <w:iCs w:val="1"/>
          <w:color w:val="auto"/>
        </w:rPr>
        <w:t>Mandatory Disposition or Redemption Pursuant to Gaming Laws.</w:t>
      </w:r>
    </w:p>
    <w:p>
      <w:pPr>
        <w:spacing w:after="0" w:line="180" w:lineRule="exact"/>
        <w:rPr>
          <w:sz w:val="20"/>
          <w:szCs w:val="20"/>
          <w:color w:val="auto"/>
        </w:rPr>
      </w:pPr>
    </w:p>
    <w:p>
      <w:pPr>
        <w:jc w:val="both"/>
        <w:ind w:firstLine="632"/>
        <w:spacing w:after="0" w:line="216" w:lineRule="auto"/>
        <w:rPr>
          <w:sz w:val="20"/>
          <w:szCs w:val="20"/>
          <w:color w:val="auto"/>
        </w:rPr>
      </w:pPr>
      <w:r>
        <w:rPr>
          <w:rFonts w:ascii="Arial" w:cs="Arial" w:eastAsia="Arial" w:hAnsi="Arial"/>
          <w:sz w:val="21"/>
          <w:szCs w:val="21"/>
          <w:color w:val="auto"/>
        </w:rPr>
        <w:t>Notwithstanding any other provision hereof, each holder, by accepting a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then the Issuers shall have the right, at their option, to:</w:t>
      </w:r>
    </w:p>
    <w:p>
      <w:pPr>
        <w:spacing w:after="0" w:line="156" w:lineRule="exact"/>
        <w:rPr>
          <w:sz w:val="20"/>
          <w:szCs w:val="20"/>
          <w:color w:val="auto"/>
        </w:rPr>
      </w:pPr>
    </w:p>
    <w:p>
      <w:pPr>
        <w:ind w:firstLine="637"/>
        <w:spacing w:after="0" w:line="237" w:lineRule="auto"/>
        <w:tabs>
          <w:tab w:leader="none" w:pos="12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require the Holder or Beneficial Owner to dispose of its Notes within 30 days (or such lesser period as required by the Gaming Authority) following the earlier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368" w:right="339" w:bottom="1440" w:gutter="0" w:footer="0" w:header="0"/>
        </w:sectPr>
      </w:pPr>
    </w:p>
    <w:bookmarkStart w:id="55" w:name="page56"/>
    <w:bookmarkEnd w:id="55"/>
    <w:p>
      <w:pPr>
        <w:jc w:val="both"/>
        <w:ind w:left="640" w:firstLine="628"/>
        <w:spacing w:after="0" w:line="228" w:lineRule="auto"/>
        <w:tabs>
          <w:tab w:leader="none" w:pos="1899" w:val="left"/>
        </w:tabs>
        <w:numPr>
          <w:ilvl w:val="1"/>
          <w:numId w:val="85"/>
        </w:numPr>
        <w:rPr>
          <w:rFonts w:ascii="Arial" w:cs="Arial" w:eastAsia="Arial" w:hAnsi="Arial"/>
          <w:sz w:val="21"/>
          <w:szCs w:val="21"/>
          <w:color w:val="auto"/>
        </w:rPr>
      </w:pPr>
      <w:r>
        <w:rPr>
          <w:rFonts w:ascii="Arial" w:cs="Arial" w:eastAsia="Arial" w:hAnsi="Arial"/>
          <w:sz w:val="21"/>
          <w:szCs w:val="21"/>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53" w:lineRule="exact"/>
        <w:rPr>
          <w:rFonts w:ascii="Arial" w:cs="Arial" w:eastAsia="Arial" w:hAnsi="Arial"/>
          <w:sz w:val="21"/>
          <w:szCs w:val="21"/>
          <w:color w:val="auto"/>
        </w:rPr>
      </w:pPr>
    </w:p>
    <w:p>
      <w:pPr>
        <w:ind w:left="640" w:firstLine="628"/>
        <w:spacing w:after="0" w:line="237" w:lineRule="auto"/>
        <w:tabs>
          <w:tab w:leader="none" w:pos="1899" w:val="left"/>
        </w:tabs>
        <w:numPr>
          <w:ilvl w:val="1"/>
          <w:numId w:val="85"/>
        </w:numPr>
        <w:rPr>
          <w:rFonts w:ascii="Arial" w:cs="Arial" w:eastAsia="Arial" w:hAnsi="Arial"/>
          <w:sz w:val="21"/>
          <w:szCs w:val="21"/>
          <w:color w:val="auto"/>
        </w:rPr>
      </w:pPr>
      <w:r>
        <w:rPr>
          <w:rFonts w:ascii="Arial" w:cs="Arial" w:eastAsia="Arial" w:hAnsi="Arial"/>
          <w:sz w:val="21"/>
          <w:szCs w:val="21"/>
          <w:color w:val="auto"/>
        </w:rPr>
        <w:t>the receipt of the notice from the Gaming Authority that the Holder or Beneficial Owner shall not be licensed, qualified or found suitable by the Gaming Authority; or</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0"/>
          <w:numId w:val="86"/>
        </w:numPr>
        <w:rPr>
          <w:rFonts w:ascii="Arial" w:cs="Arial" w:eastAsia="Arial" w:hAnsi="Arial"/>
          <w:sz w:val="21"/>
          <w:szCs w:val="21"/>
          <w:color w:val="auto"/>
        </w:rPr>
      </w:pPr>
      <w:r>
        <w:rPr>
          <w:rFonts w:ascii="Arial" w:cs="Arial" w:eastAsia="Arial" w:hAnsi="Arial"/>
          <w:sz w:val="21"/>
          <w:szCs w:val="21"/>
          <w:color w:val="auto"/>
        </w:rPr>
        <w:t>redeem the Notes of the Holder or Beneficial Owner at a redemption price equal to:</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price required by applicable law or by order of any Gaming Authority; or</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lesser of:</w:t>
      </w:r>
    </w:p>
    <w:p>
      <w:pPr>
        <w:spacing w:after="0" w:line="179" w:lineRule="exact"/>
        <w:rPr>
          <w:rFonts w:ascii="Arial" w:cs="Arial" w:eastAsia="Arial" w:hAnsi="Arial"/>
          <w:sz w:val="21"/>
          <w:szCs w:val="21"/>
          <w:color w:val="auto"/>
        </w:rPr>
      </w:pPr>
    </w:p>
    <w:p>
      <w:pPr>
        <w:ind w:left="2520" w:hanging="620"/>
        <w:spacing w:after="0"/>
        <w:tabs>
          <w:tab w:leader="none" w:pos="2520" w:val="left"/>
        </w:tabs>
        <w:numPr>
          <w:ilvl w:val="2"/>
          <w:numId w:val="86"/>
        </w:numPr>
        <w:rPr>
          <w:rFonts w:ascii="Arial" w:cs="Arial" w:eastAsia="Arial" w:hAnsi="Arial"/>
          <w:sz w:val="21"/>
          <w:szCs w:val="21"/>
          <w:color w:val="auto"/>
        </w:rPr>
      </w:pPr>
      <w:r>
        <w:rPr>
          <w:rFonts w:ascii="Arial" w:cs="Arial" w:eastAsia="Arial" w:hAnsi="Arial"/>
          <w:sz w:val="21"/>
          <w:szCs w:val="21"/>
          <w:color w:val="auto"/>
        </w:rPr>
        <w:t>the principal amount of the Notes; and</w:t>
      </w:r>
    </w:p>
    <w:p>
      <w:pPr>
        <w:spacing w:after="0" w:line="179" w:lineRule="exact"/>
        <w:rPr>
          <w:rFonts w:ascii="Arial" w:cs="Arial" w:eastAsia="Arial" w:hAnsi="Arial"/>
          <w:sz w:val="21"/>
          <w:szCs w:val="21"/>
          <w:color w:val="auto"/>
        </w:rPr>
      </w:pPr>
    </w:p>
    <w:p>
      <w:pPr>
        <w:ind w:left="2520" w:hanging="620"/>
        <w:spacing w:after="0"/>
        <w:tabs>
          <w:tab w:leader="none" w:pos="2520" w:val="left"/>
        </w:tabs>
        <w:numPr>
          <w:ilvl w:val="2"/>
          <w:numId w:val="86"/>
        </w:numPr>
        <w:rPr>
          <w:rFonts w:ascii="Arial" w:cs="Arial" w:eastAsia="Arial" w:hAnsi="Arial"/>
          <w:sz w:val="21"/>
          <w:szCs w:val="21"/>
          <w:color w:val="auto"/>
        </w:rPr>
      </w:pPr>
      <w:r>
        <w:rPr>
          <w:rFonts w:ascii="Arial" w:cs="Arial" w:eastAsia="Arial" w:hAnsi="Arial"/>
          <w:sz w:val="21"/>
          <w:szCs w:val="21"/>
          <w:color w:val="auto"/>
        </w:rPr>
        <w:t>the price that the Holder or Beneficial Owner paid for the Notes,</w:t>
      </w:r>
    </w:p>
    <w:p>
      <w:pPr>
        <w:spacing w:after="0" w:line="180"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in each case, together with accrued and unpaid interest, if any, on the Notes to, but not including,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155" w:lineRule="exact"/>
        <w:rPr>
          <w:sz w:val="20"/>
          <w:szCs w:val="20"/>
          <w:color w:val="auto"/>
        </w:rPr>
      </w:pPr>
    </w:p>
    <w:p>
      <w:pPr>
        <w:jc w:val="both"/>
        <w:ind w:firstLine="632"/>
        <w:spacing w:after="0" w:line="285"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13" w:lineRule="exact"/>
        <w:rPr>
          <w:sz w:val="20"/>
          <w:szCs w:val="20"/>
          <w:color w:val="auto"/>
        </w:rPr>
      </w:pPr>
    </w:p>
    <w:p>
      <w:pPr>
        <w:ind w:left="1260" w:hanging="623"/>
        <w:spacing w:after="0"/>
        <w:tabs>
          <w:tab w:leader="none" w:pos="1260" w:val="left"/>
        </w:tabs>
        <w:numPr>
          <w:ilvl w:val="0"/>
          <w:numId w:val="87"/>
        </w:numPr>
        <w:rPr>
          <w:rFonts w:ascii="Arial" w:cs="Arial" w:eastAsia="Arial" w:hAnsi="Arial"/>
          <w:sz w:val="21"/>
          <w:szCs w:val="21"/>
          <w:color w:val="auto"/>
        </w:rPr>
      </w:pPr>
      <w:r>
        <w:rPr>
          <w:rFonts w:ascii="Arial" w:cs="Arial" w:eastAsia="Arial" w:hAnsi="Arial"/>
          <w:sz w:val="21"/>
          <w:szCs w:val="21"/>
          <w:color w:val="auto"/>
        </w:rPr>
        <w:t>exercise, directly or indirectly, through any Person, any right conferred by the Notes; or</w:t>
      </w:r>
    </w:p>
    <w:p>
      <w:pPr>
        <w:spacing w:after="0" w:line="179" w:lineRule="exact"/>
        <w:rPr>
          <w:rFonts w:ascii="Arial" w:cs="Arial" w:eastAsia="Arial" w:hAnsi="Arial"/>
          <w:sz w:val="21"/>
          <w:szCs w:val="21"/>
          <w:color w:val="auto"/>
        </w:rPr>
      </w:pPr>
    </w:p>
    <w:p>
      <w:pPr>
        <w:ind w:firstLine="637"/>
        <w:spacing w:after="0" w:line="237" w:lineRule="auto"/>
        <w:tabs>
          <w:tab w:leader="none" w:pos="1259" w:val="left"/>
        </w:tabs>
        <w:numPr>
          <w:ilvl w:val="0"/>
          <w:numId w:val="87"/>
        </w:numPr>
        <w:rPr>
          <w:rFonts w:ascii="Arial" w:cs="Arial" w:eastAsia="Arial" w:hAnsi="Arial"/>
          <w:sz w:val="21"/>
          <w:szCs w:val="21"/>
          <w:color w:val="auto"/>
        </w:rPr>
      </w:pPr>
      <w:r>
        <w:rPr>
          <w:rFonts w:ascii="Arial" w:cs="Arial" w:eastAsia="Arial" w:hAnsi="Arial"/>
          <w:sz w:val="21"/>
          <w:szCs w:val="21"/>
          <w:color w:val="auto"/>
        </w:rPr>
        <w:t>receive any interest or any other distribution or payment with respect to the Notes, or any remuneration in any form from the Issuers for services rendered or otherwise, except the redemption price of the Notes.</w:t>
      </w:r>
    </w:p>
    <w:p>
      <w:pPr>
        <w:spacing w:after="0" w:line="155"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368" w:right="339" w:bottom="1440" w:gutter="0" w:footer="0" w:header="0"/>
        </w:sectPr>
      </w:pPr>
    </w:p>
    <w:bookmarkStart w:id="56" w:name="page57"/>
    <w:bookmarkEnd w:id="56"/>
    <w:p>
      <w:pPr>
        <w:ind w:left="5200"/>
        <w:spacing w:after="0"/>
        <w:rPr>
          <w:sz w:val="20"/>
          <w:szCs w:val="20"/>
          <w:color w:val="auto"/>
        </w:rPr>
      </w:pPr>
      <w:r>
        <w:rPr>
          <w:rFonts w:ascii="Arial" w:cs="Arial" w:eastAsia="Arial" w:hAnsi="Arial"/>
          <w:sz w:val="21"/>
          <w:szCs w:val="21"/>
          <w:b w:val="1"/>
          <w:bCs w:val="1"/>
          <w:color w:val="auto"/>
        </w:rPr>
        <w:t>ARTICLE 4.</w:t>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21"/>
          <w:szCs w:val="21"/>
          <w:b w:val="1"/>
          <w:bCs w:val="1"/>
          <w:color w:val="auto"/>
        </w:rPr>
        <w:t>COVENANTS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i w:val="1"/>
          <w:iCs w:val="1"/>
          <w:color w:val="auto"/>
        </w:rPr>
        <w:t>Section 4.1</w:t>
      </w:r>
      <w:r>
        <w:rPr>
          <w:sz w:val="20"/>
          <w:szCs w:val="20"/>
          <w:color w:val="auto"/>
        </w:rPr>
        <w:tab/>
      </w:r>
      <w:r>
        <w:rPr>
          <w:rFonts w:ascii="Arial" w:cs="Arial" w:eastAsia="Arial" w:hAnsi="Arial"/>
          <w:sz w:val="18"/>
          <w:szCs w:val="18"/>
          <w:i w:val="1"/>
          <w:iCs w:val="1"/>
          <w:color w:val="auto"/>
        </w:rPr>
        <w:t>Payment of Notes.</w:t>
      </w:r>
    </w:p>
    <w:p>
      <w:pPr>
        <w:spacing w:after="0" w:line="180"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color w:val="auto"/>
        </w:rPr>
        <w:t>The Issuers shall pay or cause to be paid the principal of, premium, if any, and interest on the Notes on the dates and in the manner provided in the Notes. Principal, premium, if any, and interest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w:t>
      </w:r>
    </w:p>
    <w:p>
      <w:pPr>
        <w:spacing w:after="0" w:line="146"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(without regard to any applicable grace period) at the same rate to the extent lawful.</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4.02</w:t>
      </w:r>
      <w:r>
        <w:rPr>
          <w:sz w:val="20"/>
          <w:szCs w:val="20"/>
          <w:color w:val="auto"/>
        </w:rPr>
        <w:tab/>
      </w:r>
      <w:r>
        <w:rPr>
          <w:rFonts w:ascii="Arial" w:cs="Arial" w:eastAsia="Arial" w:hAnsi="Arial"/>
          <w:sz w:val="19"/>
          <w:szCs w:val="19"/>
          <w:i w:val="1"/>
          <w:iCs w:val="1"/>
          <w:color w:val="auto"/>
        </w:rPr>
        <w:t>Maintenance of Office or Agency.</w:t>
      </w:r>
    </w:p>
    <w:p>
      <w:pPr>
        <w:spacing w:after="0" w:line="180"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52"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20"/>
          <w:szCs w:val="20"/>
          <w:i w:val="1"/>
          <w:iCs w:val="1"/>
          <w:color w:val="auto"/>
        </w:rPr>
        <w:t>provided, however</w:t>
      </w:r>
      <w:r>
        <w:rPr>
          <w:rFonts w:ascii="Arial" w:cs="Arial" w:eastAsia="Arial" w:hAnsi="Arial"/>
          <w:sz w:val="20"/>
          <w:szCs w:val="20"/>
          <w:color w:val="auto"/>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56"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The Issuers hereby designate the Corporate Trust Office of the Trustee as one such office or agency of the Issuers in accordance with Section 2.03 hereof.</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4.03</w:t>
      </w:r>
      <w:r>
        <w:rPr>
          <w:sz w:val="20"/>
          <w:szCs w:val="20"/>
          <w:color w:val="auto"/>
        </w:rPr>
        <w:tab/>
      </w:r>
      <w:r>
        <w:rPr>
          <w:rFonts w:ascii="Arial" w:cs="Arial" w:eastAsia="Arial" w:hAnsi="Arial"/>
          <w:sz w:val="19"/>
          <w:szCs w:val="19"/>
          <w:i w:val="1"/>
          <w:iCs w:val="1"/>
          <w:color w:val="auto"/>
        </w:rPr>
        <w:t>Reports.</w:t>
      </w:r>
    </w:p>
    <w:p>
      <w:pPr>
        <w:spacing w:after="0" w:line="180" w:lineRule="exact"/>
        <w:rPr>
          <w:sz w:val="20"/>
          <w:szCs w:val="20"/>
          <w:color w:val="auto"/>
        </w:rPr>
      </w:pPr>
    </w:p>
    <w:p>
      <w:pPr>
        <w:ind w:left="1100" w:hanging="463"/>
        <w:spacing w:after="0"/>
        <w:tabs>
          <w:tab w:leader="none" w:pos="1100" w:val="left"/>
        </w:tabs>
        <w:numPr>
          <w:ilvl w:val="0"/>
          <w:numId w:val="88"/>
        </w:numPr>
        <w:rPr>
          <w:rFonts w:ascii="Arial" w:cs="Arial" w:eastAsia="Arial" w:hAnsi="Arial"/>
          <w:sz w:val="21"/>
          <w:szCs w:val="21"/>
          <w:color w:val="auto"/>
        </w:rPr>
      </w:pPr>
      <w:r>
        <w:rPr>
          <w:rFonts w:ascii="Arial" w:cs="Arial" w:eastAsia="Arial" w:hAnsi="Arial"/>
          <w:sz w:val="21"/>
          <w:szCs w:val="21"/>
          <w:color w:val="auto"/>
        </w:rPr>
        <w:t>So long as any notes are outstanding, Wynn Resorts Finance shall furnish to the Trustee:</w:t>
      </w:r>
    </w:p>
    <w:p>
      <w:pPr>
        <w:spacing w:after="0" w:line="180" w:lineRule="exact"/>
        <w:rPr>
          <w:sz w:val="20"/>
          <w:szCs w:val="20"/>
          <w:color w:val="auto"/>
        </w:rPr>
      </w:pPr>
    </w:p>
    <w:p>
      <w:pPr>
        <w:jc w:val="both"/>
        <w:ind w:firstLine="637"/>
        <w:spacing w:after="0" w:line="220" w:lineRule="auto"/>
        <w:tabs>
          <w:tab w:leader="none" w:pos="1260" w:val="left"/>
        </w:tabs>
        <w:numPr>
          <w:ilvl w:val="0"/>
          <w:numId w:val="89"/>
        </w:numPr>
        <w:rPr>
          <w:rFonts w:ascii="Arial" w:cs="Arial" w:eastAsia="Arial" w:hAnsi="Arial"/>
          <w:sz w:val="21"/>
          <w:szCs w:val="21"/>
          <w:color w:val="auto"/>
        </w:rPr>
      </w:pPr>
      <w:r>
        <w:rPr>
          <w:rFonts w:ascii="Arial" w:cs="Arial" w:eastAsia="Arial" w:hAnsi="Arial"/>
          <w:sz w:val="21"/>
          <w:szCs w:val="21"/>
          <w:color w:val="auto"/>
        </w:rPr>
        <w:t>within 90 days after the end of each fiscal year beginning with the fiscal year ended December 31, 2022, annual reports of Wynn Resorts Finance containing substantially all of the information that would have been required to be contained in an Annual Report on Form 10-K under the Exchange Act if Wynn Resorts Finance had been a reporting company under the Exchange Act (but only to the extent similar information is included in the Issuers’ Offering Memorandum, dated as of February 9, 2023, relating to the offering of the Initial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389" w:right="339" w:bottom="1440" w:gutter="0" w:footer="0" w:header="0"/>
        </w:sectPr>
      </w:pPr>
    </w:p>
    <w:bookmarkStart w:id="57" w:name="page58"/>
    <w:bookmarkEnd w:id="57"/>
    <w:p>
      <w:pPr>
        <w:spacing w:after="0" w:line="285" w:lineRule="auto"/>
        <w:rPr>
          <w:sz w:val="20"/>
          <w:szCs w:val="20"/>
          <w:color w:val="auto"/>
        </w:rPr>
      </w:pPr>
      <w:r>
        <w:rPr>
          <w:rFonts w:ascii="Arial" w:cs="Arial" w:eastAsia="Arial" w:hAnsi="Arial"/>
          <w:sz w:val="19"/>
          <w:szCs w:val="19"/>
          <w:color w:val="auto"/>
        </w:rPr>
        <w:t>including (i) “Management’s Discussion and Analysis of Financial Condition and Results of Operations”, (ii) audited financial statements prepared in accordance with US GAAP and (iii) a calculation of Consolidated EBITDA for the end of such fiscal year;</w:t>
      </w:r>
    </w:p>
    <w:p>
      <w:pPr>
        <w:spacing w:after="0" w:line="113" w:lineRule="exact"/>
        <w:rPr>
          <w:sz w:val="20"/>
          <w:szCs w:val="20"/>
          <w:color w:val="auto"/>
        </w:rPr>
      </w:pPr>
    </w:p>
    <w:p>
      <w:pPr>
        <w:jc w:val="both"/>
        <w:ind w:firstLine="637"/>
        <w:spacing w:after="0" w:line="227" w:lineRule="auto"/>
        <w:tabs>
          <w:tab w:leader="none" w:pos="1259" w:val="left"/>
        </w:tabs>
        <w:numPr>
          <w:ilvl w:val="0"/>
          <w:numId w:val="90"/>
        </w:numPr>
        <w:rPr>
          <w:rFonts w:ascii="Arial" w:cs="Arial" w:eastAsia="Arial" w:hAnsi="Arial"/>
          <w:sz w:val="20"/>
          <w:szCs w:val="20"/>
          <w:color w:val="auto"/>
        </w:rPr>
      </w:pPr>
      <w:r>
        <w:rPr>
          <w:rFonts w:ascii="Arial" w:cs="Arial" w:eastAsia="Arial" w:hAnsi="Arial"/>
          <w:sz w:val="20"/>
          <w:szCs w:val="20"/>
          <w:color w:val="auto"/>
        </w:rPr>
        <w:t>within 45 days after the end of each of the first three fiscal quarters of each fiscal year beginning with the fiscal quarter ended March 31, 2023, quarterly reports of Wynn Resorts Finance containing substantially all of the information that would have been required to be contained in a Quarterly Report on Form 10-Q under the Exchange Act if Wynn Resorts Finance had been a reporting company under the Exchange Act (but only to the extent similar information is provided in the Issuers’ Offering Memorandum, dated as of February 9, 2023, relating to the offering of the Initial Notes), including (i) “Management’s Discussion and Analysis of Financial Condition and Results of Operations”, (ii) unaudited quarterly financial statements prepared in accordance with US GAAP and reviewed pursuant to Statement on Auditing Standards No. 100 (or any successor provision) and (iii) a calculation of Consolidated EBITDA for the relevant period; and</w:t>
      </w:r>
    </w:p>
    <w:p>
      <w:pPr>
        <w:spacing w:after="0" w:line="167" w:lineRule="exact"/>
        <w:rPr>
          <w:rFonts w:ascii="Arial" w:cs="Arial" w:eastAsia="Arial" w:hAnsi="Arial"/>
          <w:sz w:val="20"/>
          <w:szCs w:val="20"/>
          <w:color w:val="auto"/>
        </w:rPr>
      </w:pPr>
    </w:p>
    <w:p>
      <w:pPr>
        <w:jc w:val="both"/>
        <w:ind w:firstLine="637"/>
        <w:spacing w:after="0" w:line="255" w:lineRule="auto"/>
        <w:tabs>
          <w:tab w:leader="none" w:pos="12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within 10 business days after the occurrence of each event that would have been required to be reported in a Current Report on Form 8-K under the Exchange Act if Wynn Resorts Finance had been a reporting company under the Exchange Act, current reports containing substantially all of the information that would have been required to be contained in a Current Report on Form 8-K under the Exchange Act if Wynn Resorts Finance had been a reporting company under the Exchange Act; provided, however, that no such current report will be required to be furnished if Wynn Resorts Finance determines in its good faith judgment that such event is not material to noteholders or the business, assets, operations, financial positions or prospects of Wynn Resorts Finance and the Guarantors, taken as a whole;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however, that such reports (i) will not be required to comply with Section 302 or Section 404 of the Sarbanes-Oxley Act of 2002, or related Items 307 and 308 of Regulation S-K promulgated by the SEC, or Item 10(e) of Regulation S-K (with respect to any non-US GAAP financial measures contained therein), (ii) will not be required to contain the separate financial information for Guarantors contemplated by Rule 3-10 or Rule 3-16 of Regulation S-X promulgated by the SEC, (iii) will only be required to include limited executive compensation disclosure consisting of a summary compensation table (including any equity awards), a description of employment agreements with officers and a description of any incentive plans and (iv) will not be required to include exhibits that would otherwise be required to be filed pursuant to Item 601 of Regulation S-K.</w:t>
      </w:r>
    </w:p>
    <w:p>
      <w:pPr>
        <w:spacing w:after="0" w:line="158" w:lineRule="exact"/>
        <w:rPr>
          <w:sz w:val="20"/>
          <w:szCs w:val="20"/>
          <w:color w:val="auto"/>
        </w:rPr>
      </w:pPr>
    </w:p>
    <w:p>
      <w:pPr>
        <w:ind w:left="1100" w:hanging="463"/>
        <w:spacing w:after="0"/>
        <w:tabs>
          <w:tab w:leader="none" w:pos="1100" w:val="left"/>
        </w:tabs>
        <w:numPr>
          <w:ilvl w:val="0"/>
          <w:numId w:val="91"/>
        </w:numPr>
        <w:rPr>
          <w:rFonts w:ascii="Arial" w:cs="Arial" w:eastAsia="Arial" w:hAnsi="Arial"/>
          <w:sz w:val="21"/>
          <w:szCs w:val="21"/>
          <w:color w:val="auto"/>
        </w:rPr>
      </w:pPr>
      <w:r>
        <w:rPr>
          <w:rFonts w:ascii="Arial" w:cs="Arial" w:eastAsia="Arial" w:hAnsi="Arial"/>
          <w:sz w:val="21"/>
          <w:szCs w:val="21"/>
          <w:color w:val="auto"/>
        </w:rPr>
        <w:t>So long as any notes are outstanding, Wynn Resorts Finance shall also:</w:t>
      </w:r>
    </w:p>
    <w:p>
      <w:pPr>
        <w:spacing w:after="0" w:line="180" w:lineRule="exact"/>
        <w:rPr>
          <w:sz w:val="20"/>
          <w:szCs w:val="20"/>
          <w:color w:val="auto"/>
        </w:rPr>
      </w:pPr>
    </w:p>
    <w:p>
      <w:pPr>
        <w:jc w:val="both"/>
        <w:ind w:firstLine="637"/>
        <w:spacing w:after="0" w:line="234" w:lineRule="auto"/>
        <w:tabs>
          <w:tab w:leader="none" w:pos="12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issue a press release to an internationally recognized wire service no fewer than three business days prior to the first public disclosure of the annual and quarterly reports required by clauses (a) and (b) of this Section 4.03 announcing the date on which such reports will become publicly available and directing noteholders, prospective investors, broker-dealers and securities analysts to contact the investor relations office of Wynn Resorts Finance to obtain copies of such reports;</w:t>
      </w:r>
    </w:p>
    <w:p>
      <w:pPr>
        <w:spacing w:after="0" w:line="155" w:lineRule="exact"/>
        <w:rPr>
          <w:rFonts w:ascii="Arial" w:cs="Arial" w:eastAsia="Arial" w:hAnsi="Arial"/>
          <w:sz w:val="20"/>
          <w:szCs w:val="20"/>
          <w:color w:val="auto"/>
        </w:rPr>
      </w:pPr>
    </w:p>
    <w:p>
      <w:pPr>
        <w:ind w:firstLine="637"/>
        <w:spacing w:after="0" w:line="285" w:lineRule="auto"/>
        <w:tabs>
          <w:tab w:leader="none" w:pos="1259" w:val="left"/>
        </w:tabs>
        <w:numPr>
          <w:ilvl w:val="0"/>
          <w:numId w:val="92"/>
        </w:numPr>
        <w:rPr>
          <w:rFonts w:ascii="Arial" w:cs="Arial" w:eastAsia="Arial" w:hAnsi="Arial"/>
          <w:sz w:val="19"/>
          <w:szCs w:val="19"/>
          <w:color w:val="auto"/>
        </w:rPr>
      </w:pPr>
      <w:r>
        <w:rPr>
          <w:rFonts w:ascii="Arial" w:cs="Arial" w:eastAsia="Arial" w:hAnsi="Arial"/>
          <w:sz w:val="19"/>
          <w:szCs w:val="19"/>
          <w:color w:val="auto"/>
        </w:rPr>
        <w:t>within 10 business days after furnishing to the trustee the annual and quarterly reports required by clauses (a) and (b) of this Section 4.03, hold a conference call to discuss such reports and the results of operations for the relevant reporting period;</w:t>
      </w:r>
    </w:p>
    <w:p>
      <w:pPr>
        <w:spacing w:after="0" w:line="112" w:lineRule="exact"/>
        <w:rPr>
          <w:rFonts w:ascii="Arial" w:cs="Arial" w:eastAsia="Arial" w:hAnsi="Arial"/>
          <w:sz w:val="19"/>
          <w:szCs w:val="19"/>
          <w:color w:val="auto"/>
        </w:rPr>
      </w:pPr>
    </w:p>
    <w:p>
      <w:pPr>
        <w:ind w:firstLine="637"/>
        <w:spacing w:after="0" w:line="237" w:lineRule="auto"/>
        <w:tabs>
          <w:tab w:leader="none" w:pos="1260" w:val="left"/>
        </w:tabs>
        <w:numPr>
          <w:ilvl w:val="0"/>
          <w:numId w:val="92"/>
        </w:numPr>
        <w:rPr>
          <w:rFonts w:ascii="Arial" w:cs="Arial" w:eastAsia="Arial" w:hAnsi="Arial"/>
          <w:sz w:val="21"/>
          <w:szCs w:val="21"/>
          <w:color w:val="auto"/>
        </w:rPr>
      </w:pPr>
      <w:r>
        <w:rPr>
          <w:rFonts w:ascii="Arial" w:cs="Arial" w:eastAsia="Arial" w:hAnsi="Arial"/>
          <w:sz w:val="21"/>
          <w:szCs w:val="21"/>
          <w:color w:val="auto"/>
        </w:rPr>
        <w:t>issue a press release to an internationally recognized wire service no fewer than three business days prior to the date of the conference call required to be held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368" w:right="339" w:bottom="1440" w:gutter="0" w:footer="0" w:header="0"/>
        </w:sectPr>
      </w:pPr>
    </w:p>
    <w:bookmarkStart w:id="58" w:name="page59"/>
    <w:bookmarkEnd w:id="58"/>
    <w:p>
      <w:pPr>
        <w:jc w:val="both"/>
        <w:spacing w:after="0" w:line="228" w:lineRule="auto"/>
        <w:rPr>
          <w:sz w:val="20"/>
          <w:szCs w:val="20"/>
          <w:color w:val="auto"/>
        </w:rPr>
      </w:pPr>
      <w:r>
        <w:rPr>
          <w:rFonts w:ascii="Arial" w:cs="Arial" w:eastAsia="Arial" w:hAnsi="Arial"/>
          <w:sz w:val="21"/>
          <w:szCs w:val="21"/>
          <w:color w:val="auto"/>
        </w:rPr>
        <w:t>this paragraph, announcing the time and date of such conference call and either including all information necessary to access the call or directing noteholders, prospective investors, broker-dealers and securities analysts to contact the appropriate person at Wynn Resorts Finance to obtain such information; and</w:t>
      </w:r>
    </w:p>
    <w:p>
      <w:pPr>
        <w:spacing w:after="0" w:line="154" w:lineRule="exact"/>
        <w:rPr>
          <w:sz w:val="20"/>
          <w:szCs w:val="20"/>
          <w:color w:val="auto"/>
        </w:rPr>
      </w:pPr>
    </w:p>
    <w:p>
      <w:pPr>
        <w:jc w:val="both"/>
        <w:ind w:firstLine="637"/>
        <w:spacing w:after="0" w:line="228" w:lineRule="auto"/>
        <w:tabs>
          <w:tab w:leader="none" w:pos="1259" w:val="left"/>
        </w:tabs>
        <w:numPr>
          <w:ilvl w:val="0"/>
          <w:numId w:val="93"/>
        </w:numPr>
        <w:rPr>
          <w:rFonts w:ascii="Arial" w:cs="Arial" w:eastAsia="Arial" w:hAnsi="Arial"/>
          <w:sz w:val="21"/>
          <w:szCs w:val="21"/>
          <w:color w:val="auto"/>
        </w:rPr>
      </w:pPr>
      <w:r>
        <w:rPr>
          <w:rFonts w:ascii="Arial" w:cs="Arial" w:eastAsia="Arial" w:hAnsi="Arial"/>
          <w:sz w:val="21"/>
          <w:szCs w:val="21"/>
          <w:color w:val="auto"/>
        </w:rPr>
        <w:t>maintain a website to which noteholders, prospective investors, broker-dealers and securities analysts are given access and to which all of the reports and press releases required by this Section 4.03 are posted within the time periods required by this Section 4.03.</w:t>
      </w:r>
    </w:p>
    <w:p>
      <w:pPr>
        <w:spacing w:after="0" w:line="154" w:lineRule="exact"/>
        <w:rPr>
          <w:sz w:val="20"/>
          <w:szCs w:val="20"/>
          <w:color w:val="auto"/>
        </w:rPr>
      </w:pPr>
    </w:p>
    <w:p>
      <w:pPr>
        <w:jc w:val="both"/>
        <w:ind w:firstLine="637"/>
        <w:spacing w:after="0" w:line="228" w:lineRule="auto"/>
        <w:tabs>
          <w:tab w:leader="none" w:pos="1152" w:val="left"/>
        </w:tabs>
        <w:numPr>
          <w:ilvl w:val="0"/>
          <w:numId w:val="94"/>
        </w:numPr>
        <w:rPr>
          <w:rFonts w:ascii="Arial" w:cs="Arial" w:eastAsia="Arial" w:hAnsi="Arial"/>
          <w:sz w:val="21"/>
          <w:szCs w:val="21"/>
          <w:color w:val="auto"/>
        </w:rPr>
      </w:pPr>
      <w:r>
        <w:rPr>
          <w:rFonts w:ascii="Arial" w:cs="Arial" w:eastAsia="Arial" w:hAnsi="Arial"/>
          <w:sz w:val="21"/>
          <w:szCs w:val="21"/>
          <w:color w:val="auto"/>
        </w:rPr>
        <w:t>Wynn Resorts Finance shall furnish to noteholders,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153" w:lineRule="exact"/>
        <w:rPr>
          <w:rFonts w:ascii="Arial" w:cs="Arial" w:eastAsia="Arial" w:hAnsi="Arial"/>
          <w:sz w:val="21"/>
          <w:szCs w:val="21"/>
          <w:color w:val="auto"/>
        </w:rPr>
      </w:pPr>
    </w:p>
    <w:p>
      <w:pPr>
        <w:jc w:val="both"/>
        <w:ind w:firstLine="637"/>
        <w:spacing w:after="0" w:line="239" w:lineRule="auto"/>
        <w:tabs>
          <w:tab w:leader="none" w:pos="1175" w:val="left"/>
        </w:tabs>
        <w:numPr>
          <w:ilvl w:val="0"/>
          <w:numId w:val="94"/>
        </w:numPr>
        <w:rPr>
          <w:rFonts w:ascii="Arial" w:cs="Arial" w:eastAsia="Arial" w:hAnsi="Arial"/>
          <w:sz w:val="20"/>
          <w:szCs w:val="20"/>
          <w:color w:val="auto"/>
        </w:rPr>
      </w:pPr>
      <w:r>
        <w:rPr>
          <w:rFonts w:ascii="Arial" w:cs="Arial" w:eastAsia="Arial" w:hAnsi="Arial"/>
          <w:sz w:val="20"/>
          <w:szCs w:val="20"/>
          <w:color w:val="auto"/>
        </w:rPr>
        <w:t>Notwithstanding anything to the contrary in this Section 4.03, Wynn Resorts Finance may fulfill the requirement to furnish any such information described in Section 4.03(1)(a), (b) and (c) by filing the information with the SEC within the time periods specified in the SEC’s rules and regulations that are then applicable to Wynn Resorts Finance.</w:t>
      </w:r>
    </w:p>
    <w:p>
      <w:pPr>
        <w:spacing w:after="0" w:line="155" w:lineRule="exact"/>
        <w:rPr>
          <w:rFonts w:ascii="Arial" w:cs="Arial" w:eastAsia="Arial" w:hAnsi="Arial"/>
          <w:sz w:val="20"/>
          <w:szCs w:val="20"/>
          <w:color w:val="auto"/>
        </w:rPr>
      </w:pPr>
    </w:p>
    <w:p>
      <w:pPr>
        <w:jc w:val="both"/>
        <w:ind w:firstLine="637"/>
        <w:spacing w:after="0" w:line="223" w:lineRule="auto"/>
        <w:tabs>
          <w:tab w:leader="none" w:pos="1103" w:val="left"/>
        </w:tabs>
        <w:numPr>
          <w:ilvl w:val="0"/>
          <w:numId w:val="94"/>
        </w:numPr>
        <w:rPr>
          <w:rFonts w:ascii="Arial" w:cs="Arial" w:eastAsia="Arial" w:hAnsi="Arial"/>
          <w:sz w:val="21"/>
          <w:szCs w:val="21"/>
          <w:color w:val="auto"/>
        </w:rPr>
      </w:pPr>
      <w:r>
        <w:rPr>
          <w:rFonts w:ascii="Arial" w:cs="Arial" w:eastAsia="Arial" w:hAnsi="Arial"/>
          <w:sz w:val="21"/>
          <w:szCs w:val="21"/>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their covenants hereunder (as to which the Trustee is entitled to rely exclusively on Officers’ Certificates).</w:t>
      </w:r>
    </w:p>
    <w:p>
      <w:pPr>
        <w:spacing w:after="0" w:line="168" w:lineRule="exact"/>
        <w:rPr>
          <w:sz w:val="20"/>
          <w:szCs w:val="20"/>
          <w:color w:val="auto"/>
        </w:rPr>
      </w:pPr>
    </w:p>
    <w:p>
      <w:pPr>
        <w:jc w:val="both"/>
        <w:ind w:firstLine="632"/>
        <w:spacing w:after="0" w:line="263" w:lineRule="auto"/>
        <w:rPr>
          <w:sz w:val="20"/>
          <w:szCs w:val="20"/>
          <w:color w:val="auto"/>
        </w:rPr>
      </w:pPr>
      <w:r>
        <w:rPr>
          <w:rFonts w:ascii="Arial" w:cs="Arial" w:eastAsia="Arial" w:hAnsi="Arial"/>
          <w:sz w:val="20"/>
          <w:szCs w:val="20"/>
          <w:color w:val="auto"/>
        </w:rPr>
        <w:t>Any Parent Entity may satisfy the obligations of Wynn Resorts Finance set forth in this Section 4.03 by providing the requisite financial and other information of such Parent Entity instead of Wynn Resorts Finance; provided that to the extent such information related to such Parent Entity, such information is accompanied by consolidating information, which may be unaudited, that explains in reasonable detail the differences between the information of such Parent Entity, on the one hand, and the information relating to Wynn Resorts Finance and its Subsidiaries on a stand-alone basis, on the other hand.</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4.04</w:t>
      </w:r>
      <w:r>
        <w:rPr>
          <w:sz w:val="20"/>
          <w:szCs w:val="20"/>
          <w:color w:val="auto"/>
        </w:rPr>
        <w:tab/>
      </w:r>
      <w:r>
        <w:rPr>
          <w:rFonts w:ascii="Arial" w:cs="Arial" w:eastAsia="Arial" w:hAnsi="Arial"/>
          <w:sz w:val="19"/>
          <w:szCs w:val="19"/>
          <w:i w:val="1"/>
          <w:iCs w:val="1"/>
          <w:color w:val="auto"/>
        </w:rPr>
        <w:t>Compliance Certificate.</w:t>
      </w:r>
    </w:p>
    <w:p>
      <w:pPr>
        <w:spacing w:after="0" w:line="180" w:lineRule="exact"/>
        <w:rPr>
          <w:sz w:val="20"/>
          <w:szCs w:val="20"/>
          <w:color w:val="auto"/>
        </w:rPr>
      </w:pPr>
    </w:p>
    <w:p>
      <w:pPr>
        <w:jc w:val="both"/>
        <w:ind w:firstLine="637"/>
        <w:spacing w:after="0" w:line="237" w:lineRule="auto"/>
        <w:tabs>
          <w:tab w:leader="none" w:pos="12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Issuers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further stating, as to each such Officer signing such certificate, that to the best of his or her knowledge the Issuers have kept, observed, performed and fulfilled each and every covenant contained in this Indenture and are not in default in the performance or observance of any of the terms, provisions and conditions of this Indenture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158" w:lineRule="exact"/>
        <w:rPr>
          <w:rFonts w:ascii="Arial" w:cs="Arial" w:eastAsia="Arial" w:hAnsi="Arial"/>
          <w:sz w:val="19"/>
          <w:szCs w:val="19"/>
          <w:color w:val="auto"/>
        </w:rPr>
      </w:pPr>
    </w:p>
    <w:p>
      <w:pPr>
        <w:jc w:val="both"/>
        <w:ind w:firstLine="637"/>
        <w:spacing w:after="0" w:line="228" w:lineRule="auto"/>
        <w:tabs>
          <w:tab w:leader="none" w:pos="1259" w:val="left"/>
        </w:tabs>
        <w:numPr>
          <w:ilvl w:val="0"/>
          <w:numId w:val="95"/>
        </w:numPr>
        <w:rPr>
          <w:rFonts w:ascii="Arial" w:cs="Arial" w:eastAsia="Arial" w:hAnsi="Arial"/>
          <w:sz w:val="21"/>
          <w:szCs w:val="21"/>
          <w:color w:val="auto"/>
        </w:rPr>
      </w:pPr>
      <w:r>
        <w:rPr>
          <w:rFonts w:ascii="Arial" w:cs="Arial" w:eastAsia="Arial" w:hAnsi="Arial"/>
          <w:sz w:val="21"/>
          <w:szCs w:val="21"/>
          <w:color w:val="auto"/>
        </w:rPr>
        <w:t>So long as not contrary to the then current recommendations of the American Institute of Certified Public Accountants, the year-end financial statements delivered pursuant to Section 4.03(1)(a) above shall be accompanied by a written statement of the Issuers’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1368" w:right="339" w:bottom="1440" w:gutter="0" w:footer="0" w:header="0"/>
        </w:sectPr>
      </w:pPr>
    </w:p>
    <w:bookmarkStart w:id="59" w:name="page60"/>
    <w:bookmarkEnd w:id="59"/>
    <w:p>
      <w:pPr>
        <w:jc w:val="both"/>
        <w:spacing w:after="0" w:line="220" w:lineRule="auto"/>
        <w:rPr>
          <w:sz w:val="20"/>
          <w:szCs w:val="20"/>
          <w:color w:val="auto"/>
        </w:rPr>
      </w:pPr>
      <w:r>
        <w:rPr>
          <w:rFonts w:ascii="Arial" w:cs="Arial" w:eastAsia="Arial" w:hAnsi="Arial"/>
          <w:sz w:val="21"/>
          <w:szCs w:val="21"/>
          <w:color w:val="auto"/>
        </w:rPr>
        <w:t>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56" w:lineRule="exact"/>
        <w:rPr>
          <w:sz w:val="20"/>
          <w:szCs w:val="20"/>
          <w:color w:val="auto"/>
        </w:rPr>
      </w:pPr>
    </w:p>
    <w:p>
      <w:pPr>
        <w:jc w:val="both"/>
        <w:ind w:firstLine="637"/>
        <w:spacing w:after="0" w:line="228" w:lineRule="auto"/>
        <w:tabs>
          <w:tab w:leader="none" w:pos="1260" w:val="left"/>
        </w:tabs>
        <w:numPr>
          <w:ilvl w:val="0"/>
          <w:numId w:val="96"/>
        </w:numPr>
        <w:rPr>
          <w:rFonts w:ascii="Arial" w:cs="Arial" w:eastAsia="Arial" w:hAnsi="Arial"/>
          <w:sz w:val="21"/>
          <w:szCs w:val="21"/>
          <w:color w:val="auto"/>
        </w:rPr>
      </w:pPr>
      <w:r>
        <w:rPr>
          <w:rFonts w:ascii="Arial" w:cs="Arial" w:eastAsia="Arial" w:hAnsi="Arial"/>
          <w:sz w:val="21"/>
          <w:szCs w:val="21"/>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i w:val="1"/>
          <w:iCs w:val="1"/>
          <w:color w:val="auto"/>
        </w:rPr>
        <w:t>Section 4.5</w:t>
      </w:r>
      <w:r>
        <w:rPr>
          <w:sz w:val="20"/>
          <w:szCs w:val="20"/>
          <w:color w:val="auto"/>
        </w:rPr>
        <w:tab/>
      </w:r>
      <w:r>
        <w:rPr>
          <w:rFonts w:ascii="Arial" w:cs="Arial" w:eastAsia="Arial" w:hAnsi="Arial"/>
          <w:sz w:val="17"/>
          <w:szCs w:val="17"/>
          <w:i w:val="1"/>
          <w:iCs w:val="1"/>
          <w:color w:val="auto"/>
        </w:rPr>
        <w:t>Taxes.</w:t>
      </w:r>
    </w:p>
    <w:p>
      <w:pPr>
        <w:spacing w:after="0" w:line="180"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20"/>
          <w:szCs w:val="20"/>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55" w:lineRule="exact"/>
        <w:rPr>
          <w:sz w:val="20"/>
          <w:szCs w:val="20"/>
          <w:color w:val="auto"/>
        </w:rPr>
      </w:pPr>
    </w:p>
    <w:p>
      <w:pPr>
        <w:spacing w:after="0"/>
        <w:tabs>
          <w:tab w:leader="none" w:pos="1140" w:val="left"/>
        </w:tabs>
        <w:rPr>
          <w:sz w:val="20"/>
          <w:szCs w:val="20"/>
          <w:color w:val="auto"/>
        </w:rPr>
      </w:pPr>
      <w:r>
        <w:rPr>
          <w:rFonts w:ascii="Arial" w:cs="Arial" w:eastAsia="Arial" w:hAnsi="Arial"/>
          <w:sz w:val="21"/>
          <w:szCs w:val="21"/>
          <w:i w:val="1"/>
          <w:iCs w:val="1"/>
          <w:color w:val="auto"/>
        </w:rPr>
        <w:t>Section 4.6</w:t>
      </w:r>
      <w:r>
        <w:rPr>
          <w:sz w:val="20"/>
          <w:szCs w:val="20"/>
          <w:color w:val="auto"/>
        </w:rPr>
        <w:tab/>
      </w:r>
      <w:r>
        <w:rPr>
          <w:rFonts w:ascii="Arial" w:cs="Arial" w:eastAsia="Arial" w:hAnsi="Arial"/>
          <w:sz w:val="18"/>
          <w:szCs w:val="18"/>
          <w:i w:val="1"/>
          <w:iCs w:val="1"/>
          <w:color w:val="auto"/>
        </w:rPr>
        <w:t>Stay, Extension and Usury Laws.</w:t>
      </w:r>
    </w:p>
    <w:p>
      <w:pPr>
        <w:spacing w:after="0" w:line="180"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4.07</w:t>
      </w:r>
      <w:r>
        <w:rPr>
          <w:sz w:val="20"/>
          <w:szCs w:val="20"/>
          <w:color w:val="auto"/>
        </w:rPr>
        <w:tab/>
      </w:r>
      <w:r>
        <w:rPr>
          <w:rFonts w:ascii="Arial" w:cs="Arial" w:eastAsia="Arial" w:hAnsi="Arial"/>
          <w:sz w:val="19"/>
          <w:szCs w:val="19"/>
          <w:i w:val="1"/>
          <w:iCs w:val="1"/>
          <w:color w:val="auto"/>
        </w:rPr>
        <w:t>Limitation on Liens Securing Indebtedness</w:t>
      </w:r>
    </w:p>
    <w:p>
      <w:pPr>
        <w:spacing w:after="0" w:line="180"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21"/>
          <w:szCs w:val="21"/>
          <w:color w:val="auto"/>
        </w:rPr>
        <w:t>Other than as provided below under Section 4.09, neither Issuer nor any Guarantor may issue, assume or guarantee any Indebtedness secured by a Lien upon any Principal Property or on any evidences of Indebtedness or shares of Capital Stock of, or other ownership interests in, any Subsidiaries (regardless of whether the Principal Property, Indebtedness, Capital Stock or ownership interests were acquired before or after the Issue Date) without effectively providing that the Notes shall be secured equally and ratably with (or prior to) such Indebtedness so long as such Indebtedness shall be so secured, except that this restriction will not apply to:</w:t>
      </w:r>
    </w:p>
    <w:p>
      <w:pPr>
        <w:spacing w:after="0" w:line="158" w:lineRule="exact"/>
        <w:rPr>
          <w:sz w:val="20"/>
          <w:szCs w:val="20"/>
          <w:color w:val="auto"/>
        </w:rPr>
      </w:pPr>
    </w:p>
    <w:p>
      <w:pPr>
        <w:ind w:left="1260" w:hanging="623"/>
        <w:spacing w:after="0"/>
        <w:tabs>
          <w:tab w:leader="none" w:pos="1260" w:val="left"/>
        </w:tabs>
        <w:numPr>
          <w:ilvl w:val="0"/>
          <w:numId w:val="97"/>
        </w:numPr>
        <w:rPr>
          <w:rFonts w:ascii="Arial" w:cs="Arial" w:eastAsia="Arial" w:hAnsi="Arial"/>
          <w:sz w:val="21"/>
          <w:szCs w:val="21"/>
          <w:color w:val="auto"/>
        </w:rPr>
      </w:pPr>
      <w:r>
        <w:rPr>
          <w:rFonts w:ascii="Arial" w:cs="Arial" w:eastAsia="Arial" w:hAnsi="Arial"/>
          <w:sz w:val="21"/>
          <w:szCs w:val="21"/>
          <w:color w:val="auto"/>
        </w:rPr>
        <w:t>Liens existing on the Issue Date (excluding Liens securing the Senior Credit Facilities);</w:t>
      </w:r>
    </w:p>
    <w:p>
      <w:pPr>
        <w:spacing w:after="0" w:line="179" w:lineRule="exact"/>
        <w:rPr>
          <w:rFonts w:ascii="Arial" w:cs="Arial" w:eastAsia="Arial" w:hAnsi="Arial"/>
          <w:sz w:val="21"/>
          <w:szCs w:val="21"/>
          <w:color w:val="auto"/>
        </w:rPr>
      </w:pPr>
    </w:p>
    <w:p>
      <w:pPr>
        <w:jc w:val="both"/>
        <w:ind w:firstLine="637"/>
        <w:spacing w:after="0" w:line="234" w:lineRule="auto"/>
        <w:tabs>
          <w:tab w:leader="none" w:pos="1259" w:val="left"/>
        </w:tabs>
        <w:numPr>
          <w:ilvl w:val="0"/>
          <w:numId w:val="97"/>
        </w:numPr>
        <w:rPr>
          <w:rFonts w:ascii="Arial" w:cs="Arial" w:eastAsia="Arial" w:hAnsi="Arial"/>
          <w:sz w:val="20"/>
          <w:szCs w:val="20"/>
          <w:color w:val="auto"/>
        </w:rPr>
      </w:pPr>
      <w:r>
        <w:rPr>
          <w:rFonts w:ascii="Arial" w:cs="Arial" w:eastAsia="Arial" w:hAnsi="Arial"/>
          <w:sz w:val="20"/>
          <w:szCs w:val="20"/>
          <w:color w:val="auto"/>
        </w:rPr>
        <w:t>Liens affecting property of a corporation or other entity existing at the time it becomes a Guarantor or at the time it is merged into or consolidated with an Issuer or a Guarantor (provided that such Liens are not incurred in connection with, or in contemplation of, such entity becoming a Guarantor or such merger or consolidation and do not extend to or cover property of an Issuer or any Guarantor other than property of the entity so acquired or which becomes a Guarantor);</w:t>
      </w:r>
    </w:p>
    <w:p>
      <w:pPr>
        <w:spacing w:after="0" w:line="155" w:lineRule="exact"/>
        <w:rPr>
          <w:rFonts w:ascii="Arial" w:cs="Arial" w:eastAsia="Arial" w:hAnsi="Arial"/>
          <w:sz w:val="20"/>
          <w:szCs w:val="20"/>
          <w:color w:val="auto"/>
        </w:rPr>
      </w:pPr>
    </w:p>
    <w:p>
      <w:pPr>
        <w:jc w:val="both"/>
        <w:ind w:firstLine="637"/>
        <w:spacing w:after="0" w:line="228" w:lineRule="auto"/>
        <w:tabs>
          <w:tab w:leader="none" w:pos="1260" w:val="left"/>
        </w:tabs>
        <w:numPr>
          <w:ilvl w:val="0"/>
          <w:numId w:val="97"/>
        </w:numPr>
        <w:rPr>
          <w:rFonts w:ascii="Arial" w:cs="Arial" w:eastAsia="Arial" w:hAnsi="Arial"/>
          <w:sz w:val="21"/>
          <w:szCs w:val="21"/>
          <w:color w:val="auto"/>
        </w:rPr>
      </w:pPr>
      <w:r>
        <w:rPr>
          <w:rFonts w:ascii="Arial" w:cs="Arial" w:eastAsia="Arial" w:hAnsi="Arial"/>
          <w:sz w:val="21"/>
          <w:szCs w:val="21"/>
          <w:color w:val="auto"/>
        </w:rPr>
        <w:t>Liens (including purchase money Liens) existing at the time of acquisition thereof on property acquired after the Issue Date or to secure Indebtedness incurred prior to, at the time of, or within 24 months after the acquisition for the purpose of financing all or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368" w:right="339" w:bottom="1440" w:gutter="0" w:footer="0" w:header="0"/>
        </w:sectPr>
      </w:pPr>
    </w:p>
    <w:bookmarkStart w:id="60" w:name="page61"/>
    <w:bookmarkEnd w:id="60"/>
    <w:p>
      <w:pPr>
        <w:spacing w:after="0" w:line="237" w:lineRule="auto"/>
        <w:rPr>
          <w:sz w:val="20"/>
          <w:szCs w:val="20"/>
          <w:color w:val="auto"/>
        </w:rPr>
      </w:pPr>
      <w:r>
        <w:rPr>
          <w:rFonts w:ascii="Arial" w:cs="Arial" w:eastAsia="Arial" w:hAnsi="Arial"/>
          <w:sz w:val="21"/>
          <w:szCs w:val="21"/>
          <w:color w:val="auto"/>
        </w:rPr>
        <w:t>purchase price of property acquired after the Issue Date (provided that such Liens do not extend to or cover any property of an Issuer or any Guarantor other than the property so acquired);</w:t>
      </w:r>
    </w:p>
    <w:p>
      <w:pPr>
        <w:spacing w:after="0" w:line="155" w:lineRule="exact"/>
        <w:rPr>
          <w:sz w:val="20"/>
          <w:szCs w:val="20"/>
          <w:color w:val="auto"/>
        </w:rPr>
      </w:pPr>
    </w:p>
    <w:p>
      <w:pPr>
        <w:jc w:val="both"/>
        <w:ind w:firstLine="637"/>
        <w:spacing w:after="0" w:line="217" w:lineRule="auto"/>
        <w:tabs>
          <w:tab w:leader="none" w:pos="1259" w:val="left"/>
        </w:tabs>
        <w:numPr>
          <w:ilvl w:val="0"/>
          <w:numId w:val="98"/>
        </w:numPr>
        <w:rPr>
          <w:rFonts w:ascii="Arial" w:cs="Arial" w:eastAsia="Arial" w:hAnsi="Arial"/>
          <w:sz w:val="21"/>
          <w:szCs w:val="21"/>
          <w:color w:val="auto"/>
        </w:rPr>
      </w:pPr>
      <w:r>
        <w:rPr>
          <w:rFonts w:ascii="Arial" w:cs="Arial" w:eastAsia="Arial" w:hAnsi="Arial"/>
          <w:sz w:val="21"/>
          <w:szCs w:val="21"/>
          <w:color w:val="auto"/>
        </w:rPr>
        <w:t>Liens on any property acquired, developed, constructed or otherwise improved by Wynn Resorts Finance or any Subsidiary (including liens on the Equity Interests of any Subsidiary of Wynn Resorts Finance and substantially all assets of such Subsidiary, in each case to the extent such property constitutes substantially all of the business of such Subsidiary) to secure or provide for the payment of any part of the purchase price of the property or the cost of the development, construction or improvement thereof (including architectural, engineering, financing, consultant, advisor and legal fees, preopening costs and gaming licensing fees), or any Indebtedness incurred to provide funds for such purposes, or any Lien on any such property existing at the time of acquisition thereof;</w:t>
      </w:r>
    </w:p>
    <w:p>
      <w:pPr>
        <w:spacing w:after="0" w:line="155" w:lineRule="exact"/>
        <w:rPr>
          <w:rFonts w:ascii="Arial" w:cs="Arial" w:eastAsia="Arial" w:hAnsi="Arial"/>
          <w:sz w:val="21"/>
          <w:szCs w:val="21"/>
          <w:color w:val="auto"/>
        </w:rPr>
      </w:pPr>
    </w:p>
    <w:p>
      <w:pPr>
        <w:ind w:left="1260" w:hanging="623"/>
        <w:spacing w:after="0"/>
        <w:tabs>
          <w:tab w:leader="none" w:pos="12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Liens in favor of the Issuers or the Guarantors;</w:t>
      </w:r>
    </w:p>
    <w:p>
      <w:pPr>
        <w:spacing w:after="0" w:line="179" w:lineRule="exact"/>
        <w:rPr>
          <w:rFonts w:ascii="Arial" w:cs="Arial" w:eastAsia="Arial" w:hAnsi="Arial"/>
          <w:sz w:val="21"/>
          <w:szCs w:val="21"/>
          <w:color w:val="auto"/>
        </w:rPr>
      </w:pPr>
    </w:p>
    <w:p>
      <w:pPr>
        <w:jc w:val="both"/>
        <w:ind w:firstLine="637"/>
        <w:spacing w:after="0" w:line="228" w:lineRule="auto"/>
        <w:tabs>
          <w:tab w:leader="none" w:pos="1263" w:val="left"/>
        </w:tabs>
        <w:numPr>
          <w:ilvl w:val="0"/>
          <w:numId w:val="98"/>
        </w:numPr>
        <w:rPr>
          <w:rFonts w:ascii="Arial" w:cs="Arial" w:eastAsia="Arial" w:hAnsi="Arial"/>
          <w:sz w:val="21"/>
          <w:szCs w:val="21"/>
          <w:color w:val="auto"/>
        </w:rPr>
      </w:pPr>
      <w:r>
        <w:rPr>
          <w:rFonts w:ascii="Arial" w:cs="Arial" w:eastAsia="Arial" w:hAnsi="Arial"/>
          <w:sz w:val="21"/>
          <w:szCs w:val="21"/>
          <w:color w:val="auto"/>
        </w:rPr>
        <w:t>Liens on the stock, partnership or other equity interest of Wynn Resorts Finance or any Guarantor in any Joint Venture or any Subsidiary that owns an equity interest in such Joint Venture to secure Indebtedness, provided the amount of such Indebtedness is contributed and/or advanced solely to such Joint Venture;</w:t>
      </w:r>
    </w:p>
    <w:p>
      <w:pPr>
        <w:spacing w:after="0" w:line="153" w:lineRule="exact"/>
        <w:rPr>
          <w:rFonts w:ascii="Arial" w:cs="Arial" w:eastAsia="Arial" w:hAnsi="Arial"/>
          <w:sz w:val="21"/>
          <w:szCs w:val="21"/>
          <w:color w:val="auto"/>
        </w:rPr>
      </w:pPr>
    </w:p>
    <w:p>
      <w:pPr>
        <w:ind w:left="1260" w:hanging="623"/>
        <w:spacing w:after="0"/>
        <w:tabs>
          <w:tab w:leader="none" w:pos="12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Liens to government entities, including pollution control or industrial revenue bond financing;</w:t>
      </w:r>
    </w:p>
    <w:p>
      <w:pPr>
        <w:spacing w:after="0" w:line="179" w:lineRule="exact"/>
        <w:rPr>
          <w:rFonts w:ascii="Arial" w:cs="Arial" w:eastAsia="Arial" w:hAnsi="Arial"/>
          <w:sz w:val="21"/>
          <w:szCs w:val="21"/>
          <w:color w:val="auto"/>
        </w:rPr>
      </w:pPr>
    </w:p>
    <w:p>
      <w:pPr>
        <w:ind w:firstLine="637"/>
        <w:spacing w:after="0" w:line="237" w:lineRule="auto"/>
        <w:tabs>
          <w:tab w:leader="none" w:pos="1259" w:val="left"/>
        </w:tabs>
        <w:numPr>
          <w:ilvl w:val="0"/>
          <w:numId w:val="98"/>
        </w:numPr>
        <w:rPr>
          <w:rFonts w:ascii="Arial" w:cs="Arial" w:eastAsia="Arial" w:hAnsi="Arial"/>
          <w:sz w:val="21"/>
          <w:szCs w:val="21"/>
          <w:color w:val="auto"/>
        </w:rPr>
      </w:pPr>
      <w:r>
        <w:rPr>
          <w:rFonts w:ascii="Arial" w:cs="Arial" w:eastAsia="Arial" w:hAnsi="Arial"/>
          <w:sz w:val="21"/>
          <w:szCs w:val="21"/>
          <w:color w:val="auto"/>
        </w:rPr>
        <w:t>Liens required by any contract or statute in order to permit Wynn Resorts Finance or a Subsidiary of Wynn Resorts Finance to perform any contract or subcontract made by it with or at the request of a governmental entity;</w:t>
      </w:r>
    </w:p>
    <w:p>
      <w:pPr>
        <w:spacing w:after="0" w:line="167" w:lineRule="exact"/>
        <w:rPr>
          <w:rFonts w:ascii="Arial" w:cs="Arial" w:eastAsia="Arial" w:hAnsi="Arial"/>
          <w:sz w:val="21"/>
          <w:szCs w:val="21"/>
          <w:color w:val="auto"/>
        </w:rPr>
      </w:pPr>
    </w:p>
    <w:p>
      <w:pPr>
        <w:jc w:val="both"/>
        <w:ind w:firstLine="637"/>
        <w:spacing w:after="0" w:line="294" w:lineRule="auto"/>
        <w:tabs>
          <w:tab w:leader="none" w:pos="1251" w:val="left"/>
        </w:tabs>
        <w:numPr>
          <w:ilvl w:val="0"/>
          <w:numId w:val="98"/>
        </w:numPr>
        <w:rPr>
          <w:rFonts w:ascii="Arial" w:cs="Arial" w:eastAsia="Arial" w:hAnsi="Arial"/>
          <w:sz w:val="19"/>
          <w:szCs w:val="19"/>
          <w:color w:val="auto"/>
        </w:rPr>
      </w:pPr>
      <w:r>
        <w:rPr>
          <w:rFonts w:ascii="Arial" w:cs="Arial" w:eastAsia="Arial" w:hAnsi="Arial"/>
          <w:sz w:val="19"/>
          <w:szCs w:val="19"/>
          <w:color w:val="auto"/>
        </w:rPr>
        <w:t>Liens imposed by Gaming Laws or Gaming Authorities, and Liens on deposits made to secure Gaming License applications or to secure the performance of surety or other bonds issued in connection therewith; provided, however, that to the extent such Liens are not imposed by law, such Liens shall in no event encumber any property other than cash and cash equivalents;</w:t>
      </w:r>
    </w:p>
    <w:p>
      <w:pPr>
        <w:spacing w:after="0" w:line="118" w:lineRule="exact"/>
        <w:rPr>
          <w:rFonts w:ascii="Arial" w:cs="Arial" w:eastAsia="Arial" w:hAnsi="Arial"/>
          <w:sz w:val="19"/>
          <w:szCs w:val="19"/>
          <w:color w:val="auto"/>
        </w:rPr>
      </w:pPr>
    </w:p>
    <w:p>
      <w:pPr>
        <w:ind w:left="1260" w:hanging="623"/>
        <w:spacing w:after="0"/>
        <w:tabs>
          <w:tab w:leader="none" w:pos="12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mechanic’s, materialman’s, carrier’s or other like Liens, arising in the ordinary course of business;</w:t>
      </w:r>
    </w:p>
    <w:p>
      <w:pPr>
        <w:spacing w:after="0" w:line="192" w:lineRule="exact"/>
        <w:rPr>
          <w:rFonts w:ascii="Arial" w:cs="Arial" w:eastAsia="Arial" w:hAnsi="Arial"/>
          <w:sz w:val="21"/>
          <w:szCs w:val="21"/>
          <w:color w:val="auto"/>
        </w:rPr>
      </w:pPr>
    </w:p>
    <w:p>
      <w:pPr>
        <w:ind w:left="1260" w:hanging="623"/>
        <w:spacing w:after="0"/>
        <w:tabs>
          <w:tab w:leader="none" w:pos="1260" w:val="left"/>
        </w:tabs>
        <w:numPr>
          <w:ilvl w:val="0"/>
          <w:numId w:val="98"/>
        </w:numPr>
        <w:rPr>
          <w:rFonts w:ascii="Arial" w:cs="Arial" w:eastAsia="Arial" w:hAnsi="Arial"/>
          <w:sz w:val="19"/>
          <w:szCs w:val="19"/>
          <w:color w:val="auto"/>
        </w:rPr>
      </w:pPr>
      <w:r>
        <w:rPr>
          <w:rFonts w:ascii="Arial" w:cs="Arial" w:eastAsia="Arial" w:hAnsi="Arial"/>
          <w:sz w:val="19"/>
          <w:szCs w:val="19"/>
          <w:color w:val="auto"/>
        </w:rPr>
        <w:t>licenses and sublicenses of software and other technology licenses entered into in the ordinary course of business;</w:t>
      </w:r>
    </w:p>
    <w:p>
      <w:pPr>
        <w:spacing w:after="0" w:line="228" w:lineRule="exact"/>
        <w:rPr>
          <w:rFonts w:ascii="Arial" w:cs="Arial" w:eastAsia="Arial" w:hAnsi="Arial"/>
          <w:sz w:val="19"/>
          <w:szCs w:val="19"/>
          <w:color w:val="auto"/>
        </w:rPr>
      </w:pPr>
    </w:p>
    <w:p>
      <w:pPr>
        <w:ind w:firstLine="637"/>
        <w:spacing w:after="0" w:line="237" w:lineRule="auto"/>
        <w:tabs>
          <w:tab w:leader="none" w:pos="1251" w:val="left"/>
        </w:tabs>
        <w:numPr>
          <w:ilvl w:val="0"/>
          <w:numId w:val="98"/>
        </w:numPr>
        <w:rPr>
          <w:rFonts w:ascii="Arial" w:cs="Arial" w:eastAsia="Arial" w:hAnsi="Arial"/>
          <w:sz w:val="21"/>
          <w:szCs w:val="21"/>
          <w:color w:val="auto"/>
        </w:rPr>
      </w:pPr>
      <w:r>
        <w:rPr>
          <w:rFonts w:ascii="Arial" w:cs="Arial" w:eastAsia="Arial" w:hAnsi="Arial"/>
          <w:sz w:val="21"/>
          <w:szCs w:val="21"/>
          <w:color w:val="auto"/>
        </w:rPr>
        <w:t>Liens for taxes, assessments or governmental charges, levies or claims that are not yet due and payable or delinquent or that are being contested in good faith by appropriate proceedings;</w:t>
      </w:r>
    </w:p>
    <w:p>
      <w:pPr>
        <w:spacing w:after="0" w:line="154" w:lineRule="exact"/>
        <w:rPr>
          <w:rFonts w:ascii="Arial" w:cs="Arial" w:eastAsia="Arial" w:hAnsi="Arial"/>
          <w:sz w:val="21"/>
          <w:szCs w:val="21"/>
          <w:color w:val="auto"/>
        </w:rPr>
      </w:pPr>
    </w:p>
    <w:p>
      <w:pPr>
        <w:ind w:firstLine="637"/>
        <w:spacing w:after="0" w:line="237" w:lineRule="auto"/>
        <w:tabs>
          <w:tab w:leader="none" w:pos="1251" w:val="left"/>
        </w:tabs>
        <w:numPr>
          <w:ilvl w:val="0"/>
          <w:numId w:val="98"/>
        </w:numPr>
        <w:rPr>
          <w:rFonts w:ascii="Arial" w:cs="Arial" w:eastAsia="Arial" w:hAnsi="Arial"/>
          <w:sz w:val="21"/>
          <w:szCs w:val="21"/>
          <w:color w:val="auto"/>
        </w:rPr>
      </w:pPr>
      <w:r>
        <w:rPr>
          <w:rFonts w:ascii="Arial" w:cs="Arial" w:eastAsia="Arial" w:hAnsi="Arial"/>
          <w:sz w:val="21"/>
          <w:szCs w:val="21"/>
          <w:color w:val="auto"/>
        </w:rPr>
        <w:t>filing of Uniform Commercial Code financing statements as a precautionary measure in connection with operating leases entered into in the ordinary course of business;</w:t>
      </w:r>
    </w:p>
    <w:p>
      <w:pPr>
        <w:spacing w:after="0" w:line="167" w:lineRule="exact"/>
        <w:rPr>
          <w:rFonts w:ascii="Arial" w:cs="Arial" w:eastAsia="Arial" w:hAnsi="Arial"/>
          <w:sz w:val="21"/>
          <w:szCs w:val="21"/>
          <w:color w:val="auto"/>
        </w:rPr>
      </w:pPr>
    </w:p>
    <w:p>
      <w:pPr>
        <w:jc w:val="both"/>
        <w:ind w:firstLine="637"/>
        <w:spacing w:after="0" w:line="282" w:lineRule="auto"/>
        <w:tabs>
          <w:tab w:leader="none" w:pos="1259" w:val="left"/>
        </w:tabs>
        <w:numPr>
          <w:ilvl w:val="0"/>
          <w:numId w:val="98"/>
        </w:numPr>
        <w:rPr>
          <w:rFonts w:ascii="Arial" w:cs="Arial" w:eastAsia="Arial" w:hAnsi="Arial"/>
          <w:sz w:val="19"/>
          <w:szCs w:val="19"/>
          <w:color w:val="auto"/>
        </w:rPr>
      </w:pPr>
      <w:r>
        <w:rPr>
          <w:rFonts w:ascii="Arial" w:cs="Arial" w:eastAsia="Arial" w:hAnsi="Arial"/>
          <w:sz w:val="19"/>
          <w:szCs w:val="19"/>
          <w:color w:val="auto"/>
        </w:rPr>
        <w:t>survey exceptions, easements, encroachments, subdivisions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individually or in the aggregate materially adversely affect the value of said properties or materially impair their use in the operation of the business of such Person;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368" w:right="339" w:bottom="1440" w:gutter="0" w:footer="0" w:header="0"/>
        </w:sectPr>
      </w:pPr>
    </w:p>
    <w:bookmarkStart w:id="61" w:name="page62"/>
    <w:bookmarkEnd w:id="61"/>
    <w:p>
      <w:pPr>
        <w:ind w:firstLine="637"/>
        <w:spacing w:after="0" w:line="237" w:lineRule="auto"/>
        <w:tabs>
          <w:tab w:leader="none" w:pos="1259" w:val="left"/>
        </w:tabs>
        <w:numPr>
          <w:ilvl w:val="0"/>
          <w:numId w:val="99"/>
        </w:numPr>
        <w:rPr>
          <w:rFonts w:ascii="Arial" w:cs="Arial" w:eastAsia="Arial" w:hAnsi="Arial"/>
          <w:sz w:val="21"/>
          <w:szCs w:val="21"/>
          <w:color w:val="auto"/>
        </w:rPr>
      </w:pPr>
      <w:r>
        <w:rPr>
          <w:rFonts w:ascii="Arial" w:cs="Arial" w:eastAsia="Arial" w:hAnsi="Arial"/>
          <w:sz w:val="21"/>
          <w:szCs w:val="21"/>
          <w:color w:val="auto"/>
        </w:rPr>
        <w:t>any extension, renewal, replacement or refinancing of any Indebtedness secured by a Lien permitted by any of the foregoing clauses (a) through (f) and (n).</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4.08</w:t>
      </w:r>
      <w:r>
        <w:rPr>
          <w:sz w:val="20"/>
          <w:szCs w:val="20"/>
          <w:color w:val="auto"/>
        </w:rPr>
        <w:tab/>
      </w:r>
      <w:r>
        <w:rPr>
          <w:rFonts w:ascii="Arial" w:cs="Arial" w:eastAsia="Arial" w:hAnsi="Arial"/>
          <w:sz w:val="19"/>
          <w:szCs w:val="19"/>
          <w:i w:val="1"/>
          <w:iCs w:val="1"/>
          <w:color w:val="auto"/>
        </w:rPr>
        <w:t>Limitation on Sale and Leaseback Transactions.</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Other than as provided below under Section 4.09, neither Issuer nor any Guarantor will enter into any Sale and Leaseback Transaction unless either:</w:t>
      </w:r>
    </w:p>
    <w:p>
      <w:pPr>
        <w:spacing w:after="0" w:line="155" w:lineRule="exact"/>
        <w:rPr>
          <w:sz w:val="20"/>
          <w:szCs w:val="20"/>
          <w:color w:val="auto"/>
        </w:rPr>
      </w:pPr>
    </w:p>
    <w:p>
      <w:pPr>
        <w:jc w:val="both"/>
        <w:ind w:firstLine="637"/>
        <w:spacing w:after="0" w:line="285" w:lineRule="auto"/>
        <w:tabs>
          <w:tab w:leader="none" w:pos="12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such Issuer or such Guarantor would be entitled, pursuant to the provisions described in clauses (a) through (o) under Section 4.07 to create, assume or suffer to exist a Lien on the property to be leased without equally and ratably securing the Notes; or</w:t>
      </w:r>
    </w:p>
    <w:p>
      <w:pPr>
        <w:spacing w:after="0" w:line="112" w:lineRule="exact"/>
        <w:rPr>
          <w:rFonts w:ascii="Arial" w:cs="Arial" w:eastAsia="Arial" w:hAnsi="Arial"/>
          <w:sz w:val="19"/>
          <w:szCs w:val="19"/>
          <w:color w:val="auto"/>
        </w:rPr>
      </w:pPr>
    </w:p>
    <w:p>
      <w:pPr>
        <w:jc w:val="both"/>
        <w:ind w:firstLine="637"/>
        <w:spacing w:after="0" w:line="239" w:lineRule="auto"/>
        <w:tabs>
          <w:tab w:leader="none" w:pos="1259" w:val="left"/>
        </w:tabs>
        <w:numPr>
          <w:ilvl w:val="0"/>
          <w:numId w:val="100"/>
        </w:numPr>
        <w:rPr>
          <w:rFonts w:ascii="Arial" w:cs="Arial" w:eastAsia="Arial" w:hAnsi="Arial"/>
          <w:sz w:val="20"/>
          <w:szCs w:val="20"/>
          <w:color w:val="auto"/>
        </w:rPr>
      </w:pPr>
      <w:r>
        <w:rPr>
          <w:rFonts w:ascii="Arial" w:cs="Arial" w:eastAsia="Arial" w:hAnsi="Arial"/>
          <w:sz w:val="20"/>
          <w:szCs w:val="20"/>
          <w:color w:val="auto"/>
        </w:rPr>
        <w:t>with respect to any Sale and Leaseback Transaction entered into after the Issue Date, an amount equal to the greater of the net cash proceeds of such sale or the Fair Market Value of such property (in the good faith opinion of the Board of Directors of Wynn Resorts Capital) is applied within 120 days to the retirement or other discharge of its Funded Debt.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4.09</w:t>
      </w:r>
      <w:r>
        <w:rPr>
          <w:sz w:val="20"/>
          <w:szCs w:val="20"/>
          <w:color w:val="auto"/>
        </w:rPr>
        <w:tab/>
      </w:r>
      <w:r>
        <w:rPr>
          <w:rFonts w:ascii="Arial" w:cs="Arial" w:eastAsia="Arial" w:hAnsi="Arial"/>
          <w:sz w:val="18"/>
          <w:szCs w:val="18"/>
          <w:i w:val="1"/>
          <w:iCs w:val="1"/>
          <w:color w:val="auto"/>
        </w:rPr>
        <w:t>Exempted Liens and Sale and Leaseback Transactions.</w:t>
      </w:r>
    </w:p>
    <w:p>
      <w:pPr>
        <w:spacing w:after="0" w:line="180"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0"/>
          <w:szCs w:val="20"/>
          <w:color w:val="auto"/>
        </w:rPr>
        <w:t xml:space="preserve">Notwithstanding the restrictions set forth in Section 4.07 and Section 4.08, an Issuer or any Guarantor may create, assume or suffer to exist Liens or enter into Sale and Leaseback Transactions not otherwise permitted in Section 4.07 or Section 4.08, respectively, provided that at the time of such event, and after giving effect thereto, the sum of outstanding Indebtedness secured by such Liens (not including Liens permitted under Section 4.07) plus all Attributable Debt in respect of such Sale and Leaseback Transactions entered into (not including Sale and Leaseback Transactions permitted under Section 4.08), measured, in each case, at the time any such Lien is incurred or any such Sale and Leaseback Transaction is entered into, by the Issuers and the Guarantors does not exceed the greater of (x) $1,850.0 million and (y) an amount that would cause the Consolidated Senior Secured Net Leverage Ratio to be greater than 3.00 to 1.00 on a pro forma basis and Liens securing Indebtedness in excess of such amount to the extent such Lien is incurred in connection with an extension, renewal, replacement or refinancing of Indebtedness (not to exceed the principal amount of such extended, renewed, replaced or refinanced Indebtedness plus fees, expenses and premium payable thereon) secured by a Lien incurred pursuant to the provisions of this Section 4.09 or any previous extension, renewal, replacement or refinancing of any such Indebtedness (which extended, renewed, replaced or refinanced Indebtedness shall, for the avoidance of doubt, thereafter be included in the calculation of such amount);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foregoing shall not apply to any Liens that secure any of the Existing LV Notes so long as such Liens are limited solely to the pledge of the stock of the issuer of such Existing LV Notes.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4.10</w:t>
      </w:r>
      <w:r>
        <w:rPr>
          <w:sz w:val="20"/>
          <w:szCs w:val="20"/>
          <w:color w:val="auto"/>
        </w:rPr>
        <w:tab/>
      </w:r>
      <w:r>
        <w:rPr>
          <w:rFonts w:ascii="Arial" w:cs="Arial" w:eastAsia="Arial" w:hAnsi="Arial"/>
          <w:sz w:val="19"/>
          <w:szCs w:val="19"/>
          <w:i w:val="1"/>
          <w:iCs w:val="1"/>
          <w:color w:val="auto"/>
        </w:rPr>
        <w:t>Corporate and Organizational Existence.</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Subject to Article 5 hereof, except in the case of a Permitted C-Corp. Conversion, each of the Issuers shall, and shall cause the Guarantors to, do or cause to be done all things necessary to preserve and keep in full force and effect:</w:t>
      </w:r>
    </w:p>
    <w:p>
      <w:pPr>
        <w:spacing w:after="0" w:line="155" w:lineRule="exact"/>
        <w:rPr>
          <w:sz w:val="20"/>
          <w:szCs w:val="20"/>
          <w:color w:val="auto"/>
        </w:rPr>
      </w:pPr>
    </w:p>
    <w:p>
      <w:pPr>
        <w:ind w:firstLine="637"/>
        <w:spacing w:after="0" w:line="285" w:lineRule="auto"/>
        <w:tabs>
          <w:tab w:leader="none" w:pos="12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112" w:lineRule="exact"/>
        <w:rPr>
          <w:rFonts w:ascii="Arial" w:cs="Arial" w:eastAsia="Arial" w:hAnsi="Arial"/>
          <w:sz w:val="19"/>
          <w:szCs w:val="19"/>
          <w:color w:val="auto"/>
        </w:rPr>
      </w:pPr>
    </w:p>
    <w:p>
      <w:pPr>
        <w:jc w:val="both"/>
        <w:ind w:firstLine="637"/>
        <w:spacing w:after="0" w:line="258" w:lineRule="auto"/>
        <w:tabs>
          <w:tab w:leader="none" w:pos="125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rights (charter and statutory), licenses and franchises of the Issuers and their respective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Issuers and the Guarantors shall not be required to preserve any such right, license or franchise, or the corporate,</w:t>
      </w:r>
      <w:r>
        <w:rPr>
          <w:rFonts w:ascii="Arial" w:cs="Arial" w:eastAsia="Arial" w:hAnsi="Arial"/>
          <w:sz w:val="19"/>
          <w:szCs w:val="19"/>
          <w:i w:val="1"/>
          <w:iCs w:val="1"/>
          <w:color w:val="auto"/>
        </w:rPr>
        <w:t xml:space="preserve"> </w:t>
      </w:r>
      <w:r>
        <w:rPr>
          <w:rFonts w:ascii="Arial" w:cs="Arial" w:eastAsia="Arial" w:hAnsi="Arial"/>
          <w:sz w:val="19"/>
          <w:szCs w:val="19"/>
          <w:color w:val="auto"/>
        </w:rPr>
        <w:t>partnership or other existence of any of their respective Subsidiaries (other than the Issuers), if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1368" w:right="339" w:bottom="1440" w:gutter="0" w:footer="0" w:header="0"/>
        </w:sectPr>
      </w:pPr>
    </w:p>
    <w:bookmarkStart w:id="62" w:name="page63"/>
    <w:bookmarkEnd w:id="62"/>
    <w:p>
      <w:pPr>
        <w:jc w:val="both"/>
        <w:spacing w:after="0" w:line="228" w:lineRule="auto"/>
        <w:rPr>
          <w:sz w:val="20"/>
          <w:szCs w:val="20"/>
          <w:color w:val="auto"/>
        </w:rPr>
      </w:pPr>
      <w:r>
        <w:rPr>
          <w:rFonts w:ascii="Arial" w:cs="Arial" w:eastAsia="Arial" w:hAnsi="Arial"/>
          <w:sz w:val="21"/>
          <w:szCs w:val="21"/>
          <w:color w:val="auto"/>
        </w:rPr>
        <w:t>of Wynn Resorts Capital or the applicable Guarantor shall determine that the preservation thereof is no longer desirable in the conduct of the business of Wynn Resorts Finance and the Guarantors, taken as a whole, and that the loss thereof is not adverse in any material respect to the Holders of the Notes.</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4.11</w:t>
      </w:r>
      <w:r>
        <w:rPr>
          <w:sz w:val="20"/>
          <w:szCs w:val="20"/>
          <w:color w:val="auto"/>
        </w:rPr>
        <w:tab/>
      </w:r>
      <w:r>
        <w:rPr>
          <w:rFonts w:ascii="Arial" w:cs="Arial" w:eastAsia="Arial" w:hAnsi="Arial"/>
          <w:sz w:val="19"/>
          <w:szCs w:val="19"/>
          <w:i w:val="1"/>
          <w:iCs w:val="1"/>
          <w:color w:val="auto"/>
        </w:rPr>
        <w:t>Offer to Purchase Upon Change of Control.</w:t>
      </w:r>
    </w:p>
    <w:p>
      <w:pPr>
        <w:spacing w:after="0" w:line="180" w:lineRule="exact"/>
        <w:rPr>
          <w:sz w:val="20"/>
          <w:szCs w:val="20"/>
          <w:color w:val="auto"/>
        </w:rPr>
      </w:pPr>
    </w:p>
    <w:p>
      <w:pPr>
        <w:jc w:val="both"/>
        <w:ind w:firstLine="637"/>
        <w:spacing w:after="0" w:line="229" w:lineRule="auto"/>
        <w:tabs>
          <w:tab w:leader="none" w:pos="12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Upon the occurrence of a Change of Control Triggering Event, the Issuers shall make an offer (a “</w:t>
      </w:r>
      <w:r>
        <w:rPr>
          <w:rFonts w:ascii="Arial" w:cs="Arial" w:eastAsia="Arial" w:hAnsi="Arial"/>
          <w:sz w:val="20"/>
          <w:szCs w:val="20"/>
          <w:i w:val="1"/>
          <w:iCs w:val="1"/>
          <w:u w:val="single" w:color="auto"/>
          <w:color w:val="auto"/>
        </w:rPr>
        <w:t>Change of Control</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Offer</w:t>
      </w:r>
      <w:r>
        <w:rPr>
          <w:rFonts w:ascii="Arial" w:cs="Arial" w:eastAsia="Arial" w:hAnsi="Arial"/>
          <w:sz w:val="20"/>
          <w:szCs w:val="20"/>
          <w:color w:val="auto"/>
        </w:rPr>
        <w:t>”) to each Holder to repurchase all or any part (equal to $2,000 or an integral multiple of $1,000 in excess of $2,000) of each</w:t>
      </w:r>
      <w:r>
        <w:rPr>
          <w:rFonts w:ascii="Arial" w:cs="Arial" w:eastAsia="Arial" w:hAnsi="Arial"/>
          <w:sz w:val="20"/>
          <w:szCs w:val="20"/>
          <w:i w:val="1"/>
          <w:iCs w:val="1"/>
          <w:color w:val="auto"/>
        </w:rPr>
        <w:t xml:space="preserve"> </w:t>
      </w:r>
      <w:r>
        <w:rPr>
          <w:rFonts w:ascii="Arial" w:cs="Arial" w:eastAsia="Arial" w:hAnsi="Arial"/>
          <w:sz w:val="20"/>
          <w:szCs w:val="20"/>
          <w:color w:val="auto"/>
        </w:rPr>
        <w:t>Holder’s Notes at a purchase price equal to 101% of the aggregate principal amount thereof plus accrued and unpaid interest on the Notes purchased, if any, to, but not including, the date of purchase (the “</w:t>
      </w:r>
      <w:r>
        <w:rPr>
          <w:rFonts w:ascii="Arial" w:cs="Arial" w:eastAsia="Arial" w:hAnsi="Arial"/>
          <w:sz w:val="20"/>
          <w:szCs w:val="20"/>
          <w:i w:val="1"/>
          <w:iCs w:val="1"/>
          <w:u w:val="single" w:color="auto"/>
          <w:color w:val="auto"/>
        </w:rPr>
        <w:t>Change of Control Payment</w:t>
      </w:r>
      <w:r>
        <w:rPr>
          <w:rFonts w:ascii="Arial" w:cs="Arial" w:eastAsia="Arial" w:hAnsi="Arial"/>
          <w:sz w:val="20"/>
          <w:szCs w:val="20"/>
          <w:color w:val="auto"/>
        </w:rPr>
        <w:t>”). Within ten days following any Change of Control Triggering Event, the Issuers shall deliver a notice to each Holder describing the transaction or transactions that constitute the Change of Control Triggering Event and stating:</w:t>
      </w:r>
    </w:p>
    <w:p>
      <w:pPr>
        <w:spacing w:after="0" w:line="157" w:lineRule="exact"/>
        <w:rPr>
          <w:rFonts w:ascii="Arial" w:cs="Arial" w:eastAsia="Arial" w:hAnsi="Arial"/>
          <w:sz w:val="20"/>
          <w:szCs w:val="20"/>
          <w:color w:val="auto"/>
        </w:rPr>
      </w:pPr>
    </w:p>
    <w:p>
      <w:pPr>
        <w:ind w:left="640" w:firstLine="628"/>
        <w:spacing w:after="0" w:line="237" w:lineRule="auto"/>
        <w:tabs>
          <w:tab w:leader="none" w:pos="1899"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that the Change of Control Offer is being made pursuant to this Section 4.11 and that all Notes tendered shall be accepted for payment;</w:t>
      </w:r>
    </w:p>
    <w:p>
      <w:pPr>
        <w:spacing w:after="0" w:line="154" w:lineRule="exact"/>
        <w:rPr>
          <w:rFonts w:ascii="Arial" w:cs="Arial" w:eastAsia="Arial" w:hAnsi="Arial"/>
          <w:sz w:val="21"/>
          <w:szCs w:val="21"/>
          <w:color w:val="auto"/>
        </w:rPr>
      </w:pPr>
    </w:p>
    <w:p>
      <w:pPr>
        <w:ind w:left="640" w:firstLine="628"/>
        <w:spacing w:after="0" w:line="237" w:lineRule="auto"/>
        <w:tabs>
          <w:tab w:leader="none" w:pos="1899"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the purchase price and the purchase date, which shall be no earlier than 15 days and no later than 60 days from the date such notice is delivered (the “</w:t>
      </w:r>
      <w:r>
        <w:rPr>
          <w:rFonts w:ascii="Arial" w:cs="Arial" w:eastAsia="Arial" w:hAnsi="Arial"/>
          <w:sz w:val="21"/>
          <w:szCs w:val="21"/>
          <w:i w:val="1"/>
          <w:iCs w:val="1"/>
          <w:u w:val="single" w:color="auto"/>
          <w:color w:val="auto"/>
        </w:rPr>
        <w:t>Change of Control Payment Date</w:t>
      </w:r>
      <w:r>
        <w:rPr>
          <w:rFonts w:ascii="Arial" w:cs="Arial" w:eastAsia="Arial" w:hAnsi="Arial"/>
          <w:sz w:val="21"/>
          <w:szCs w:val="21"/>
          <w:color w:val="auto"/>
        </w:rPr>
        <w:t>”);</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that any Note not tendered shall continue to accrue interest;</w:t>
      </w:r>
    </w:p>
    <w:p>
      <w:pPr>
        <w:spacing w:after="0" w:line="179" w:lineRule="exact"/>
        <w:rPr>
          <w:rFonts w:ascii="Arial" w:cs="Arial" w:eastAsia="Arial" w:hAnsi="Arial"/>
          <w:sz w:val="21"/>
          <w:szCs w:val="21"/>
          <w:color w:val="auto"/>
        </w:rPr>
      </w:pPr>
    </w:p>
    <w:p>
      <w:pPr>
        <w:ind w:left="640" w:firstLine="628"/>
        <w:spacing w:after="0" w:line="285" w:lineRule="auto"/>
        <w:tabs>
          <w:tab w:leader="none" w:pos="1899"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112" w:lineRule="exact"/>
        <w:rPr>
          <w:rFonts w:ascii="Arial" w:cs="Arial" w:eastAsia="Arial" w:hAnsi="Arial"/>
          <w:sz w:val="19"/>
          <w:szCs w:val="19"/>
          <w:color w:val="auto"/>
        </w:rPr>
      </w:pPr>
    </w:p>
    <w:p>
      <w:pPr>
        <w:jc w:val="both"/>
        <w:ind w:left="640" w:firstLine="628"/>
        <w:spacing w:after="0" w:line="223" w:lineRule="auto"/>
        <w:tabs>
          <w:tab w:leader="none" w:pos="1899"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55" w:lineRule="exact"/>
        <w:rPr>
          <w:rFonts w:ascii="Arial" w:cs="Arial" w:eastAsia="Arial" w:hAnsi="Arial"/>
          <w:sz w:val="21"/>
          <w:szCs w:val="21"/>
          <w:color w:val="auto"/>
        </w:rPr>
      </w:pPr>
    </w:p>
    <w:p>
      <w:pPr>
        <w:jc w:val="both"/>
        <w:ind w:left="640" w:firstLine="628"/>
        <w:spacing w:after="0" w:line="223" w:lineRule="auto"/>
        <w:tabs>
          <w:tab w:leader="none" w:pos="1899"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155" w:lineRule="exact"/>
        <w:rPr>
          <w:rFonts w:ascii="Arial" w:cs="Arial" w:eastAsia="Arial" w:hAnsi="Arial"/>
          <w:sz w:val="21"/>
          <w:szCs w:val="21"/>
          <w:color w:val="auto"/>
        </w:rPr>
      </w:pPr>
    </w:p>
    <w:p>
      <w:pPr>
        <w:jc w:val="both"/>
        <w:ind w:left="640" w:firstLine="628"/>
        <w:spacing w:after="0" w:line="228" w:lineRule="auto"/>
        <w:tabs>
          <w:tab w:leader="none" w:pos="1899"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154"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of Control. To the extent that the provisions of any securities laws or regulations conflict with the provisions of Section 4.11 of this Indenture, the Issuers shall comply with the applicable securities laws and regulations and shall not be deemed to have breached their obligations under this Section 4.11 by virtue of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368" w:right="339" w:bottom="1440" w:gutter="0" w:footer="0" w:header="0"/>
        </w:sectPr>
      </w:pPr>
    </w:p>
    <w:bookmarkStart w:id="63" w:name="page64"/>
    <w:bookmarkEnd w:id="63"/>
    <w:p>
      <w:pPr>
        <w:ind w:left="1260" w:hanging="623"/>
        <w:spacing w:after="0"/>
        <w:tabs>
          <w:tab w:leader="none" w:pos="12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On the Change of Control Payment Date, the Issuers shall, to the extent lawful:</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 Offer;</w:t>
      </w:r>
    </w:p>
    <w:p>
      <w:pPr>
        <w:spacing w:after="0" w:line="202" w:lineRule="exact"/>
        <w:rPr>
          <w:rFonts w:ascii="Arial" w:cs="Arial" w:eastAsia="Arial" w:hAnsi="Arial"/>
          <w:sz w:val="19"/>
          <w:szCs w:val="19"/>
          <w:color w:val="auto"/>
        </w:rPr>
      </w:pPr>
    </w:p>
    <w:p>
      <w:pPr>
        <w:ind w:left="640" w:firstLine="628"/>
        <w:spacing w:after="0" w:line="237" w:lineRule="auto"/>
        <w:tabs>
          <w:tab w:leader="none" w:pos="1899" w:val="left"/>
        </w:tabs>
        <w:numPr>
          <w:ilvl w:val="1"/>
          <w:numId w:val="103"/>
        </w:numPr>
        <w:rPr>
          <w:rFonts w:ascii="Arial" w:cs="Arial" w:eastAsia="Arial" w:hAnsi="Arial"/>
          <w:sz w:val="21"/>
          <w:szCs w:val="21"/>
          <w:color w:val="auto"/>
        </w:rPr>
      </w:pPr>
      <w:r>
        <w:rPr>
          <w:rFonts w:ascii="Arial" w:cs="Arial" w:eastAsia="Arial" w:hAnsi="Arial"/>
          <w:sz w:val="21"/>
          <w:szCs w:val="21"/>
          <w:color w:val="auto"/>
        </w:rPr>
        <w:t>deposit with the Paying Agent an amount equal to the Change of Control Payment in respect of all Notes or portions of Notes properly tendered; and</w:t>
      </w:r>
    </w:p>
    <w:p>
      <w:pPr>
        <w:spacing w:after="0" w:line="154" w:lineRule="exact"/>
        <w:rPr>
          <w:rFonts w:ascii="Arial" w:cs="Arial" w:eastAsia="Arial" w:hAnsi="Arial"/>
          <w:sz w:val="21"/>
          <w:szCs w:val="21"/>
          <w:color w:val="auto"/>
        </w:rPr>
      </w:pPr>
    </w:p>
    <w:p>
      <w:pPr>
        <w:ind w:left="640" w:firstLine="628"/>
        <w:spacing w:after="0" w:line="237" w:lineRule="auto"/>
        <w:tabs>
          <w:tab w:leader="none" w:pos="1899" w:val="left"/>
        </w:tabs>
        <w:numPr>
          <w:ilvl w:val="1"/>
          <w:numId w:val="103"/>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Issuers.</w:t>
      </w:r>
    </w:p>
    <w:p>
      <w:pPr>
        <w:spacing w:after="0" w:line="155"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The Paying Agent shall promptly deliver to each Holder of Notes properly tendered the Change of Control Payment for such Notes, and the Trustee shall promptly authenticate and deliver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 shall publicly announce the results of the Change of Control Offer on or as soon as practicable after the Change of Control Payment Date.</w:t>
      </w:r>
    </w:p>
    <w:p>
      <w:pPr>
        <w:spacing w:after="0" w:line="170" w:lineRule="exact"/>
        <w:rPr>
          <w:sz w:val="20"/>
          <w:szCs w:val="20"/>
          <w:color w:val="auto"/>
        </w:rPr>
      </w:pPr>
    </w:p>
    <w:p>
      <w:pPr>
        <w:jc w:val="both"/>
        <w:ind w:firstLine="637"/>
        <w:spacing w:after="0" w:line="258" w:lineRule="auto"/>
        <w:tabs>
          <w:tab w:leader="none" w:pos="12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Notwithstanding anything to the contrary in this Section 4.11, the Issuers shall not be required to make a Change of Control Offer upon a Change of Control Triggering Event if (1) a third party makes the Change of Control Offer in the manner, at the times and otherwise in compliance with the requirements set forth in this Section 4.11 and purchases all Notes properly tendered and not withdrawn under the Change of Control Offer, or (2) a notice of redemption has been given pursuant to this Indenture as described above under Section 3.03 hereof, unless and until there is a default in payment of the applicable redemption price. Notwithstanding anything to the contrary contained herein, a Change of Control Offer may be made in advance of a Change of Control Triggering Event, conditioned upon the consummation of such Change of Control, if a definitive agreement is in place for the Change of Control at the time the Change of Control Offer is made.</w:t>
      </w:r>
    </w:p>
    <w:p>
      <w:pPr>
        <w:spacing w:after="0" w:line="167" w:lineRule="exact"/>
        <w:rPr>
          <w:rFonts w:ascii="Arial" w:cs="Arial" w:eastAsia="Arial" w:hAnsi="Arial"/>
          <w:sz w:val="20"/>
          <w:szCs w:val="20"/>
          <w:color w:val="auto"/>
        </w:rPr>
      </w:pPr>
    </w:p>
    <w:p>
      <w:pPr>
        <w:jc w:val="both"/>
        <w:ind w:firstLine="637"/>
        <w:spacing w:after="0" w:line="244" w:lineRule="auto"/>
        <w:tabs>
          <w:tab w:leader="none" w:pos="1259"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If Holders of not less than 90% in aggregate principal amount of the outstanding Notes properly tender and do not withdraw such Notes in a Change of Control Offer and the Issuers, or any third party making a Change of Control Offer in lieu of the Issuers as described in Section 4.11(c), purchase all of the Notes validly tendered and not withdrawn by such Holders, the Issuers or such third party will have the right, upon not less than 30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to, but not including, the date of redemption (subject to the right of Holders of record of Notes on the relevant record date to receive interest due on the relevant interest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368" w:right="339" w:bottom="1440" w:gutter="0" w:footer="0" w:header="0"/>
        </w:sectPr>
      </w:pPr>
    </w:p>
    <w:bookmarkStart w:id="64" w:name="page65"/>
    <w:bookmarkEnd w:id="64"/>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SUCCESSORS</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5.01</w:t>
      </w:r>
      <w:r>
        <w:rPr>
          <w:sz w:val="20"/>
          <w:szCs w:val="20"/>
          <w:color w:val="auto"/>
        </w:rPr>
        <w:tab/>
      </w:r>
      <w:r>
        <w:rPr>
          <w:rFonts w:ascii="Arial" w:cs="Arial" w:eastAsia="Arial" w:hAnsi="Arial"/>
          <w:sz w:val="19"/>
          <w:szCs w:val="19"/>
          <w:i w:val="1"/>
          <w:iCs w:val="1"/>
          <w:color w:val="auto"/>
        </w:rPr>
        <w:t>Merger, Consolidation, or Sale of Assets.</w:t>
      </w:r>
    </w:p>
    <w:p>
      <w:pPr>
        <w:spacing w:after="0" w:line="180" w:lineRule="exact"/>
        <w:rPr>
          <w:sz w:val="20"/>
          <w:szCs w:val="20"/>
          <w:color w:val="auto"/>
        </w:rPr>
      </w:pPr>
    </w:p>
    <w:p>
      <w:pPr>
        <w:jc w:val="both"/>
        <w:ind w:firstLine="1263"/>
        <w:spacing w:after="0" w:line="228" w:lineRule="auto"/>
        <w:rPr>
          <w:sz w:val="20"/>
          <w:szCs w:val="20"/>
          <w:color w:val="auto"/>
        </w:rPr>
      </w:pPr>
      <w:r>
        <w:rPr>
          <w:rFonts w:ascii="Arial" w:cs="Arial" w:eastAsia="Arial" w:hAnsi="Arial"/>
          <w:sz w:val="21"/>
          <w:szCs w:val="21"/>
          <w:color w:val="auto"/>
        </w:rPr>
        <w:t>Neither Issuer may,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154" w:lineRule="exact"/>
        <w:rPr>
          <w:sz w:val="20"/>
          <w:szCs w:val="20"/>
          <w:color w:val="auto"/>
        </w:rPr>
      </w:pPr>
    </w:p>
    <w:p>
      <w:pPr>
        <w:jc w:val="both"/>
        <w:ind w:firstLine="1268"/>
        <w:spacing w:after="0" w:line="258" w:lineRule="auto"/>
        <w:tabs>
          <w:tab w:leader="none" w:pos="174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either (1) such Issuer is the surviving entity or (2)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137" w:lineRule="exact"/>
        <w:rPr>
          <w:rFonts w:ascii="Arial" w:cs="Arial" w:eastAsia="Arial" w:hAnsi="Arial"/>
          <w:sz w:val="19"/>
          <w:szCs w:val="19"/>
          <w:color w:val="auto"/>
        </w:rPr>
      </w:pPr>
    </w:p>
    <w:p>
      <w:pPr>
        <w:jc w:val="both"/>
        <w:ind w:firstLine="1268"/>
        <w:spacing w:after="0" w:line="258" w:lineRule="auto"/>
        <w:tabs>
          <w:tab w:leader="none" w:pos="175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and this Indenture pursuant to agreements reasonably satisfactory to the Trustee; and</w:t>
      </w:r>
    </w:p>
    <w:p>
      <w:pPr>
        <w:spacing w:after="0" w:line="137" w:lineRule="exact"/>
        <w:rPr>
          <w:rFonts w:ascii="Arial" w:cs="Arial" w:eastAsia="Arial" w:hAnsi="Arial"/>
          <w:sz w:val="19"/>
          <w:szCs w:val="19"/>
          <w:color w:val="auto"/>
        </w:rPr>
      </w:pPr>
    </w:p>
    <w:p>
      <w:pPr>
        <w:ind w:left="1720" w:hanging="452"/>
        <w:spacing w:after="0"/>
        <w:tabs>
          <w:tab w:leader="none" w:pos="172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immediately after such transaction, no Default or Event of Default exists.</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In addition, no Issuer may, directly or indirectly, lease all or substantially all of its properties or assets, taken as a whole, in one or more related transactions, to any other Person.</w:t>
      </w:r>
    </w:p>
    <w:p>
      <w:pPr>
        <w:spacing w:after="0" w:line="155" w:lineRule="exact"/>
        <w:rPr>
          <w:sz w:val="20"/>
          <w:szCs w:val="20"/>
          <w:color w:val="auto"/>
        </w:rPr>
      </w:pPr>
    </w:p>
    <w:p>
      <w:pPr>
        <w:jc w:val="both"/>
        <w:ind w:right="20" w:firstLine="632"/>
        <w:spacing w:after="0" w:line="237" w:lineRule="auto"/>
        <w:rPr>
          <w:sz w:val="20"/>
          <w:szCs w:val="20"/>
          <w:color w:val="auto"/>
        </w:rPr>
      </w:pPr>
      <w:r>
        <w:rPr>
          <w:rFonts w:ascii="Arial" w:cs="Arial" w:eastAsia="Arial" w:hAnsi="Arial"/>
          <w:sz w:val="21"/>
          <w:szCs w:val="21"/>
          <w:color w:val="auto"/>
        </w:rPr>
        <w:t>Notwithstanding the provisions of this Section 5.01, Wynn Resorts Finance or any of the Guarantors that is not a subchapter “C” corporation is permitted to convert into a corporation pursuant to a Permitted C-Corp. Conversion.</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5.02</w:t>
      </w:r>
      <w:r>
        <w:rPr>
          <w:sz w:val="20"/>
          <w:szCs w:val="20"/>
          <w:color w:val="auto"/>
        </w:rPr>
        <w:tab/>
      </w:r>
      <w:r>
        <w:rPr>
          <w:rFonts w:ascii="Arial" w:cs="Arial" w:eastAsia="Arial" w:hAnsi="Arial"/>
          <w:sz w:val="19"/>
          <w:szCs w:val="19"/>
          <w:i w:val="1"/>
          <w:iCs w:val="1"/>
          <w:color w:val="auto"/>
        </w:rPr>
        <w:t>Successor Corporation Substituted.</w:t>
      </w:r>
    </w:p>
    <w:p>
      <w:pPr>
        <w:spacing w:after="0" w:line="180" w:lineRule="exact"/>
        <w:rPr>
          <w:sz w:val="20"/>
          <w:szCs w:val="20"/>
          <w:color w:val="auto"/>
        </w:rPr>
      </w:pPr>
    </w:p>
    <w:p>
      <w:pPr>
        <w:jc w:val="both"/>
        <w:ind w:firstLine="632"/>
        <w:spacing w:after="0" w:line="225" w:lineRule="auto"/>
        <w:rPr>
          <w:sz w:val="20"/>
          <w:szCs w:val="20"/>
          <w:color w:val="auto"/>
        </w:rPr>
      </w:pPr>
      <w:r>
        <w:rPr>
          <w:rFonts w:ascii="Arial" w:cs="Arial" w:eastAsia="Arial" w:hAnsi="Arial"/>
          <w:sz w:val="20"/>
          <w:szCs w:val="20"/>
          <w:color w:val="auto"/>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3"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6.</w:t>
      </w:r>
    </w:p>
    <w:p>
      <w:pPr>
        <w:spacing w:after="0" w:line="173" w:lineRule="exact"/>
        <w:rPr>
          <w:sz w:val="20"/>
          <w:szCs w:val="20"/>
          <w:color w:val="auto"/>
        </w:rPr>
      </w:pPr>
    </w:p>
    <w:p>
      <w:pPr>
        <w:ind w:left="4400"/>
        <w:spacing w:after="0"/>
        <w:rPr>
          <w:sz w:val="20"/>
          <w:szCs w:val="20"/>
          <w:color w:val="auto"/>
        </w:rPr>
      </w:pPr>
      <w:r>
        <w:rPr>
          <w:rFonts w:ascii="Arial" w:cs="Arial" w:eastAsia="Arial" w:hAnsi="Arial"/>
          <w:sz w:val="21"/>
          <w:szCs w:val="21"/>
          <w:b w:val="1"/>
          <w:bCs w:val="1"/>
          <w:color w:val="auto"/>
        </w:rPr>
        <w:t>DEFAULTS AND REMEDIES</w:t>
      </w:r>
    </w:p>
    <w:p>
      <w:pPr>
        <w:spacing w:after="0"/>
        <w:tabs>
          <w:tab w:leader="none" w:pos="1280" w:val="left"/>
        </w:tabs>
        <w:rPr>
          <w:sz w:val="20"/>
          <w:szCs w:val="20"/>
          <w:color w:val="auto"/>
        </w:rPr>
      </w:pPr>
      <w:r>
        <w:rPr>
          <w:rFonts w:ascii="Arial" w:cs="Arial" w:eastAsia="Arial" w:hAnsi="Arial"/>
          <w:sz w:val="21"/>
          <w:szCs w:val="21"/>
          <w:i w:val="1"/>
          <w:iCs w:val="1"/>
          <w:color w:val="auto"/>
        </w:rPr>
        <w:t>Section 6.01</w:t>
      </w:r>
      <w:r>
        <w:rPr>
          <w:sz w:val="20"/>
          <w:szCs w:val="20"/>
          <w:color w:val="auto"/>
        </w:rPr>
        <w:tab/>
      </w:r>
      <w:r>
        <w:rPr>
          <w:rFonts w:ascii="Arial" w:cs="Arial" w:eastAsia="Arial" w:hAnsi="Arial"/>
          <w:sz w:val="19"/>
          <w:szCs w:val="19"/>
          <w:i w:val="1"/>
          <w:iCs w:val="1"/>
          <w:color w:val="auto"/>
        </w:rPr>
        <w:t>Events of Default.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of the following is an “Event of Default”:</w:t>
      </w:r>
    </w:p>
    <w:p>
      <w:pPr>
        <w:spacing w:after="0" w:line="180" w:lineRule="exact"/>
        <w:rPr>
          <w:sz w:val="20"/>
          <w:szCs w:val="20"/>
          <w:color w:val="auto"/>
        </w:rPr>
      </w:pPr>
    </w:p>
    <w:p>
      <w:pPr>
        <w:ind w:left="1260" w:hanging="623"/>
        <w:spacing w:after="0"/>
        <w:tabs>
          <w:tab w:leader="none" w:pos="12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default for 30 days in the payment when due of interest on the Notes;</w:t>
      </w:r>
    </w:p>
    <w:p>
      <w:pPr>
        <w:spacing w:after="0" w:line="179" w:lineRule="exact"/>
        <w:rPr>
          <w:rFonts w:ascii="Arial" w:cs="Arial" w:eastAsia="Arial" w:hAnsi="Arial"/>
          <w:sz w:val="21"/>
          <w:szCs w:val="21"/>
          <w:color w:val="auto"/>
        </w:rPr>
      </w:pPr>
    </w:p>
    <w:p>
      <w:pPr>
        <w:ind w:firstLine="637"/>
        <w:spacing w:after="0" w:line="237" w:lineRule="auto"/>
        <w:tabs>
          <w:tab w:leader="none" w:pos="1259" w:val="left"/>
        </w:tabs>
        <w:numPr>
          <w:ilvl w:val="0"/>
          <w:numId w:val="106"/>
        </w:numPr>
        <w:rPr>
          <w:rFonts w:ascii="Arial" w:cs="Arial" w:eastAsia="Arial" w:hAnsi="Arial"/>
          <w:sz w:val="21"/>
          <w:szCs w:val="21"/>
          <w:color w:val="auto"/>
        </w:rPr>
      </w:pPr>
      <w:r>
        <w:rPr>
          <w:rFonts w:ascii="Arial" w:cs="Arial" w:eastAsia="Arial" w:hAnsi="Arial"/>
          <w:sz w:val="21"/>
          <w:szCs w:val="21"/>
          <w:color w:val="auto"/>
        </w:rPr>
        <w:t>default in the payment when due (at maturity, upon redemption, repurchase or otherwise) of the principal of, or premium, if any, on, the Notes;</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failure by Wynn Resorts Capital, Wynn Resorts Finance or any Guarantor:</w:t>
      </w:r>
    </w:p>
    <w:p>
      <w:pPr>
        <w:spacing w:after="0" w:line="179" w:lineRule="exact"/>
        <w:rPr>
          <w:rFonts w:ascii="Arial" w:cs="Arial" w:eastAsia="Arial" w:hAnsi="Arial"/>
          <w:sz w:val="21"/>
          <w:szCs w:val="21"/>
          <w:color w:val="auto"/>
        </w:rPr>
      </w:pPr>
    </w:p>
    <w:p>
      <w:pPr>
        <w:ind w:left="640" w:firstLine="628"/>
        <w:spacing w:after="0" w:line="237" w:lineRule="auto"/>
        <w:tabs>
          <w:tab w:leader="none" w:pos="1899" w:val="left"/>
        </w:tabs>
        <w:numPr>
          <w:ilvl w:val="1"/>
          <w:numId w:val="106"/>
        </w:numPr>
        <w:rPr>
          <w:rFonts w:ascii="Arial" w:cs="Arial" w:eastAsia="Arial" w:hAnsi="Arial"/>
          <w:sz w:val="21"/>
          <w:szCs w:val="21"/>
          <w:color w:val="auto"/>
        </w:rPr>
      </w:pPr>
      <w:r>
        <w:rPr>
          <w:rFonts w:ascii="Arial" w:cs="Arial" w:eastAsia="Arial" w:hAnsi="Arial"/>
          <w:sz w:val="21"/>
          <w:szCs w:val="21"/>
          <w:color w:val="auto"/>
        </w:rPr>
        <w:t>to comply with any payment obligations (including, without limitation, obligations as to the timing or amount of such payments) described under Section 4.11 hereof;</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to comply with Section 5.01 hereof;</w:t>
      </w:r>
    </w:p>
    <w:p>
      <w:pPr>
        <w:spacing w:after="0" w:line="179" w:lineRule="exact"/>
        <w:rPr>
          <w:rFonts w:ascii="Arial" w:cs="Arial" w:eastAsia="Arial" w:hAnsi="Arial"/>
          <w:sz w:val="21"/>
          <w:szCs w:val="21"/>
          <w:color w:val="auto"/>
        </w:rPr>
      </w:pPr>
    </w:p>
    <w:p>
      <w:pPr>
        <w:jc w:val="both"/>
        <w:ind w:firstLine="637"/>
        <w:spacing w:after="0" w:line="239" w:lineRule="auto"/>
        <w:tabs>
          <w:tab w:leader="none" w:pos="125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failure by Wynn Resorts Capital, Wynn Resorts Finance or any Guarantor for 60 days after receipt of written notice from the Trustee or the Holders of at least 25% in aggregate principal amount of the Notes then outstanding voting as a single class to comply with any of the other agreements in this Indenture not set forth in Section 6.01(c) above;</w:t>
      </w:r>
    </w:p>
    <w:p>
      <w:pPr>
        <w:spacing w:after="0" w:line="155" w:lineRule="exact"/>
        <w:rPr>
          <w:rFonts w:ascii="Arial" w:cs="Arial" w:eastAsia="Arial" w:hAnsi="Arial"/>
          <w:sz w:val="20"/>
          <w:szCs w:val="20"/>
          <w:color w:val="auto"/>
        </w:rPr>
      </w:pPr>
    </w:p>
    <w:p>
      <w:pPr>
        <w:jc w:val="both"/>
        <w:ind w:firstLine="637"/>
        <w:spacing w:after="0" w:line="228" w:lineRule="auto"/>
        <w:tabs>
          <w:tab w:leader="none" w:pos="12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exists on the Issue Date, or is created after the Issue Date,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this Indenture;</w:t>
      </w:r>
    </w:p>
    <w:p>
      <w:pPr>
        <w:spacing w:after="0" w:line="154" w:lineRule="exact"/>
        <w:rPr>
          <w:rFonts w:ascii="Arial" w:cs="Arial" w:eastAsia="Arial" w:hAnsi="Arial"/>
          <w:sz w:val="20"/>
          <w:szCs w:val="20"/>
          <w:color w:val="auto"/>
        </w:rPr>
      </w:pPr>
    </w:p>
    <w:p>
      <w:pPr>
        <w:jc w:val="both"/>
        <w:ind w:firstLine="637"/>
        <w:spacing w:after="0" w:line="239" w:lineRule="auto"/>
        <w:tabs>
          <w:tab w:leader="none" w:pos="126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failure by Wynn Resorts Capital, Wynn Resorts Finance or any Guarantor to pay final non-appealable judgments (not paid or covered by insurance as to which the relevant insurance company has not denied responsibility) aggregating in excess of $125.0 million, which judgments are not paid, bonded, discharged or stayed for a period of 60 days;</w:t>
      </w:r>
    </w:p>
    <w:p>
      <w:pPr>
        <w:spacing w:after="0" w:line="155" w:lineRule="exact"/>
        <w:rPr>
          <w:rFonts w:ascii="Arial" w:cs="Arial" w:eastAsia="Arial" w:hAnsi="Arial"/>
          <w:sz w:val="20"/>
          <w:szCs w:val="20"/>
          <w:color w:val="auto"/>
        </w:rPr>
      </w:pPr>
    </w:p>
    <w:p>
      <w:pPr>
        <w:ind w:left="1260" w:hanging="623"/>
        <w:spacing w:after="0"/>
        <w:tabs>
          <w:tab w:leader="none" w:pos="12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either Issuer or any Guarantor:</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commences a voluntary case,</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consents to the entry of an order for relief against it in an involuntary case,</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consents to the appointment of a custodian of it or for all or substantially all of its property,</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makes a general assignment for the benefit of its creditors, or</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generally is not paying its debts as they become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1440" w:right="339" w:bottom="1440" w:gutter="0" w:footer="0" w:header="0"/>
        </w:sectPr>
      </w:pPr>
    </w:p>
    <w:bookmarkStart w:id="66" w:name="page67"/>
    <w:bookmarkEnd w:id="66"/>
    <w:p>
      <w:pPr>
        <w:ind w:left="1260" w:hanging="623"/>
        <w:spacing w:after="0"/>
        <w:tabs>
          <w:tab w:leader="none" w:pos="126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 court of competent jurisdiction enters an order or decree under any Bankruptcy Law that:</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is for relief against either Issuer or any Guarantor in an involuntary case;</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appoints a custodian of either Issuer or any Guarantor; or</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orders the liquidation of either Issuer or any Guarantor;</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and the order or decree remains unstayed and in effect for 60 consecutive days;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a Default for a failure to report or failure to deliver a required certificate in connection with another default (the “</w:t>
      </w:r>
      <w:r>
        <w:rPr>
          <w:rFonts w:ascii="Arial" w:cs="Arial" w:eastAsia="Arial" w:hAnsi="Arial"/>
          <w:sz w:val="19"/>
          <w:szCs w:val="19"/>
          <w:i w:val="1"/>
          <w:iCs w:val="1"/>
          <w:color w:val="auto"/>
        </w:rPr>
        <w:t>Initial Default</w:t>
      </w:r>
      <w:r>
        <w:rPr>
          <w:rFonts w:ascii="Arial" w:cs="Arial" w:eastAsia="Arial" w:hAnsi="Arial"/>
          <w:sz w:val="19"/>
          <w:szCs w:val="19"/>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6.02</w:t>
      </w:r>
      <w:r>
        <w:rPr>
          <w:sz w:val="20"/>
          <w:szCs w:val="20"/>
          <w:color w:val="auto"/>
        </w:rPr>
        <w:tab/>
      </w:r>
      <w:r>
        <w:rPr>
          <w:rFonts w:ascii="Arial" w:cs="Arial" w:eastAsia="Arial" w:hAnsi="Arial"/>
          <w:sz w:val="19"/>
          <w:szCs w:val="19"/>
          <w:i w:val="1"/>
          <w:iCs w:val="1"/>
          <w:color w:val="auto"/>
        </w:rPr>
        <w:t>Acceleration.</w:t>
      </w:r>
    </w:p>
    <w:p>
      <w:pPr>
        <w:spacing w:after="0" w:line="180" w:lineRule="exact"/>
        <w:rPr>
          <w:sz w:val="20"/>
          <w:szCs w:val="20"/>
          <w:color w:val="auto"/>
        </w:rPr>
      </w:pPr>
    </w:p>
    <w:p>
      <w:pPr>
        <w:jc w:val="both"/>
        <w:ind w:firstLine="632"/>
        <w:spacing w:after="0" w:line="227" w:lineRule="auto"/>
        <w:rPr>
          <w:sz w:val="20"/>
          <w:szCs w:val="20"/>
          <w:color w:val="auto"/>
        </w:rPr>
      </w:pPr>
      <w:r>
        <w:rPr>
          <w:rFonts w:ascii="Arial" w:cs="Arial" w:eastAsia="Arial" w:hAnsi="Arial"/>
          <w:sz w:val="20"/>
          <w:szCs w:val="20"/>
          <w:color w:val="auto"/>
        </w:rPr>
        <w:t>In the case of an Event of Default specified in clause (g) or (h) of Section 6.01 hereof, with respect to either Issuer or any Guarantor,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if any, that has become due solely because of the acceleration) have been cured or waived.</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6.03</w:t>
      </w:r>
      <w:r>
        <w:rPr>
          <w:sz w:val="20"/>
          <w:szCs w:val="20"/>
          <w:color w:val="auto"/>
        </w:rPr>
        <w:tab/>
      </w:r>
      <w:r>
        <w:rPr>
          <w:rFonts w:ascii="Arial" w:cs="Arial" w:eastAsia="Arial" w:hAnsi="Arial"/>
          <w:sz w:val="18"/>
          <w:szCs w:val="18"/>
          <w:i w:val="1"/>
          <w:iCs w:val="1"/>
          <w:color w:val="auto"/>
        </w:rPr>
        <w:t>Other Remedies.</w:t>
      </w:r>
    </w:p>
    <w:p>
      <w:pPr>
        <w:spacing w:after="0" w:line="180" w:lineRule="exact"/>
        <w:rPr>
          <w:sz w:val="20"/>
          <w:szCs w:val="20"/>
          <w:color w:val="auto"/>
        </w:rPr>
      </w:pPr>
    </w:p>
    <w:p>
      <w:pPr>
        <w:jc w:val="both"/>
        <w:ind w:firstLine="632"/>
        <w:spacing w:after="0" w:line="285" w:lineRule="auto"/>
        <w:rPr>
          <w:sz w:val="20"/>
          <w:szCs w:val="20"/>
          <w:color w:val="auto"/>
        </w:rPr>
      </w:pPr>
      <w:r>
        <w:rPr>
          <w:rFonts w:ascii="Arial" w:cs="Arial" w:eastAsia="Arial" w:hAnsi="Arial"/>
          <w:sz w:val="19"/>
          <w:szCs w:val="19"/>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13"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6.04</w:t>
      </w:r>
      <w:r>
        <w:rPr>
          <w:sz w:val="20"/>
          <w:szCs w:val="20"/>
          <w:color w:val="auto"/>
        </w:rPr>
        <w:tab/>
      </w:r>
      <w:r>
        <w:rPr>
          <w:rFonts w:ascii="Arial" w:cs="Arial" w:eastAsia="Arial" w:hAnsi="Arial"/>
          <w:sz w:val="19"/>
          <w:szCs w:val="19"/>
          <w:i w:val="1"/>
          <w:iCs w:val="1"/>
          <w:color w:val="auto"/>
        </w:rPr>
        <w:t>Waiver of Past Defaults.</w:t>
      </w:r>
    </w:p>
    <w:p>
      <w:pPr>
        <w:spacing w:after="0" w:line="180"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240"/>
          </w:cols>
          <w:pgMar w:left="320" w:top="1368" w:right="339" w:bottom="1440" w:gutter="0" w:footer="0" w:header="0"/>
        </w:sectPr>
      </w:pPr>
    </w:p>
    <w:bookmarkStart w:id="67" w:name="page68"/>
    <w:bookmarkEnd w:id="67"/>
    <w:p>
      <w:pPr>
        <w:jc w:val="both"/>
        <w:spacing w:after="0" w:line="239" w:lineRule="auto"/>
        <w:rPr>
          <w:sz w:val="20"/>
          <w:szCs w:val="20"/>
          <w:color w:val="auto"/>
        </w:rPr>
      </w:pPr>
      <w:r>
        <w:rPr>
          <w:rFonts w:ascii="Arial" w:cs="Arial" w:eastAsia="Arial" w:hAnsi="Arial"/>
          <w:sz w:val="20"/>
          <w:szCs w:val="20"/>
          <w:color w:val="auto"/>
        </w:rPr>
        <w:t>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6.05</w:t>
      </w:r>
      <w:r>
        <w:rPr>
          <w:sz w:val="20"/>
          <w:szCs w:val="20"/>
          <w:color w:val="auto"/>
        </w:rPr>
        <w:tab/>
      </w:r>
      <w:r>
        <w:rPr>
          <w:rFonts w:ascii="Arial" w:cs="Arial" w:eastAsia="Arial" w:hAnsi="Arial"/>
          <w:sz w:val="20"/>
          <w:szCs w:val="20"/>
          <w:i w:val="1"/>
          <w:iCs w:val="1"/>
          <w:color w:val="auto"/>
        </w:rPr>
        <w:t>Control by Majority.</w:t>
      </w:r>
    </w:p>
    <w:p>
      <w:pPr>
        <w:spacing w:after="0" w:line="180" w:lineRule="exact"/>
        <w:rPr>
          <w:sz w:val="20"/>
          <w:szCs w:val="20"/>
          <w:color w:val="auto"/>
        </w:rPr>
      </w:pPr>
    </w:p>
    <w:p>
      <w:pPr>
        <w:jc w:val="both"/>
        <w:ind w:firstLine="632"/>
        <w:spacing w:after="0" w:line="244" w:lineRule="auto"/>
        <w:rPr>
          <w:sz w:val="20"/>
          <w:szCs w:val="20"/>
          <w:color w:val="auto"/>
        </w:rPr>
      </w:pPr>
      <w:r>
        <w:rPr>
          <w:rFonts w:ascii="Arial" w:cs="Arial" w:eastAsia="Arial" w:hAnsi="Arial"/>
          <w:sz w:val="19"/>
          <w:szCs w:val="19"/>
          <w:color w:val="auto"/>
        </w:rPr>
        <w:t>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may be unduly prejudicial to the rights of other Holders of Notes (it being understood that the Trustee does not have an affirmative duty to ascertain whether or not any such directions are unduly prejudicial to such Holders) or that may involve the Trustee in personal liability.</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i w:val="1"/>
          <w:iCs w:val="1"/>
          <w:color w:val="auto"/>
        </w:rPr>
        <w:t>Section 6.06</w:t>
      </w:r>
      <w:r>
        <w:rPr>
          <w:sz w:val="20"/>
          <w:szCs w:val="20"/>
          <w:color w:val="auto"/>
        </w:rPr>
        <w:tab/>
      </w:r>
      <w:r>
        <w:rPr>
          <w:rFonts w:ascii="Arial" w:cs="Arial" w:eastAsia="Arial" w:hAnsi="Arial"/>
          <w:sz w:val="19"/>
          <w:szCs w:val="19"/>
          <w:i w:val="1"/>
          <w:iCs w:val="1"/>
          <w:color w:val="auto"/>
        </w:rPr>
        <w:t>Limitation on Suits.</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Except to enforce the right to receive payment of principal, interest, or premium, if any, when due, a Holder of a Note may pursue a remedy with respect to this Indenture or the Notes only if:</w:t>
      </w:r>
    </w:p>
    <w:p>
      <w:pPr>
        <w:spacing w:after="0" w:line="155" w:lineRule="exact"/>
        <w:rPr>
          <w:sz w:val="20"/>
          <w:szCs w:val="20"/>
          <w:color w:val="auto"/>
        </w:rPr>
      </w:pPr>
    </w:p>
    <w:p>
      <w:pPr>
        <w:ind w:left="1260" w:hanging="623"/>
        <w:spacing w:after="0"/>
        <w:tabs>
          <w:tab w:leader="none" w:pos="12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such Holder of a Note gives to the Trustee written notice that an Event of Default is continuing;</w:t>
      </w:r>
    </w:p>
    <w:p>
      <w:pPr>
        <w:spacing w:after="0" w:line="179" w:lineRule="exact"/>
        <w:rPr>
          <w:rFonts w:ascii="Arial" w:cs="Arial" w:eastAsia="Arial" w:hAnsi="Arial"/>
          <w:sz w:val="21"/>
          <w:szCs w:val="21"/>
          <w:color w:val="auto"/>
        </w:rPr>
      </w:pPr>
    </w:p>
    <w:p>
      <w:pPr>
        <w:ind w:firstLine="637"/>
        <w:spacing w:after="0" w:line="237" w:lineRule="auto"/>
        <w:tabs>
          <w:tab w:leader="none" w:pos="125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Holders of at least 25% in aggregate principal amount of the then outstanding Notes make a written request to the Trustee to pursue the remedy;</w:t>
      </w:r>
    </w:p>
    <w:p>
      <w:pPr>
        <w:spacing w:after="0" w:line="154" w:lineRule="exact"/>
        <w:rPr>
          <w:rFonts w:ascii="Arial" w:cs="Arial" w:eastAsia="Arial" w:hAnsi="Arial"/>
          <w:sz w:val="21"/>
          <w:szCs w:val="21"/>
          <w:color w:val="auto"/>
        </w:rPr>
      </w:pPr>
    </w:p>
    <w:p>
      <w:pPr>
        <w:ind w:firstLine="637"/>
        <w:spacing w:after="0" w:line="237" w:lineRule="auto"/>
        <w:tabs>
          <w:tab w:leader="none" w:pos="12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such Holder or Holders offer and, if requested, provide to the Trustee security or indemnity reasonably satisfactory to the Trustee against any loss, liability or expense;</w:t>
      </w:r>
    </w:p>
    <w:p>
      <w:pPr>
        <w:spacing w:after="0" w:line="154" w:lineRule="exact"/>
        <w:rPr>
          <w:rFonts w:ascii="Arial" w:cs="Arial" w:eastAsia="Arial" w:hAnsi="Arial"/>
          <w:sz w:val="21"/>
          <w:szCs w:val="21"/>
          <w:color w:val="auto"/>
        </w:rPr>
      </w:pPr>
    </w:p>
    <w:p>
      <w:pPr>
        <w:ind w:firstLine="637"/>
        <w:spacing w:after="0" w:line="237" w:lineRule="auto"/>
        <w:tabs>
          <w:tab w:leader="none" w:pos="125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Trustee does not comply with the request within 60 days after receipt of the request and the offer of security or indemnity; and</w:t>
      </w:r>
    </w:p>
    <w:p>
      <w:pPr>
        <w:spacing w:after="0" w:line="154" w:lineRule="exact"/>
        <w:rPr>
          <w:rFonts w:ascii="Arial" w:cs="Arial" w:eastAsia="Arial" w:hAnsi="Arial"/>
          <w:sz w:val="21"/>
          <w:szCs w:val="21"/>
          <w:color w:val="auto"/>
        </w:rPr>
      </w:pPr>
    </w:p>
    <w:p>
      <w:pPr>
        <w:ind w:firstLine="637"/>
        <w:spacing w:after="0" w:line="237" w:lineRule="auto"/>
        <w:tabs>
          <w:tab w:leader="none" w:pos="12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during such 60-day period, the Holders of a majority in aggregate principal amount of the then outstanding Notes do not give the Trustee a direction inconsistent with such request within such 60-day period.</w:t>
      </w:r>
    </w:p>
    <w:p>
      <w:pPr>
        <w:spacing w:after="0" w:line="155" w:lineRule="exact"/>
        <w:rPr>
          <w:sz w:val="20"/>
          <w:szCs w:val="20"/>
          <w:color w:val="auto"/>
        </w:rPr>
      </w:pPr>
    </w:p>
    <w:p>
      <w:pPr>
        <w:jc w:val="both"/>
        <w:ind w:firstLine="279"/>
        <w:spacing w:after="0" w:line="236" w:lineRule="auto"/>
        <w:rPr>
          <w:sz w:val="20"/>
          <w:szCs w:val="20"/>
          <w:color w:val="auto"/>
        </w:rPr>
      </w:pPr>
      <w:r>
        <w:rPr>
          <w:rFonts w:ascii="Arial" w:cs="Arial" w:eastAsia="Arial" w:hAnsi="Arial"/>
          <w:sz w:val="19"/>
          <w:szCs w:val="19"/>
          <w:color w:val="auto"/>
        </w:rPr>
        <w:t>Notwithstanding the foregoing, any notice of Default, notice of acceleration or instruction to the Trustee to provide a notice of Default, notice of acceleration or take any other action (a “</w:t>
      </w:r>
      <w:r>
        <w:rPr>
          <w:rFonts w:ascii="Arial" w:cs="Arial" w:eastAsia="Arial" w:hAnsi="Arial"/>
          <w:sz w:val="19"/>
          <w:szCs w:val="19"/>
          <w:i w:val="1"/>
          <w:iCs w:val="1"/>
          <w:color w:val="auto"/>
        </w:rPr>
        <w:t>Noteholder Direction</w:t>
      </w:r>
      <w:r>
        <w:rPr>
          <w:rFonts w:ascii="Arial" w:cs="Arial" w:eastAsia="Arial" w:hAnsi="Arial"/>
          <w:sz w:val="19"/>
          <w:szCs w:val="19"/>
          <w:color w:val="auto"/>
        </w:rPr>
        <w:t>”) provided by any one or more Holders (each a “</w:t>
      </w:r>
      <w:r>
        <w:rPr>
          <w:rFonts w:ascii="Arial" w:cs="Arial" w:eastAsia="Arial" w:hAnsi="Arial"/>
          <w:sz w:val="19"/>
          <w:szCs w:val="19"/>
          <w:i w:val="1"/>
          <w:iCs w:val="1"/>
          <w:color w:val="auto"/>
        </w:rPr>
        <w:t>Directing Holder</w:t>
      </w:r>
      <w:r>
        <w:rPr>
          <w:rFonts w:ascii="Arial" w:cs="Arial" w:eastAsia="Arial" w:hAnsi="Arial"/>
          <w:sz w:val="19"/>
          <w:szCs w:val="19"/>
          <w:color w:val="auto"/>
        </w:rPr>
        <w:t>”) must be accompanied by a written representation from each such Holder to Wynn Resorts Finance and the Trustee that such Holder is not (or, in the case such Holder is the Depositary or its nominee, that such Holder is being instructed solely by Beneficial Owners that are not) Net Short (a “</w:t>
      </w:r>
      <w:r>
        <w:rPr>
          <w:rFonts w:ascii="Arial" w:cs="Arial" w:eastAsia="Arial" w:hAnsi="Arial"/>
          <w:sz w:val="19"/>
          <w:szCs w:val="19"/>
          <w:i w:val="1"/>
          <w:iCs w:val="1"/>
          <w:color w:val="auto"/>
        </w:rPr>
        <w:t>Position Representation</w:t>
      </w:r>
      <w:r>
        <w:rPr>
          <w:rFonts w:ascii="Arial" w:cs="Arial" w:eastAsia="Arial" w:hAnsi="Arial"/>
          <w:sz w:val="19"/>
          <w:szCs w:val="19"/>
          <w:color w:val="auto"/>
        </w:rPr>
        <w:t>”),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Issuers with such other information as the Issuers may reasonably request from time to time in order to verify the accuracy of such Holder’s Position Representation within five Business Days of request therefor (a “</w:t>
      </w:r>
      <w:r>
        <w:rPr>
          <w:rFonts w:ascii="Arial" w:cs="Arial" w:eastAsia="Arial" w:hAnsi="Arial"/>
          <w:sz w:val="19"/>
          <w:szCs w:val="19"/>
          <w:i w:val="1"/>
          <w:iCs w:val="1"/>
          <w:color w:val="auto"/>
        </w:rPr>
        <w:t>Verification</w:t>
      </w:r>
      <w:r>
        <w:rPr>
          <w:rFonts w:ascii="Arial" w:cs="Arial" w:eastAsia="Arial" w:hAnsi="Arial"/>
          <w:sz w:val="19"/>
          <w:szCs w:val="19"/>
          <w:color w:val="auto"/>
        </w:rPr>
        <w:t xml:space="preserve"> </w:t>
      </w:r>
      <w:r>
        <w:rPr>
          <w:rFonts w:ascii="Arial" w:cs="Arial" w:eastAsia="Arial" w:hAnsi="Arial"/>
          <w:sz w:val="19"/>
          <w:szCs w:val="19"/>
          <w:i w:val="1"/>
          <w:iCs w:val="1"/>
          <w:color w:val="auto"/>
        </w:rPr>
        <w:t>Covenant</w:t>
      </w:r>
      <w:r>
        <w:rPr>
          <w:rFonts w:ascii="Arial" w:cs="Arial" w:eastAsia="Arial" w:hAnsi="Arial"/>
          <w:sz w:val="19"/>
          <w:szCs w:val="19"/>
          <w:color w:val="auto"/>
        </w:rPr>
        <w:t>”). In any case in which the Holder is the Depositary or its nominee, any Position Representation or Verification Covenant</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hereunder shall be provided by the Beneficial Owner of the Notes in lieu of the Depositary or its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1368" w:right="339" w:bottom="1440" w:gutter="0" w:footer="0" w:header="0"/>
        </w:sectPr>
      </w:pPr>
    </w:p>
    <w:bookmarkStart w:id="68" w:name="page69"/>
    <w:bookmarkEnd w:id="68"/>
    <w:p>
      <w:pPr>
        <w:jc w:val="both"/>
        <w:ind w:firstLine="213"/>
        <w:spacing w:after="0" w:line="237" w:lineRule="auto"/>
        <w:rPr>
          <w:sz w:val="20"/>
          <w:szCs w:val="20"/>
          <w:color w:val="auto"/>
        </w:rPr>
      </w:pPr>
      <w:r>
        <w:rPr>
          <w:rFonts w:ascii="Arial" w:cs="Arial" w:eastAsia="Arial" w:hAnsi="Arial"/>
          <w:sz w:val="21"/>
          <w:szCs w:val="21"/>
          <w:color w:val="auto"/>
        </w:rPr>
        <w:t>The Trustee shall not have any obligation to check, verify or confirm any information in any Position Representation and may rely conclusively on any Position Representation delivered to it.</w:t>
      </w:r>
    </w:p>
    <w:p>
      <w:pPr>
        <w:spacing w:after="0" w:line="181"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A Holder of a Note may not use this Indenture to prejudice the rights of another Holder of a Note or to obtain a preference or priority over another Holder of a Note.</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6.07</w:t>
      </w:r>
      <w:r>
        <w:rPr>
          <w:sz w:val="20"/>
          <w:szCs w:val="20"/>
          <w:color w:val="auto"/>
        </w:rPr>
        <w:tab/>
      </w:r>
      <w:r>
        <w:rPr>
          <w:rFonts w:ascii="Arial" w:cs="Arial" w:eastAsia="Arial" w:hAnsi="Arial"/>
          <w:sz w:val="18"/>
          <w:szCs w:val="18"/>
          <w:i w:val="1"/>
          <w:iCs w:val="1"/>
          <w:color w:val="auto"/>
        </w:rPr>
        <w:t>Rights of Holders of Notes to Receive Payment.</w:t>
      </w:r>
    </w:p>
    <w:p>
      <w:pPr>
        <w:spacing w:after="0" w:line="180" w:lineRule="exact"/>
        <w:rPr>
          <w:sz w:val="20"/>
          <w:szCs w:val="20"/>
          <w:color w:val="auto"/>
        </w:rPr>
      </w:pPr>
    </w:p>
    <w:p>
      <w:pPr>
        <w:jc w:val="both"/>
        <w:ind w:firstLine="632"/>
        <w:spacing w:after="0" w:line="217" w:lineRule="auto"/>
        <w:rPr>
          <w:sz w:val="20"/>
          <w:szCs w:val="20"/>
          <w:color w:val="auto"/>
        </w:rPr>
      </w:pPr>
      <w:r>
        <w:rPr>
          <w:rFonts w:ascii="Arial" w:cs="Arial" w:eastAsia="Arial" w:hAnsi="Arial"/>
          <w:sz w:val="21"/>
          <w:szCs w:val="21"/>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6.08</w:t>
      </w:r>
      <w:r>
        <w:rPr>
          <w:sz w:val="20"/>
          <w:szCs w:val="20"/>
          <w:color w:val="auto"/>
        </w:rPr>
        <w:tab/>
      </w:r>
      <w:r>
        <w:rPr>
          <w:rFonts w:ascii="Arial" w:cs="Arial" w:eastAsia="Arial" w:hAnsi="Arial"/>
          <w:sz w:val="19"/>
          <w:szCs w:val="19"/>
          <w:i w:val="1"/>
          <w:iCs w:val="1"/>
          <w:color w:val="auto"/>
        </w:rPr>
        <w:t>Collection Suit by Trustee.</w:t>
      </w:r>
    </w:p>
    <w:p>
      <w:pPr>
        <w:spacing w:after="0" w:line="180"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If an Event of Default specified in Section 6.01(a) or (b) occurs and is continuing, the Trustee is authorized to recover judgment in its own name and as trustee of an express trust against the Issuers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6.09</w:t>
      </w:r>
      <w:r>
        <w:rPr>
          <w:sz w:val="20"/>
          <w:szCs w:val="20"/>
          <w:color w:val="auto"/>
        </w:rPr>
        <w:tab/>
      </w:r>
      <w:r>
        <w:rPr>
          <w:rFonts w:ascii="Arial" w:cs="Arial" w:eastAsia="Arial" w:hAnsi="Arial"/>
          <w:sz w:val="19"/>
          <w:szCs w:val="19"/>
          <w:i w:val="1"/>
          <w:iCs w:val="1"/>
          <w:color w:val="auto"/>
        </w:rPr>
        <w:t>Trustee May File Proofs of Claim.</w:t>
      </w:r>
    </w:p>
    <w:p>
      <w:pPr>
        <w:spacing w:after="0" w:line="180"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0"/>
          <w:szCs w:val="20"/>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368" w:right="339" w:bottom="1440" w:gutter="0" w:footer="0" w:header="0"/>
        </w:sectPr>
      </w:pPr>
    </w:p>
    <w:bookmarkStart w:id="69" w:name="page70"/>
    <w:bookmarkEnd w:id="69"/>
    <w:p>
      <w:pPr>
        <w:spacing w:after="0"/>
        <w:tabs>
          <w:tab w:leader="none" w:pos="1280" w:val="left"/>
        </w:tabs>
        <w:rPr>
          <w:sz w:val="20"/>
          <w:szCs w:val="20"/>
          <w:color w:val="auto"/>
        </w:rPr>
      </w:pPr>
      <w:r>
        <w:rPr>
          <w:rFonts w:ascii="Arial" w:cs="Arial" w:eastAsia="Arial" w:hAnsi="Arial"/>
          <w:sz w:val="21"/>
          <w:szCs w:val="21"/>
          <w:i w:val="1"/>
          <w:iCs w:val="1"/>
          <w:color w:val="auto"/>
        </w:rPr>
        <w:t>Section 6.10</w:t>
      </w:r>
      <w:r>
        <w:rPr>
          <w:sz w:val="20"/>
          <w:szCs w:val="20"/>
          <w:color w:val="auto"/>
        </w:rPr>
        <w:tab/>
      </w:r>
      <w:r>
        <w:rPr>
          <w:rFonts w:ascii="Arial" w:cs="Arial" w:eastAsia="Arial" w:hAnsi="Arial"/>
          <w:sz w:val="20"/>
          <w:szCs w:val="20"/>
          <w:i w:val="1"/>
          <w:iCs w:val="1"/>
          <w:color w:val="auto"/>
        </w:rPr>
        <w:t>Priorities.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the Trustee collects any money pursuant to this Article 6, it shall pay out the money in the following order:</w:t>
      </w:r>
    </w:p>
    <w:p>
      <w:pPr>
        <w:spacing w:after="0" w:line="180" w:lineRule="exact"/>
        <w:rPr>
          <w:sz w:val="20"/>
          <w:szCs w:val="20"/>
          <w:color w:val="auto"/>
        </w:rPr>
      </w:pPr>
    </w:p>
    <w:p>
      <w:pPr>
        <w:jc w:val="both"/>
        <w:ind w:left="640" w:firstLine="632"/>
        <w:spacing w:after="0" w:line="237" w:lineRule="auto"/>
        <w:rPr>
          <w:sz w:val="20"/>
          <w:szCs w:val="20"/>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to the Trustee, for amounts due under Section 7.06 hereof, including payment of all compensation, expense</w:t>
      </w:r>
      <w:r>
        <w:rPr>
          <w:rFonts w:ascii="Arial" w:cs="Arial" w:eastAsia="Arial" w:hAnsi="Arial"/>
          <w:sz w:val="21"/>
          <w:szCs w:val="21"/>
          <w:i w:val="1"/>
          <w:iCs w:val="1"/>
          <w:color w:val="auto"/>
        </w:rPr>
        <w:t xml:space="preserve"> </w:t>
      </w:r>
      <w:r>
        <w:rPr>
          <w:rFonts w:ascii="Arial" w:cs="Arial" w:eastAsia="Arial" w:hAnsi="Arial"/>
          <w:sz w:val="21"/>
          <w:szCs w:val="21"/>
          <w:color w:val="auto"/>
        </w:rPr>
        <w:t>and liabilities incurred, and all advances made, by the Trustee and the costs and expenses of collection;</w:t>
      </w:r>
    </w:p>
    <w:p>
      <w:pPr>
        <w:spacing w:after="0" w:line="155" w:lineRule="exact"/>
        <w:rPr>
          <w:sz w:val="20"/>
          <w:szCs w:val="20"/>
          <w:color w:val="auto"/>
        </w:rPr>
      </w:pPr>
    </w:p>
    <w:p>
      <w:pPr>
        <w:jc w:val="both"/>
        <w:ind w:left="640" w:firstLine="632"/>
        <w:spacing w:after="0" w:line="228" w:lineRule="auto"/>
        <w:rPr>
          <w:sz w:val="20"/>
          <w:szCs w:val="20"/>
          <w:color w:val="auto"/>
        </w:rPr>
      </w:pPr>
      <w:r>
        <w:rPr>
          <w:rFonts w:ascii="Arial" w:cs="Arial" w:eastAsia="Arial" w:hAnsi="Arial"/>
          <w:sz w:val="21"/>
          <w:szCs w:val="21"/>
          <w:i w:val="1"/>
          <w:iCs w:val="1"/>
          <w:color w:val="auto"/>
        </w:rPr>
        <w:t xml:space="preserve">Second: </w:t>
      </w:r>
      <w:r>
        <w:rPr>
          <w:rFonts w:ascii="Arial" w:cs="Arial" w:eastAsia="Arial" w:hAnsi="Arial"/>
          <w:sz w:val="21"/>
          <w:szCs w:val="21"/>
          <w:color w:val="auto"/>
        </w:rPr>
        <w:t>to Holders of Notes for amounts due and unpaid on the Notes for principal, premium, if any, and interest,</w:t>
      </w:r>
      <w:r>
        <w:rPr>
          <w:rFonts w:ascii="Arial" w:cs="Arial" w:eastAsia="Arial" w:hAnsi="Arial"/>
          <w:sz w:val="21"/>
          <w:szCs w:val="21"/>
          <w:i w:val="1"/>
          <w:iCs w:val="1"/>
          <w:color w:val="auto"/>
        </w:rPr>
        <w:t xml:space="preserve"> </w:t>
      </w:r>
      <w:r>
        <w:rPr>
          <w:rFonts w:ascii="Arial" w:cs="Arial" w:eastAsia="Arial" w:hAnsi="Arial"/>
          <w:sz w:val="21"/>
          <w:szCs w:val="21"/>
          <w:color w:val="auto"/>
        </w:rPr>
        <w:t>ratably, without preference or priority of any kind, according to the amounts due and payable on the Notes for principal, premium, if any and interest, respectively; and</w:t>
      </w:r>
    </w:p>
    <w:p>
      <w:pPr>
        <w:spacing w:after="0" w:line="154" w:lineRule="exact"/>
        <w:rPr>
          <w:sz w:val="20"/>
          <w:szCs w:val="20"/>
          <w:color w:val="auto"/>
        </w:rPr>
      </w:pPr>
    </w:p>
    <w:p>
      <w:pPr>
        <w:ind w:left="1260"/>
        <w:spacing w:after="0"/>
        <w:tabs>
          <w:tab w:leader="none" w:pos="1980" w:val="left"/>
        </w:tabs>
        <w:rPr>
          <w:sz w:val="20"/>
          <w:szCs w:val="20"/>
          <w:color w:val="auto"/>
        </w:rPr>
      </w:pPr>
      <w:r>
        <w:rPr>
          <w:rFonts w:ascii="Arial" w:cs="Arial" w:eastAsia="Arial" w:hAnsi="Arial"/>
          <w:sz w:val="21"/>
          <w:szCs w:val="21"/>
          <w:i w:val="1"/>
          <w:iCs w:val="1"/>
          <w:color w:val="auto"/>
        </w:rPr>
        <w:t>Third:</w:t>
      </w:r>
      <w:r>
        <w:rPr>
          <w:sz w:val="20"/>
          <w:szCs w:val="20"/>
          <w:color w:val="auto"/>
        </w:rPr>
        <w:tab/>
      </w:r>
      <w:r>
        <w:rPr>
          <w:rFonts w:ascii="Arial" w:cs="Arial" w:eastAsia="Arial" w:hAnsi="Arial"/>
          <w:sz w:val="21"/>
          <w:szCs w:val="21"/>
          <w:color w:val="auto"/>
        </w:rPr>
        <w:t>to the Issuers or to such party as a court of competent jurisdiction shall direct.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Trustee may fix a record date and payment date for any payment to Holders of Notes pursuant to this Section 6.10.</w:t>
      </w:r>
    </w:p>
    <w:p>
      <w:pPr>
        <w:spacing w:after="0" w:line="191"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i w:val="1"/>
          <w:iCs w:val="1"/>
          <w:color w:val="auto"/>
        </w:rPr>
        <w:t>Section 6.11</w:t>
      </w:r>
      <w:r>
        <w:rPr>
          <w:sz w:val="20"/>
          <w:szCs w:val="20"/>
          <w:color w:val="auto"/>
        </w:rPr>
        <w:tab/>
      </w:r>
      <w:r>
        <w:rPr>
          <w:rFonts w:ascii="Arial" w:cs="Arial" w:eastAsia="Arial" w:hAnsi="Arial"/>
          <w:sz w:val="19"/>
          <w:szCs w:val="19"/>
          <w:i w:val="1"/>
          <w:iCs w:val="1"/>
          <w:color w:val="auto"/>
        </w:rPr>
        <w:t>Undertaking for Costs.</w:t>
      </w:r>
    </w:p>
    <w:p>
      <w:pPr>
        <w:spacing w:after="0" w:line="180"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362" w:lineRule="exact"/>
        <w:rPr>
          <w:sz w:val="20"/>
          <w:szCs w:val="20"/>
          <w:color w:val="auto"/>
        </w:rPr>
      </w:pPr>
    </w:p>
    <w:p>
      <w:pPr>
        <w:jc w:val="right"/>
        <w:ind w:right="5040"/>
        <w:spacing w:after="0"/>
        <w:rPr>
          <w:sz w:val="20"/>
          <w:szCs w:val="20"/>
          <w:color w:val="auto"/>
        </w:rPr>
      </w:pPr>
      <w:r>
        <w:rPr>
          <w:rFonts w:ascii="Arial" w:cs="Arial" w:eastAsia="Arial" w:hAnsi="Arial"/>
          <w:sz w:val="21"/>
          <w:szCs w:val="21"/>
          <w:b w:val="1"/>
          <w:bCs w:val="1"/>
          <w:color w:val="auto"/>
        </w:rPr>
        <w:t>ARTICLE 7.</w:t>
      </w:r>
    </w:p>
    <w:p>
      <w:pPr>
        <w:spacing w:after="0" w:line="173" w:lineRule="exact"/>
        <w:rPr>
          <w:sz w:val="20"/>
          <w:szCs w:val="20"/>
          <w:color w:val="auto"/>
        </w:rPr>
      </w:pPr>
    </w:p>
    <w:p>
      <w:pPr>
        <w:jc w:val="right"/>
        <w:ind w:right="4960"/>
        <w:spacing w:after="0"/>
        <w:rPr>
          <w:sz w:val="20"/>
          <w:szCs w:val="20"/>
          <w:color w:val="auto"/>
        </w:rPr>
      </w:pPr>
      <w:r>
        <w:rPr>
          <w:rFonts w:ascii="Arial" w:cs="Arial" w:eastAsia="Arial" w:hAnsi="Arial"/>
          <w:sz w:val="21"/>
          <w:szCs w:val="21"/>
          <w:b w:val="1"/>
          <w:bCs w:val="1"/>
          <w:color w:val="auto"/>
        </w:rPr>
        <w:t>TRUSTEE</w:t>
      </w:r>
    </w:p>
    <w:p>
      <w:pPr>
        <w:spacing w:after="0"/>
        <w:tabs>
          <w:tab w:leader="none" w:pos="1280" w:val="left"/>
        </w:tabs>
        <w:rPr>
          <w:sz w:val="20"/>
          <w:szCs w:val="20"/>
          <w:color w:val="auto"/>
        </w:rPr>
      </w:pPr>
      <w:r>
        <w:rPr>
          <w:rFonts w:ascii="Arial" w:cs="Arial" w:eastAsia="Arial" w:hAnsi="Arial"/>
          <w:sz w:val="21"/>
          <w:szCs w:val="21"/>
          <w:i w:val="1"/>
          <w:iCs w:val="1"/>
          <w:color w:val="auto"/>
        </w:rPr>
        <w:t>Section 7.01</w:t>
      </w:r>
      <w:r>
        <w:rPr>
          <w:sz w:val="20"/>
          <w:szCs w:val="20"/>
          <w:color w:val="auto"/>
        </w:rPr>
        <w:tab/>
      </w:r>
      <w:r>
        <w:rPr>
          <w:rFonts w:ascii="Arial" w:cs="Arial" w:eastAsia="Arial" w:hAnsi="Arial"/>
          <w:sz w:val="19"/>
          <w:szCs w:val="19"/>
          <w:i w:val="1"/>
          <w:iCs w:val="1"/>
          <w:color w:val="auto"/>
        </w:rPr>
        <w:t>Duties of Trustee.</w:t>
      </w:r>
    </w:p>
    <w:p>
      <w:pPr>
        <w:spacing w:after="0" w:line="162" w:lineRule="exact"/>
        <w:rPr>
          <w:sz w:val="20"/>
          <w:szCs w:val="20"/>
          <w:color w:val="auto"/>
        </w:rPr>
      </w:pPr>
    </w:p>
    <w:p>
      <w:pPr>
        <w:jc w:val="both"/>
        <w:ind w:firstLine="637"/>
        <w:spacing w:after="0" w:line="228" w:lineRule="auto"/>
        <w:tabs>
          <w:tab w:leader="none" w:pos="126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53" w:lineRule="exact"/>
        <w:rPr>
          <w:rFonts w:ascii="Arial" w:cs="Arial" w:eastAsia="Arial" w:hAnsi="Arial"/>
          <w:sz w:val="21"/>
          <w:szCs w:val="21"/>
          <w:color w:val="auto"/>
        </w:rPr>
      </w:pPr>
    </w:p>
    <w:p>
      <w:pPr>
        <w:ind w:left="1260" w:hanging="623"/>
        <w:spacing w:after="0"/>
        <w:tabs>
          <w:tab w:leader="none" w:pos="126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Except during the continuance of an Event of Default:</w:t>
      </w:r>
    </w:p>
    <w:p>
      <w:pPr>
        <w:spacing w:after="0" w:line="179" w:lineRule="exact"/>
        <w:rPr>
          <w:rFonts w:ascii="Arial" w:cs="Arial" w:eastAsia="Arial" w:hAnsi="Arial"/>
          <w:sz w:val="21"/>
          <w:szCs w:val="21"/>
          <w:color w:val="auto"/>
        </w:rPr>
      </w:pPr>
    </w:p>
    <w:p>
      <w:pPr>
        <w:jc w:val="both"/>
        <w:ind w:left="640" w:firstLine="628"/>
        <w:spacing w:after="0" w:line="228" w:lineRule="auto"/>
        <w:tabs>
          <w:tab w:leader="none" w:pos="1899"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53" w:lineRule="exact"/>
        <w:rPr>
          <w:rFonts w:ascii="Arial" w:cs="Arial" w:eastAsia="Arial" w:hAnsi="Arial"/>
          <w:sz w:val="21"/>
          <w:szCs w:val="21"/>
          <w:color w:val="auto"/>
        </w:rPr>
      </w:pPr>
    </w:p>
    <w:p>
      <w:pPr>
        <w:jc w:val="both"/>
        <w:ind w:left="640" w:firstLine="628"/>
        <w:spacing w:after="0" w:line="223" w:lineRule="auto"/>
        <w:tabs>
          <w:tab w:leader="none" w:pos="1899" w:val="left"/>
        </w:tabs>
        <w:numPr>
          <w:ilvl w:val="1"/>
          <w:numId w:val="109"/>
        </w:numPr>
        <w:rPr>
          <w:rFonts w:ascii="Arial" w:cs="Arial" w:eastAsia="Arial" w:hAnsi="Arial"/>
          <w:sz w:val="21"/>
          <w:szCs w:val="21"/>
          <w:color w:val="auto"/>
        </w:rPr>
      </w:pPr>
      <w:r>
        <w:rPr>
          <w:rFonts w:ascii="Arial" w:cs="Arial" w:eastAsia="Arial" w:hAnsi="Arial"/>
          <w:sz w:val="21"/>
          <w:szCs w:val="21"/>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1368" w:right="339" w:bottom="1440" w:gutter="0" w:footer="0" w:header="0"/>
        </w:sectPr>
      </w:pPr>
    </w:p>
    <w:bookmarkStart w:id="70" w:name="page71"/>
    <w:bookmarkEnd w:id="70"/>
    <w:p>
      <w:pPr>
        <w:ind w:firstLine="637"/>
        <w:spacing w:after="0" w:line="237" w:lineRule="auto"/>
        <w:tabs>
          <w:tab w:leader="none" w:pos="126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Trustee may not be relieved from liabilities for its own negligent action, its own negligent failure to act, or its own willful misconduct, except that:</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this Section 7.01(c) does not limit the effect of paragraph (b) of this Section 7.01;</w:t>
      </w:r>
    </w:p>
    <w:p>
      <w:pPr>
        <w:spacing w:after="0" w:line="179" w:lineRule="exact"/>
        <w:rPr>
          <w:rFonts w:ascii="Arial" w:cs="Arial" w:eastAsia="Arial" w:hAnsi="Arial"/>
          <w:sz w:val="21"/>
          <w:szCs w:val="21"/>
          <w:color w:val="auto"/>
        </w:rPr>
      </w:pPr>
    </w:p>
    <w:p>
      <w:pPr>
        <w:ind w:left="640" w:firstLine="628"/>
        <w:spacing w:after="0" w:line="237" w:lineRule="auto"/>
        <w:tabs>
          <w:tab w:leader="none" w:pos="1899"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the Trustee shall not be liable for any error of judgment made in good faith by a Responsible Officer, unless it is proved that the Trustee was negligent in ascertaining the pertinent facts; and</w:t>
      </w:r>
    </w:p>
    <w:p>
      <w:pPr>
        <w:spacing w:after="0" w:line="154" w:lineRule="exact"/>
        <w:rPr>
          <w:rFonts w:ascii="Arial" w:cs="Arial" w:eastAsia="Arial" w:hAnsi="Arial"/>
          <w:sz w:val="21"/>
          <w:szCs w:val="21"/>
          <w:color w:val="auto"/>
        </w:rPr>
      </w:pPr>
    </w:p>
    <w:p>
      <w:pPr>
        <w:ind w:left="640" w:firstLine="628"/>
        <w:spacing w:after="0" w:line="237" w:lineRule="auto"/>
        <w:tabs>
          <w:tab w:leader="none" w:pos="1899"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the Trustee shall not be liable with respect to any action it takes or omits to take in good faith in accordance with a direction received by it pursuant to Section 6.05 hereof.</w:t>
      </w:r>
    </w:p>
    <w:p>
      <w:pPr>
        <w:spacing w:after="0" w:line="154" w:lineRule="exact"/>
        <w:rPr>
          <w:rFonts w:ascii="Arial" w:cs="Arial" w:eastAsia="Arial" w:hAnsi="Arial"/>
          <w:sz w:val="21"/>
          <w:szCs w:val="21"/>
          <w:color w:val="auto"/>
        </w:rPr>
      </w:pPr>
    </w:p>
    <w:p>
      <w:pPr>
        <w:ind w:firstLine="637"/>
        <w:spacing w:after="0" w:line="237" w:lineRule="auto"/>
        <w:tabs>
          <w:tab w:leader="none" w:pos="1259" w:val="left"/>
        </w:tabs>
        <w:numPr>
          <w:ilvl w:val="0"/>
          <w:numId w:val="110"/>
        </w:numPr>
        <w:rPr>
          <w:rFonts w:ascii="Arial" w:cs="Arial" w:eastAsia="Arial" w:hAnsi="Arial"/>
          <w:sz w:val="21"/>
          <w:szCs w:val="21"/>
          <w:color w:val="auto"/>
        </w:rPr>
      </w:pPr>
      <w:r>
        <w:rPr>
          <w:rFonts w:ascii="Arial" w:cs="Arial" w:eastAsia="Arial" w:hAnsi="Arial"/>
          <w:sz w:val="21"/>
          <w:szCs w:val="21"/>
          <w:color w:val="auto"/>
        </w:rPr>
        <w:t>Whether or not therein expressly so provided, every provision of this Indenture that in any way relates to the Trustee is subject to paragraphs (a), (b), and (c) of this Section 7.01.</w:t>
      </w:r>
    </w:p>
    <w:p>
      <w:pPr>
        <w:spacing w:after="0" w:line="154" w:lineRule="exact"/>
        <w:rPr>
          <w:rFonts w:ascii="Arial" w:cs="Arial" w:eastAsia="Arial" w:hAnsi="Arial"/>
          <w:sz w:val="21"/>
          <w:szCs w:val="21"/>
          <w:color w:val="auto"/>
        </w:rPr>
      </w:pPr>
    </w:p>
    <w:p>
      <w:pPr>
        <w:jc w:val="both"/>
        <w:ind w:firstLine="637"/>
        <w:spacing w:after="0" w:line="223" w:lineRule="auto"/>
        <w:tabs>
          <w:tab w:leader="none" w:pos="126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reasonably satisfactory to it against any loss, liability or expense.</w:t>
      </w:r>
    </w:p>
    <w:p>
      <w:pPr>
        <w:spacing w:after="0" w:line="155" w:lineRule="exact"/>
        <w:rPr>
          <w:rFonts w:ascii="Arial" w:cs="Arial" w:eastAsia="Arial" w:hAnsi="Arial"/>
          <w:sz w:val="21"/>
          <w:szCs w:val="21"/>
          <w:color w:val="auto"/>
        </w:rPr>
      </w:pPr>
    </w:p>
    <w:p>
      <w:pPr>
        <w:ind w:firstLine="637"/>
        <w:spacing w:after="0" w:line="285" w:lineRule="auto"/>
        <w:tabs>
          <w:tab w:leader="none" w:pos="126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113"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7.02</w:t>
      </w:r>
      <w:r>
        <w:rPr>
          <w:sz w:val="20"/>
          <w:szCs w:val="20"/>
          <w:color w:val="auto"/>
        </w:rPr>
        <w:tab/>
      </w:r>
      <w:r>
        <w:rPr>
          <w:rFonts w:ascii="Arial" w:cs="Arial" w:eastAsia="Arial" w:hAnsi="Arial"/>
          <w:sz w:val="18"/>
          <w:szCs w:val="18"/>
          <w:i w:val="1"/>
          <w:iCs w:val="1"/>
          <w:color w:val="auto"/>
        </w:rPr>
        <w:t>Rights of Trustee.</w:t>
      </w:r>
    </w:p>
    <w:p>
      <w:pPr>
        <w:spacing w:after="0" w:line="180" w:lineRule="exact"/>
        <w:rPr>
          <w:sz w:val="20"/>
          <w:szCs w:val="20"/>
          <w:color w:val="auto"/>
        </w:rPr>
      </w:pPr>
    </w:p>
    <w:p>
      <w:pPr>
        <w:ind w:firstLine="637"/>
        <w:spacing w:after="0" w:line="237" w:lineRule="auto"/>
        <w:tabs>
          <w:tab w:leader="none" w:pos="126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54" w:lineRule="exact"/>
        <w:rPr>
          <w:rFonts w:ascii="Arial" w:cs="Arial" w:eastAsia="Arial" w:hAnsi="Arial"/>
          <w:sz w:val="21"/>
          <w:szCs w:val="21"/>
          <w:color w:val="auto"/>
        </w:rPr>
      </w:pPr>
    </w:p>
    <w:p>
      <w:pPr>
        <w:jc w:val="both"/>
        <w:ind w:firstLine="637"/>
        <w:spacing w:after="0" w:line="220" w:lineRule="auto"/>
        <w:tabs>
          <w:tab w:leader="none" w:pos="1259" w:val="left"/>
        </w:tabs>
        <w:numPr>
          <w:ilvl w:val="0"/>
          <w:numId w:val="111"/>
        </w:numPr>
        <w:rPr>
          <w:rFonts w:ascii="Arial" w:cs="Arial" w:eastAsia="Arial" w:hAnsi="Arial"/>
          <w:sz w:val="21"/>
          <w:szCs w:val="21"/>
          <w:color w:val="auto"/>
        </w:rPr>
      </w:pPr>
      <w:r>
        <w:rPr>
          <w:rFonts w:ascii="Arial" w:cs="Arial" w:eastAsia="Arial" w:hAnsi="Arial"/>
          <w:sz w:val="21"/>
          <w:szCs w:val="21"/>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156" w:lineRule="exact"/>
        <w:rPr>
          <w:rFonts w:ascii="Arial" w:cs="Arial" w:eastAsia="Arial" w:hAnsi="Arial"/>
          <w:sz w:val="21"/>
          <w:szCs w:val="21"/>
          <w:color w:val="auto"/>
        </w:rPr>
      </w:pPr>
    </w:p>
    <w:p>
      <w:pPr>
        <w:ind w:firstLine="637"/>
        <w:spacing w:after="0" w:line="237" w:lineRule="auto"/>
        <w:tabs>
          <w:tab w:leader="none" w:pos="126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Trustee may act through its attorneys and agents and shall not be responsible for the misconduct or negligence of any agent appointed with due care.</w:t>
      </w:r>
    </w:p>
    <w:p>
      <w:pPr>
        <w:spacing w:after="0" w:line="154" w:lineRule="exact"/>
        <w:rPr>
          <w:rFonts w:ascii="Arial" w:cs="Arial" w:eastAsia="Arial" w:hAnsi="Arial"/>
          <w:sz w:val="21"/>
          <w:szCs w:val="21"/>
          <w:color w:val="auto"/>
        </w:rPr>
      </w:pPr>
    </w:p>
    <w:p>
      <w:pPr>
        <w:ind w:firstLine="637"/>
        <w:spacing w:after="0" w:line="237" w:lineRule="auto"/>
        <w:tabs>
          <w:tab w:leader="none" w:pos="1259"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Trustee shall not be liable for any action it takes or omits to take in good faith that it believes to be authorized or within the rights or powers conferred upon it by this Indenture.</w:t>
      </w:r>
    </w:p>
    <w:p>
      <w:pPr>
        <w:spacing w:after="0" w:line="154" w:lineRule="exact"/>
        <w:rPr>
          <w:rFonts w:ascii="Arial" w:cs="Arial" w:eastAsia="Arial" w:hAnsi="Arial"/>
          <w:sz w:val="21"/>
          <w:szCs w:val="21"/>
          <w:color w:val="auto"/>
        </w:rPr>
      </w:pPr>
    </w:p>
    <w:p>
      <w:pPr>
        <w:ind w:firstLine="637"/>
        <w:spacing w:after="0" w:line="237" w:lineRule="auto"/>
        <w:tabs>
          <w:tab w:leader="none" w:pos="126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Unless otherwise specifically provided in this Indenture, any demand, request, direction or notice from the Issuers shall be sufficient if signed by an Officer of either Issuer.</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240"/>
          </w:cols>
          <w:pgMar w:left="320" w:top="1368" w:right="339" w:bottom="1440" w:gutter="0" w:footer="0" w:header="0"/>
        </w:sectPr>
      </w:pPr>
    </w:p>
    <w:bookmarkStart w:id="71" w:name="page72"/>
    <w:bookmarkEnd w:id="71"/>
    <w:p>
      <w:pPr>
        <w:ind w:firstLine="637"/>
        <w:spacing w:after="0" w:line="237" w:lineRule="auto"/>
        <w:tabs>
          <w:tab w:leader="none" w:pos="1259"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Except as expressly provided herein, the Trustee shall have no duty to inquire as to the performance of the Issuers with respect to the covenants contained in Articles 4 and 5 hereof.</w:t>
      </w:r>
    </w:p>
    <w:p>
      <w:pPr>
        <w:spacing w:after="0" w:line="154"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or obtained actual knowledge thereof.</w:t>
      </w:r>
    </w:p>
    <w:p>
      <w:pPr>
        <w:spacing w:after="0" w:line="153" w:lineRule="exact"/>
        <w:rPr>
          <w:rFonts w:ascii="Arial" w:cs="Arial" w:eastAsia="Arial" w:hAnsi="Arial"/>
          <w:sz w:val="21"/>
          <w:szCs w:val="21"/>
          <w:color w:val="auto"/>
        </w:rPr>
      </w:pPr>
    </w:p>
    <w:p>
      <w:pPr>
        <w:jc w:val="both"/>
        <w:ind w:firstLine="637"/>
        <w:spacing w:after="0" w:line="234" w:lineRule="auto"/>
        <w:tabs>
          <w:tab w:leader="none" w:pos="125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155" w:lineRule="exact"/>
        <w:rPr>
          <w:rFonts w:ascii="Arial" w:cs="Arial" w:eastAsia="Arial" w:hAnsi="Arial"/>
          <w:sz w:val="20"/>
          <w:szCs w:val="20"/>
          <w:color w:val="auto"/>
        </w:rPr>
      </w:pPr>
    </w:p>
    <w:p>
      <w:pPr>
        <w:ind w:left="1260" w:hanging="623"/>
        <w:spacing w:after="0"/>
        <w:tabs>
          <w:tab w:leader="none" w:pos="126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Any permissive right granted to the Trustee shall not be construed as a mandatory duty.</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hereunder.</w:t>
      </w:r>
    </w:p>
    <w:p>
      <w:pPr>
        <w:spacing w:after="0" w:line="161" w:lineRule="exact"/>
        <w:rPr>
          <w:rFonts w:ascii="Arial" w:cs="Arial" w:eastAsia="Arial" w:hAnsi="Arial"/>
          <w:sz w:val="19"/>
          <w:szCs w:val="19"/>
          <w:color w:val="auto"/>
        </w:rPr>
      </w:pPr>
    </w:p>
    <w:p>
      <w:pPr>
        <w:jc w:val="both"/>
        <w:ind w:firstLine="637"/>
        <w:spacing w:after="0" w:line="218" w:lineRule="auto"/>
        <w:tabs>
          <w:tab w:leader="none" w:pos="125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57" w:lineRule="exact"/>
        <w:rPr>
          <w:rFonts w:ascii="Arial" w:cs="Arial" w:eastAsia="Arial" w:hAnsi="Arial"/>
          <w:sz w:val="21"/>
          <w:szCs w:val="21"/>
          <w:color w:val="auto"/>
        </w:rPr>
      </w:pPr>
    </w:p>
    <w:p>
      <w:pPr>
        <w:jc w:val="both"/>
        <w:ind w:firstLine="637"/>
        <w:spacing w:after="0" w:line="228" w:lineRule="auto"/>
        <w:tabs>
          <w:tab w:leader="none" w:pos="125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7.03</w:t>
      </w:r>
      <w:r>
        <w:rPr>
          <w:sz w:val="20"/>
          <w:szCs w:val="20"/>
          <w:color w:val="auto"/>
        </w:rPr>
        <w:tab/>
      </w:r>
      <w:r>
        <w:rPr>
          <w:rFonts w:ascii="Arial" w:cs="Arial" w:eastAsia="Arial" w:hAnsi="Arial"/>
          <w:sz w:val="19"/>
          <w:szCs w:val="19"/>
          <w:i w:val="1"/>
          <w:iCs w:val="1"/>
          <w:color w:val="auto"/>
        </w:rPr>
        <w:t>Individual Rights of Trustee.</w:t>
      </w:r>
    </w:p>
    <w:p>
      <w:pPr>
        <w:spacing w:after="0" w:line="180"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Sections 7.09 hereof.</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7.04</w:t>
      </w:r>
      <w:r>
        <w:rPr>
          <w:sz w:val="20"/>
          <w:szCs w:val="20"/>
          <w:color w:val="auto"/>
        </w:rPr>
        <w:tab/>
      </w:r>
      <w:r>
        <w:rPr>
          <w:rFonts w:ascii="Arial" w:cs="Arial" w:eastAsia="Arial" w:hAnsi="Arial"/>
          <w:sz w:val="18"/>
          <w:szCs w:val="18"/>
          <w:i w:val="1"/>
          <w:iCs w:val="1"/>
          <w:color w:val="auto"/>
        </w:rPr>
        <w:t>Trustee’s Disclaimer.</w:t>
      </w:r>
    </w:p>
    <w:p>
      <w:pPr>
        <w:spacing w:after="0" w:line="180"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21"/>
          <w:szCs w:val="21"/>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240"/>
          </w:cols>
          <w:pgMar w:left="320" w:top="1368" w:right="339" w:bottom="1440" w:gutter="0" w:footer="0" w:header="0"/>
        </w:sectPr>
      </w:pPr>
    </w:p>
    <w:bookmarkStart w:id="72" w:name="page73"/>
    <w:bookmarkEnd w:id="72"/>
    <w:p>
      <w:pPr>
        <w:spacing w:after="0"/>
        <w:tabs>
          <w:tab w:leader="none" w:pos="1280" w:val="left"/>
        </w:tabs>
        <w:rPr>
          <w:sz w:val="20"/>
          <w:szCs w:val="20"/>
          <w:color w:val="auto"/>
        </w:rPr>
      </w:pPr>
      <w:r>
        <w:rPr>
          <w:rFonts w:ascii="Arial" w:cs="Arial" w:eastAsia="Arial" w:hAnsi="Arial"/>
          <w:sz w:val="21"/>
          <w:szCs w:val="21"/>
          <w:i w:val="1"/>
          <w:iCs w:val="1"/>
          <w:color w:val="auto"/>
        </w:rPr>
        <w:t>Section 7.05</w:t>
      </w:r>
      <w:r>
        <w:rPr>
          <w:sz w:val="20"/>
          <w:szCs w:val="20"/>
          <w:color w:val="auto"/>
        </w:rPr>
        <w:tab/>
      </w:r>
      <w:r>
        <w:rPr>
          <w:rFonts w:ascii="Arial" w:cs="Arial" w:eastAsia="Arial" w:hAnsi="Arial"/>
          <w:sz w:val="19"/>
          <w:szCs w:val="19"/>
          <w:i w:val="1"/>
          <w:iCs w:val="1"/>
          <w:color w:val="auto"/>
        </w:rPr>
        <w:t>Notice of Defaults.</w:t>
      </w:r>
    </w:p>
    <w:p>
      <w:pPr>
        <w:spacing w:after="0" w:line="180"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20"/>
          <w:szCs w:val="20"/>
          <w:color w:val="auto"/>
        </w:rPr>
        <w:t>If a Default or Event of Default occurs and is continuing and if it is known to the Trustee, the Trustee shall deliver a notice of the Default or Event of Default to Holders within 90 days after it occurs. Except in the case of a Default or Event of Default in payment of principal of, premium, if any, or interest on, any Note, the Trustee may withhold the notice if and so long as the Trustee in good faith determines that withholding the notice is in the interests of the Holders of the Notes.</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7.06</w:t>
      </w:r>
      <w:r>
        <w:rPr>
          <w:sz w:val="20"/>
          <w:szCs w:val="20"/>
          <w:color w:val="auto"/>
        </w:rPr>
        <w:tab/>
      </w:r>
      <w:r>
        <w:rPr>
          <w:rFonts w:ascii="Arial" w:cs="Arial" w:eastAsia="Arial" w:hAnsi="Arial"/>
          <w:sz w:val="18"/>
          <w:szCs w:val="18"/>
          <w:i w:val="1"/>
          <w:iCs w:val="1"/>
          <w:color w:val="auto"/>
        </w:rPr>
        <w:t>Compensation and Indemnity.</w:t>
      </w:r>
    </w:p>
    <w:p>
      <w:pPr>
        <w:spacing w:after="0" w:line="180" w:lineRule="exact"/>
        <w:rPr>
          <w:sz w:val="20"/>
          <w:szCs w:val="20"/>
          <w:color w:val="auto"/>
        </w:rPr>
      </w:pPr>
    </w:p>
    <w:p>
      <w:pPr>
        <w:jc w:val="both"/>
        <w:ind w:firstLine="637"/>
        <w:spacing w:after="0" w:line="220" w:lineRule="auto"/>
        <w:tabs>
          <w:tab w:leader="none" w:pos="126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56" w:lineRule="exact"/>
        <w:rPr>
          <w:rFonts w:ascii="Arial" w:cs="Arial" w:eastAsia="Arial" w:hAnsi="Arial"/>
          <w:sz w:val="21"/>
          <w:szCs w:val="21"/>
          <w:color w:val="auto"/>
        </w:rPr>
      </w:pPr>
    </w:p>
    <w:p>
      <w:pPr>
        <w:jc w:val="both"/>
        <w:ind w:firstLine="637"/>
        <w:spacing w:after="0" w:line="236" w:lineRule="auto"/>
        <w:tabs>
          <w:tab w:leader="none" w:pos="125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Issuers and the Guarantors shall indemnify, jointly and severally, the Trustee (acting in any capacity hereunder) and each of its officers, directors and employees against any and all losses, liabilities or expenses (including attorney’s fees and expenses) incurred by it arising out of or in connection with the acceptance or administration of its duties under this Indenture, including the costs and expenses of enforcing this Indenture against the Issuers and the Guarantors (including this Section 7.06)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willful misconduct as finally adjudicated by a court of competent jurisdiction.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58" w:lineRule="exact"/>
        <w:rPr>
          <w:rFonts w:ascii="Arial" w:cs="Arial" w:eastAsia="Arial" w:hAnsi="Arial"/>
          <w:sz w:val="19"/>
          <w:szCs w:val="19"/>
          <w:color w:val="auto"/>
        </w:rPr>
      </w:pPr>
    </w:p>
    <w:p>
      <w:pPr>
        <w:ind w:firstLine="637"/>
        <w:spacing w:after="0" w:line="237" w:lineRule="auto"/>
        <w:tabs>
          <w:tab w:leader="none" w:pos="126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obligations of the Issuers and the Guarantors under this Section 7.06 shall survive the satisfaction and discharge of this Indenture, and the resignation or removal of the Trustee.</w:t>
      </w:r>
    </w:p>
    <w:p>
      <w:pPr>
        <w:spacing w:after="0" w:line="154"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To secure the Issuers’ and the Guarantors’ payment obligations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53" w:lineRule="exact"/>
        <w:rPr>
          <w:rFonts w:ascii="Arial" w:cs="Arial" w:eastAsia="Arial" w:hAnsi="Arial"/>
          <w:sz w:val="21"/>
          <w:szCs w:val="21"/>
          <w:color w:val="auto"/>
        </w:rPr>
      </w:pPr>
    </w:p>
    <w:p>
      <w:pPr>
        <w:jc w:val="both"/>
        <w:ind w:firstLine="637"/>
        <w:spacing w:after="0" w:line="228" w:lineRule="auto"/>
        <w:tabs>
          <w:tab w:leader="none" w:pos="126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When the Trustee incurs expenses or renders services after an Event of Default specified in Section 6.01(g) or (h) hereof occurs, the expenses and the compensation for the services (including the fees and expenses of its agents and counsel) are intended to constitute expenses of administration under any Bankruptcy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240"/>
          </w:cols>
          <w:pgMar w:left="320" w:top="1368" w:right="339" w:bottom="1440" w:gutter="0" w:footer="0" w:header="0"/>
        </w:sectPr>
      </w:pPr>
    </w:p>
    <w:bookmarkStart w:id="73" w:name="page74"/>
    <w:bookmarkEnd w:id="73"/>
    <w:p>
      <w:pPr>
        <w:spacing w:after="0"/>
        <w:tabs>
          <w:tab w:leader="none" w:pos="1280" w:val="left"/>
        </w:tabs>
        <w:rPr>
          <w:sz w:val="20"/>
          <w:szCs w:val="20"/>
          <w:color w:val="auto"/>
        </w:rPr>
      </w:pPr>
      <w:r>
        <w:rPr>
          <w:rFonts w:ascii="Arial" w:cs="Arial" w:eastAsia="Arial" w:hAnsi="Arial"/>
          <w:sz w:val="21"/>
          <w:szCs w:val="21"/>
          <w:i w:val="1"/>
          <w:iCs w:val="1"/>
          <w:color w:val="auto"/>
        </w:rPr>
        <w:t>Section 7.07</w:t>
      </w:r>
      <w:r>
        <w:rPr>
          <w:sz w:val="20"/>
          <w:szCs w:val="20"/>
          <w:color w:val="auto"/>
        </w:rPr>
        <w:tab/>
      </w:r>
      <w:r>
        <w:rPr>
          <w:rFonts w:ascii="Arial" w:cs="Arial" w:eastAsia="Arial" w:hAnsi="Arial"/>
          <w:sz w:val="18"/>
          <w:szCs w:val="18"/>
          <w:i w:val="1"/>
          <w:iCs w:val="1"/>
          <w:color w:val="auto"/>
        </w:rPr>
        <w:t>Replacement of Trustee.</w:t>
      </w:r>
    </w:p>
    <w:p>
      <w:pPr>
        <w:spacing w:after="0" w:line="180" w:lineRule="exact"/>
        <w:rPr>
          <w:sz w:val="20"/>
          <w:szCs w:val="20"/>
          <w:color w:val="auto"/>
        </w:rPr>
      </w:pPr>
    </w:p>
    <w:p>
      <w:pPr>
        <w:ind w:firstLine="637"/>
        <w:spacing w:after="0" w:line="237" w:lineRule="auto"/>
        <w:tabs>
          <w:tab w:leader="none" w:pos="126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 resignation or removal of the Trustee and appointment of a successor Trustee shall become effective only upon the successor Trustee’s acceptance of appointment as provided in this Section 7.07.</w:t>
      </w:r>
    </w:p>
    <w:p>
      <w:pPr>
        <w:spacing w:after="0" w:line="154"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153" w:lineRule="exact"/>
        <w:rPr>
          <w:rFonts w:ascii="Arial" w:cs="Arial" w:eastAsia="Arial" w:hAnsi="Arial"/>
          <w:sz w:val="21"/>
          <w:szCs w:val="21"/>
          <w:color w:val="auto"/>
        </w:rPr>
      </w:pPr>
    </w:p>
    <w:p>
      <w:pPr>
        <w:ind w:left="1900" w:hanging="632"/>
        <w:spacing w:after="0"/>
        <w:tabs>
          <w:tab w:leader="none" w:pos="190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the Trustee fails to comply with Section 7.09 hereof;</w:t>
      </w:r>
    </w:p>
    <w:p>
      <w:pPr>
        <w:spacing w:after="0" w:line="179" w:lineRule="exact"/>
        <w:rPr>
          <w:rFonts w:ascii="Arial" w:cs="Arial" w:eastAsia="Arial" w:hAnsi="Arial"/>
          <w:sz w:val="21"/>
          <w:szCs w:val="21"/>
          <w:color w:val="auto"/>
        </w:rPr>
      </w:pPr>
    </w:p>
    <w:p>
      <w:pPr>
        <w:ind w:left="640" w:firstLine="628"/>
        <w:spacing w:after="0" w:line="237" w:lineRule="auto"/>
        <w:tabs>
          <w:tab w:leader="none" w:pos="1899"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the Trustee is adjudged a bankrupt or an insolvent or an order for relief is entered with respect to the Trustee under any Bankruptcy Law;</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a custodian or public officer takes charge of the Trustee or its property; or</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the Trustee becomes incapable of acting.</w:t>
      </w:r>
    </w:p>
    <w:p>
      <w:pPr>
        <w:spacing w:after="0" w:line="179" w:lineRule="exact"/>
        <w:rPr>
          <w:rFonts w:ascii="Arial" w:cs="Arial" w:eastAsia="Arial" w:hAnsi="Arial"/>
          <w:sz w:val="21"/>
          <w:szCs w:val="21"/>
          <w:color w:val="auto"/>
        </w:rPr>
      </w:pPr>
    </w:p>
    <w:p>
      <w:pPr>
        <w:jc w:val="both"/>
        <w:ind w:firstLine="637"/>
        <w:spacing w:after="0" w:line="258" w:lineRule="auto"/>
        <w:tabs>
          <w:tab w:leader="none" w:pos="12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137" w:lineRule="exact"/>
        <w:rPr>
          <w:rFonts w:ascii="Arial" w:cs="Arial" w:eastAsia="Arial" w:hAnsi="Arial"/>
          <w:sz w:val="19"/>
          <w:szCs w:val="19"/>
          <w:color w:val="auto"/>
        </w:rPr>
      </w:pPr>
    </w:p>
    <w:p>
      <w:pPr>
        <w:jc w:val="both"/>
        <w:ind w:firstLine="637"/>
        <w:spacing w:after="0" w:line="228" w:lineRule="auto"/>
        <w:tabs>
          <w:tab w:leader="none" w:pos="1259" w:val="left"/>
        </w:tabs>
        <w:numPr>
          <w:ilvl w:val="0"/>
          <w:numId w:val="114"/>
        </w:numPr>
        <w:rPr>
          <w:rFonts w:ascii="Arial" w:cs="Arial" w:eastAsia="Arial" w:hAnsi="Arial"/>
          <w:sz w:val="21"/>
          <w:szCs w:val="21"/>
          <w:color w:val="auto"/>
        </w:rPr>
      </w:pPr>
      <w:r>
        <w:rPr>
          <w:rFonts w:ascii="Arial" w:cs="Arial" w:eastAsia="Arial" w:hAnsi="Arial"/>
          <w:sz w:val="21"/>
          <w:szCs w:val="21"/>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153" w:lineRule="exact"/>
        <w:rPr>
          <w:rFonts w:ascii="Arial" w:cs="Arial" w:eastAsia="Arial" w:hAnsi="Arial"/>
          <w:sz w:val="21"/>
          <w:szCs w:val="21"/>
          <w:color w:val="auto"/>
        </w:rPr>
      </w:pPr>
    </w:p>
    <w:p>
      <w:pPr>
        <w:jc w:val="both"/>
        <w:ind w:firstLine="637"/>
        <w:spacing w:after="0" w:line="228" w:lineRule="auto"/>
        <w:tabs>
          <w:tab w:leader="none" w:pos="126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153" w:lineRule="exact"/>
        <w:rPr>
          <w:rFonts w:ascii="Arial" w:cs="Arial" w:eastAsia="Arial" w:hAnsi="Arial"/>
          <w:sz w:val="21"/>
          <w:szCs w:val="21"/>
          <w:color w:val="auto"/>
        </w:rPr>
      </w:pPr>
    </w:p>
    <w:p>
      <w:pPr>
        <w:jc w:val="both"/>
        <w:ind w:firstLine="637"/>
        <w:spacing w:after="0" w:line="217" w:lineRule="auto"/>
        <w:tabs>
          <w:tab w:leader="none" w:pos="126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deliver a notice of its succession to Holders. The retiring Trustee shall promptly transfer all property held by it as Trustee to the successor Trustee, provided all sums owing to the Trustee hereunder have been paid and subject to the Lien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for in Section 7.06 hereof. Notwithstanding replacement of the Trustee pursuant to this Section 7.07, the Issuers’ obligations under Section 7.06 hereof shall continue for the benefit of the retiring Trustee.</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7.08</w:t>
      </w:r>
      <w:r>
        <w:rPr>
          <w:sz w:val="20"/>
          <w:szCs w:val="20"/>
          <w:color w:val="auto"/>
        </w:rPr>
        <w:tab/>
      </w:r>
      <w:r>
        <w:rPr>
          <w:rFonts w:ascii="Arial" w:cs="Arial" w:eastAsia="Arial" w:hAnsi="Arial"/>
          <w:sz w:val="18"/>
          <w:szCs w:val="18"/>
          <w:i w:val="1"/>
          <w:iCs w:val="1"/>
          <w:color w:val="auto"/>
        </w:rPr>
        <w:t>Successor Trustee by Merger, etc.</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240"/>
          </w:cols>
          <w:pgMar w:left="320" w:top="1368" w:right="339" w:bottom="1440" w:gutter="0" w:footer="0" w:header="0"/>
        </w:sectPr>
      </w:pPr>
    </w:p>
    <w:bookmarkStart w:id="74" w:name="page75"/>
    <w:bookmarkEnd w:id="74"/>
    <w:p>
      <w:pPr>
        <w:spacing w:after="0"/>
        <w:tabs>
          <w:tab w:leader="none" w:pos="1280" w:val="left"/>
        </w:tabs>
        <w:rPr>
          <w:sz w:val="20"/>
          <w:szCs w:val="20"/>
          <w:color w:val="auto"/>
        </w:rPr>
      </w:pPr>
      <w:r>
        <w:rPr>
          <w:rFonts w:ascii="Arial" w:cs="Arial" w:eastAsia="Arial" w:hAnsi="Arial"/>
          <w:sz w:val="21"/>
          <w:szCs w:val="21"/>
          <w:i w:val="1"/>
          <w:iCs w:val="1"/>
          <w:color w:val="auto"/>
        </w:rPr>
        <w:t>Section 7.09</w:t>
      </w:r>
      <w:r>
        <w:rPr>
          <w:sz w:val="20"/>
          <w:szCs w:val="20"/>
          <w:color w:val="auto"/>
        </w:rPr>
        <w:tab/>
      </w:r>
      <w:r>
        <w:rPr>
          <w:rFonts w:ascii="Arial" w:cs="Arial" w:eastAsia="Arial" w:hAnsi="Arial"/>
          <w:sz w:val="20"/>
          <w:szCs w:val="20"/>
          <w:i w:val="1"/>
          <w:iCs w:val="1"/>
          <w:color w:val="auto"/>
        </w:rPr>
        <w:t>Eligibility; Disqualification; Conflicting Interests.</w:t>
      </w:r>
    </w:p>
    <w:p>
      <w:pPr>
        <w:spacing w:after="0" w:line="180" w:lineRule="exact"/>
        <w:rPr>
          <w:sz w:val="20"/>
          <w:szCs w:val="20"/>
          <w:color w:val="auto"/>
        </w:rPr>
      </w:pPr>
    </w:p>
    <w:p>
      <w:pPr>
        <w:jc w:val="both"/>
        <w:ind w:firstLine="637"/>
        <w:spacing w:after="0" w:line="223" w:lineRule="auto"/>
        <w:tabs>
          <w:tab w:leader="none" w:pos="12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 million as set forth in its most recent published annual report of condition.</w:t>
      </w:r>
    </w:p>
    <w:p>
      <w:pPr>
        <w:spacing w:after="0" w:line="155"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If the Trustee has or shall acquire any “conflicting interest” within the meaning of Section 310(b) of the Trust Indenture Act, the Trustee and the Issuers shall in all respects comply with the provisions of Section 310(b) of the Trust Indenture Act.</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7.10</w:t>
      </w:r>
      <w:r>
        <w:rPr>
          <w:sz w:val="20"/>
          <w:szCs w:val="20"/>
          <w:color w:val="auto"/>
        </w:rPr>
        <w:tab/>
      </w:r>
      <w:r>
        <w:rPr>
          <w:rFonts w:ascii="Arial" w:cs="Arial" w:eastAsia="Arial" w:hAnsi="Arial"/>
          <w:sz w:val="19"/>
          <w:szCs w:val="19"/>
          <w:i w:val="1"/>
          <w:iCs w:val="1"/>
          <w:color w:val="auto"/>
        </w:rPr>
        <w:t>Preferential Collection of Claims Against the Issuers.</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The Trustee shall comply with Section 311(a) of the Trust Indenture Act, excluding any creditor relationship described in Section 311(b) of the Trust Indenture Act. A Trustee who has resigned or been removed shall continue to be subject to Section 311(a) of the Trust Indenture Act.</w:t>
      </w:r>
    </w:p>
    <w:p>
      <w:pPr>
        <w:spacing w:after="0" w:line="358"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8.</w:t>
      </w:r>
    </w:p>
    <w:p>
      <w:pPr>
        <w:spacing w:after="0" w:line="180" w:lineRule="exact"/>
        <w:rPr>
          <w:sz w:val="20"/>
          <w:szCs w:val="20"/>
          <w:color w:val="auto"/>
        </w:rPr>
      </w:pPr>
    </w:p>
    <w:p>
      <w:pPr>
        <w:ind w:left="3060"/>
        <w:spacing w:after="0"/>
        <w:rPr>
          <w:sz w:val="20"/>
          <w:szCs w:val="20"/>
          <w:color w:val="auto"/>
        </w:rPr>
      </w:pPr>
      <w:r>
        <w:rPr>
          <w:rFonts w:ascii="Arial" w:cs="Arial" w:eastAsia="Arial" w:hAnsi="Arial"/>
          <w:sz w:val="21"/>
          <w:szCs w:val="21"/>
          <w:b w:val="1"/>
          <w:bCs w:val="1"/>
          <w:color w:val="auto"/>
        </w:rPr>
        <w:t>LEGAL DEFEASANCE AND COVENANT DEFEASANCE</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8.01</w:t>
      </w:r>
      <w:r>
        <w:rPr>
          <w:sz w:val="20"/>
          <w:szCs w:val="20"/>
          <w:color w:val="auto"/>
        </w:rPr>
        <w:tab/>
      </w:r>
      <w:r>
        <w:rPr>
          <w:rFonts w:ascii="Arial" w:cs="Arial" w:eastAsia="Arial" w:hAnsi="Arial"/>
          <w:sz w:val="18"/>
          <w:szCs w:val="18"/>
          <w:i w:val="1"/>
          <w:iCs w:val="1"/>
          <w:color w:val="auto"/>
        </w:rPr>
        <w:t>Option to Effect Legal Defeasance or Covenant Defeasance.</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8.02</w:t>
      </w:r>
      <w:r>
        <w:rPr>
          <w:sz w:val="20"/>
          <w:szCs w:val="20"/>
          <w:color w:val="auto"/>
        </w:rPr>
        <w:tab/>
      </w:r>
      <w:r>
        <w:rPr>
          <w:rFonts w:ascii="Arial" w:cs="Arial" w:eastAsia="Arial" w:hAnsi="Arial"/>
          <w:sz w:val="18"/>
          <w:szCs w:val="18"/>
          <w:i w:val="1"/>
          <w:iCs w:val="1"/>
          <w:color w:val="auto"/>
        </w:rPr>
        <w:t>Legal Defeasance and Discharge.</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19"/>
          <w:szCs w:val="19"/>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on the date the conditions set forth below are satisfied (hereinafter, “</w:t>
      </w:r>
      <w:r>
        <w:rPr>
          <w:rFonts w:ascii="Arial" w:cs="Arial" w:eastAsia="Arial" w:hAnsi="Arial"/>
          <w:sz w:val="19"/>
          <w:szCs w:val="19"/>
          <w:i w:val="1"/>
          <w:iCs w:val="1"/>
          <w:u w:val="single" w:color="auto"/>
          <w:color w:val="auto"/>
        </w:rPr>
        <w:t>Legal Defeasance</w:t>
      </w:r>
      <w:r>
        <w:rPr>
          <w:rFonts w:ascii="Arial" w:cs="Arial" w:eastAsia="Arial" w:hAnsi="Arial"/>
          <w:sz w:val="19"/>
          <w:szCs w:val="19"/>
          <w:color w:val="auto"/>
        </w:rPr>
        <w:t>”). For this purpose, Legal Defeasance means that the Issuers and each of the Guarantors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158" w:lineRule="exact"/>
        <w:rPr>
          <w:sz w:val="20"/>
          <w:szCs w:val="20"/>
          <w:color w:val="auto"/>
        </w:rPr>
      </w:pPr>
    </w:p>
    <w:p>
      <w:pPr>
        <w:ind w:firstLine="637"/>
        <w:spacing w:after="0" w:line="237" w:lineRule="auto"/>
        <w:tabs>
          <w:tab w:leader="none" w:pos="12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rights of Holders of outstanding Notes to receive payments in respect of the principal of, or interest or premium, if any, on such Notes when such payments are due from the trust referred to in Section 8.04 hereof;</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Issuers’ obligations with respect to such Notes under Article 2 and Section 4.02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240"/>
          </w:cols>
          <w:pgMar w:left="320" w:top="1368" w:right="339" w:bottom="1440" w:gutter="0" w:footer="0" w:header="0"/>
        </w:sectPr>
      </w:pPr>
    </w:p>
    <w:bookmarkStart w:id="75" w:name="page76"/>
    <w:bookmarkEnd w:id="75"/>
    <w:p>
      <w:pPr>
        <w:ind w:firstLine="637"/>
        <w:spacing w:after="0" w:line="237" w:lineRule="auto"/>
        <w:tabs>
          <w:tab w:leader="none" w:pos="12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rights, powers, trusts, duties and immunities of the Trustee hereunder and the Issuers’ and the Guarantors’ obligations in connection therewith; and</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this Article 8.</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Subject to compliance with this Article 8, the Issuers may exercise their option under this Section 8.02 notwithstanding the prior exercise of its option under Section 8.03 hereof.</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8.03</w:t>
      </w:r>
      <w:r>
        <w:rPr>
          <w:sz w:val="20"/>
          <w:szCs w:val="20"/>
          <w:color w:val="auto"/>
        </w:rPr>
        <w:tab/>
      </w:r>
      <w:r>
        <w:rPr>
          <w:rFonts w:ascii="Arial" w:cs="Arial" w:eastAsia="Arial" w:hAnsi="Arial"/>
          <w:sz w:val="18"/>
          <w:szCs w:val="18"/>
          <w:i w:val="1"/>
          <w:iCs w:val="1"/>
          <w:color w:val="auto"/>
        </w:rPr>
        <w:t>Covenant Defeasance.</w:t>
      </w:r>
    </w:p>
    <w:p>
      <w:pPr>
        <w:spacing w:after="0" w:line="180" w:lineRule="exact"/>
        <w:rPr>
          <w:sz w:val="20"/>
          <w:szCs w:val="20"/>
          <w:color w:val="auto"/>
        </w:rPr>
      </w:pPr>
    </w:p>
    <w:p>
      <w:pPr>
        <w:jc w:val="both"/>
        <w:ind w:firstLine="632"/>
        <w:spacing w:after="0" w:line="235" w:lineRule="auto"/>
        <w:rPr>
          <w:sz w:val="20"/>
          <w:szCs w:val="20"/>
          <w:color w:val="auto"/>
        </w:rPr>
      </w:pPr>
      <w:r>
        <w:rPr>
          <w:rFonts w:ascii="Arial" w:cs="Arial" w:eastAsia="Arial" w:hAnsi="Arial"/>
          <w:sz w:val="19"/>
          <w:szCs w:val="19"/>
          <w:color w:val="auto"/>
        </w:rPr>
        <w:t>Upon the Issuers’ exercise under Section 8.01 hereof of the option applicable to this Section 8.03, the Issuers and any Guarantors shall, subject to the satisfaction of the conditions set forth in Section 8.04 hereof, be released from each of their obligations under the covenants contained in Sections 4.07, 4.08, 4.10 and 4.11 hereof with respect to the outstanding Notes on and after the date the conditions set forth in Section 8.04 hereof are satisfied (hereinafter, “</w:t>
      </w:r>
      <w:r>
        <w:rPr>
          <w:rFonts w:ascii="Arial" w:cs="Arial" w:eastAsia="Arial" w:hAnsi="Arial"/>
          <w:sz w:val="19"/>
          <w:szCs w:val="19"/>
          <w:i w:val="1"/>
          <w:iCs w:val="1"/>
          <w:u w:val="single" w:color="auto"/>
          <w:color w:val="auto"/>
        </w:rPr>
        <w:t>Covenant Defeasance</w:t>
      </w:r>
      <w:r>
        <w:rPr>
          <w:rFonts w:ascii="Arial" w:cs="Arial" w:eastAsia="Arial" w:hAnsi="Arial"/>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 Guarantees shall be unaffected thereby. In addition, upon the Issuers’ exercise under Section 8.01 hereof of the option applicable to this Section 8.03 hereof, subject to the satisfaction of the conditions set forth in Section 8.04 hereof, Sections 6.01(c) through 6.01(g) hereof shall not constitute Events of Default.</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i w:val="1"/>
          <w:iCs w:val="1"/>
          <w:color w:val="auto"/>
        </w:rPr>
        <w:t>Section 8.04</w:t>
      </w:r>
      <w:r>
        <w:rPr>
          <w:sz w:val="20"/>
          <w:szCs w:val="20"/>
          <w:color w:val="auto"/>
        </w:rPr>
        <w:tab/>
      </w:r>
      <w:r>
        <w:rPr>
          <w:rFonts w:ascii="Arial" w:cs="Arial" w:eastAsia="Arial" w:hAnsi="Arial"/>
          <w:sz w:val="19"/>
          <w:szCs w:val="19"/>
          <w:i w:val="1"/>
          <w:iCs w:val="1"/>
          <w:color w:val="auto"/>
        </w:rPr>
        <w:t>Conditions to Legal or Covenant Defeasance.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180" w:lineRule="exact"/>
        <w:rPr>
          <w:sz w:val="20"/>
          <w:szCs w:val="20"/>
          <w:color w:val="auto"/>
        </w:rPr>
      </w:pPr>
    </w:p>
    <w:p>
      <w:pPr>
        <w:jc w:val="both"/>
        <w:ind w:firstLine="637"/>
        <w:spacing w:after="0" w:line="218" w:lineRule="auto"/>
        <w:tabs>
          <w:tab w:leader="none" w:pos="126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w:t>
      </w:r>
    </w:p>
    <w:p>
      <w:pPr>
        <w:spacing w:after="0" w:line="157"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Issue Date, there has been a change in the applicable United States federal income tax law, in either case to the effect that, and based thereon such Opinion of Counsel shall confirm that, the Holders of the outstanding Notes shall not recognize income, gain or loss for United States federal income tax purposes as a result of such Legal Defeasance and shall be subject to United States federal income tax on the same amounts, in the same manner and at the same times as would have been the case if such Legal Defeasance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240"/>
          </w:cols>
          <w:pgMar w:left="320" w:top="1368" w:right="339" w:bottom="1440" w:gutter="0" w:footer="0" w:header="0"/>
        </w:sectPr>
      </w:pPr>
    </w:p>
    <w:bookmarkStart w:id="76" w:name="page77"/>
    <w:bookmarkEnd w:id="76"/>
    <w:p>
      <w:pPr>
        <w:jc w:val="both"/>
        <w:ind w:firstLine="637"/>
        <w:spacing w:after="0" w:line="220" w:lineRule="auto"/>
        <w:tabs>
          <w:tab w:leader="none" w:pos="126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in the case of an election under Section 8.03 hereof, the Issuers have delivered to the Trustee an Opinion of Counsel reasonably acceptable to the Trustee confirming that the Holders of the outstanding Notes shall not recognize income, gain or loss for United States federal income tax purposes as a result of such Covenant Defeasance and shall be subject to United States federal income tax on the same amounts, in the same manner and at the same times as would have been the case if such Covenant Defeasance had not occurred;</w:t>
      </w:r>
    </w:p>
    <w:p>
      <w:pPr>
        <w:spacing w:after="0" w:line="156" w:lineRule="exact"/>
        <w:rPr>
          <w:rFonts w:ascii="Arial" w:cs="Arial" w:eastAsia="Arial" w:hAnsi="Arial"/>
          <w:sz w:val="21"/>
          <w:szCs w:val="21"/>
          <w:color w:val="auto"/>
        </w:rPr>
      </w:pPr>
    </w:p>
    <w:p>
      <w:pPr>
        <w:jc w:val="both"/>
        <w:ind w:firstLine="637"/>
        <w:spacing w:after="0" w:line="223" w:lineRule="auto"/>
        <w:tabs>
          <w:tab w:leader="none" w:pos="1259"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55" w:lineRule="exact"/>
        <w:rPr>
          <w:rFonts w:ascii="Arial" w:cs="Arial" w:eastAsia="Arial" w:hAnsi="Arial"/>
          <w:sz w:val="21"/>
          <w:szCs w:val="21"/>
          <w:color w:val="auto"/>
        </w:rPr>
      </w:pPr>
    </w:p>
    <w:p>
      <w:pPr>
        <w:jc w:val="both"/>
        <w:ind w:firstLine="637"/>
        <w:spacing w:after="0" w:line="228" w:lineRule="auto"/>
        <w:tabs>
          <w:tab w:leader="none" w:pos="126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such Legal Defeasance or Covenant Defeasance shall not result in a breach or violation of, or constitute a default under any material agreement or instrument (other than this Indenture) to which either Issuer or any Guarantor is a party or by which any such Person is bound;</w:t>
      </w:r>
    </w:p>
    <w:p>
      <w:pPr>
        <w:spacing w:after="0" w:line="153" w:lineRule="exact"/>
        <w:rPr>
          <w:rFonts w:ascii="Arial" w:cs="Arial" w:eastAsia="Arial" w:hAnsi="Arial"/>
          <w:sz w:val="21"/>
          <w:szCs w:val="21"/>
          <w:color w:val="auto"/>
        </w:rPr>
      </w:pPr>
    </w:p>
    <w:p>
      <w:pPr>
        <w:jc w:val="both"/>
        <w:ind w:firstLine="637"/>
        <w:spacing w:after="0" w:line="220" w:lineRule="auto"/>
        <w:tabs>
          <w:tab w:leader="none" w:pos="1263" w:val="left"/>
        </w:tabs>
        <w:numPr>
          <w:ilvl w:val="0"/>
          <w:numId w:val="119"/>
        </w:numPr>
        <w:rPr>
          <w:rFonts w:ascii="Arial" w:cs="Arial" w:eastAsia="Arial" w:hAnsi="Arial"/>
          <w:sz w:val="21"/>
          <w:szCs w:val="21"/>
          <w:color w:val="auto"/>
        </w:rPr>
      </w:pPr>
      <w:r>
        <w:rPr>
          <w:rFonts w:ascii="Arial" w:cs="Arial" w:eastAsia="Arial" w:hAnsi="Arial"/>
          <w:sz w:val="21"/>
          <w:szCs w:val="21"/>
          <w:color w:val="auto"/>
        </w:rPr>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w:t>
      </w:r>
    </w:p>
    <w:p>
      <w:pPr>
        <w:spacing w:after="0" w:line="156"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53" w:lineRule="exact"/>
        <w:rPr>
          <w:rFonts w:ascii="Arial" w:cs="Arial" w:eastAsia="Arial" w:hAnsi="Arial"/>
          <w:sz w:val="21"/>
          <w:szCs w:val="21"/>
          <w:color w:val="auto"/>
        </w:rPr>
      </w:pPr>
    </w:p>
    <w:p>
      <w:pPr>
        <w:ind w:firstLine="637"/>
        <w:spacing w:after="0" w:line="237" w:lineRule="auto"/>
        <w:tabs>
          <w:tab w:leader="none" w:pos="1259"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8.05</w:t>
      </w:r>
      <w:r>
        <w:rPr>
          <w:sz w:val="20"/>
          <w:szCs w:val="20"/>
          <w:color w:val="auto"/>
        </w:rPr>
        <w:tab/>
      </w:r>
      <w:r>
        <w:rPr>
          <w:rFonts w:ascii="Arial" w:cs="Arial" w:eastAsia="Arial" w:hAnsi="Arial"/>
          <w:sz w:val="19"/>
          <w:szCs w:val="19"/>
          <w:i w:val="1"/>
          <w:iCs w:val="1"/>
          <w:color w:val="auto"/>
        </w:rPr>
        <w:t>Deposited Money and Government Securities to be Held in Trust; Other Miscellaneous Provisions.</w:t>
      </w:r>
    </w:p>
    <w:p>
      <w:pPr>
        <w:spacing w:after="0" w:line="180"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color w:val="auto"/>
        </w:rPr>
        <w:t>Subject to Section 8.06 hereof, all money and Government Securities (including the proceeds thereof) deposited with the Trustee (or other qualifying trustee, collectively for purposes of this Section 8.05, the “</w:t>
      </w:r>
      <w:r>
        <w:rPr>
          <w:rFonts w:ascii="Arial" w:cs="Arial" w:eastAsia="Arial" w:hAnsi="Arial"/>
          <w:sz w:val="19"/>
          <w:szCs w:val="19"/>
          <w:u w:val="single" w:color="auto"/>
          <w:color w:val="auto"/>
        </w:rPr>
        <w:t>Trustee</w:t>
      </w:r>
      <w:r>
        <w:rPr>
          <w:rFonts w:ascii="Arial" w:cs="Arial" w:eastAsia="Arial" w:hAnsi="Arial"/>
          <w:sz w:val="19"/>
          <w:szCs w:val="19"/>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52"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240"/>
          </w:cols>
          <w:pgMar w:left="320" w:top="1368" w:right="339" w:bottom="1440" w:gutter="0" w:footer="0" w:header="0"/>
        </w:sectPr>
      </w:pPr>
    </w:p>
    <w:bookmarkStart w:id="77" w:name="page78"/>
    <w:bookmarkEnd w:id="77"/>
    <w:p>
      <w:pPr>
        <w:jc w:val="both"/>
        <w:ind w:firstLine="632"/>
        <w:spacing w:after="0" w:line="244"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8.06</w:t>
      </w:r>
      <w:r>
        <w:rPr>
          <w:sz w:val="20"/>
          <w:szCs w:val="20"/>
          <w:color w:val="auto"/>
        </w:rPr>
        <w:tab/>
      </w:r>
      <w:r>
        <w:rPr>
          <w:rFonts w:ascii="Arial" w:cs="Arial" w:eastAsia="Arial" w:hAnsi="Arial"/>
          <w:sz w:val="18"/>
          <w:szCs w:val="18"/>
          <w:i w:val="1"/>
          <w:iCs w:val="1"/>
          <w:color w:val="auto"/>
        </w:rPr>
        <w:t>Repayment to Issuers.</w:t>
      </w:r>
    </w:p>
    <w:p>
      <w:pPr>
        <w:spacing w:after="0" w:line="180"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21"/>
          <w:szCs w:val="21"/>
          <w:color w:val="auto"/>
        </w:rPr>
        <w:t>Subject to escheatment law, any money deposited with the Trustee or any Paying Agent, or then held by the Issuers, in trust for the payment of the principal of, premium, if any, or interest on any Note and remaining unclaimed for two years after such principal, premium,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8.07</w:t>
      </w:r>
      <w:r>
        <w:rPr>
          <w:sz w:val="20"/>
          <w:szCs w:val="20"/>
          <w:color w:val="auto"/>
        </w:rPr>
        <w:tab/>
      </w:r>
      <w:r>
        <w:rPr>
          <w:rFonts w:ascii="Arial" w:cs="Arial" w:eastAsia="Arial" w:hAnsi="Arial"/>
          <w:sz w:val="18"/>
          <w:szCs w:val="18"/>
          <w:i w:val="1"/>
          <w:iCs w:val="1"/>
          <w:color w:val="auto"/>
        </w:rPr>
        <w:t>Reinstatement.</w:t>
      </w:r>
    </w:p>
    <w:p>
      <w:pPr>
        <w:spacing w:after="0" w:line="180" w:lineRule="exact"/>
        <w:rPr>
          <w:sz w:val="20"/>
          <w:szCs w:val="20"/>
          <w:color w:val="auto"/>
        </w:rPr>
      </w:pPr>
    </w:p>
    <w:p>
      <w:pPr>
        <w:jc w:val="both"/>
        <w:ind w:firstLine="632"/>
        <w:spacing w:after="0" w:line="235" w:lineRule="auto"/>
        <w:rPr>
          <w:sz w:val="20"/>
          <w:szCs w:val="20"/>
          <w:color w:val="auto"/>
        </w:rPr>
      </w:pPr>
      <w:r>
        <w:rPr>
          <w:rFonts w:ascii="Arial" w:cs="Arial" w:eastAsia="Arial" w:hAnsi="Arial"/>
          <w:sz w:val="19"/>
          <w:szCs w:val="19"/>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and the Note Guarantee shall be revived and reinstated as though no deposit had occurred pursuant to Section 8.02 or 8.03 hereof until such time as the Trustee or Paying Agent is permitted to apply all such money in accordance with Section</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8.02 or 8.03 hereof, as the case may be; provided, however, that, if the Issuers make any payment of principal of, premium, if any, or interest on any Note following the reinstatement of its obligations, the Issuers shall subrogated to the rights of the Holders of such Notes to receive such payment from the money held by the Trustee or Paying Agent.</w:t>
      </w:r>
    </w:p>
    <w:p>
      <w:pPr>
        <w:spacing w:after="0" w:line="359"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9.</w:t>
      </w:r>
    </w:p>
    <w:p>
      <w:pPr>
        <w:spacing w:after="0" w:line="180" w:lineRule="exact"/>
        <w:rPr>
          <w:sz w:val="20"/>
          <w:szCs w:val="20"/>
          <w:color w:val="auto"/>
        </w:rPr>
      </w:pPr>
    </w:p>
    <w:p>
      <w:pPr>
        <w:ind w:left="3600"/>
        <w:spacing w:after="0"/>
        <w:rPr>
          <w:sz w:val="20"/>
          <w:szCs w:val="20"/>
          <w:color w:val="auto"/>
        </w:rPr>
      </w:pPr>
      <w:r>
        <w:rPr>
          <w:rFonts w:ascii="Arial" w:cs="Arial" w:eastAsia="Arial" w:hAnsi="Arial"/>
          <w:sz w:val="21"/>
          <w:szCs w:val="21"/>
          <w:b w:val="1"/>
          <w:bCs w:val="1"/>
          <w:color w:val="auto"/>
        </w:rPr>
        <w:t>AMENDMENT, SUPPLEMENT AND WAIVER</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9.01</w:t>
      </w:r>
      <w:r>
        <w:rPr>
          <w:sz w:val="20"/>
          <w:szCs w:val="20"/>
          <w:color w:val="auto"/>
        </w:rPr>
        <w:tab/>
      </w:r>
      <w:r>
        <w:rPr>
          <w:rFonts w:ascii="Arial" w:cs="Arial" w:eastAsia="Arial" w:hAnsi="Arial"/>
          <w:sz w:val="19"/>
          <w:szCs w:val="19"/>
          <w:i w:val="1"/>
          <w:iCs w:val="1"/>
          <w:color w:val="auto"/>
        </w:rPr>
        <w:t>Without Consent of Holders of Notes.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Notwithstanding Section 9.02 of this Indenture, without the consent of any Holder, the Issuers, the Guarantors and the</w:t>
      </w:r>
    </w:p>
    <w:p>
      <w:pPr>
        <w:spacing w:after="0"/>
        <w:rPr>
          <w:sz w:val="20"/>
          <w:szCs w:val="20"/>
          <w:color w:val="auto"/>
        </w:rPr>
      </w:pPr>
      <w:r>
        <w:rPr>
          <w:rFonts w:ascii="Arial" w:cs="Arial" w:eastAsia="Arial" w:hAnsi="Arial"/>
          <w:sz w:val="21"/>
          <w:szCs w:val="21"/>
          <w:color w:val="auto"/>
        </w:rPr>
        <w:t>Trustee may amend or supplement this Indenture, the Notes or the Note Guarantees to:</w:t>
      </w:r>
    </w:p>
    <w:p>
      <w:pPr>
        <w:spacing w:after="0" w:line="162" w:lineRule="exact"/>
        <w:rPr>
          <w:sz w:val="20"/>
          <w:szCs w:val="20"/>
          <w:color w:val="auto"/>
        </w:rPr>
      </w:pPr>
    </w:p>
    <w:p>
      <w:pPr>
        <w:ind w:left="1260" w:hanging="623"/>
        <w:spacing w:after="0"/>
        <w:tabs>
          <w:tab w:leader="none" w:pos="12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cure any ambiguity, defect or inconsistency;</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provide for uncertificated Notes in addition to or in place of certificated Notes;</w:t>
      </w:r>
    </w:p>
    <w:p>
      <w:pPr>
        <w:spacing w:after="0" w:line="179" w:lineRule="exact"/>
        <w:rPr>
          <w:rFonts w:ascii="Arial" w:cs="Arial" w:eastAsia="Arial" w:hAnsi="Arial"/>
          <w:sz w:val="21"/>
          <w:szCs w:val="21"/>
          <w:color w:val="auto"/>
        </w:rPr>
      </w:pPr>
    </w:p>
    <w:p>
      <w:pPr>
        <w:jc w:val="both"/>
        <w:ind w:firstLine="637"/>
        <w:spacing w:after="0" w:line="239" w:lineRule="auto"/>
        <w:tabs>
          <w:tab w:leader="none" w:pos="12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Wynn Resorts Finance’s or such Guarantor’s assets pursuant to Article 5 or Article 11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240"/>
          </w:cols>
          <w:pgMar w:left="320" w:top="1368" w:right="339" w:bottom="1440" w:gutter="0" w:footer="0" w:header="0"/>
        </w:sectPr>
      </w:pPr>
    </w:p>
    <w:bookmarkStart w:id="78" w:name="page79"/>
    <w:bookmarkEnd w:id="78"/>
    <w:p>
      <w:pPr>
        <w:ind w:firstLine="637"/>
        <w:spacing w:after="0" w:line="237" w:lineRule="auto"/>
        <w:tabs>
          <w:tab w:leader="none" w:pos="1259" w:val="left"/>
        </w:tabs>
        <w:numPr>
          <w:ilvl w:val="0"/>
          <w:numId w:val="121"/>
        </w:numPr>
        <w:rPr>
          <w:rFonts w:ascii="Arial" w:cs="Arial" w:eastAsia="Arial" w:hAnsi="Arial"/>
          <w:sz w:val="21"/>
          <w:szCs w:val="21"/>
          <w:color w:val="auto"/>
        </w:rPr>
      </w:pPr>
      <w:r>
        <w:rPr>
          <w:rFonts w:ascii="Arial" w:cs="Arial" w:eastAsia="Arial" w:hAnsi="Arial"/>
          <w:sz w:val="21"/>
          <w:szCs w:val="21"/>
          <w:color w:val="auto"/>
        </w:rPr>
        <w:t>make any change that would provide any additional rights or benefits to the Holders of the Notes or that does not adversely affect the legal rights hereunder of any such Holder;</w:t>
      </w:r>
    </w:p>
    <w:p>
      <w:pPr>
        <w:spacing w:after="0" w:line="154" w:lineRule="exact"/>
        <w:rPr>
          <w:rFonts w:ascii="Arial" w:cs="Arial" w:eastAsia="Arial" w:hAnsi="Arial"/>
          <w:sz w:val="21"/>
          <w:szCs w:val="21"/>
          <w:color w:val="auto"/>
        </w:rPr>
      </w:pPr>
    </w:p>
    <w:p>
      <w:pPr>
        <w:jc w:val="both"/>
        <w:ind w:firstLine="637"/>
        <w:spacing w:after="0" w:line="234" w:lineRule="auto"/>
        <w:tabs>
          <w:tab w:leader="none" w:pos="12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conform the text of this Indenture, the Notes or the Note Guarantees to any provision of the “Description of the Notes” in the Issuers’ Offering Memorandum, dated as of February 9, 2023, relating to the offering of the Initial Notes, to the extent that such provision in the “Description of the Notes” was intended to be a verbatim recitation of a provision of this Indenture, the Notes or the Note Guarantees, which intent may be evidenced by an Officers’ Certificate to that effect;</w:t>
      </w:r>
    </w:p>
    <w:p>
      <w:pPr>
        <w:spacing w:after="0" w:line="155" w:lineRule="exact"/>
        <w:rPr>
          <w:rFonts w:ascii="Arial" w:cs="Arial" w:eastAsia="Arial" w:hAnsi="Arial"/>
          <w:sz w:val="20"/>
          <w:szCs w:val="20"/>
          <w:color w:val="auto"/>
        </w:rPr>
      </w:pPr>
    </w:p>
    <w:p>
      <w:pPr>
        <w:ind w:left="1260" w:hanging="623"/>
        <w:spacing w:after="0"/>
        <w:tabs>
          <w:tab w:leader="none" w:pos="126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to release the Note Guarantee of a Guarantor in accordance with the terms of this Indenture;</w:t>
      </w:r>
    </w:p>
    <w:p>
      <w:pPr>
        <w:spacing w:after="0" w:line="178" w:lineRule="exact"/>
        <w:rPr>
          <w:rFonts w:ascii="Arial" w:cs="Arial" w:eastAsia="Arial" w:hAnsi="Arial"/>
          <w:sz w:val="21"/>
          <w:szCs w:val="21"/>
          <w:color w:val="auto"/>
        </w:rPr>
      </w:pPr>
    </w:p>
    <w:p>
      <w:pPr>
        <w:ind w:left="1260" w:hanging="623"/>
        <w:spacing w:after="0"/>
        <w:tabs>
          <w:tab w:leader="none" w:pos="12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provide for the issuance of Additional Notes in accordance with the limitations set forth in this Indenture as of the</w:t>
      </w:r>
    </w:p>
    <w:p>
      <w:pPr>
        <w:spacing w:after="0"/>
        <w:rPr>
          <w:rFonts w:ascii="Arial" w:cs="Arial" w:eastAsia="Arial" w:hAnsi="Arial"/>
          <w:sz w:val="20"/>
          <w:szCs w:val="20"/>
          <w:color w:val="auto"/>
        </w:rPr>
      </w:pPr>
      <w:r>
        <w:rPr>
          <w:rFonts w:ascii="Arial" w:cs="Arial" w:eastAsia="Arial" w:hAnsi="Arial"/>
          <w:sz w:val="21"/>
          <w:szCs w:val="21"/>
          <w:color w:val="auto"/>
        </w:rPr>
        <w:t>Issue Date;</w:t>
      </w:r>
    </w:p>
    <w:p>
      <w:pPr>
        <w:spacing w:after="0" w:line="161" w:lineRule="exact"/>
        <w:rPr>
          <w:rFonts w:ascii="Arial" w:cs="Arial" w:eastAsia="Arial" w:hAnsi="Arial"/>
          <w:sz w:val="20"/>
          <w:szCs w:val="20"/>
          <w:color w:val="auto"/>
        </w:rPr>
      </w:pPr>
    </w:p>
    <w:p>
      <w:pPr>
        <w:ind w:left="1260" w:hanging="623"/>
        <w:spacing w:after="0"/>
        <w:tabs>
          <w:tab w:leader="none" w:pos="12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allow any Guarantor to execute a supplemental indenture and/or a Note Guarantee with respect to the Notes;</w:t>
      </w:r>
    </w:p>
    <w:p>
      <w:pPr>
        <w:spacing w:after="0" w:line="191" w:lineRule="exact"/>
        <w:rPr>
          <w:rFonts w:ascii="Arial" w:cs="Arial" w:eastAsia="Arial" w:hAnsi="Arial"/>
          <w:sz w:val="20"/>
          <w:szCs w:val="20"/>
          <w:color w:val="auto"/>
        </w:rPr>
      </w:pPr>
    </w:p>
    <w:p>
      <w:pPr>
        <w:ind w:firstLine="637"/>
        <w:spacing w:after="0" w:line="237" w:lineRule="auto"/>
        <w:tabs>
          <w:tab w:leader="none" w:pos="1251"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to comply with requirements of the SEC in order to effect or maintain the qualification of this Indenture under the Trust Indenture Act, if then applicable;</w:t>
      </w:r>
    </w:p>
    <w:p>
      <w:pPr>
        <w:spacing w:after="0" w:line="154" w:lineRule="exact"/>
        <w:rPr>
          <w:rFonts w:ascii="Arial" w:cs="Arial" w:eastAsia="Arial" w:hAnsi="Arial"/>
          <w:sz w:val="21"/>
          <w:szCs w:val="21"/>
          <w:color w:val="auto"/>
        </w:rPr>
      </w:pPr>
    </w:p>
    <w:p>
      <w:pPr>
        <w:ind w:firstLine="637"/>
        <w:spacing w:after="0" w:line="237" w:lineRule="auto"/>
        <w:tabs>
          <w:tab w:leader="none" w:pos="1251"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to comply with requirements of applicable Gaming Laws or to provide for requirements imposed by applicable Gaming Authorities;</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to provide for the acceptance or appointment of a successor trustee; or</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provide for the Notes to become secured.</w:t>
      </w:r>
    </w:p>
    <w:p>
      <w:pPr>
        <w:spacing w:after="0" w:line="180"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57"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color w:val="auto"/>
        </w:rPr>
        <w:t>Section 1.01</w:t>
      </w:r>
      <w:r>
        <w:rPr>
          <w:sz w:val="20"/>
          <w:szCs w:val="20"/>
          <w:color w:val="auto"/>
        </w:rPr>
        <w:tab/>
      </w:r>
      <w:r>
        <w:rPr>
          <w:rFonts w:ascii="Arial" w:cs="Arial" w:eastAsia="Arial" w:hAnsi="Arial"/>
          <w:sz w:val="19"/>
          <w:szCs w:val="19"/>
          <w:i w:val="1"/>
          <w:iCs w:val="1"/>
          <w:color w:val="auto"/>
        </w:rPr>
        <w:t>With Consent of Holders of Notes.</w:t>
      </w:r>
    </w:p>
    <w:p>
      <w:pPr>
        <w:spacing w:after="0" w:line="180" w:lineRule="exact"/>
        <w:rPr>
          <w:sz w:val="20"/>
          <w:szCs w:val="20"/>
          <w:color w:val="auto"/>
        </w:rPr>
      </w:pPr>
    </w:p>
    <w:p>
      <w:pPr>
        <w:jc w:val="both"/>
        <w:ind w:firstLine="632"/>
        <w:spacing w:after="0" w:line="226" w:lineRule="auto"/>
        <w:rPr>
          <w:sz w:val="20"/>
          <w:szCs w:val="20"/>
          <w:color w:val="auto"/>
        </w:rPr>
      </w:pPr>
      <w:r>
        <w:rPr>
          <w:rFonts w:ascii="Arial" w:cs="Arial" w:eastAsia="Arial" w:hAnsi="Arial"/>
          <w:sz w:val="20"/>
          <w:szCs w:val="20"/>
          <w:color w:val="auto"/>
        </w:rPr>
        <w:t>Except as provided below in this Section 9.02, the Issuers, the Guarantors and the Trustee may amend or supplement this Indenture (including, without limitation, Section 4.11 hereof), the Notes and the Note Guarantees,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Notes or the Note Guarantees, may be waived with the consent of the Holders of a majority in aggregate principal amount of the then outstanding Notes (including, without limitation, Additional Notes, if any) voting as a single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240"/>
          </w:cols>
          <w:pgMar w:left="320" w:top="1368" w:right="339" w:bottom="1440" w:gutter="0" w:footer="0" w:header="0"/>
        </w:sectPr>
      </w:pPr>
    </w:p>
    <w:bookmarkStart w:id="79" w:name="page80"/>
    <w:bookmarkEnd w:id="79"/>
    <w:p>
      <w:pPr>
        <w:jc w:val="both"/>
        <w:spacing w:after="0" w:line="237" w:lineRule="auto"/>
        <w:rPr>
          <w:sz w:val="20"/>
          <w:szCs w:val="20"/>
          <w:color w:val="auto"/>
        </w:rPr>
      </w:pPr>
      <w:r>
        <w:rPr>
          <w:rFonts w:ascii="Arial" w:cs="Arial" w:eastAsia="Arial" w:hAnsi="Arial"/>
          <w:sz w:val="21"/>
          <w:szCs w:val="21"/>
          <w:color w:val="auto"/>
        </w:rPr>
        <w:t>class (including, without limitation, consents obtained in connection with purchase of, or a tender offer or exchange offer for, the Notes).</w:t>
      </w:r>
    </w:p>
    <w:p>
      <w:pPr>
        <w:spacing w:after="0" w:line="155"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52"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155" w:lineRule="exact"/>
        <w:rPr>
          <w:sz w:val="20"/>
          <w:szCs w:val="20"/>
          <w:color w:val="auto"/>
        </w:rPr>
      </w:pPr>
    </w:p>
    <w:p>
      <w:pPr>
        <w:jc w:val="both"/>
        <w:ind w:firstLine="632"/>
        <w:spacing w:after="0" w:line="216" w:lineRule="auto"/>
        <w:rPr>
          <w:sz w:val="20"/>
          <w:szCs w:val="20"/>
          <w:color w:val="auto"/>
        </w:rPr>
      </w:pPr>
      <w:r>
        <w:rPr>
          <w:rFonts w:ascii="Arial" w:cs="Arial" w:eastAsia="Arial" w:hAnsi="Arial"/>
          <w:sz w:val="21"/>
          <w:szCs w:val="21"/>
          <w:color w:val="auto"/>
        </w:rPr>
        <w:t>After an amendment, supplement or waiver under this Section 9.02 becomes effective, the Issuers shall deliver to the Holders of Notes affected thereby a notice briefly describing the amendment, supplement or waiver. Any failure of the Issuers to deliver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an amendment, supplement or waiver under this Section 9.02 may not (with respect to any Notes held by a non-consenting Holder):</w:t>
      </w:r>
    </w:p>
    <w:p>
      <w:pPr>
        <w:spacing w:after="0" w:line="156" w:lineRule="exact"/>
        <w:rPr>
          <w:sz w:val="20"/>
          <w:szCs w:val="20"/>
          <w:color w:val="auto"/>
        </w:rPr>
      </w:pPr>
    </w:p>
    <w:p>
      <w:pPr>
        <w:ind w:left="1260" w:hanging="623"/>
        <w:spacing w:after="0"/>
        <w:tabs>
          <w:tab w:leader="none" w:pos="12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reduce the principal amount of Notes whose Holders must consent to an amendment, supplement or waiver;</w:t>
      </w:r>
    </w:p>
    <w:p>
      <w:pPr>
        <w:spacing w:after="0" w:line="191" w:lineRule="exact"/>
        <w:rPr>
          <w:rFonts w:ascii="Arial" w:cs="Arial" w:eastAsia="Arial" w:hAnsi="Arial"/>
          <w:sz w:val="20"/>
          <w:szCs w:val="20"/>
          <w:color w:val="auto"/>
        </w:rPr>
      </w:pPr>
    </w:p>
    <w:p>
      <w:pPr>
        <w:ind w:firstLine="637"/>
        <w:spacing w:after="0" w:line="237" w:lineRule="auto"/>
        <w:tabs>
          <w:tab w:leader="none" w:pos="1259" w:val="left"/>
        </w:tabs>
        <w:numPr>
          <w:ilvl w:val="0"/>
          <w:numId w:val="122"/>
        </w:numPr>
        <w:rPr>
          <w:rFonts w:ascii="Arial" w:cs="Arial" w:eastAsia="Arial" w:hAnsi="Arial"/>
          <w:sz w:val="21"/>
          <w:szCs w:val="21"/>
          <w:color w:val="auto"/>
        </w:rPr>
      </w:pPr>
      <w:r>
        <w:rPr>
          <w:rFonts w:ascii="Arial" w:cs="Arial" w:eastAsia="Arial" w:hAnsi="Arial"/>
          <w:sz w:val="21"/>
          <w:szCs w:val="21"/>
          <w:color w:val="auto"/>
        </w:rPr>
        <w:t>reduce the principal of or change the fixed maturity of any Note or alter or waive any of the provisions with respect to the redemption of the Notes, except as provided above with respect to Section 4.11 hereof;</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reduce the rate of or change the time for payment of interest, including default interest, on any Note;</w:t>
      </w:r>
    </w:p>
    <w:p>
      <w:pPr>
        <w:spacing w:after="0" w:line="179"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122"/>
        </w:numPr>
        <w:rPr>
          <w:rFonts w:ascii="Arial" w:cs="Arial" w:eastAsia="Arial" w:hAnsi="Arial"/>
          <w:sz w:val="21"/>
          <w:szCs w:val="21"/>
          <w:color w:val="auto"/>
        </w:rPr>
      </w:pPr>
      <w:r>
        <w:rPr>
          <w:rFonts w:ascii="Arial" w:cs="Arial" w:eastAsia="Arial" w:hAnsi="Arial"/>
          <w:sz w:val="21"/>
          <w:szCs w:val="21"/>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53" w:lineRule="exact"/>
        <w:rPr>
          <w:rFonts w:ascii="Arial" w:cs="Arial" w:eastAsia="Arial" w:hAnsi="Arial"/>
          <w:sz w:val="21"/>
          <w:szCs w:val="21"/>
          <w:color w:val="auto"/>
        </w:rPr>
      </w:pPr>
    </w:p>
    <w:p>
      <w:pPr>
        <w:ind w:left="1260" w:hanging="623"/>
        <w:spacing w:after="0"/>
        <w:tabs>
          <w:tab w:leader="none" w:pos="12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make any Note payable in money other than that stated in the Notes;</w:t>
      </w:r>
    </w:p>
    <w:p>
      <w:pPr>
        <w:spacing w:after="0" w:line="179" w:lineRule="exact"/>
        <w:rPr>
          <w:rFonts w:ascii="Arial" w:cs="Arial" w:eastAsia="Arial" w:hAnsi="Arial"/>
          <w:sz w:val="21"/>
          <w:szCs w:val="21"/>
          <w:color w:val="auto"/>
        </w:rPr>
      </w:pPr>
    </w:p>
    <w:p>
      <w:pPr>
        <w:ind w:firstLine="637"/>
        <w:spacing w:after="0" w:line="237" w:lineRule="auto"/>
        <w:tabs>
          <w:tab w:leader="none" w:pos="1263" w:val="left"/>
        </w:tabs>
        <w:numPr>
          <w:ilvl w:val="0"/>
          <w:numId w:val="122"/>
        </w:numPr>
        <w:rPr>
          <w:rFonts w:ascii="Arial" w:cs="Arial" w:eastAsia="Arial" w:hAnsi="Arial"/>
          <w:sz w:val="21"/>
          <w:szCs w:val="21"/>
          <w:color w:val="auto"/>
        </w:rPr>
      </w:pPr>
      <w:r>
        <w:rPr>
          <w:rFonts w:ascii="Arial" w:cs="Arial" w:eastAsia="Arial" w:hAnsi="Arial"/>
          <w:sz w:val="21"/>
          <w:szCs w:val="21"/>
          <w:color w:val="auto"/>
        </w:rPr>
        <w:t>make any change in the provisions of this Indenture relating to waivers of past Defaults or the rights of Holders of Notes to receive payments of principal of, or interest or premium, if any, on the Notes;</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waive a redemption payment with respect to any Note (other than a payment required by Sections 4.11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240"/>
          </w:cols>
          <w:pgMar w:left="320" w:top="1368" w:right="339" w:bottom="1440" w:gutter="0" w:footer="0" w:header="0"/>
        </w:sectPr>
      </w:pPr>
    </w:p>
    <w:bookmarkStart w:id="80" w:name="page81"/>
    <w:bookmarkEnd w:id="80"/>
    <w:p>
      <w:pPr>
        <w:jc w:val="both"/>
        <w:ind w:firstLine="637"/>
        <w:spacing w:after="0" w:line="228" w:lineRule="auto"/>
        <w:tabs>
          <w:tab w:leader="none" w:pos="1259"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amend or modify any Note Guarantee in a manner that would adversely affect the holders of the Notes or release any Guarantor from any of its obligations under its Note Guarantee or this Indenture (except in accordance with the terms of this Indenture); or</w:t>
      </w:r>
    </w:p>
    <w:p>
      <w:pPr>
        <w:spacing w:after="0" w:line="153" w:lineRule="exact"/>
        <w:rPr>
          <w:rFonts w:ascii="Arial" w:cs="Arial" w:eastAsia="Arial" w:hAnsi="Arial"/>
          <w:sz w:val="21"/>
          <w:szCs w:val="21"/>
          <w:color w:val="auto"/>
        </w:rPr>
      </w:pPr>
    </w:p>
    <w:p>
      <w:pPr>
        <w:ind w:left="1260" w:hanging="623"/>
        <w:spacing w:after="0"/>
        <w:tabs>
          <w:tab w:leader="none" w:pos="126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make any change in the foregoing amendment and waiver provisions.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9.02</w:t>
      </w:r>
      <w:r>
        <w:rPr>
          <w:sz w:val="20"/>
          <w:szCs w:val="20"/>
          <w:color w:val="auto"/>
        </w:rPr>
        <w:tab/>
      </w:r>
      <w:r>
        <w:rPr>
          <w:rFonts w:ascii="Arial" w:cs="Arial" w:eastAsia="Arial" w:hAnsi="Arial"/>
          <w:sz w:val="18"/>
          <w:szCs w:val="18"/>
          <w:i w:val="1"/>
          <w:iCs w:val="1"/>
          <w:color w:val="auto"/>
        </w:rPr>
        <w:t>Revocation and Effect of Consents.</w:t>
      </w:r>
    </w:p>
    <w:p>
      <w:pPr>
        <w:spacing w:after="0" w:line="180"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9.03</w:t>
      </w:r>
      <w:r>
        <w:rPr>
          <w:sz w:val="20"/>
          <w:szCs w:val="20"/>
          <w:color w:val="auto"/>
        </w:rPr>
        <w:tab/>
      </w:r>
      <w:r>
        <w:rPr>
          <w:rFonts w:ascii="Arial" w:cs="Arial" w:eastAsia="Arial" w:hAnsi="Arial"/>
          <w:sz w:val="19"/>
          <w:szCs w:val="19"/>
          <w:i w:val="1"/>
          <w:iCs w:val="1"/>
          <w:color w:val="auto"/>
        </w:rPr>
        <w:t>Notation on or Exchange of Notes.</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Failure to make the appropriate notation or issue a new Note shall not affect the validity and effect of such amendment, supplement or waiver.</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i w:val="1"/>
          <w:iCs w:val="1"/>
          <w:color w:val="auto"/>
        </w:rPr>
        <w:t>Section 9.04</w:t>
      </w:r>
      <w:r>
        <w:rPr>
          <w:sz w:val="20"/>
          <w:szCs w:val="20"/>
          <w:color w:val="auto"/>
        </w:rPr>
        <w:tab/>
      </w:r>
      <w:r>
        <w:rPr>
          <w:rFonts w:ascii="Arial" w:cs="Arial" w:eastAsia="Arial" w:hAnsi="Arial"/>
          <w:sz w:val="18"/>
          <w:szCs w:val="18"/>
          <w:i w:val="1"/>
          <w:iCs w:val="1"/>
          <w:color w:val="auto"/>
        </w:rPr>
        <w:t>Trustee to Sign Amendments, etc.</w:t>
      </w:r>
    </w:p>
    <w:p>
      <w:pPr>
        <w:spacing w:after="0" w:line="180" w:lineRule="exact"/>
        <w:rPr>
          <w:sz w:val="20"/>
          <w:szCs w:val="20"/>
          <w:color w:val="auto"/>
        </w:rPr>
      </w:pPr>
    </w:p>
    <w:p>
      <w:pPr>
        <w:jc w:val="both"/>
        <w:ind w:firstLine="632"/>
        <w:spacing w:after="0" w:line="227" w:lineRule="auto"/>
        <w:rPr>
          <w:sz w:val="20"/>
          <w:szCs w:val="20"/>
          <w:color w:val="auto"/>
        </w:rPr>
      </w:pPr>
      <w:r>
        <w:rPr>
          <w:rFonts w:ascii="Arial" w:cs="Arial" w:eastAsia="Arial" w:hAnsi="Arial"/>
          <w:sz w:val="20"/>
          <w:szCs w:val="20"/>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14.02 hereof, an Officers’ Certificate and an Opinion of Counsel stating that the execution of such amended or supplemental indenture is authorized or permitted by this Indenture and an Opinion of Counsel stating that the supplemental indenture is a valid and binding obligation of the Issuers, enforceable against each of them in accordance with its terms.</w:t>
      </w:r>
    </w:p>
    <w:p>
      <w:pPr>
        <w:spacing w:after="0" w:line="359"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10.</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240"/>
          </w:cols>
          <w:pgMar w:left="320" w:top="1368" w:right="339" w:bottom="1440" w:gutter="0" w:footer="0" w:header="0"/>
        </w:sectPr>
      </w:pPr>
    </w:p>
    <w:bookmarkStart w:id="81" w:name="page82"/>
    <w:bookmarkEnd w:id="81"/>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 GUARANTEES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Section 11.01 Note Guarantee.</w:t>
      </w:r>
    </w:p>
    <w:p>
      <w:pPr>
        <w:spacing w:after="0" w:line="180" w:lineRule="exact"/>
        <w:rPr>
          <w:sz w:val="20"/>
          <w:szCs w:val="20"/>
          <w:color w:val="auto"/>
        </w:rPr>
      </w:pPr>
    </w:p>
    <w:p>
      <w:pPr>
        <w:jc w:val="both"/>
        <w:ind w:firstLine="637"/>
        <w:spacing w:after="0" w:line="258" w:lineRule="auto"/>
        <w:tabs>
          <w:tab w:leader="none" w:pos="126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Issuers hereunder or thereunder, that:</w:t>
      </w:r>
    </w:p>
    <w:p>
      <w:pPr>
        <w:spacing w:after="0" w:line="137" w:lineRule="exact"/>
        <w:rPr>
          <w:rFonts w:ascii="Arial" w:cs="Arial" w:eastAsia="Arial" w:hAnsi="Arial"/>
          <w:sz w:val="19"/>
          <w:szCs w:val="19"/>
          <w:color w:val="auto"/>
        </w:rPr>
      </w:pPr>
    </w:p>
    <w:p>
      <w:pPr>
        <w:jc w:val="both"/>
        <w:ind w:left="640" w:firstLine="628"/>
        <w:spacing w:after="0" w:line="223" w:lineRule="auto"/>
        <w:tabs>
          <w:tab w:leader="none" w:pos="1899" w:val="left"/>
        </w:tabs>
        <w:numPr>
          <w:ilvl w:val="1"/>
          <w:numId w:val="124"/>
        </w:numPr>
        <w:rPr>
          <w:rFonts w:ascii="Arial" w:cs="Arial" w:eastAsia="Arial" w:hAnsi="Arial"/>
          <w:sz w:val="21"/>
          <w:szCs w:val="21"/>
          <w:color w:val="auto"/>
        </w:rPr>
      </w:pPr>
      <w:r>
        <w:rPr>
          <w:rFonts w:ascii="Arial" w:cs="Arial" w:eastAsia="Arial" w:hAnsi="Arial"/>
          <w:sz w:val="21"/>
          <w:szCs w:val="21"/>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55" w:lineRule="exact"/>
        <w:rPr>
          <w:rFonts w:ascii="Arial" w:cs="Arial" w:eastAsia="Arial" w:hAnsi="Arial"/>
          <w:sz w:val="21"/>
          <w:szCs w:val="21"/>
          <w:color w:val="auto"/>
        </w:rPr>
      </w:pPr>
    </w:p>
    <w:p>
      <w:pPr>
        <w:jc w:val="both"/>
        <w:ind w:left="640" w:firstLine="628"/>
        <w:spacing w:after="0" w:line="228" w:lineRule="auto"/>
        <w:tabs>
          <w:tab w:leader="none" w:pos="1899" w:val="left"/>
        </w:tabs>
        <w:numPr>
          <w:ilvl w:val="1"/>
          <w:numId w:val="124"/>
        </w:numPr>
        <w:rPr>
          <w:rFonts w:ascii="Arial" w:cs="Arial" w:eastAsia="Arial" w:hAnsi="Arial"/>
          <w:sz w:val="21"/>
          <w:szCs w:val="21"/>
          <w:color w:val="auto"/>
        </w:rPr>
      </w:pPr>
      <w:r>
        <w:rPr>
          <w:rFonts w:ascii="Arial" w:cs="Arial" w:eastAsia="Arial" w:hAnsi="Arial"/>
          <w:sz w:val="21"/>
          <w:szCs w:val="21"/>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54"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154" w:lineRule="exact"/>
        <w:rPr>
          <w:sz w:val="20"/>
          <w:szCs w:val="20"/>
          <w:color w:val="auto"/>
        </w:rPr>
      </w:pPr>
    </w:p>
    <w:p>
      <w:pPr>
        <w:jc w:val="both"/>
        <w:ind w:firstLine="637"/>
        <w:spacing w:after="0" w:line="225" w:lineRule="auto"/>
        <w:tabs>
          <w:tab w:leader="none" w:pos="125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54" w:lineRule="exact"/>
        <w:rPr>
          <w:rFonts w:ascii="Arial" w:cs="Arial" w:eastAsia="Arial" w:hAnsi="Arial"/>
          <w:sz w:val="20"/>
          <w:szCs w:val="20"/>
          <w:color w:val="auto"/>
        </w:rPr>
      </w:pPr>
    </w:p>
    <w:p>
      <w:pPr>
        <w:jc w:val="both"/>
        <w:ind w:firstLine="637"/>
        <w:spacing w:after="0" w:line="258" w:lineRule="auto"/>
        <w:tabs>
          <w:tab w:leader="none" w:pos="126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spacing w:after="0" w:line="137" w:lineRule="exact"/>
        <w:rPr>
          <w:rFonts w:ascii="Arial" w:cs="Arial" w:eastAsia="Arial" w:hAnsi="Arial"/>
          <w:sz w:val="19"/>
          <w:szCs w:val="19"/>
          <w:color w:val="auto"/>
        </w:rPr>
      </w:pPr>
    </w:p>
    <w:p>
      <w:pPr>
        <w:jc w:val="both"/>
        <w:ind w:firstLine="637"/>
        <w:spacing w:after="0" w:line="228" w:lineRule="auto"/>
        <w:tabs>
          <w:tab w:leader="none" w:pos="1259" w:val="left"/>
        </w:tabs>
        <w:numPr>
          <w:ilvl w:val="0"/>
          <w:numId w:val="125"/>
        </w:numPr>
        <w:rPr>
          <w:rFonts w:ascii="Arial" w:cs="Arial" w:eastAsia="Arial" w:hAnsi="Arial"/>
          <w:sz w:val="21"/>
          <w:szCs w:val="21"/>
          <w:color w:val="auto"/>
        </w:rPr>
      </w:pPr>
      <w:r>
        <w:rPr>
          <w:rFonts w:ascii="Arial" w:cs="Arial" w:eastAsia="Arial" w:hAnsi="Arial"/>
          <w:sz w:val="21"/>
          <w:szCs w:val="21"/>
          <w:color w:val="auto"/>
        </w:rPr>
        <w:t>Each of the Guarantors agrees that it shall not be entitled to any right of subrogation in relation to the Holders in respect of any obligations guaranteed hereby until payment in full of all obligations guaranteed hereby. Each of the Guarantors further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240"/>
          </w:cols>
          <w:pgMar w:left="320" w:top="1440" w:right="339" w:bottom="1440" w:gutter="0" w:footer="0" w:header="0"/>
        </w:sectPr>
      </w:pPr>
    </w:p>
    <w:bookmarkStart w:id="82" w:name="page83"/>
    <w:bookmarkEnd w:id="82"/>
    <w:p>
      <w:pPr>
        <w:jc w:val="both"/>
        <w:spacing w:after="0" w:line="228" w:lineRule="auto"/>
        <w:rPr>
          <w:sz w:val="20"/>
          <w:szCs w:val="20"/>
          <w:color w:val="auto"/>
        </w:rPr>
      </w:pPr>
      <w:r>
        <w:rPr>
          <w:rFonts w:ascii="Arial" w:cs="Arial" w:eastAsia="Arial" w:hAnsi="Arial"/>
          <w:sz w:val="20"/>
          <w:szCs w:val="20"/>
          <w:color w:val="auto"/>
        </w:rPr>
        <w:t>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55"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11.02</w:t>
      </w:r>
      <w:r>
        <w:rPr>
          <w:sz w:val="20"/>
          <w:szCs w:val="20"/>
          <w:color w:val="auto"/>
        </w:rPr>
        <w:tab/>
      </w:r>
      <w:r>
        <w:rPr>
          <w:rFonts w:ascii="Arial" w:cs="Arial" w:eastAsia="Arial" w:hAnsi="Arial"/>
          <w:sz w:val="20"/>
          <w:szCs w:val="20"/>
          <w:i w:val="1"/>
          <w:iCs w:val="1"/>
          <w:color w:val="auto"/>
        </w:rPr>
        <w:t>Limitation on Guarantor Liability.</w:t>
      </w:r>
    </w:p>
    <w:p>
      <w:pPr>
        <w:spacing w:after="0" w:line="180" w:lineRule="exact"/>
        <w:rPr>
          <w:sz w:val="20"/>
          <w:szCs w:val="20"/>
          <w:color w:val="auto"/>
        </w:rPr>
      </w:pPr>
    </w:p>
    <w:p>
      <w:pPr>
        <w:jc w:val="both"/>
        <w:ind w:firstLine="632"/>
        <w:spacing w:after="0" w:line="226" w:lineRule="auto"/>
        <w:rPr>
          <w:sz w:val="20"/>
          <w:szCs w:val="20"/>
          <w:color w:val="auto"/>
        </w:rPr>
      </w:pPr>
      <w:r>
        <w:rPr>
          <w:rFonts w:ascii="Arial" w:cs="Arial" w:eastAsia="Arial" w:hAnsi="Arial"/>
          <w:sz w:val="20"/>
          <w:szCs w:val="20"/>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56"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11.03</w:t>
      </w:r>
      <w:r>
        <w:rPr>
          <w:sz w:val="20"/>
          <w:szCs w:val="20"/>
          <w:color w:val="auto"/>
        </w:rPr>
        <w:tab/>
      </w:r>
      <w:r>
        <w:rPr>
          <w:rFonts w:ascii="Arial" w:cs="Arial" w:eastAsia="Arial" w:hAnsi="Arial"/>
          <w:sz w:val="19"/>
          <w:szCs w:val="19"/>
          <w:i w:val="1"/>
          <w:iCs w:val="1"/>
          <w:color w:val="auto"/>
        </w:rPr>
        <w:t>Execution and Delivery of Note Guarantee.</w:t>
      </w:r>
    </w:p>
    <w:p>
      <w:pPr>
        <w:spacing w:after="0" w:line="180"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Each of the Guarantors hereby agrees that its Note Guarantee set forth in Section 11.01 shall remain in full force and effect notwithstanding any failure to endorse on each Note a notation of such Note Guarantee.</w:t>
      </w:r>
    </w:p>
    <w:p>
      <w:pPr>
        <w:spacing w:after="0" w:line="155"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20"/>
          <w:szCs w:val="20"/>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37"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The delivery of any Note by the Trustee, after the authentication thereof hereunder, shall constitute due delivery of the Note Guarantee set forth in this Indenture on behalf of the Guarantors.</w:t>
      </w:r>
    </w:p>
    <w:p>
      <w:pPr>
        <w:spacing w:after="0" w:line="155"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11.04</w:t>
      </w:r>
      <w:r>
        <w:rPr>
          <w:sz w:val="20"/>
          <w:szCs w:val="20"/>
          <w:color w:val="auto"/>
        </w:rPr>
        <w:tab/>
      </w:r>
      <w:r>
        <w:rPr>
          <w:rFonts w:ascii="Arial" w:cs="Arial" w:eastAsia="Arial" w:hAnsi="Arial"/>
          <w:sz w:val="19"/>
          <w:szCs w:val="19"/>
          <w:i w:val="1"/>
          <w:iCs w:val="1"/>
          <w:color w:val="auto"/>
        </w:rPr>
        <w:t>Guarantors May Consolidate, etc., on Certain Terms.</w:t>
      </w:r>
    </w:p>
    <w:p>
      <w:pPr>
        <w:spacing w:after="0" w:line="180" w:lineRule="exact"/>
        <w:rPr>
          <w:sz w:val="20"/>
          <w:szCs w:val="20"/>
          <w:color w:val="auto"/>
        </w:rPr>
      </w:pPr>
    </w:p>
    <w:p>
      <w:pPr>
        <w:ind w:firstLine="637"/>
        <w:spacing w:after="0" w:line="237" w:lineRule="auto"/>
        <w:tabs>
          <w:tab w:leader="none" w:pos="126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 Guarantor may not consolidate with or merge with or into (whether or not such Guarantor is the surviving Person) another Person, other than either of the Issuers or another Guarantor, unless:</w:t>
      </w:r>
    </w:p>
    <w:p>
      <w:pPr>
        <w:spacing w:after="0" w:line="154" w:lineRule="exact"/>
        <w:rPr>
          <w:rFonts w:ascii="Arial" w:cs="Arial" w:eastAsia="Arial" w:hAnsi="Arial"/>
          <w:sz w:val="21"/>
          <w:szCs w:val="21"/>
          <w:color w:val="auto"/>
        </w:rPr>
      </w:pPr>
    </w:p>
    <w:p>
      <w:pPr>
        <w:ind w:left="1900" w:hanging="632"/>
        <w:spacing w:after="0"/>
        <w:tabs>
          <w:tab w:leader="none" w:pos="190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immediately after giving effect to that transaction, no Default or Event of Default exists;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240"/>
          </w:cols>
          <w:pgMar w:left="320" w:top="1368" w:right="339" w:bottom="1440" w:gutter="0" w:footer="0" w:header="0"/>
        </w:sectPr>
      </w:pPr>
    </w:p>
    <w:bookmarkStart w:id="83" w:name="page84"/>
    <w:bookmarkEnd w:id="83"/>
    <w:p>
      <w:pPr>
        <w:jc w:val="both"/>
        <w:ind w:left="640" w:firstLine="628"/>
        <w:spacing w:after="0" w:line="228" w:lineRule="auto"/>
        <w:tabs>
          <w:tab w:leader="none" w:pos="1899" w:val="left"/>
        </w:tabs>
        <w:numPr>
          <w:ilvl w:val="1"/>
          <w:numId w:val="127"/>
        </w:numPr>
        <w:rPr>
          <w:rFonts w:ascii="Arial" w:cs="Arial" w:eastAsia="Arial" w:hAnsi="Arial"/>
          <w:sz w:val="21"/>
          <w:szCs w:val="21"/>
          <w:color w:val="auto"/>
        </w:rPr>
      </w:pPr>
      <w:r>
        <w:rPr>
          <w:rFonts w:ascii="Arial" w:cs="Arial" w:eastAsia="Arial" w:hAnsi="Arial"/>
          <w:sz w:val="21"/>
          <w:szCs w:val="21"/>
          <w:color w:val="auto"/>
        </w:rPr>
        <w:t>the Person surviving any such consolidation or merger assumes all the obligations of that Guarantor under this Indenture and its Note Guarantee pursuant to a supplemental indenture and other appropriate documents satisfactory to the Trustee.</w:t>
      </w:r>
    </w:p>
    <w:p>
      <w:pPr>
        <w:spacing w:after="0" w:line="153" w:lineRule="exact"/>
        <w:rPr>
          <w:rFonts w:ascii="Arial" w:cs="Arial" w:eastAsia="Arial" w:hAnsi="Arial"/>
          <w:sz w:val="21"/>
          <w:szCs w:val="21"/>
          <w:color w:val="auto"/>
        </w:rPr>
      </w:pPr>
    </w:p>
    <w:p>
      <w:pPr>
        <w:jc w:val="both"/>
        <w:ind w:firstLine="637"/>
        <w:spacing w:after="0" w:line="238" w:lineRule="auto"/>
        <w:tabs>
          <w:tab w:leader="none" w:pos="125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In case of any consolidation or merger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55" w:lineRule="exact"/>
        <w:rPr>
          <w:rFonts w:ascii="Arial" w:cs="Arial" w:eastAsia="Arial" w:hAnsi="Arial"/>
          <w:sz w:val="19"/>
          <w:szCs w:val="19"/>
          <w:color w:val="auto"/>
        </w:rPr>
      </w:pPr>
    </w:p>
    <w:p>
      <w:pPr>
        <w:ind w:firstLine="637"/>
        <w:spacing w:after="0" w:line="237" w:lineRule="auto"/>
        <w:tabs>
          <w:tab w:leader="none" w:pos="126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Except as set forth in Articles 4 and 5 hereof, nothing contained in this Indenture or in any of the Notes shall prevent any consolidation or merger of a Guarantor with or into the Issuers or another Guarantor.</w:t>
      </w:r>
    </w:p>
    <w:p>
      <w:pPr>
        <w:spacing w:after="0" w:line="154" w:lineRule="exact"/>
        <w:rPr>
          <w:rFonts w:ascii="Arial" w:cs="Arial" w:eastAsia="Arial" w:hAnsi="Arial"/>
          <w:sz w:val="21"/>
          <w:szCs w:val="21"/>
          <w:color w:val="auto"/>
        </w:rPr>
      </w:pPr>
    </w:p>
    <w:p>
      <w:pPr>
        <w:ind w:firstLine="637"/>
        <w:spacing w:after="0" w:line="237" w:lineRule="auto"/>
        <w:tabs>
          <w:tab w:leader="none" w:pos="1259" w:val="left"/>
        </w:tabs>
        <w:numPr>
          <w:ilvl w:val="0"/>
          <w:numId w:val="128"/>
        </w:numPr>
        <w:rPr>
          <w:rFonts w:ascii="Arial" w:cs="Arial" w:eastAsia="Arial" w:hAnsi="Arial"/>
          <w:sz w:val="21"/>
          <w:szCs w:val="21"/>
          <w:color w:val="auto"/>
        </w:rPr>
      </w:pPr>
      <w:r>
        <w:rPr>
          <w:rFonts w:ascii="Arial" w:cs="Arial" w:eastAsia="Arial" w:hAnsi="Arial"/>
          <w:sz w:val="21"/>
          <w:szCs w:val="21"/>
          <w:color w:val="auto"/>
        </w:rPr>
        <w:t>Notwithstanding the foregoing, each Guarantor is permitted to reorganize as a corporation pursuant to a Permitted C-Corp. Conversion.</w:t>
      </w:r>
    </w:p>
    <w:p>
      <w:pPr>
        <w:spacing w:after="0" w:line="155"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11.05</w:t>
      </w:r>
      <w:r>
        <w:rPr>
          <w:sz w:val="20"/>
          <w:szCs w:val="20"/>
          <w:color w:val="auto"/>
        </w:rPr>
        <w:tab/>
      </w:r>
      <w:r>
        <w:rPr>
          <w:rFonts w:ascii="Arial" w:cs="Arial" w:eastAsia="Arial" w:hAnsi="Arial"/>
          <w:sz w:val="18"/>
          <w:szCs w:val="18"/>
          <w:i w:val="1"/>
          <w:iCs w:val="1"/>
          <w:color w:val="auto"/>
        </w:rPr>
        <w:t>Release of Guarantees.</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Subject to compliance with the provisions described above under this Article 11, the Note Guarantee of a Guarantor will be released:</w:t>
      </w:r>
    </w:p>
    <w:p>
      <w:pPr>
        <w:spacing w:after="0" w:line="155" w:lineRule="exact"/>
        <w:rPr>
          <w:sz w:val="20"/>
          <w:szCs w:val="20"/>
          <w:color w:val="auto"/>
        </w:rPr>
      </w:pPr>
    </w:p>
    <w:p>
      <w:pPr>
        <w:jc w:val="both"/>
        <w:ind w:firstLine="637"/>
        <w:spacing w:after="0" w:line="228" w:lineRule="auto"/>
        <w:tabs>
          <w:tab w:leader="none" w:pos="126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in connection with any sale, assignment, exchange, transfer conveyance or other disposition of all or substantially all of the assets of that Guarantor (including by way of merger, consolidation, amalgamation or otherwise) to a Person that is not (either before or after giving effect to such transaction) an Issuer or a Guarantor;</w:t>
      </w:r>
    </w:p>
    <w:p>
      <w:pPr>
        <w:spacing w:after="0" w:line="153"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in connection with any sale, assignment, exchange, transfer, conveyance or other disposition of all of the Capital Stock of that Guarantor by way of merger, consolidation, amalgamation or otherwise to a Person that is not (either before or after giving effect to such transaction) an Issuer or a Guarantor;</w:t>
      </w:r>
    </w:p>
    <w:p>
      <w:pPr>
        <w:spacing w:after="0" w:line="153" w:lineRule="exact"/>
        <w:rPr>
          <w:rFonts w:ascii="Arial" w:cs="Arial" w:eastAsia="Arial" w:hAnsi="Arial"/>
          <w:sz w:val="21"/>
          <w:szCs w:val="21"/>
          <w:color w:val="auto"/>
        </w:rPr>
      </w:pPr>
    </w:p>
    <w:p>
      <w:pPr>
        <w:ind w:firstLine="637"/>
        <w:spacing w:after="0" w:line="237" w:lineRule="auto"/>
        <w:tabs>
          <w:tab w:leader="none" w:pos="126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upon Legal Defeasance as provided for in Section 8.02 hereof or satisfaction and discharge of this Indenture as provided for in Section 12.01 hereof; or</w:t>
      </w:r>
    </w:p>
    <w:p>
      <w:pPr>
        <w:spacing w:after="0" w:line="154" w:lineRule="exact"/>
        <w:rPr>
          <w:rFonts w:ascii="Arial" w:cs="Arial" w:eastAsia="Arial" w:hAnsi="Arial"/>
          <w:sz w:val="21"/>
          <w:szCs w:val="21"/>
          <w:color w:val="auto"/>
        </w:rPr>
      </w:pPr>
    </w:p>
    <w:p>
      <w:pPr>
        <w:ind w:firstLine="637"/>
        <w:spacing w:after="0" w:line="237" w:lineRule="auto"/>
        <w:tabs>
          <w:tab w:leader="none" w:pos="1259" w:val="left"/>
        </w:tabs>
        <w:numPr>
          <w:ilvl w:val="0"/>
          <w:numId w:val="129"/>
        </w:numPr>
        <w:rPr>
          <w:rFonts w:ascii="Arial" w:cs="Arial" w:eastAsia="Arial" w:hAnsi="Arial"/>
          <w:sz w:val="21"/>
          <w:szCs w:val="21"/>
          <w:color w:val="auto"/>
        </w:rPr>
      </w:pPr>
      <w:r>
        <w:rPr>
          <w:rFonts w:ascii="Arial" w:cs="Arial" w:eastAsia="Arial" w:hAnsi="Arial"/>
          <w:sz w:val="21"/>
          <w:szCs w:val="21"/>
          <w:color w:val="auto"/>
        </w:rPr>
        <w:t>upon the liquidation or dissolution of a Guarantor in a transaction or series of transactions that does not violate the terms of this Indenture.</w:t>
      </w:r>
    </w:p>
    <w:p>
      <w:pPr>
        <w:spacing w:after="0" w:line="155" w:lineRule="exact"/>
        <w:rPr>
          <w:sz w:val="20"/>
          <w:szCs w:val="20"/>
          <w:color w:val="auto"/>
        </w:rPr>
      </w:pPr>
    </w:p>
    <w:p>
      <w:pPr>
        <w:spacing w:after="0"/>
        <w:tabs>
          <w:tab w:leader="none" w:pos="1320" w:val="left"/>
        </w:tabs>
        <w:rPr>
          <w:sz w:val="20"/>
          <w:szCs w:val="20"/>
          <w:color w:val="auto"/>
        </w:rPr>
      </w:pPr>
      <w:r>
        <w:rPr>
          <w:rFonts w:ascii="Arial" w:cs="Arial" w:eastAsia="Arial" w:hAnsi="Arial"/>
          <w:sz w:val="21"/>
          <w:szCs w:val="21"/>
          <w:i w:val="1"/>
          <w:iCs w:val="1"/>
          <w:color w:val="auto"/>
        </w:rPr>
        <w:t>Section 11.06</w:t>
      </w:r>
      <w:r>
        <w:rPr>
          <w:sz w:val="20"/>
          <w:szCs w:val="20"/>
          <w:color w:val="auto"/>
        </w:rPr>
        <w:tab/>
      </w:r>
      <w:r>
        <w:rPr>
          <w:rFonts w:ascii="Arial" w:cs="Arial" w:eastAsia="Arial" w:hAnsi="Arial"/>
          <w:sz w:val="19"/>
          <w:szCs w:val="19"/>
          <w:i w:val="1"/>
          <w:iCs w:val="1"/>
          <w:color w:val="auto"/>
        </w:rPr>
        <w:t>Additional Note Guarantees.</w:t>
      </w:r>
    </w:p>
    <w:p>
      <w:pPr>
        <w:spacing w:after="0" w:line="180" w:lineRule="exact"/>
        <w:rPr>
          <w:sz w:val="20"/>
          <w:szCs w:val="20"/>
          <w:color w:val="auto"/>
        </w:rPr>
      </w:pPr>
    </w:p>
    <w:p>
      <w:pPr>
        <w:jc w:val="both"/>
        <w:ind w:firstLine="632"/>
        <w:spacing w:after="0" w:line="244" w:lineRule="auto"/>
        <w:rPr>
          <w:sz w:val="20"/>
          <w:szCs w:val="20"/>
          <w:color w:val="auto"/>
        </w:rPr>
      </w:pPr>
      <w:r>
        <w:rPr>
          <w:rFonts w:ascii="Arial" w:cs="Arial" w:eastAsia="Arial" w:hAnsi="Arial"/>
          <w:sz w:val="19"/>
          <w:szCs w:val="19"/>
          <w:color w:val="auto"/>
        </w:rPr>
        <w:t xml:space="preserve">Each Domestic Subsidiary of Wynn Resorts Finance that incurs or guarantees obligations under the Senior Credit Facilities or certain other capital markets debt securities (excluding any project financings in connection with Expansion Capital Expenditures) in excess of $100.0 million will guarantee the Notes and execute a supplemental indenture within 10 Business Days of such incurrence or guarantee;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Domestic Subsidiary that constitutes an Immaterial Subsidiary or an Excluded Subsidiary need not become a guarantor until such time as it ceases to be an Immaterial Subsidiary or an Excluded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240"/>
          </w:cols>
          <w:pgMar w:left="320" w:top="1368" w:right="339" w:bottom="1440" w:gutter="0" w:footer="0" w:header="0"/>
        </w:sectPr>
      </w:pPr>
    </w:p>
    <w:bookmarkStart w:id="84" w:name="page85"/>
    <w:bookmarkEnd w:id="84"/>
    <w:p>
      <w:pPr>
        <w:spacing w:after="0" w:line="133"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12.</w:t>
      </w:r>
    </w:p>
    <w:p>
      <w:pPr>
        <w:spacing w:after="0" w:line="180"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SATISFACTION AND DISCHARGE</w:t>
      </w:r>
    </w:p>
    <w:p>
      <w:pPr>
        <w:spacing w:after="0" w:line="212"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12.01</w:t>
      </w:r>
      <w:r>
        <w:rPr>
          <w:sz w:val="20"/>
          <w:szCs w:val="20"/>
          <w:color w:val="auto"/>
        </w:rPr>
        <w:tab/>
      </w:r>
      <w:r>
        <w:rPr>
          <w:rFonts w:ascii="Arial" w:cs="Arial" w:eastAsia="Arial" w:hAnsi="Arial"/>
          <w:sz w:val="19"/>
          <w:szCs w:val="19"/>
          <w:i w:val="1"/>
          <w:iCs w:val="1"/>
          <w:color w:val="auto"/>
        </w:rPr>
        <w:t>Satisfaction and Discharge.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This Indenture shall be discharged and shall cease to be of further effect as to all Notes issued hereunder, when:</w:t>
      </w:r>
    </w:p>
    <w:p>
      <w:pPr>
        <w:spacing w:after="0" w:line="180" w:lineRule="exact"/>
        <w:rPr>
          <w:sz w:val="20"/>
          <w:szCs w:val="20"/>
          <w:color w:val="auto"/>
        </w:rPr>
      </w:pPr>
    </w:p>
    <w:p>
      <w:pPr>
        <w:ind w:left="1260" w:hanging="623"/>
        <w:spacing w:after="0"/>
        <w:tabs>
          <w:tab w:leader="none" w:pos="126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either:</w:t>
      </w:r>
    </w:p>
    <w:p>
      <w:pPr>
        <w:spacing w:after="0" w:line="179" w:lineRule="exact"/>
        <w:rPr>
          <w:rFonts w:ascii="Arial" w:cs="Arial" w:eastAsia="Arial" w:hAnsi="Arial"/>
          <w:sz w:val="21"/>
          <w:szCs w:val="21"/>
          <w:color w:val="auto"/>
        </w:rPr>
      </w:pPr>
    </w:p>
    <w:p>
      <w:pPr>
        <w:jc w:val="both"/>
        <w:ind w:left="640" w:firstLine="628"/>
        <w:spacing w:after="0" w:line="228" w:lineRule="auto"/>
        <w:tabs>
          <w:tab w:leader="none" w:pos="1899" w:val="left"/>
        </w:tabs>
        <w:numPr>
          <w:ilvl w:val="1"/>
          <w:numId w:val="130"/>
        </w:numPr>
        <w:rPr>
          <w:rFonts w:ascii="Arial" w:cs="Arial" w:eastAsia="Arial" w:hAnsi="Arial"/>
          <w:sz w:val="21"/>
          <w:szCs w:val="21"/>
          <w:color w:val="auto"/>
        </w:rPr>
      </w:pPr>
      <w:r>
        <w:rPr>
          <w:rFonts w:ascii="Arial" w:cs="Arial" w:eastAsia="Arial" w:hAnsi="Arial"/>
          <w:sz w:val="21"/>
          <w:szCs w:val="21"/>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153" w:lineRule="exact"/>
        <w:rPr>
          <w:rFonts w:ascii="Arial" w:cs="Arial" w:eastAsia="Arial" w:hAnsi="Arial"/>
          <w:sz w:val="21"/>
          <w:szCs w:val="21"/>
          <w:color w:val="auto"/>
        </w:rPr>
      </w:pPr>
    </w:p>
    <w:p>
      <w:pPr>
        <w:jc w:val="both"/>
        <w:ind w:left="640" w:firstLine="628"/>
        <w:spacing w:after="0" w:line="217" w:lineRule="auto"/>
        <w:tabs>
          <w:tab w:leader="none" w:pos="1899" w:val="left"/>
        </w:tabs>
        <w:numPr>
          <w:ilvl w:val="1"/>
          <w:numId w:val="130"/>
        </w:numPr>
        <w:rPr>
          <w:rFonts w:ascii="Arial" w:cs="Arial" w:eastAsia="Arial" w:hAnsi="Arial"/>
          <w:sz w:val="21"/>
          <w:szCs w:val="21"/>
          <w:color w:val="auto"/>
        </w:rPr>
      </w:pPr>
      <w:r>
        <w:rPr>
          <w:rFonts w:ascii="Arial" w:cs="Arial" w:eastAsia="Arial" w:hAnsi="Arial"/>
          <w:sz w:val="21"/>
          <w:szCs w:val="21"/>
          <w:color w:val="auto"/>
        </w:rPr>
        <w:t>all Notes that have not been delivered to the Trustee for cancellation will become due and payable by reason of the delivery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if any, and accrued interest to, but not including, the date of maturity or redemption;</w:t>
      </w:r>
    </w:p>
    <w:p>
      <w:pPr>
        <w:spacing w:after="0" w:line="155" w:lineRule="exact"/>
        <w:rPr>
          <w:rFonts w:ascii="Arial" w:cs="Arial" w:eastAsia="Arial" w:hAnsi="Arial"/>
          <w:sz w:val="21"/>
          <w:szCs w:val="21"/>
          <w:color w:val="auto"/>
        </w:rPr>
      </w:pPr>
    </w:p>
    <w:p>
      <w:pPr>
        <w:jc w:val="both"/>
        <w:ind w:firstLine="637"/>
        <w:spacing w:after="0" w:line="223" w:lineRule="auto"/>
        <w:tabs>
          <w:tab w:leader="none" w:pos="1259" w:val="left"/>
        </w:tabs>
        <w:numPr>
          <w:ilvl w:val="0"/>
          <w:numId w:val="130"/>
        </w:numPr>
        <w:rPr>
          <w:rFonts w:ascii="Arial" w:cs="Arial" w:eastAsia="Arial" w:hAnsi="Arial"/>
          <w:sz w:val="21"/>
          <w:szCs w:val="21"/>
          <w:color w:val="auto"/>
        </w:rPr>
      </w:pPr>
      <w:r>
        <w:rPr>
          <w:rFonts w:ascii="Arial" w:cs="Arial" w:eastAsia="Arial" w:hAnsi="Arial"/>
          <w:sz w:val="21"/>
          <w:szCs w:val="21"/>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55" w:lineRule="exact"/>
        <w:rPr>
          <w:rFonts w:ascii="Arial" w:cs="Arial" w:eastAsia="Arial" w:hAnsi="Arial"/>
          <w:sz w:val="21"/>
          <w:szCs w:val="21"/>
          <w:color w:val="auto"/>
        </w:rPr>
      </w:pPr>
    </w:p>
    <w:p>
      <w:pPr>
        <w:ind w:left="1260" w:hanging="623"/>
        <w:spacing w:after="0"/>
        <w:tabs>
          <w:tab w:leader="none" w:pos="126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Issuers or any Guarantor have paid or caused to be paid all sums payable by the Issuers under this Indenture; and</w:t>
      </w:r>
    </w:p>
    <w:p>
      <w:pPr>
        <w:spacing w:after="0" w:line="202" w:lineRule="exact"/>
        <w:rPr>
          <w:rFonts w:ascii="Arial" w:cs="Arial" w:eastAsia="Arial" w:hAnsi="Arial"/>
          <w:sz w:val="19"/>
          <w:szCs w:val="19"/>
          <w:color w:val="auto"/>
        </w:rPr>
      </w:pPr>
    </w:p>
    <w:p>
      <w:pPr>
        <w:ind w:firstLine="637"/>
        <w:spacing w:after="0" w:line="237" w:lineRule="auto"/>
        <w:tabs>
          <w:tab w:leader="none" w:pos="1259"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Issuers have delivered irrevocable instructions to the Trustee under this Indenture to apply the deposited money toward the payment of the Notes at maturity or the redemption date, as the case may be.</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addition, the Issuers must deliver an Officers’ Certificate and an Opinion of Counsel to the Trustee stating that all conditions precedent to satisfaction and discharge have been satisfied.</w:t>
      </w:r>
    </w:p>
    <w:p>
      <w:pPr>
        <w:spacing w:after="0" w:line="155"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Notwithstanding the satisfaction and discharge of this Indenture, if money has been deposited with the Trustee pursuant to subclause (2) of clause (a) of this Section, the provisions of Section 12.02 and Section 8.06 shall survive. In addition, nothing in this Section 12.01 shall be deemed to discharge those provisions of Section 7.06 hereof, that, by their terms, survive the satisfaction and discharge of this Indenture.</w:t>
      </w:r>
    </w:p>
    <w:p>
      <w:pPr>
        <w:spacing w:after="0" w:line="155"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12.02</w:t>
      </w:r>
      <w:r>
        <w:rPr>
          <w:sz w:val="20"/>
          <w:szCs w:val="20"/>
          <w:color w:val="auto"/>
        </w:rPr>
        <w:tab/>
      </w:r>
      <w:r>
        <w:rPr>
          <w:rFonts w:ascii="Arial" w:cs="Arial" w:eastAsia="Arial" w:hAnsi="Arial"/>
          <w:sz w:val="19"/>
          <w:szCs w:val="19"/>
          <w:i w:val="1"/>
          <w:iCs w:val="1"/>
          <w:color w:val="auto"/>
        </w:rPr>
        <w:t>Application of Trust Money.</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Subject to the provisions of Section 8.06, all money deposited with the Trustee pursuant to Section 12.01 shall be held in trust and applied by it, in accordance with the provisions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240"/>
          </w:cols>
          <w:pgMar w:left="320" w:top="1440" w:right="339" w:bottom="1440" w:gutter="0" w:footer="0" w:header="0"/>
        </w:sectPr>
      </w:pPr>
    </w:p>
    <w:bookmarkStart w:id="85" w:name="page86"/>
    <w:bookmarkEnd w:id="85"/>
    <w:p>
      <w:pPr>
        <w:jc w:val="both"/>
        <w:spacing w:after="0" w:line="223" w:lineRule="auto"/>
        <w:rPr>
          <w:sz w:val="20"/>
          <w:szCs w:val="20"/>
          <w:color w:val="auto"/>
        </w:rPr>
      </w:pPr>
      <w:r>
        <w:rPr>
          <w:rFonts w:ascii="Arial" w:cs="Arial" w:eastAsia="Arial" w:hAnsi="Arial"/>
          <w:sz w:val="21"/>
          <w:szCs w:val="21"/>
          <w:color w:val="auto"/>
        </w:rPr>
        <w:t>Notes and this Indenture, to the payment, either directly or through any Paying Agent (including the Issuers acting as their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0"/>
          <w:szCs w:val="20"/>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and the Note Guarantees shall be revived and reinstated as though no deposit had occurred pursuant to Section 12.01; provided that if the Issuers have made any payment of principal of, premium, if any, or interest on any Notes because of the reinstatement of its obligations, the Issuers shall be subrogated to the rights of the Holders of such Notes to receive such payment from the money or Government Securities held by the Trustee or Paying Agent.</w:t>
      </w:r>
    </w:p>
    <w:p>
      <w:pPr>
        <w:spacing w:after="0" w:line="359"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ARTICLE 13</w:t>
      </w:r>
    </w:p>
    <w:p>
      <w:pPr>
        <w:spacing w:after="0" w:line="180"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JOINT AND SEVERAL LIABILITY</w:t>
      </w:r>
    </w:p>
    <w:p>
      <w:pPr>
        <w:spacing w:after="0" w:line="212"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13.01</w:t>
      </w:r>
      <w:r>
        <w:rPr>
          <w:sz w:val="20"/>
          <w:szCs w:val="20"/>
          <w:color w:val="auto"/>
        </w:rPr>
        <w:tab/>
      </w:r>
      <w:r>
        <w:rPr>
          <w:rFonts w:ascii="Arial" w:cs="Arial" w:eastAsia="Arial" w:hAnsi="Arial"/>
          <w:sz w:val="19"/>
          <w:szCs w:val="19"/>
          <w:i w:val="1"/>
          <w:iCs w:val="1"/>
          <w:color w:val="auto"/>
        </w:rPr>
        <w:t>Joint and Several Liability.</w:t>
      </w:r>
    </w:p>
    <w:p>
      <w:pPr>
        <w:spacing w:after="0" w:line="180" w:lineRule="exact"/>
        <w:rPr>
          <w:sz w:val="20"/>
          <w:szCs w:val="20"/>
          <w:color w:val="auto"/>
        </w:rPr>
      </w:pPr>
    </w:p>
    <w:p>
      <w:pPr>
        <w:jc w:val="both"/>
        <w:ind w:firstLine="637"/>
        <w:spacing w:after="0" w:line="220" w:lineRule="auto"/>
        <w:tabs>
          <w:tab w:leader="none" w:pos="126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Notwithstanding any contrary provision contained in this Indenture and the Notes, the covenants, agreements and obligations of the Issuers, and either of them, shall be deemed joint and several obligations of the Issuers. Any waiver including, without limitation, any suretyship waiver, made by either Issuer in this Indenture or the Notes shall be deemed to be made also by the other Issuer and references in any such waiver to either Issuer shall be deemed to include the other Issuer and each of them to the fullest extent permitted by applicable law.</w:t>
      </w:r>
    </w:p>
    <w:p>
      <w:pPr>
        <w:spacing w:after="0" w:line="156" w:lineRule="exact"/>
        <w:rPr>
          <w:rFonts w:ascii="Arial" w:cs="Arial" w:eastAsia="Arial" w:hAnsi="Arial"/>
          <w:sz w:val="21"/>
          <w:szCs w:val="21"/>
          <w:color w:val="auto"/>
        </w:rPr>
      </w:pPr>
    </w:p>
    <w:p>
      <w:pPr>
        <w:ind w:firstLine="637"/>
        <w:spacing w:after="0" w:line="237" w:lineRule="auto"/>
        <w:tabs>
          <w:tab w:leader="none" w:pos="1259" w:val="left"/>
        </w:tabs>
        <w:numPr>
          <w:ilvl w:val="0"/>
          <w:numId w:val="131"/>
        </w:numPr>
        <w:rPr>
          <w:rFonts w:ascii="Arial" w:cs="Arial" w:eastAsia="Arial" w:hAnsi="Arial"/>
          <w:sz w:val="21"/>
          <w:szCs w:val="21"/>
          <w:color w:val="auto"/>
        </w:rPr>
      </w:pPr>
      <w:r>
        <w:rPr>
          <w:rFonts w:ascii="Arial" w:cs="Arial" w:eastAsia="Arial" w:hAnsi="Arial"/>
          <w:sz w:val="21"/>
          <w:szCs w:val="21"/>
          <w:color w:val="auto"/>
        </w:rPr>
        <w:t>Notwithstanding any contrary provision contained in this Indenture or the Notes, each such document to which both Issuers are party shall be deemed to include, without limitation, the following waivers:</w:t>
      </w:r>
    </w:p>
    <w:p>
      <w:pPr>
        <w:spacing w:after="0" w:line="155" w:lineRule="exact"/>
        <w:rPr>
          <w:sz w:val="20"/>
          <w:szCs w:val="20"/>
          <w:color w:val="auto"/>
        </w:rPr>
      </w:pPr>
    </w:p>
    <w:p>
      <w:pPr>
        <w:jc w:val="both"/>
        <w:ind w:firstLine="632"/>
        <w:spacing w:after="0" w:line="235" w:lineRule="auto"/>
        <w:rPr>
          <w:sz w:val="20"/>
          <w:szCs w:val="20"/>
          <w:color w:val="auto"/>
        </w:rPr>
      </w:pPr>
      <w:r>
        <w:rPr>
          <w:rFonts w:ascii="Arial" w:cs="Arial" w:eastAsia="Arial" w:hAnsi="Arial"/>
          <w:sz w:val="19"/>
          <w:szCs w:val="19"/>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Arial" w:cs="Arial" w:eastAsia="Arial" w:hAnsi="Arial"/>
          <w:sz w:val="19"/>
          <w:szCs w:val="19"/>
          <w:i w:val="1"/>
          <w:iCs w:val="1"/>
          <w:u w:val="single" w:color="auto"/>
          <w:color w:val="auto"/>
        </w:rPr>
        <w:t>Beneficiary</w:t>
      </w:r>
      <w:r>
        <w:rPr>
          <w:rFonts w:ascii="Arial" w:cs="Arial" w:eastAsia="Arial" w:hAnsi="Arial"/>
          <w:sz w:val="19"/>
          <w:szCs w:val="19"/>
          <w:color w:val="auto"/>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this Indenture and the Notes (collectively, the “</w:t>
      </w:r>
      <w:r>
        <w:rPr>
          <w:rFonts w:ascii="Arial" w:cs="Arial" w:eastAsia="Arial" w:hAnsi="Arial"/>
          <w:sz w:val="19"/>
          <w:szCs w:val="19"/>
          <w:i w:val="1"/>
          <w:iCs w:val="1"/>
          <w:u w:val="single" w:color="auto"/>
          <w:color w:val="auto"/>
        </w:rPr>
        <w:t>Note Obligations</w:t>
      </w:r>
      <w:r>
        <w:rPr>
          <w:rFonts w:ascii="Arial" w:cs="Arial" w:eastAsia="Arial" w:hAnsi="Arial"/>
          <w:sz w:val="19"/>
          <w:szCs w:val="19"/>
          <w:color w:val="auto"/>
        </w:rPr>
        <w:t>”), (iii) any defense that may arise by reason of the incapacity, lack of authority, death or disability of any Person or the failure of a Beneficiary to file 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40"/>
          </w:cols>
          <w:pgMar w:left="320" w:top="1368" w:right="339" w:bottom="1440" w:gutter="0" w:footer="0" w:header="0"/>
        </w:sectPr>
      </w:pPr>
    </w:p>
    <w:bookmarkStart w:id="86" w:name="page87"/>
    <w:bookmarkEnd w:id="86"/>
    <w:p>
      <w:pPr>
        <w:jc w:val="both"/>
        <w:spacing w:after="0" w:line="232" w:lineRule="auto"/>
        <w:rPr>
          <w:sz w:val="20"/>
          <w:szCs w:val="20"/>
          <w:color w:val="auto"/>
        </w:rPr>
      </w:pPr>
      <w:r>
        <w:rPr>
          <w:rFonts w:ascii="Arial" w:cs="Arial" w:eastAsia="Arial" w:hAnsi="Arial"/>
          <w:sz w:val="19"/>
          <w:szCs w:val="19"/>
          <w:color w:val="auto"/>
        </w:rPr>
        <w:t>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or the Notes,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w:t>
      </w:r>
    </w:p>
    <w:p>
      <w:pPr>
        <w:spacing w:after="0" w:line="7" w:lineRule="exact"/>
        <w:rPr>
          <w:sz w:val="20"/>
          <w:szCs w:val="20"/>
          <w:color w:val="auto"/>
        </w:rPr>
      </w:pPr>
    </w:p>
    <w:p>
      <w:pPr>
        <w:jc w:val="both"/>
        <w:ind w:firstLine="5"/>
        <w:spacing w:after="0" w:line="224" w:lineRule="auto"/>
        <w:tabs>
          <w:tab w:leader="none" w:pos="37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rights which it may acquire by way of contribution under this Indenture or the Notes,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or the Notes, or any other provision of this Indenture or the Notes, limiting the Beneficiaries’ recourse to specific collateral, or limiting the Beneficiaries’ right to enforce a deficiency judgment against the Issuers, shall have absolutely no application to the Issuers’ liability under this Indenture or the Notes.</w:t>
      </w:r>
    </w:p>
    <w:p>
      <w:pPr>
        <w:spacing w:after="0" w:line="155" w:lineRule="exact"/>
        <w:rPr>
          <w:rFonts w:ascii="Arial" w:cs="Arial" w:eastAsia="Arial" w:hAnsi="Arial"/>
          <w:sz w:val="20"/>
          <w:szCs w:val="20"/>
          <w:color w:val="auto"/>
        </w:rPr>
      </w:pPr>
    </w:p>
    <w:p>
      <w:pPr>
        <w:ind w:firstLine="637"/>
        <w:spacing w:after="0" w:line="237" w:lineRule="auto"/>
        <w:tabs>
          <w:tab w:leader="none" w:pos="126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In the event of any inconsistency between the provisions of this Article 13 and the corresponding provisions of this Indenture or the Notes, the provisions of this Indenture shall govern.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MISCELLANEOUS</w:t>
      </w:r>
    </w:p>
    <w:p>
      <w:pPr>
        <w:spacing w:after="0" w:line="212" w:lineRule="exact"/>
        <w:rPr>
          <w:sz w:val="20"/>
          <w:szCs w:val="20"/>
          <w:color w:val="auto"/>
        </w:rPr>
      </w:pPr>
    </w:p>
    <w:p>
      <w:pPr>
        <w:spacing w:after="0"/>
        <w:tabs>
          <w:tab w:leader="none" w:pos="1340" w:val="left"/>
        </w:tabs>
        <w:rPr>
          <w:sz w:val="20"/>
          <w:szCs w:val="20"/>
          <w:color w:val="auto"/>
        </w:rPr>
      </w:pPr>
      <w:r>
        <w:rPr>
          <w:rFonts w:ascii="Arial" w:cs="Arial" w:eastAsia="Arial" w:hAnsi="Arial"/>
          <w:sz w:val="21"/>
          <w:szCs w:val="21"/>
          <w:i w:val="1"/>
          <w:iCs w:val="1"/>
          <w:color w:val="auto"/>
        </w:rPr>
        <w:t>Section 14.01</w:t>
      </w:r>
      <w:r>
        <w:rPr>
          <w:sz w:val="20"/>
          <w:szCs w:val="20"/>
          <w:color w:val="auto"/>
        </w:rPr>
        <w:tab/>
      </w:r>
      <w:r>
        <w:rPr>
          <w:rFonts w:ascii="Arial" w:cs="Arial" w:eastAsia="Arial" w:hAnsi="Arial"/>
          <w:sz w:val="18"/>
          <w:szCs w:val="18"/>
          <w:i w:val="1"/>
          <w:iCs w:val="1"/>
          <w:color w:val="auto"/>
        </w:rPr>
        <w:t>Notices.</w:t>
      </w:r>
    </w:p>
    <w:p>
      <w:pPr>
        <w:spacing w:after="0" w:line="180"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20"/>
          <w:szCs w:val="20"/>
          <w:color w:val="auto"/>
        </w:rPr>
        <w:t>Any notice or communication by the Issuers, any Guarantor or the Trustee to the others is duly given if in writing and delivered in Person or mailed by first class mail (registered or certified, return receipt requested), telex, fax, electronic transmission (with confirmation of receipt) or overnight air courier guaranteeing next day delivery, to the others’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240"/>
          </w:cols>
          <w:pgMar w:left="320" w:top="1368" w:right="339" w:bottom="1440" w:gutter="0" w:footer="0" w:header="0"/>
        </w:sectPr>
      </w:pPr>
    </w:p>
    <w:bookmarkStart w:id="87" w:name="page88"/>
    <w:bookmarkEnd w:id="87"/>
    <w:p>
      <w:pPr>
        <w:ind w:left="640"/>
        <w:spacing w:after="0"/>
        <w:rPr>
          <w:sz w:val="20"/>
          <w:szCs w:val="20"/>
          <w:color w:val="auto"/>
        </w:rPr>
      </w:pPr>
      <w:r>
        <w:rPr>
          <w:rFonts w:ascii="Arial" w:cs="Arial" w:eastAsia="Arial" w:hAnsi="Arial"/>
          <w:sz w:val="21"/>
          <w:szCs w:val="21"/>
          <w:color w:val="auto"/>
        </w:rPr>
        <w:t>If to the Issuers and/or any Guarantor:</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c/o Wynn Resorts Finance, LLC</w:t>
      </w:r>
    </w:p>
    <w:p>
      <w:pPr>
        <w:ind w:left="640"/>
        <w:spacing w:after="0" w:line="209" w:lineRule="auto"/>
        <w:rPr>
          <w:sz w:val="20"/>
          <w:szCs w:val="20"/>
          <w:color w:val="auto"/>
        </w:rPr>
      </w:pPr>
      <w:r>
        <w:rPr>
          <w:rFonts w:ascii="Arial" w:cs="Arial" w:eastAsia="Arial" w:hAnsi="Arial"/>
          <w:sz w:val="21"/>
          <w:szCs w:val="21"/>
          <w:color w:val="auto"/>
        </w:rPr>
        <w:t>3131 Las Vegas Boulevard South</w:t>
      </w:r>
    </w:p>
    <w:p>
      <w:pPr>
        <w:ind w:left="640"/>
        <w:spacing w:after="0" w:line="209" w:lineRule="auto"/>
        <w:rPr>
          <w:sz w:val="20"/>
          <w:szCs w:val="20"/>
          <w:color w:val="auto"/>
        </w:rPr>
      </w:pPr>
      <w:r>
        <w:rPr>
          <w:rFonts w:ascii="Arial" w:cs="Arial" w:eastAsia="Arial" w:hAnsi="Arial"/>
          <w:sz w:val="21"/>
          <w:szCs w:val="21"/>
          <w:color w:val="auto"/>
        </w:rPr>
        <w:t>Las Vegas, Nevada 89109</w:t>
      </w:r>
    </w:p>
    <w:p>
      <w:pPr>
        <w:ind w:left="640"/>
        <w:spacing w:after="0" w:line="209" w:lineRule="auto"/>
        <w:rPr>
          <w:sz w:val="20"/>
          <w:szCs w:val="20"/>
          <w:color w:val="auto"/>
        </w:rPr>
      </w:pPr>
      <w:r>
        <w:rPr>
          <w:rFonts w:ascii="Arial" w:cs="Arial" w:eastAsia="Arial" w:hAnsi="Arial"/>
          <w:sz w:val="21"/>
          <w:szCs w:val="21"/>
          <w:color w:val="auto"/>
        </w:rPr>
        <w:t>Fax No.: (702) 770-1518</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Attention: General Counsel</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With a further copy to:</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Latham &amp; Watkins LLP</w:t>
      </w:r>
    </w:p>
    <w:p>
      <w:pPr>
        <w:ind w:left="640"/>
        <w:spacing w:after="0" w:line="209" w:lineRule="auto"/>
        <w:rPr>
          <w:sz w:val="20"/>
          <w:szCs w:val="20"/>
          <w:color w:val="auto"/>
        </w:rPr>
      </w:pPr>
      <w:r>
        <w:rPr>
          <w:rFonts w:ascii="Arial" w:cs="Arial" w:eastAsia="Arial" w:hAnsi="Arial"/>
          <w:sz w:val="21"/>
          <w:szCs w:val="21"/>
          <w:color w:val="auto"/>
        </w:rPr>
        <w:t>1271 Avenue of the Americas</w:t>
      </w:r>
    </w:p>
    <w:p>
      <w:pPr>
        <w:ind w:left="640"/>
        <w:spacing w:after="0" w:line="209" w:lineRule="auto"/>
        <w:rPr>
          <w:sz w:val="20"/>
          <w:szCs w:val="20"/>
          <w:color w:val="auto"/>
        </w:rPr>
      </w:pPr>
      <w:r>
        <w:rPr>
          <w:rFonts w:ascii="Arial" w:cs="Arial" w:eastAsia="Arial" w:hAnsi="Arial"/>
          <w:sz w:val="21"/>
          <w:szCs w:val="21"/>
          <w:color w:val="auto"/>
        </w:rPr>
        <w:t>New York, New York 10020-1401</w:t>
      </w:r>
    </w:p>
    <w:p>
      <w:pPr>
        <w:ind w:left="640"/>
        <w:spacing w:after="0" w:line="209" w:lineRule="auto"/>
        <w:rPr>
          <w:sz w:val="20"/>
          <w:szCs w:val="20"/>
          <w:color w:val="auto"/>
        </w:rPr>
      </w:pPr>
      <w:r>
        <w:rPr>
          <w:rFonts w:ascii="Arial" w:cs="Arial" w:eastAsia="Arial" w:hAnsi="Arial"/>
          <w:sz w:val="21"/>
          <w:szCs w:val="21"/>
          <w:color w:val="auto"/>
        </w:rPr>
        <w:t>Fax No.: (212) 751-4864</w:t>
      </w:r>
    </w:p>
    <w:p>
      <w:pPr>
        <w:ind w:left="640"/>
        <w:spacing w:after="0" w:line="209" w:lineRule="auto"/>
        <w:rPr>
          <w:sz w:val="20"/>
          <w:szCs w:val="20"/>
          <w:color w:val="auto"/>
        </w:rPr>
      </w:pPr>
      <w:r>
        <w:rPr>
          <w:rFonts w:ascii="Arial" w:cs="Arial" w:eastAsia="Arial" w:hAnsi="Arial"/>
          <w:sz w:val="21"/>
          <w:szCs w:val="21"/>
          <w:color w:val="auto"/>
        </w:rPr>
        <w:t>Attention: Senet Bischoff, Esq.</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21"/>
          <w:szCs w:val="21"/>
          <w:color w:val="auto"/>
        </w:rPr>
        <w:t>Jason C. Ewart, Esq.</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to the Trustee: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U.S. Bank Trust Company, National Association</w:t>
      </w:r>
    </w:p>
    <w:p>
      <w:pPr>
        <w:ind w:left="640"/>
        <w:spacing w:after="0" w:line="209" w:lineRule="auto"/>
        <w:rPr>
          <w:sz w:val="20"/>
          <w:szCs w:val="20"/>
          <w:color w:val="auto"/>
        </w:rPr>
      </w:pPr>
      <w:r>
        <w:rPr>
          <w:rFonts w:ascii="Arial" w:cs="Arial" w:eastAsia="Arial" w:hAnsi="Arial"/>
          <w:sz w:val="21"/>
          <w:szCs w:val="21"/>
          <w:color w:val="auto"/>
        </w:rPr>
        <w:t>EP-MN-WS3C</w:t>
      </w:r>
    </w:p>
    <w:p>
      <w:pPr>
        <w:ind w:left="640"/>
        <w:spacing w:after="0" w:line="209" w:lineRule="auto"/>
        <w:rPr>
          <w:sz w:val="20"/>
          <w:szCs w:val="20"/>
          <w:color w:val="auto"/>
        </w:rPr>
      </w:pPr>
      <w:r>
        <w:rPr>
          <w:rFonts w:ascii="Arial" w:cs="Arial" w:eastAsia="Arial" w:hAnsi="Arial"/>
          <w:sz w:val="21"/>
          <w:szCs w:val="21"/>
          <w:color w:val="auto"/>
        </w:rPr>
        <w:t>60 Livingston Avenue</w:t>
      </w:r>
    </w:p>
    <w:p>
      <w:pPr>
        <w:ind w:left="640"/>
        <w:spacing w:after="0" w:line="209" w:lineRule="auto"/>
        <w:rPr>
          <w:sz w:val="20"/>
          <w:szCs w:val="20"/>
          <w:color w:val="auto"/>
        </w:rPr>
      </w:pPr>
      <w:r>
        <w:rPr>
          <w:rFonts w:ascii="Arial" w:cs="Arial" w:eastAsia="Arial" w:hAnsi="Arial"/>
          <w:sz w:val="21"/>
          <w:szCs w:val="21"/>
          <w:color w:val="auto"/>
        </w:rPr>
        <w:t>St. Paul, MN 55107-2292</w:t>
      </w:r>
    </w:p>
    <w:p>
      <w:pPr>
        <w:ind w:left="640"/>
        <w:spacing w:after="0" w:line="209" w:lineRule="auto"/>
        <w:rPr>
          <w:sz w:val="20"/>
          <w:szCs w:val="20"/>
          <w:color w:val="auto"/>
        </w:rPr>
      </w:pPr>
      <w:r>
        <w:rPr>
          <w:rFonts w:ascii="Arial" w:cs="Arial" w:eastAsia="Arial" w:hAnsi="Arial"/>
          <w:sz w:val="21"/>
          <w:szCs w:val="21"/>
          <w:color w:val="auto"/>
        </w:rPr>
        <w:t>Fax No.: (651) 495-8097</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Attention: Corporate Trust Department – Wynn Administrator</w:t>
      </w:r>
    </w:p>
    <w:p>
      <w:pPr>
        <w:spacing w:after="0" w:line="162"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The Issuers, any Guarantor or the Trustee, by notice to the others may designate additional or different addresses for subsequent notices or communications.</w:t>
      </w:r>
    </w:p>
    <w:p>
      <w:pPr>
        <w:spacing w:after="0" w:line="155"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20"/>
          <w:szCs w:val="20"/>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faxed; when receipt acknowledged, if electronically transmitted; and the next Business Day after timely delivery to the courier, if sent by overnight air courier guaranteeing next day delivery.</w:t>
      </w:r>
    </w:p>
    <w:p>
      <w:pPr>
        <w:spacing w:after="0" w:line="156"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38"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If a notice or communication is mailed in the manner provided above within the time prescribed, it is duly given, whether or not the addressee receives it.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If the Issuers mail a notice or communication to Holders, they shall mail a copy to the Trustee and each Agent at the same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time.</w:t>
      </w:r>
    </w:p>
    <w:p>
      <w:pPr>
        <w:spacing w:after="0" w:line="162"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14.02</w:t>
      </w:r>
      <w:r>
        <w:rPr>
          <w:sz w:val="20"/>
          <w:szCs w:val="20"/>
          <w:color w:val="auto"/>
        </w:rPr>
        <w:tab/>
      </w:r>
      <w:r>
        <w:rPr>
          <w:rFonts w:ascii="Arial" w:cs="Arial" w:eastAsia="Arial" w:hAnsi="Arial"/>
          <w:sz w:val="19"/>
          <w:szCs w:val="19"/>
          <w:i w:val="1"/>
          <w:iCs w:val="1"/>
          <w:color w:val="auto"/>
        </w:rPr>
        <w:t>Certificate and Opinion as to Conditions Precedent.</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Upon any request or application by the Issuers to the Trustee to take any action under this Indenture, the Issuers shall furnish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1240"/>
          </w:cols>
          <w:pgMar w:left="320" w:top="1368" w:right="339" w:bottom="1440" w:gutter="0" w:footer="0" w:header="0"/>
        </w:sectPr>
      </w:pPr>
    </w:p>
    <w:bookmarkStart w:id="88" w:name="page89"/>
    <w:bookmarkEnd w:id="88"/>
    <w:p>
      <w:pPr>
        <w:jc w:val="both"/>
        <w:ind w:firstLine="637"/>
        <w:spacing w:after="0" w:line="228" w:lineRule="auto"/>
        <w:tabs>
          <w:tab w:leader="none" w:pos="126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an Officers’ Certificate in form and substance reasonably satisfactory to the Trustee (which must include the statements set forth in Section 14.03 hereof) stating that, in the opinion of the signers, all conditions precedent and covenants, if any, provided for in this Indenture relating to the proposed action have been satisfied; and</w:t>
      </w:r>
    </w:p>
    <w:p>
      <w:pPr>
        <w:spacing w:after="0" w:line="153"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an Opinion of Counsel in form and substance reasonably satisfactory to the Trustee (which must include the statements set forth in Section 14.03 hereof) stating that, in the opinion of such counsel, all such conditions precedent and covenants have been satisfied.</w:t>
      </w:r>
    </w:p>
    <w:p>
      <w:pPr>
        <w:spacing w:after="0" w:line="154" w:lineRule="exact"/>
        <w:rPr>
          <w:sz w:val="20"/>
          <w:szCs w:val="20"/>
          <w:color w:val="auto"/>
        </w:rPr>
      </w:pPr>
    </w:p>
    <w:p>
      <w:pPr>
        <w:spacing w:after="0"/>
        <w:tabs>
          <w:tab w:leader="none" w:pos="1400" w:val="left"/>
        </w:tabs>
        <w:rPr>
          <w:sz w:val="20"/>
          <w:szCs w:val="20"/>
          <w:color w:val="auto"/>
        </w:rPr>
      </w:pPr>
      <w:r>
        <w:rPr>
          <w:rFonts w:ascii="Arial" w:cs="Arial" w:eastAsia="Arial" w:hAnsi="Arial"/>
          <w:sz w:val="21"/>
          <w:szCs w:val="21"/>
          <w:i w:val="1"/>
          <w:iCs w:val="1"/>
          <w:color w:val="auto"/>
        </w:rPr>
        <w:t>Section 14.03</w:t>
      </w:r>
      <w:r>
        <w:rPr>
          <w:sz w:val="20"/>
          <w:szCs w:val="20"/>
          <w:color w:val="auto"/>
        </w:rPr>
        <w:tab/>
      </w:r>
      <w:r>
        <w:rPr>
          <w:rFonts w:ascii="Arial" w:cs="Arial" w:eastAsia="Arial" w:hAnsi="Arial"/>
          <w:sz w:val="19"/>
          <w:szCs w:val="19"/>
          <w:i w:val="1"/>
          <w:iCs w:val="1"/>
          <w:color w:val="auto"/>
        </w:rPr>
        <w:t>Statements Required in Certificate or Opinion.</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Each certificate or opinion with respect to compliance with a condition or covenant provided for in this Indenture must include:</w:t>
      </w:r>
    </w:p>
    <w:p>
      <w:pPr>
        <w:spacing w:after="0" w:line="155" w:lineRule="exact"/>
        <w:rPr>
          <w:sz w:val="20"/>
          <w:szCs w:val="20"/>
          <w:color w:val="auto"/>
        </w:rPr>
      </w:pPr>
    </w:p>
    <w:p>
      <w:pPr>
        <w:ind w:left="1260" w:hanging="623"/>
        <w:spacing w:after="0"/>
        <w:tabs>
          <w:tab w:leader="none" w:pos="126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 statement that the Person making such certificate or opinion has read such covenant or condition;</w:t>
      </w:r>
    </w:p>
    <w:p>
      <w:pPr>
        <w:spacing w:after="0" w:line="179" w:lineRule="exact"/>
        <w:rPr>
          <w:rFonts w:ascii="Arial" w:cs="Arial" w:eastAsia="Arial" w:hAnsi="Arial"/>
          <w:sz w:val="21"/>
          <w:szCs w:val="21"/>
          <w:color w:val="auto"/>
        </w:rPr>
      </w:pPr>
    </w:p>
    <w:p>
      <w:pPr>
        <w:ind w:firstLine="637"/>
        <w:spacing w:after="0" w:line="237" w:lineRule="auto"/>
        <w:tabs>
          <w:tab w:leader="none" w:pos="1259"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 brief statement as to the nature and scope of the examination or investigation upon which the statements or opinions contained in such certificate or opinion are based;</w:t>
      </w:r>
    </w:p>
    <w:p>
      <w:pPr>
        <w:spacing w:after="0" w:line="154" w:lineRule="exact"/>
        <w:rPr>
          <w:rFonts w:ascii="Arial" w:cs="Arial" w:eastAsia="Arial" w:hAnsi="Arial"/>
          <w:sz w:val="21"/>
          <w:szCs w:val="21"/>
          <w:color w:val="auto"/>
        </w:rPr>
      </w:pPr>
    </w:p>
    <w:p>
      <w:pPr>
        <w:ind w:firstLine="637"/>
        <w:spacing w:after="0" w:line="285" w:lineRule="auto"/>
        <w:tabs>
          <w:tab w:leader="none" w:pos="126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12" w:lineRule="exact"/>
        <w:rPr>
          <w:rFonts w:ascii="Arial" w:cs="Arial" w:eastAsia="Arial" w:hAnsi="Arial"/>
          <w:sz w:val="19"/>
          <w:szCs w:val="19"/>
          <w:color w:val="auto"/>
        </w:rPr>
      </w:pPr>
    </w:p>
    <w:p>
      <w:pPr>
        <w:ind w:left="1260" w:hanging="623"/>
        <w:spacing w:after="0"/>
        <w:tabs>
          <w:tab w:leader="none" w:pos="12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 statement as to whether or not, in the opinion of such Person, such condition or covenant has been satisfied.</w:t>
      </w:r>
    </w:p>
    <w:p>
      <w:pPr>
        <w:spacing w:after="0" w:line="191"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14.04</w:t>
      </w:r>
      <w:r>
        <w:rPr>
          <w:sz w:val="20"/>
          <w:szCs w:val="20"/>
          <w:color w:val="auto"/>
        </w:rPr>
        <w:tab/>
      </w:r>
      <w:r>
        <w:rPr>
          <w:rFonts w:ascii="Arial" w:cs="Arial" w:eastAsia="Arial" w:hAnsi="Arial"/>
          <w:sz w:val="18"/>
          <w:szCs w:val="18"/>
          <w:i w:val="1"/>
          <w:iCs w:val="1"/>
          <w:color w:val="auto"/>
        </w:rPr>
        <w:t>Rules by Trustee and Agents.</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The Trustee may make reasonable rules for action by or at a meeting of Holders. The Registrar or Paying Agent may make reasonable rules and set reasonable requirements for its functions.</w:t>
      </w:r>
    </w:p>
    <w:p>
      <w:pPr>
        <w:spacing w:after="0" w:line="155"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14.05</w:t>
      </w:r>
      <w:r>
        <w:rPr>
          <w:sz w:val="20"/>
          <w:szCs w:val="20"/>
          <w:color w:val="auto"/>
        </w:rPr>
        <w:tab/>
      </w:r>
      <w:r>
        <w:rPr>
          <w:rFonts w:ascii="Arial" w:cs="Arial" w:eastAsia="Arial" w:hAnsi="Arial"/>
          <w:sz w:val="19"/>
          <w:szCs w:val="19"/>
          <w:i w:val="1"/>
          <w:iCs w:val="1"/>
          <w:color w:val="auto"/>
        </w:rPr>
        <w:t>No Personal Liability of Directors, Officers, Employees and Equity Holders.</w:t>
      </w:r>
    </w:p>
    <w:p>
      <w:pPr>
        <w:spacing w:after="0" w:line="180"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No past, present or future director, officer, employee, incorporator, organizer, equity holder or member of either Issuer or any Guarantor, as such, shall have any liability for any obligations of either Issuer or any Guarantor under the Notes, the Note Guarantees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56" w:lineRule="exact"/>
        <w:rPr>
          <w:sz w:val="20"/>
          <w:szCs w:val="20"/>
          <w:color w:val="auto"/>
        </w:rPr>
      </w:pPr>
    </w:p>
    <w:p>
      <w:pPr>
        <w:spacing w:after="0"/>
        <w:tabs>
          <w:tab w:leader="none" w:pos="1340" w:val="left"/>
        </w:tabs>
        <w:rPr>
          <w:sz w:val="20"/>
          <w:szCs w:val="20"/>
          <w:color w:val="auto"/>
        </w:rPr>
      </w:pPr>
      <w:r>
        <w:rPr>
          <w:rFonts w:ascii="Arial" w:cs="Arial" w:eastAsia="Arial" w:hAnsi="Arial"/>
          <w:sz w:val="21"/>
          <w:szCs w:val="21"/>
          <w:i w:val="1"/>
          <w:iCs w:val="1"/>
          <w:color w:val="auto"/>
        </w:rPr>
        <w:t>Section 14.06</w:t>
      </w:r>
      <w:r>
        <w:rPr>
          <w:sz w:val="20"/>
          <w:szCs w:val="20"/>
          <w:color w:val="auto"/>
        </w:rPr>
        <w:tab/>
      </w:r>
      <w:r>
        <w:rPr>
          <w:rFonts w:ascii="Arial" w:cs="Arial" w:eastAsia="Arial" w:hAnsi="Arial"/>
          <w:sz w:val="19"/>
          <w:szCs w:val="19"/>
          <w:i w:val="1"/>
          <w:iCs w:val="1"/>
          <w:color w:val="auto"/>
        </w:rPr>
        <w:t>Governing Law.</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THIS INDENTURE, THE NOTES AND THE NOTE GUARANTEES SHALL BE GOVERNED BY AND CONSTRUED IN ACCORDANCE WITH THE LAWS OF THE STATE OF NEW YORK, INCLUDING, WITHOUT LIMITATION, SECTION 5-1401 OF THE NEW YORK OBLIGATIONS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240"/>
          </w:cols>
          <w:pgMar w:left="320" w:top="1368" w:right="339" w:bottom="1440" w:gutter="0" w:footer="0" w:header="0"/>
        </w:sectPr>
      </w:pPr>
    </w:p>
    <w:bookmarkStart w:id="89" w:name="page90"/>
    <w:bookmarkEnd w:id="89"/>
    <w:p>
      <w:pPr>
        <w:spacing w:after="0"/>
        <w:tabs>
          <w:tab w:leader="none" w:pos="1380" w:val="left"/>
        </w:tabs>
        <w:rPr>
          <w:sz w:val="20"/>
          <w:szCs w:val="20"/>
          <w:color w:val="auto"/>
        </w:rPr>
      </w:pPr>
      <w:r>
        <w:rPr>
          <w:rFonts w:ascii="Arial" w:cs="Arial" w:eastAsia="Arial" w:hAnsi="Arial"/>
          <w:sz w:val="21"/>
          <w:szCs w:val="21"/>
          <w:i w:val="1"/>
          <w:iCs w:val="1"/>
          <w:color w:val="auto"/>
        </w:rPr>
        <w:t>Section 14.07</w:t>
      </w:r>
      <w:r>
        <w:rPr>
          <w:sz w:val="20"/>
          <w:szCs w:val="20"/>
          <w:color w:val="auto"/>
        </w:rPr>
        <w:tab/>
      </w:r>
      <w:r>
        <w:rPr>
          <w:rFonts w:ascii="Arial" w:cs="Arial" w:eastAsia="Arial" w:hAnsi="Arial"/>
          <w:sz w:val="19"/>
          <w:szCs w:val="19"/>
          <w:i w:val="1"/>
          <w:iCs w:val="1"/>
          <w:color w:val="auto"/>
        </w:rPr>
        <w:t>No Adverse Interpretation of Other Agreements.</w:t>
      </w:r>
    </w:p>
    <w:p>
      <w:pPr>
        <w:spacing w:after="0" w:line="180" w:lineRule="exact"/>
        <w:rPr>
          <w:sz w:val="20"/>
          <w:szCs w:val="20"/>
          <w:color w:val="auto"/>
        </w:rPr>
      </w:pPr>
    </w:p>
    <w:p>
      <w:pPr>
        <w:jc w:val="both"/>
        <w:ind w:firstLine="632"/>
        <w:spacing w:after="0" w:line="285"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113"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i w:val="1"/>
          <w:iCs w:val="1"/>
          <w:color w:val="auto"/>
        </w:rPr>
        <w:t>Section 14.08</w:t>
      </w:r>
      <w:r>
        <w:rPr>
          <w:sz w:val="20"/>
          <w:szCs w:val="20"/>
          <w:color w:val="auto"/>
        </w:rPr>
        <w:tab/>
      </w:r>
      <w:r>
        <w:rPr>
          <w:rFonts w:ascii="Arial" w:cs="Arial" w:eastAsia="Arial" w:hAnsi="Arial"/>
          <w:sz w:val="17"/>
          <w:szCs w:val="17"/>
          <w:i w:val="1"/>
          <w:iCs w:val="1"/>
          <w:color w:val="auto"/>
        </w:rPr>
        <w:t>Successors.</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154" w:lineRule="exact"/>
        <w:rPr>
          <w:sz w:val="20"/>
          <w:szCs w:val="20"/>
          <w:color w:val="auto"/>
        </w:rPr>
      </w:pPr>
    </w:p>
    <w:p>
      <w:pPr>
        <w:spacing w:after="0"/>
        <w:tabs>
          <w:tab w:leader="none" w:pos="1340" w:val="left"/>
        </w:tabs>
        <w:rPr>
          <w:sz w:val="20"/>
          <w:szCs w:val="20"/>
          <w:color w:val="auto"/>
        </w:rPr>
      </w:pPr>
      <w:r>
        <w:rPr>
          <w:rFonts w:ascii="Arial" w:cs="Arial" w:eastAsia="Arial" w:hAnsi="Arial"/>
          <w:sz w:val="21"/>
          <w:szCs w:val="21"/>
          <w:i w:val="1"/>
          <w:iCs w:val="1"/>
          <w:color w:val="auto"/>
        </w:rPr>
        <w:t>Section 14.09</w:t>
      </w:r>
      <w:r>
        <w:rPr>
          <w:sz w:val="20"/>
          <w:szCs w:val="20"/>
          <w:color w:val="auto"/>
        </w:rPr>
        <w:tab/>
      </w:r>
      <w:r>
        <w:rPr>
          <w:rFonts w:ascii="Arial" w:cs="Arial" w:eastAsia="Arial" w:hAnsi="Arial"/>
          <w:sz w:val="19"/>
          <w:szCs w:val="19"/>
          <w:i w:val="1"/>
          <w:iCs w:val="1"/>
          <w:color w:val="auto"/>
        </w:rPr>
        <w:t>Severability.</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In case any provision in this Indenture or in the Notes is invalid, illegal or unenforceable, the validity, legality and enforceability of the remaining provisions shall not in any way be affected or impaired thereby.</w:t>
      </w:r>
    </w:p>
    <w:p>
      <w:pPr>
        <w:spacing w:after="0" w:line="155" w:lineRule="exact"/>
        <w:rPr>
          <w:sz w:val="20"/>
          <w:szCs w:val="20"/>
          <w:color w:val="auto"/>
        </w:rPr>
      </w:pPr>
    </w:p>
    <w:p>
      <w:pPr>
        <w:spacing w:after="0"/>
        <w:tabs>
          <w:tab w:leader="none" w:pos="1340" w:val="left"/>
        </w:tabs>
        <w:rPr>
          <w:sz w:val="20"/>
          <w:szCs w:val="20"/>
          <w:color w:val="auto"/>
        </w:rPr>
      </w:pPr>
      <w:r>
        <w:rPr>
          <w:rFonts w:ascii="Arial" w:cs="Arial" w:eastAsia="Arial" w:hAnsi="Arial"/>
          <w:sz w:val="21"/>
          <w:szCs w:val="21"/>
          <w:i w:val="1"/>
          <w:iCs w:val="1"/>
          <w:color w:val="auto"/>
        </w:rPr>
        <w:t>Section 14.10</w:t>
      </w:r>
      <w:r>
        <w:rPr>
          <w:sz w:val="20"/>
          <w:szCs w:val="20"/>
          <w:color w:val="auto"/>
        </w:rPr>
        <w:tab/>
      </w:r>
      <w:r>
        <w:rPr>
          <w:rFonts w:ascii="Arial" w:cs="Arial" w:eastAsia="Arial" w:hAnsi="Arial"/>
          <w:sz w:val="19"/>
          <w:szCs w:val="19"/>
          <w:i w:val="1"/>
          <w:iCs w:val="1"/>
          <w:color w:val="auto"/>
        </w:rPr>
        <w:t>Counterpart Originals.</w:t>
      </w:r>
    </w:p>
    <w:p>
      <w:pPr>
        <w:spacing w:after="0" w:line="18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The parties may sign any number of copies of this Indenture. Each signed copy shall be an original, but all of them together represent the same agreement.</w:t>
      </w:r>
    </w:p>
    <w:p>
      <w:pPr>
        <w:spacing w:after="0" w:line="155" w:lineRule="exact"/>
        <w:rPr>
          <w:sz w:val="20"/>
          <w:szCs w:val="20"/>
          <w:color w:val="auto"/>
        </w:rPr>
      </w:pPr>
    </w:p>
    <w:p>
      <w:pPr>
        <w:spacing w:after="0"/>
        <w:tabs>
          <w:tab w:leader="none" w:pos="1320" w:val="left"/>
        </w:tabs>
        <w:rPr>
          <w:sz w:val="20"/>
          <w:szCs w:val="20"/>
          <w:color w:val="auto"/>
        </w:rPr>
      </w:pPr>
      <w:r>
        <w:rPr>
          <w:rFonts w:ascii="Arial" w:cs="Arial" w:eastAsia="Arial" w:hAnsi="Arial"/>
          <w:sz w:val="21"/>
          <w:szCs w:val="21"/>
          <w:i w:val="1"/>
          <w:iCs w:val="1"/>
          <w:color w:val="auto"/>
        </w:rPr>
        <w:t>Section 14.11</w:t>
      </w:r>
      <w:r>
        <w:rPr>
          <w:sz w:val="20"/>
          <w:szCs w:val="20"/>
          <w:color w:val="auto"/>
        </w:rPr>
        <w:tab/>
      </w:r>
      <w:r>
        <w:rPr>
          <w:rFonts w:ascii="Arial" w:cs="Arial" w:eastAsia="Arial" w:hAnsi="Arial"/>
          <w:sz w:val="18"/>
          <w:szCs w:val="18"/>
          <w:i w:val="1"/>
          <w:iCs w:val="1"/>
          <w:color w:val="auto"/>
        </w:rPr>
        <w:t>Table of Contents, Headings, etc.</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240"/>
          </w:cols>
          <w:pgMar w:left="320" w:top="1368" w:right="339" w:bottom="1440" w:gutter="0" w:footer="0" w:header="0"/>
        </w:sectPr>
      </w:pPr>
    </w:p>
    <w:bookmarkStart w:id="90" w:name="page91"/>
    <w:bookmarkEnd w:id="90"/>
    <w:p>
      <w:pPr>
        <w:ind w:left="4920"/>
        <w:spacing w:after="0"/>
        <w:rPr>
          <w:sz w:val="20"/>
          <w:szCs w:val="20"/>
          <w:color w:val="auto"/>
        </w:rPr>
      </w:pPr>
      <w:r>
        <w:rPr>
          <w:rFonts w:ascii="Arial" w:cs="Arial" w:eastAsia="Arial" w:hAnsi="Arial"/>
          <w:sz w:val="21"/>
          <w:szCs w:val="21"/>
          <w:b w:val="1"/>
          <w:bCs w:val="1"/>
          <w:color w:val="auto"/>
        </w:rPr>
        <w:t>SIGNATURES</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Dated as of February 16, 2023 </w:t>
      </w:r>
      <w:r>
        <w:rPr>
          <w:rFonts w:ascii="Arial" w:cs="Arial" w:eastAsia="Arial" w:hAnsi="Arial"/>
          <w:sz w:val="21"/>
          <w:szCs w:val="21"/>
          <w:b w:val="1"/>
          <w:bCs w:val="1"/>
          <w:color w:val="auto"/>
        </w:rPr>
        <w:t>ISSUERS</w:t>
      </w:r>
    </w:p>
    <w:p>
      <w:pPr>
        <w:spacing w:after="0" w:line="200" w:lineRule="exact"/>
        <w:rPr>
          <w:sz w:val="20"/>
          <w:szCs w:val="20"/>
          <w:color w:val="auto"/>
        </w:rPr>
      </w:pPr>
    </w:p>
    <w:p>
      <w:pPr>
        <w:spacing w:after="0" w:line="366" w:lineRule="exact"/>
        <w:rPr>
          <w:sz w:val="20"/>
          <w:szCs w:val="20"/>
          <w:color w:val="auto"/>
        </w:rPr>
      </w:pPr>
    </w:p>
    <w:p>
      <w:pPr>
        <w:ind w:left="3780"/>
        <w:spacing w:after="0"/>
        <w:rPr>
          <w:sz w:val="20"/>
          <w:szCs w:val="20"/>
          <w:color w:val="auto"/>
        </w:rPr>
      </w:pPr>
      <w:r>
        <w:rPr>
          <w:rFonts w:ascii="Arial" w:cs="Arial" w:eastAsia="Arial" w:hAnsi="Arial"/>
          <w:sz w:val="19"/>
          <w:szCs w:val="19"/>
          <w:b w:val="1"/>
          <w:bCs w:val="1"/>
          <w:color w:val="auto"/>
        </w:rPr>
        <w:t>WYNN RESORTS FINANCE, LLC</w:t>
      </w:r>
    </w:p>
    <w:p>
      <w:pPr>
        <w:spacing w:after="0" w:line="209" w:lineRule="exact"/>
        <w:rPr>
          <w:sz w:val="20"/>
          <w:szCs w:val="20"/>
          <w:color w:val="auto"/>
        </w:rPr>
      </w:pPr>
    </w:p>
    <w:p>
      <w:pPr>
        <w:ind w:left="3780"/>
        <w:spacing w:after="0"/>
        <w:tabs>
          <w:tab w:leader="none" w:pos="4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16"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34"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 /s/ Julie Cameron-Doe</w:t>
      </w:r>
    </w:p>
    <w:p>
      <w:pPr>
        <w:ind w:left="3780"/>
        <w:spacing w:after="0" w:line="216" w:lineRule="auto"/>
        <w:tabs>
          <w:tab w:leader="none" w:pos="4520" w:val="left"/>
        </w:tabs>
        <w:rPr>
          <w:sz w:val="20"/>
          <w:szCs w:val="20"/>
          <w:color w:val="auto"/>
        </w:rPr>
      </w:pPr>
      <w:r>
        <w:rPr>
          <w:rFonts w:ascii="Arial" w:cs="Arial" w:eastAsia="Arial" w:hAnsi="Arial"/>
          <w:sz w:val="19"/>
          <w:szCs w:val="19"/>
          <w:color w:val="auto"/>
        </w:rPr>
        <w:t>Name:</w:t>
        <w:tab/>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-123825</wp:posOffset>
            </wp:positionV>
            <wp:extent cx="1469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jc w:val="center"/>
        <w:ind w:left="420"/>
        <w:spacing w:after="0"/>
        <w:tabs>
          <w:tab w:leader="none" w:pos="220" w:val="left"/>
        </w:tabs>
        <w:rPr>
          <w:sz w:val="20"/>
          <w:szCs w:val="20"/>
          <w:color w:val="auto"/>
        </w:rPr>
      </w:pPr>
      <w:r>
        <w:rPr>
          <w:rFonts w:ascii="Arial" w:cs="Arial" w:eastAsia="Arial" w:hAnsi="Arial"/>
          <w:sz w:val="19"/>
          <w:szCs w:val="19"/>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780"/>
        <w:spacing w:after="0"/>
        <w:rPr>
          <w:sz w:val="20"/>
          <w:szCs w:val="20"/>
          <w:color w:val="auto"/>
        </w:rPr>
      </w:pPr>
      <w:r>
        <w:rPr>
          <w:rFonts w:ascii="Arial" w:cs="Arial" w:eastAsia="Arial" w:hAnsi="Arial"/>
          <w:sz w:val="19"/>
          <w:szCs w:val="19"/>
          <w:b w:val="1"/>
          <w:bCs w:val="1"/>
          <w:color w:val="auto"/>
        </w:rPr>
        <w:t>WYNN RESORTS CAPITAL CORP.</w:t>
      </w:r>
    </w:p>
    <w:p>
      <w:pPr>
        <w:spacing w:after="0" w:line="200" w:lineRule="exact"/>
        <w:rPr>
          <w:sz w:val="20"/>
          <w:szCs w:val="20"/>
          <w:color w:val="auto"/>
        </w:rPr>
      </w:pPr>
    </w:p>
    <w:p>
      <w:pPr>
        <w:spacing w:after="0" w:line="240"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-6985</wp:posOffset>
            </wp:positionV>
            <wp:extent cx="14693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3780"/>
        <w:spacing w:after="0" w:line="216" w:lineRule="auto"/>
        <w:tabs>
          <w:tab w:leader="none" w:pos="4520" w:val="left"/>
        </w:tabs>
        <w:rPr>
          <w:sz w:val="20"/>
          <w:szCs w:val="20"/>
          <w:color w:val="auto"/>
        </w:rPr>
      </w:pPr>
      <w:r>
        <w:rPr>
          <w:rFonts w:ascii="Arial" w:cs="Arial" w:eastAsia="Arial" w:hAnsi="Arial"/>
          <w:sz w:val="19"/>
          <w:szCs w:val="19"/>
          <w:color w:val="auto"/>
        </w:rPr>
        <w:t>Name:</w:t>
        <w:tab/>
        <w:t>Julie Cameron-Doe</w:t>
      </w:r>
    </w:p>
    <w:p>
      <w:pPr>
        <w:spacing w:after="0" w:line="1" w:lineRule="exact"/>
        <w:rPr>
          <w:sz w:val="20"/>
          <w:szCs w:val="20"/>
          <w:color w:val="auto"/>
        </w:rPr>
      </w:pPr>
    </w:p>
    <w:p>
      <w:pPr>
        <w:ind w:left="3780"/>
        <w:spacing w:after="0"/>
        <w:tabs>
          <w:tab w:leader="none" w:pos="43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6"/>
          <w:szCs w:val="16"/>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10119"/>
          </w:cols>
          <w:pgMar w:left="340" w:top="1362" w:right="1440" w:bottom="1440" w:gutter="0" w:footer="0" w:header="0"/>
        </w:sectPr>
      </w:pPr>
    </w:p>
    <w:bookmarkStart w:id="91" w:name="page92"/>
    <w:bookmarkEnd w:id="91"/>
    <w:p>
      <w:pPr>
        <w:ind w:left="2200"/>
        <w:spacing w:after="0"/>
        <w:rPr>
          <w:sz w:val="20"/>
          <w:szCs w:val="20"/>
          <w:color w:val="auto"/>
        </w:rPr>
      </w:pPr>
      <w:r>
        <w:rPr>
          <w:rFonts w:ascii="Arial" w:cs="Arial" w:eastAsia="Arial" w:hAnsi="Arial"/>
          <w:sz w:val="21"/>
          <w:szCs w:val="21"/>
          <w:b w:val="1"/>
          <w:bCs w:val="1"/>
          <w:color w:val="auto"/>
        </w:rPr>
        <w:t>GUARANTORS:</w:t>
      </w:r>
    </w:p>
    <w:p>
      <w:pPr>
        <w:spacing w:after="0" w:line="210"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EBH HOLDINGS, LLC</w:t>
      </w:r>
    </w:p>
    <w:p>
      <w:pPr>
        <w:spacing w:after="0" w:line="222"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MA, LLC, its sole member</w:t>
      </w:r>
    </w:p>
    <w:p>
      <w:pPr>
        <w:spacing w:after="0" w:line="203"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America Group,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03"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4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-6985</wp:posOffset>
            </wp:positionV>
            <wp:extent cx="14693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2680"/>
        <w:spacing w:after="0" w:line="202" w:lineRule="auto"/>
        <w:tabs>
          <w:tab w:leader="none" w:pos="3420" w:val="left"/>
        </w:tabs>
        <w:rPr>
          <w:sz w:val="20"/>
          <w:szCs w:val="20"/>
          <w:color w:val="auto"/>
        </w:rPr>
      </w:pPr>
      <w:r>
        <w:rPr>
          <w:rFonts w:ascii="Arial" w:cs="Arial" w:eastAsia="Arial" w:hAnsi="Arial"/>
          <w:sz w:val="19"/>
          <w:szCs w:val="19"/>
          <w:color w:val="auto"/>
        </w:rPr>
        <w:t>Name:</w:t>
        <w:tab/>
        <w:t>Julie Cameron-Doe</w:t>
      </w:r>
    </w:p>
    <w:p>
      <w:pPr>
        <w:ind w:left="2680"/>
        <w:spacing w:after="0"/>
        <w:tabs>
          <w:tab w:leader="none" w:pos="3300" w:val="left"/>
        </w:tabs>
        <w:rPr>
          <w:sz w:val="20"/>
          <w:szCs w:val="20"/>
          <w:color w:val="auto"/>
        </w:rPr>
      </w:pPr>
      <w:r>
        <w:rPr>
          <w:rFonts w:ascii="Arial" w:cs="Arial" w:eastAsia="Arial" w:hAnsi="Arial"/>
          <w:sz w:val="19"/>
          <w:szCs w:val="19"/>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WYNN GROUP ASIA, INC.</w:t>
      </w:r>
    </w:p>
    <w:p>
      <w:pPr>
        <w:spacing w:after="0" w:line="200" w:lineRule="exact"/>
        <w:rPr>
          <w:sz w:val="20"/>
          <w:szCs w:val="20"/>
          <w:color w:val="auto"/>
        </w:rPr>
      </w:pPr>
    </w:p>
    <w:p>
      <w:pPr>
        <w:spacing w:after="0" w:line="240"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/s/ Julie Cameron-Doe</w:t>
      </w:r>
    </w:p>
    <w:p>
      <w:pPr>
        <w:ind w:left="2680"/>
        <w:spacing w:after="0" w:line="216" w:lineRule="auto"/>
        <w:tabs>
          <w:tab w:leader="none" w:pos="3420" w:val="left"/>
        </w:tabs>
        <w:rPr>
          <w:sz w:val="20"/>
          <w:szCs w:val="20"/>
          <w:color w:val="auto"/>
        </w:rPr>
      </w:pPr>
      <w:r>
        <w:rPr>
          <w:rFonts w:ascii="Arial" w:cs="Arial" w:eastAsia="Arial" w:hAnsi="Arial"/>
          <w:sz w:val="19"/>
          <w:szCs w:val="19"/>
          <w:color w:val="auto"/>
        </w:rPr>
        <w:t>Name:</w:t>
        <w:tab/>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-123825</wp:posOffset>
            </wp:positionV>
            <wp:extent cx="1469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2680"/>
        <w:spacing w:after="0"/>
        <w:tabs>
          <w:tab w:leader="none" w:pos="3300" w:val="left"/>
        </w:tabs>
        <w:rPr>
          <w:sz w:val="20"/>
          <w:szCs w:val="20"/>
          <w:color w:val="auto"/>
        </w:rPr>
      </w:pPr>
      <w:r>
        <w:rPr>
          <w:rFonts w:ascii="Arial" w:cs="Arial" w:eastAsia="Arial" w:hAnsi="Arial"/>
          <w:sz w:val="19"/>
          <w:szCs w:val="19"/>
          <w:color w:val="auto"/>
        </w:rPr>
        <w:t>Title:</w:t>
        <w:tab/>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9019"/>
          </w:cols>
          <w:pgMar w:left="1440" w:top="1362" w:right="1440" w:bottom="1440" w:gutter="0" w:footer="0" w:header="0"/>
        </w:sectPr>
      </w:pPr>
    </w:p>
    <w:bookmarkStart w:id="92" w:name="page93"/>
    <w:bookmarkEnd w:id="92"/>
    <w:p>
      <w:pPr>
        <w:ind w:left="3800"/>
        <w:spacing w:after="0"/>
        <w:rPr>
          <w:sz w:val="20"/>
          <w:szCs w:val="20"/>
          <w:color w:val="auto"/>
        </w:rPr>
      </w:pPr>
      <w:r>
        <w:rPr>
          <w:rFonts w:ascii="Arial" w:cs="Arial" w:eastAsia="Arial" w:hAnsi="Arial"/>
          <w:sz w:val="19"/>
          <w:szCs w:val="19"/>
          <w:b w:val="1"/>
          <w:bCs w:val="1"/>
          <w:color w:val="auto"/>
        </w:rPr>
        <w:t>EVERETT PROPERTY, LLC</w:t>
      </w:r>
    </w:p>
    <w:p>
      <w:pPr>
        <w:spacing w:after="0" w:line="222"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 Wynn America Group, LLC, its sole member</w:t>
      </w:r>
    </w:p>
    <w:p>
      <w:pPr>
        <w:spacing w:after="0" w:line="203" w:lineRule="exact"/>
        <w:rPr>
          <w:sz w:val="20"/>
          <w:szCs w:val="20"/>
          <w:color w:val="auto"/>
        </w:rPr>
      </w:pPr>
    </w:p>
    <w:p>
      <w:pPr>
        <w:ind w:left="3800"/>
        <w:spacing w:after="0"/>
        <w:tabs>
          <w:tab w:leader="none" w:pos="42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16" w:lineRule="exact"/>
        <w:rPr>
          <w:sz w:val="20"/>
          <w:szCs w:val="20"/>
          <w:color w:val="auto"/>
        </w:rPr>
      </w:pPr>
    </w:p>
    <w:p>
      <w:pPr>
        <w:ind w:left="3800"/>
        <w:spacing w:after="0"/>
        <w:tabs>
          <w:tab w:leader="none" w:pos="42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1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34"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-6985</wp:posOffset>
            </wp:positionV>
            <wp:extent cx="14693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3800"/>
        <w:spacing w:after="0" w:line="216" w:lineRule="auto"/>
        <w:tabs>
          <w:tab w:leader="none" w:pos="4540" w:val="left"/>
        </w:tabs>
        <w:rPr>
          <w:sz w:val="20"/>
          <w:szCs w:val="20"/>
          <w:color w:val="auto"/>
        </w:rPr>
      </w:pPr>
      <w:r>
        <w:rPr>
          <w:rFonts w:ascii="Arial" w:cs="Arial" w:eastAsia="Arial" w:hAnsi="Arial"/>
          <w:sz w:val="19"/>
          <w:szCs w:val="19"/>
          <w:color w:val="auto"/>
        </w:rPr>
        <w:t>Name:</w:t>
        <w:tab/>
        <w:t>Julie Cameron-Doe</w:t>
      </w:r>
    </w:p>
    <w:p>
      <w:pPr>
        <w:spacing w:after="0" w:line="1" w:lineRule="exact"/>
        <w:rPr>
          <w:sz w:val="20"/>
          <w:szCs w:val="20"/>
          <w:color w:val="auto"/>
        </w:rPr>
      </w:pPr>
    </w:p>
    <w:p>
      <w:pPr>
        <w:ind w:left="3800"/>
        <w:spacing w:after="0"/>
        <w:tabs>
          <w:tab w:leader="none" w:pos="4420" w:val="left"/>
        </w:tabs>
        <w:rPr>
          <w:sz w:val="20"/>
          <w:szCs w:val="20"/>
          <w:color w:val="auto"/>
        </w:rPr>
      </w:pPr>
      <w:r>
        <w:rPr>
          <w:rFonts w:ascii="Arial" w:cs="Arial" w:eastAsia="Arial" w:hAnsi="Arial"/>
          <w:sz w:val="19"/>
          <w:szCs w:val="19"/>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00"/>
        <w:spacing w:after="0"/>
        <w:rPr>
          <w:sz w:val="20"/>
          <w:szCs w:val="20"/>
          <w:color w:val="auto"/>
        </w:rPr>
      </w:pPr>
      <w:r>
        <w:rPr>
          <w:rFonts w:ascii="Arial" w:cs="Arial" w:eastAsia="Arial" w:hAnsi="Arial"/>
          <w:sz w:val="19"/>
          <w:szCs w:val="19"/>
          <w:b w:val="1"/>
          <w:bCs w:val="1"/>
          <w:color w:val="auto"/>
        </w:rPr>
        <w:t>WYNN AMERICA GROUP, LLC</w:t>
      </w:r>
    </w:p>
    <w:p>
      <w:pPr>
        <w:spacing w:after="0" w:line="222" w:lineRule="exact"/>
        <w:rPr>
          <w:sz w:val="20"/>
          <w:szCs w:val="20"/>
          <w:color w:val="auto"/>
        </w:rPr>
      </w:pPr>
    </w:p>
    <w:p>
      <w:pPr>
        <w:ind w:left="3800"/>
        <w:spacing w:after="0"/>
        <w:tabs>
          <w:tab w:leader="none" w:pos="42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16" w:lineRule="exact"/>
        <w:rPr>
          <w:sz w:val="20"/>
          <w:szCs w:val="20"/>
          <w:color w:val="auto"/>
        </w:rPr>
      </w:pPr>
    </w:p>
    <w:p>
      <w:pPr>
        <w:ind w:left="3800"/>
        <w:spacing w:after="0"/>
        <w:tabs>
          <w:tab w:leader="none" w:pos="42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03"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-6985</wp:posOffset>
            </wp:positionV>
            <wp:extent cx="14693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3800"/>
        <w:spacing w:after="0" w:line="202" w:lineRule="auto"/>
        <w:tabs>
          <w:tab w:leader="none" w:pos="4540" w:val="left"/>
        </w:tabs>
        <w:rPr>
          <w:sz w:val="20"/>
          <w:szCs w:val="20"/>
          <w:color w:val="auto"/>
        </w:rPr>
      </w:pPr>
      <w:r>
        <w:rPr>
          <w:rFonts w:ascii="Arial" w:cs="Arial" w:eastAsia="Arial" w:hAnsi="Arial"/>
          <w:sz w:val="19"/>
          <w:szCs w:val="19"/>
          <w:color w:val="auto"/>
        </w:rPr>
        <w:t>Name:</w:t>
        <w:tab/>
        <w:t>Julie Cameron-Doe</w:t>
      </w:r>
    </w:p>
    <w:p>
      <w:pPr>
        <w:jc w:val="center"/>
        <w:ind w:left="420"/>
        <w:spacing w:after="0"/>
        <w:tabs>
          <w:tab w:leader="none" w:pos="220" w:val="left"/>
        </w:tabs>
        <w:rPr>
          <w:sz w:val="20"/>
          <w:szCs w:val="20"/>
          <w:color w:val="auto"/>
        </w:rPr>
      </w:pPr>
      <w:r>
        <w:rPr>
          <w:rFonts w:ascii="Arial" w:cs="Arial" w:eastAsia="Arial" w:hAnsi="Arial"/>
          <w:sz w:val="19"/>
          <w:szCs w:val="19"/>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0"/>
        <w:spacing w:after="0"/>
        <w:rPr>
          <w:sz w:val="20"/>
          <w:szCs w:val="20"/>
          <w:color w:val="auto"/>
        </w:rPr>
      </w:pPr>
      <w:r>
        <w:rPr>
          <w:rFonts w:ascii="Arial" w:cs="Arial" w:eastAsia="Arial" w:hAnsi="Arial"/>
          <w:sz w:val="19"/>
          <w:szCs w:val="19"/>
          <w:b w:val="1"/>
          <w:bCs w:val="1"/>
          <w:color w:val="auto"/>
        </w:rPr>
        <w:t>WYNN LAS VEGAS HOLDINGS, LLC</w:t>
      </w:r>
    </w:p>
    <w:p>
      <w:pPr>
        <w:spacing w:after="0" w:line="222" w:lineRule="exact"/>
        <w:rPr>
          <w:sz w:val="20"/>
          <w:szCs w:val="20"/>
          <w:color w:val="auto"/>
        </w:rPr>
      </w:pPr>
    </w:p>
    <w:p>
      <w:pPr>
        <w:ind w:left="3800"/>
        <w:spacing w:after="0"/>
        <w:tabs>
          <w:tab w:leader="none" w:pos="42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America Group, LLC, its sole member</w:t>
      </w:r>
    </w:p>
    <w:p>
      <w:pPr>
        <w:spacing w:after="0" w:line="203" w:lineRule="exact"/>
        <w:rPr>
          <w:sz w:val="20"/>
          <w:szCs w:val="20"/>
          <w:color w:val="auto"/>
        </w:rPr>
      </w:pPr>
    </w:p>
    <w:p>
      <w:pPr>
        <w:ind w:left="3800"/>
        <w:spacing w:after="0"/>
        <w:tabs>
          <w:tab w:leader="none" w:pos="42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16" w:lineRule="exact"/>
        <w:rPr>
          <w:sz w:val="20"/>
          <w:szCs w:val="20"/>
          <w:color w:val="auto"/>
        </w:rPr>
      </w:pPr>
    </w:p>
    <w:p>
      <w:pPr>
        <w:ind w:left="3800"/>
        <w:spacing w:after="0"/>
        <w:tabs>
          <w:tab w:leader="none" w:pos="42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03"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-6985</wp:posOffset>
            </wp:positionV>
            <wp:extent cx="1469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3800"/>
        <w:spacing w:after="0" w:line="202" w:lineRule="auto"/>
        <w:tabs>
          <w:tab w:leader="none" w:pos="4540" w:val="left"/>
        </w:tabs>
        <w:rPr>
          <w:sz w:val="20"/>
          <w:szCs w:val="20"/>
          <w:color w:val="auto"/>
        </w:rPr>
      </w:pPr>
      <w:r>
        <w:rPr>
          <w:rFonts w:ascii="Arial" w:cs="Arial" w:eastAsia="Arial" w:hAnsi="Arial"/>
          <w:sz w:val="19"/>
          <w:szCs w:val="19"/>
          <w:color w:val="auto"/>
        </w:rPr>
        <w:t>Name:</w:t>
        <w:tab/>
        <w:t>Julie Cameron-Doe</w:t>
      </w:r>
    </w:p>
    <w:p>
      <w:pPr>
        <w:jc w:val="center"/>
        <w:ind w:left="420"/>
        <w:spacing w:after="0"/>
        <w:tabs>
          <w:tab w:leader="none" w:pos="220" w:val="left"/>
        </w:tabs>
        <w:rPr>
          <w:sz w:val="20"/>
          <w:szCs w:val="20"/>
          <w:color w:val="auto"/>
        </w:rPr>
      </w:pPr>
      <w:r>
        <w:rPr>
          <w:rFonts w:ascii="Arial" w:cs="Arial" w:eastAsia="Arial" w:hAnsi="Arial"/>
          <w:sz w:val="19"/>
          <w:szCs w:val="19"/>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0139"/>
          </w:cols>
          <w:pgMar w:left="320" w:top="1367" w:right="1440" w:bottom="882" w:gutter="0" w:footer="0" w:header="0"/>
        </w:sectPr>
      </w:pPr>
    </w:p>
    <w:p>
      <w:pPr>
        <w:spacing w:after="0" w:line="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ectPr>
          <w:pgSz w:w="11900" w:h="16838" w:orient="portrait"/>
          <w:cols w:equalWidth="0" w:num="1">
            <w:col w:w="10139"/>
          </w:cols>
          <w:pgMar w:left="320" w:top="1367" w:right="1440" w:bottom="882" w:gutter="0" w:footer="0" w:header="0"/>
          <w:type w:val="continuous"/>
        </w:sectPr>
      </w:pPr>
    </w:p>
    <w:bookmarkStart w:id="93" w:name="page94"/>
    <w:bookmarkEnd w:id="93"/>
    <w:p>
      <w:pPr>
        <w:ind w:left="2680"/>
        <w:spacing w:after="0"/>
        <w:rPr>
          <w:sz w:val="20"/>
          <w:szCs w:val="20"/>
          <w:color w:val="auto"/>
        </w:rPr>
      </w:pPr>
      <w:r>
        <w:rPr>
          <w:rFonts w:ascii="Arial" w:cs="Arial" w:eastAsia="Arial" w:hAnsi="Arial"/>
          <w:sz w:val="19"/>
          <w:szCs w:val="19"/>
          <w:b w:val="1"/>
          <w:bCs w:val="1"/>
          <w:color w:val="auto"/>
        </w:rPr>
        <w:t>WYNN LAS VEGAS, LLC</w:t>
      </w:r>
    </w:p>
    <w:p>
      <w:pPr>
        <w:spacing w:after="0" w:line="222"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By: Wynn Las Vegas Holdings, LLC, its sole member</w:t>
      </w:r>
    </w:p>
    <w:p>
      <w:pPr>
        <w:spacing w:after="0" w:line="22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America Group, LLC, its sole member</w:t>
      </w:r>
    </w:p>
    <w:p>
      <w:pPr>
        <w:spacing w:after="0" w:line="216"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Finance,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03"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4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-6985</wp:posOffset>
            </wp:positionV>
            <wp:extent cx="14693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2680"/>
        <w:spacing w:after="0" w:line="202" w:lineRule="auto"/>
        <w:tabs>
          <w:tab w:leader="none" w:pos="3420" w:val="left"/>
        </w:tabs>
        <w:rPr>
          <w:sz w:val="20"/>
          <w:szCs w:val="20"/>
          <w:color w:val="auto"/>
        </w:rPr>
      </w:pPr>
      <w:r>
        <w:rPr>
          <w:rFonts w:ascii="Arial" w:cs="Arial" w:eastAsia="Arial" w:hAnsi="Arial"/>
          <w:sz w:val="19"/>
          <w:szCs w:val="19"/>
          <w:color w:val="auto"/>
        </w:rPr>
        <w:t>Name:</w:t>
        <w:tab/>
        <w:t>Julie Cameron-Doe</w:t>
      </w:r>
    </w:p>
    <w:p>
      <w:pPr>
        <w:ind w:left="2680"/>
        <w:spacing w:after="0"/>
        <w:tabs>
          <w:tab w:leader="none" w:pos="3300" w:val="left"/>
        </w:tabs>
        <w:rPr>
          <w:sz w:val="20"/>
          <w:szCs w:val="20"/>
          <w:color w:val="auto"/>
        </w:rPr>
      </w:pPr>
      <w:r>
        <w:rPr>
          <w:rFonts w:ascii="Arial" w:cs="Arial" w:eastAsia="Arial" w:hAnsi="Arial"/>
          <w:sz w:val="19"/>
          <w:szCs w:val="19"/>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80"/>
        <w:spacing w:after="0"/>
        <w:rPr>
          <w:sz w:val="20"/>
          <w:szCs w:val="20"/>
          <w:color w:val="auto"/>
        </w:rPr>
      </w:pPr>
      <w:r>
        <w:rPr>
          <w:rFonts w:ascii="Arial" w:cs="Arial" w:eastAsia="Arial" w:hAnsi="Arial"/>
          <w:sz w:val="21"/>
          <w:szCs w:val="21"/>
          <w:b w:val="1"/>
          <w:bCs w:val="1"/>
          <w:color w:val="auto"/>
        </w:rPr>
        <w:t>WYNN MA, LLC</w:t>
      </w:r>
    </w:p>
    <w:p>
      <w:pPr>
        <w:spacing w:after="0" w:line="216"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America Group,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03"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 Wynn Resorts, Limited, its sole member</w:t>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/s/ Julie Cameron-Doe</w:t>
      </w:r>
    </w:p>
    <w:p>
      <w:pPr>
        <w:ind w:left="2680"/>
        <w:spacing w:after="0" w:line="216" w:lineRule="auto"/>
        <w:tabs>
          <w:tab w:leader="none" w:pos="3420" w:val="left"/>
        </w:tabs>
        <w:rPr>
          <w:sz w:val="20"/>
          <w:szCs w:val="20"/>
          <w:color w:val="auto"/>
        </w:rPr>
      </w:pPr>
      <w:r>
        <w:rPr>
          <w:rFonts w:ascii="Arial" w:cs="Arial" w:eastAsia="Arial" w:hAnsi="Arial"/>
          <w:sz w:val="19"/>
          <w:szCs w:val="19"/>
          <w:color w:val="auto"/>
        </w:rPr>
        <w:t>Name:</w:t>
        <w:tab/>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-123825</wp:posOffset>
            </wp:positionV>
            <wp:extent cx="14693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2680"/>
        <w:spacing w:after="0"/>
        <w:tabs>
          <w:tab w:leader="none" w:pos="3300" w:val="left"/>
        </w:tabs>
        <w:rPr>
          <w:sz w:val="20"/>
          <w:szCs w:val="20"/>
          <w:color w:val="auto"/>
        </w:rPr>
      </w:pPr>
      <w:r>
        <w:rPr>
          <w:rFonts w:ascii="Arial" w:cs="Arial" w:eastAsia="Arial" w:hAnsi="Arial"/>
          <w:sz w:val="19"/>
          <w:szCs w:val="19"/>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r>
        <w:rPr>
          <w:rFonts w:ascii="Arial" w:cs="Arial" w:eastAsia="Arial" w:hAnsi="Arial"/>
          <w:sz w:val="14"/>
          <w:szCs w:val="14"/>
          <w:color w:val="auto"/>
        </w:rPr>
        <w:t>|</w:t>
      </w:r>
    </w:p>
    <w:p>
      <w:pPr>
        <w:sectPr>
          <w:pgSz w:w="11900" w:h="16838" w:orient="portrait"/>
          <w:cols w:equalWidth="0" w:num="1">
            <w:col w:w="9019"/>
          </w:cols>
          <w:pgMar w:left="1440" w:top="1367" w:right="1440" w:bottom="1440" w:gutter="0" w:footer="0" w:header="0"/>
        </w:sectPr>
      </w:pPr>
    </w:p>
    <w:bookmarkStart w:id="94" w:name="page95"/>
    <w:bookmarkEnd w:id="94"/>
    <w:p>
      <w:pPr>
        <w:spacing w:after="0"/>
        <w:rPr>
          <w:sz w:val="20"/>
          <w:szCs w:val="20"/>
          <w:color w:val="auto"/>
        </w:rPr>
      </w:pPr>
      <w:r>
        <w:rPr>
          <w:rFonts w:ascii="Arial" w:cs="Arial" w:eastAsia="Arial" w:hAnsi="Arial"/>
          <w:sz w:val="19"/>
          <w:szCs w:val="19"/>
          <w:b w:val="1"/>
          <w:bCs w:val="1"/>
          <w:color w:val="auto"/>
        </w:rPr>
        <w:t>WYNN SUNRISE, LLC</w:t>
      </w:r>
    </w:p>
    <w:p>
      <w:pPr>
        <w:spacing w:after="0" w:line="222"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Wynn Las Vegas, LLC its sole member</w:t>
      </w:r>
    </w:p>
    <w:p>
      <w:pPr>
        <w:spacing w:after="0" w:line="20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By: Wynn Las Vegas Holdings, LLC, its sole member</w:t>
      </w:r>
    </w:p>
    <w:p>
      <w:pPr>
        <w:spacing w:after="0" w:line="239" w:lineRule="exact"/>
        <w:rPr>
          <w:sz w:val="20"/>
          <w:szCs w:val="20"/>
          <w:color w:val="auto"/>
        </w:rPr>
      </w:pPr>
    </w:p>
    <w:p>
      <w:pPr>
        <w:ind w:left="3760"/>
        <w:spacing w:after="0"/>
        <w:tabs>
          <w:tab w:leader="none" w:pos="42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America Group, LLC, its sole member</w:t>
      </w:r>
    </w:p>
    <w:p>
      <w:pPr>
        <w:spacing w:after="0" w:line="216"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Wynn Resorts Finance, LLC, its sole member</w:t>
      </w:r>
    </w:p>
    <w:p>
      <w:pPr>
        <w:spacing w:after="0" w:line="203" w:lineRule="exact"/>
        <w:rPr>
          <w:sz w:val="20"/>
          <w:szCs w:val="20"/>
          <w:color w:val="auto"/>
        </w:rPr>
      </w:pPr>
    </w:p>
    <w:p>
      <w:pPr>
        <w:ind w:left="3760"/>
        <w:spacing w:after="0"/>
        <w:tabs>
          <w:tab w:leader="none" w:pos="42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16"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3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Julie Cameron-Doe</w:t>
      </w:r>
    </w:p>
    <w:p>
      <w:pPr>
        <w:ind w:left="3760"/>
        <w:spacing w:after="0" w:line="216" w:lineRule="auto"/>
        <w:tabs>
          <w:tab w:leader="none" w:pos="4500" w:val="left"/>
        </w:tabs>
        <w:rPr>
          <w:sz w:val="20"/>
          <w:szCs w:val="20"/>
          <w:color w:val="auto"/>
        </w:rPr>
      </w:pPr>
      <w:r>
        <w:rPr>
          <w:rFonts w:ascii="Arial" w:cs="Arial" w:eastAsia="Arial" w:hAnsi="Arial"/>
          <w:sz w:val="19"/>
          <w:szCs w:val="19"/>
          <w:color w:val="auto"/>
        </w:rPr>
        <w:t>Name:</w:t>
        <w:tab/>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-123825</wp:posOffset>
            </wp:positionV>
            <wp:extent cx="14693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jc w:val="center"/>
        <w:ind w:left="500"/>
        <w:spacing w:after="0"/>
        <w:tabs>
          <w:tab w:leader="none" w:pos="220" w:val="left"/>
        </w:tabs>
        <w:rPr>
          <w:sz w:val="20"/>
          <w:szCs w:val="20"/>
          <w:color w:val="auto"/>
        </w:rPr>
      </w:pPr>
      <w:r>
        <w:rPr>
          <w:rFonts w:ascii="Arial" w:cs="Arial" w:eastAsia="Arial" w:hAnsi="Arial"/>
          <w:sz w:val="19"/>
          <w:szCs w:val="19"/>
          <w:color w:val="auto"/>
        </w:rPr>
        <w:t>Title:</w:t>
        <w:tab/>
        <w:t>Chief Financial Officer</w:t>
      </w:r>
    </w:p>
    <w:p>
      <w:pPr>
        <w:spacing w:after="0" w:line="200" w:lineRule="exact"/>
        <w:rPr>
          <w:sz w:val="20"/>
          <w:szCs w:val="20"/>
          <w:color w:val="auto"/>
        </w:rPr>
      </w:pPr>
    </w:p>
    <w:p>
      <w:pPr>
        <w:spacing w:after="0" w:line="231"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auto"/>
        </w:rPr>
        <w:t>WYNN LAS VEGAS CAPITAL CORP.</w:t>
      </w:r>
    </w:p>
    <w:p>
      <w:pPr>
        <w:spacing w:after="0" w:line="200" w:lineRule="exact"/>
        <w:rPr>
          <w:sz w:val="20"/>
          <w:szCs w:val="20"/>
          <w:color w:val="auto"/>
        </w:rPr>
      </w:pPr>
    </w:p>
    <w:p>
      <w:pPr>
        <w:spacing w:after="0" w:line="240"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-6985</wp:posOffset>
            </wp:positionV>
            <wp:extent cx="14693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3760"/>
        <w:spacing w:after="0" w:line="216" w:lineRule="auto"/>
        <w:tabs>
          <w:tab w:leader="none" w:pos="4500" w:val="left"/>
        </w:tabs>
        <w:rPr>
          <w:sz w:val="20"/>
          <w:szCs w:val="20"/>
          <w:color w:val="auto"/>
        </w:rPr>
      </w:pPr>
      <w:r>
        <w:rPr>
          <w:rFonts w:ascii="Arial" w:cs="Arial" w:eastAsia="Arial" w:hAnsi="Arial"/>
          <w:sz w:val="19"/>
          <w:szCs w:val="19"/>
          <w:color w:val="auto"/>
        </w:rPr>
        <w:t>Name:</w:t>
        <w:tab/>
        <w:t>Julie Cameron-Doe</w:t>
      </w:r>
    </w:p>
    <w:p>
      <w:pPr>
        <w:spacing w:after="0" w:line="1" w:lineRule="exact"/>
        <w:rPr>
          <w:sz w:val="20"/>
          <w:szCs w:val="20"/>
          <w:color w:val="auto"/>
        </w:rPr>
      </w:pPr>
    </w:p>
    <w:p>
      <w:pPr>
        <w:ind w:left="3760"/>
        <w:spacing w:after="0"/>
        <w:tabs>
          <w:tab w:leader="none" w:pos="4380" w:val="left"/>
        </w:tabs>
        <w:rPr>
          <w:sz w:val="20"/>
          <w:szCs w:val="20"/>
          <w:color w:val="auto"/>
        </w:rPr>
      </w:pPr>
      <w:r>
        <w:rPr>
          <w:rFonts w:ascii="Arial" w:cs="Arial" w:eastAsia="Arial" w:hAnsi="Arial"/>
          <w:sz w:val="19"/>
          <w:szCs w:val="19"/>
          <w:color w:val="auto"/>
        </w:rPr>
        <w:t>Title:</w:t>
        <w:tab/>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r>
        <w:rPr>
          <w:rFonts w:ascii="Arial" w:cs="Arial" w:eastAsia="Arial" w:hAnsi="Arial"/>
          <w:sz w:val="14"/>
          <w:szCs w:val="14"/>
          <w:color w:val="auto"/>
        </w:rPr>
        <w:t>|</w:t>
      </w:r>
    </w:p>
    <w:p>
      <w:pPr>
        <w:sectPr>
          <w:pgSz w:w="11900" w:h="16838" w:orient="portrait"/>
          <w:cols w:equalWidth="0" w:num="1">
            <w:col w:w="10099"/>
          </w:cols>
          <w:pgMar w:left="360" w:top="1367" w:right="1440" w:bottom="1440" w:gutter="0" w:footer="0" w:header="0"/>
        </w:sectPr>
      </w:pPr>
    </w:p>
    <w:bookmarkStart w:id="95" w:name="page96"/>
    <w:bookmarkEnd w:id="95"/>
    <w:p>
      <w:pPr>
        <w:ind w:left="2200" w:right="1119"/>
        <w:spacing w:after="0" w:line="217" w:lineRule="auto"/>
        <w:rPr>
          <w:sz w:val="20"/>
          <w:szCs w:val="20"/>
          <w:color w:val="auto"/>
        </w:rPr>
      </w:pPr>
      <w:r>
        <w:rPr>
          <w:rFonts w:ascii="Arial" w:cs="Arial" w:eastAsia="Arial" w:hAnsi="Arial"/>
          <w:sz w:val="21"/>
          <w:szCs w:val="21"/>
          <w:b w:val="1"/>
          <w:bCs w:val="1"/>
          <w:color w:val="auto"/>
        </w:rPr>
        <w:t>U.S. BANK TRUST COMPANY, NATIONAL ASSOCIATION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not in its individual capacity but solely as Trustee By: /s/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-5080</wp:posOffset>
            </wp:positionV>
            <wp:extent cx="11772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2420"/>
        <w:spacing w:after="0"/>
        <w:tabs>
          <w:tab w:leader="none" w:pos="31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8"/>
          <w:szCs w:val="18"/>
          <w:color w:val="auto"/>
        </w:rPr>
        <w:t>Joshua A. Hahn</w:t>
      </w:r>
    </w:p>
    <w:p>
      <w:pPr>
        <w:spacing w:after="0" w:line="1" w:lineRule="exact"/>
        <w:rPr>
          <w:sz w:val="20"/>
          <w:szCs w:val="20"/>
          <w:color w:val="auto"/>
        </w:rPr>
      </w:pPr>
    </w:p>
    <w:p>
      <w:pPr>
        <w:ind w:left="2400"/>
        <w:spacing w:after="0"/>
        <w:tabs>
          <w:tab w:leader="none" w:pos="30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r>
        <w:rPr>
          <w:rFonts w:ascii="Arial" w:cs="Arial" w:eastAsia="Arial" w:hAnsi="Arial"/>
          <w:sz w:val="14"/>
          <w:szCs w:val="14"/>
          <w:color w:val="auto"/>
        </w:rPr>
        <w:t>|</w:t>
      </w:r>
    </w:p>
    <w:p>
      <w:pPr>
        <w:sectPr>
          <w:pgSz w:w="11900" w:h="16838" w:orient="portrait"/>
          <w:cols w:equalWidth="0" w:num="1">
            <w:col w:w="9019"/>
          </w:cols>
          <w:pgMar w:left="1440" w:top="1362"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21"/>
          <w:szCs w:val="21"/>
          <w:b w:val="1"/>
          <w:bCs w:val="1"/>
          <w:color w:val="auto"/>
        </w:rPr>
        <w:t>EXHIBIT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549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CUSIP/ISIN 983133 AC3/US983133AC37</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7.125% Senior Notes due 2031</w:t>
      </w:r>
    </w:p>
    <w:p>
      <w:pPr>
        <w:spacing w:after="0" w:line="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No. ___</w:t>
      </w:r>
      <w:r>
        <w:rPr>
          <w:sz w:val="20"/>
          <w:szCs w:val="20"/>
          <w:color w:val="auto"/>
        </w:rPr>
        <w:tab/>
      </w:r>
      <w:r>
        <w:rPr>
          <w:rFonts w:ascii="Arial" w:cs="Arial" w:eastAsia="Arial" w:hAnsi="Arial"/>
          <w:sz w:val="15"/>
          <w:szCs w:val="15"/>
          <w:color w:val="auto"/>
        </w:rPr>
        <w:t>$____________</w:t>
      </w:r>
    </w:p>
    <w:p>
      <w:pPr>
        <w:ind w:left="4380"/>
        <w:spacing w:after="0" w:line="210" w:lineRule="auto"/>
        <w:rPr>
          <w:sz w:val="20"/>
          <w:szCs w:val="20"/>
          <w:color w:val="auto"/>
        </w:rPr>
      </w:pPr>
      <w:r>
        <w:rPr>
          <w:rFonts w:ascii="Arial" w:cs="Arial" w:eastAsia="Arial" w:hAnsi="Arial"/>
          <w:sz w:val="17"/>
          <w:szCs w:val="17"/>
          <w:color w:val="auto"/>
        </w:rPr>
        <w:t>WYNN RESORTS FINANCE, LLC</w:t>
      </w:r>
    </w:p>
    <w:p>
      <w:pPr>
        <w:ind w:left="4360"/>
        <w:spacing w:after="0"/>
        <w:rPr>
          <w:sz w:val="20"/>
          <w:szCs w:val="20"/>
          <w:color w:val="auto"/>
        </w:rPr>
      </w:pPr>
      <w:r>
        <w:rPr>
          <w:rFonts w:ascii="Arial" w:cs="Arial" w:eastAsia="Arial" w:hAnsi="Arial"/>
          <w:sz w:val="17"/>
          <w:szCs w:val="17"/>
          <w:color w:val="auto"/>
        </w:rPr>
        <w:t>WYNN RESORTS CAPITAL CORP.</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promise to pay to ______________________ or registered assigns,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sum of</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DOLLARS on February 15, 2031.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 Dates: February 15 and August 15</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Record Dates: February 1 and August 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A-1-1</w:t>
      </w:r>
    </w:p>
    <w:p>
      <w:pPr>
        <w:sectPr>
          <w:pgSz w:w="11900" w:h="16838" w:orient="portrait"/>
          <w:cols w:equalWidth="0" w:num="1">
            <w:col w:w="11240"/>
          </w:cols>
          <w:pgMar w:left="320" w:top="100" w:right="339" w:bottom="1440" w:gutter="0" w:footer="0" w:header="0"/>
        </w:sectPr>
      </w:pPr>
    </w:p>
    <w:bookmarkStart w:id="97" w:name="page98"/>
    <w:bookmarkEnd w:id="97"/>
    <w:p>
      <w:pPr>
        <w:ind w:left="2680"/>
        <w:spacing w:after="0"/>
        <w:rPr>
          <w:sz w:val="20"/>
          <w:szCs w:val="20"/>
          <w:color w:val="auto"/>
        </w:rPr>
      </w:pPr>
      <w:r>
        <w:rPr>
          <w:rFonts w:ascii="Arial" w:cs="Arial" w:eastAsia="Arial" w:hAnsi="Arial"/>
          <w:sz w:val="19"/>
          <w:szCs w:val="19"/>
          <w:b w:val="1"/>
          <w:bCs w:val="1"/>
          <w:color w:val="auto"/>
        </w:rPr>
        <w:t>WYNN RESORTS FINANCE, LLC</w:t>
      </w:r>
    </w:p>
    <w:p>
      <w:pPr>
        <w:spacing w:after="0" w:line="222"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03"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4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-6985</wp:posOffset>
            </wp:positionV>
            <wp:extent cx="612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line="202" w:lineRule="auto"/>
        <w:rPr>
          <w:sz w:val="20"/>
          <w:szCs w:val="20"/>
          <w:color w:val="auto"/>
        </w:rPr>
      </w:pPr>
      <w:r>
        <w:rPr>
          <w:rFonts w:ascii="Arial" w:cs="Arial" w:eastAsia="Arial" w:hAnsi="Arial"/>
          <w:sz w:val="19"/>
          <w:szCs w:val="19"/>
          <w:color w:val="auto"/>
        </w:rPr>
        <w:t>Name:</w:t>
      </w: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WYNN RESORTS CAPITAL CORP.</w:t>
      </w:r>
    </w:p>
    <w:p>
      <w:pPr>
        <w:spacing w:after="0" w:line="200" w:lineRule="exact"/>
        <w:rPr>
          <w:sz w:val="20"/>
          <w:szCs w:val="20"/>
          <w:color w:val="auto"/>
        </w:rPr>
      </w:pPr>
    </w:p>
    <w:p>
      <w:pPr>
        <w:spacing w:after="0" w:line="240"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ind w:left="2680"/>
        <w:spacing w:after="0" w:line="216"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-123825</wp:posOffset>
            </wp:positionV>
            <wp:extent cx="612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A-1-2</w:t>
      </w:r>
    </w:p>
    <w:p>
      <w:pPr>
        <w:sectPr>
          <w:pgSz w:w="11900" w:h="16838" w:orient="portrait"/>
          <w:cols w:equalWidth="0" w:num="1">
            <w:col w:w="9019"/>
          </w:cols>
          <w:pgMar w:left="1440" w:top="1367" w:right="1440"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This is one of the Notes referred to</w:t>
      </w:r>
    </w:p>
    <w:p>
      <w:pPr>
        <w:spacing w:after="0"/>
        <w:rPr>
          <w:sz w:val="20"/>
          <w:szCs w:val="20"/>
          <w:color w:val="auto"/>
        </w:rPr>
      </w:pPr>
      <w:r>
        <w:rPr>
          <w:rFonts w:ascii="Arial" w:cs="Arial" w:eastAsia="Arial" w:hAnsi="Arial"/>
          <w:sz w:val="17"/>
          <w:szCs w:val="17"/>
          <w:color w:val="auto"/>
        </w:rPr>
        <w:t>in the within-mentioned Indenture: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BANK TRUST COMPANY, NATIONAL ASSOCIATION</w:t>
      </w: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as Trustee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Authorized Signatory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[Back of Note]</w:t>
      </w:r>
    </w:p>
    <w:p>
      <w:pPr>
        <w:jc w:val="center"/>
        <w:spacing w:after="0"/>
        <w:rPr>
          <w:sz w:val="20"/>
          <w:szCs w:val="20"/>
          <w:color w:val="auto"/>
        </w:rPr>
      </w:pPr>
      <w:r>
        <w:rPr>
          <w:rFonts w:ascii="Arial" w:cs="Arial" w:eastAsia="Arial" w:hAnsi="Arial"/>
          <w:sz w:val="21"/>
          <w:szCs w:val="21"/>
          <w:color w:val="auto"/>
        </w:rPr>
        <w:t>7.125%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549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76" w:lineRule="exact"/>
        <w:rPr>
          <w:sz w:val="20"/>
          <w:szCs w:val="20"/>
          <w:color w:val="auto"/>
        </w:rPr>
      </w:pPr>
    </w:p>
    <w:p>
      <w:pPr>
        <w:ind w:right="2840"/>
        <w:spacing w:after="0" w:line="46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Insert the Private Placement Legend, if applicable, pursuant to Section 2.06(f)(1) of the Indenture</w:t>
      </w:r>
      <w:r>
        <w:rPr>
          <w:rFonts w:ascii="Arial" w:cs="Arial" w:eastAsia="Arial" w:hAnsi="Arial"/>
          <w:sz w:val="19"/>
          <w:szCs w:val="19"/>
          <w:color w:val="auto"/>
        </w:rPr>
        <w:t>] [</w:t>
      </w:r>
      <w:r>
        <w:rPr>
          <w:rFonts w:ascii="Arial" w:cs="Arial" w:eastAsia="Arial" w:hAnsi="Arial"/>
          <w:sz w:val="19"/>
          <w:szCs w:val="19"/>
          <w:i w:val="1"/>
          <w:iCs w:val="1"/>
          <w:color w:val="auto"/>
        </w:rPr>
        <w:t>Insert the Global Notes Legend, if applicable, pursuant to Section 2.06(f)(2) of the Indenture</w:t>
      </w:r>
      <w:r>
        <w:rPr>
          <w:rFonts w:ascii="Arial" w:cs="Arial" w:eastAsia="Arial" w:hAnsi="Arial"/>
          <w:sz w:val="19"/>
          <w:szCs w:val="19"/>
          <w:color w:val="auto"/>
        </w:rPr>
        <w:t>]</w:t>
      </w:r>
    </w:p>
    <w:p>
      <w:pPr>
        <w:spacing w:after="0" w:line="1"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Capitalized terms used herein have the meanings assigned to them in the Indenture referred to below unless otherwise indicated.</w:t>
      </w:r>
    </w:p>
    <w:p>
      <w:pPr>
        <w:spacing w:after="0" w:line="155" w:lineRule="exact"/>
        <w:rPr>
          <w:sz w:val="20"/>
          <w:szCs w:val="20"/>
          <w:color w:val="auto"/>
        </w:rPr>
      </w:pPr>
    </w:p>
    <w:p>
      <w:pPr>
        <w:jc w:val="both"/>
        <w:ind w:firstLine="1268"/>
        <w:spacing w:after="0" w:line="223" w:lineRule="auto"/>
        <w:tabs>
          <w:tab w:leader="none" w:pos="1890" w:val="left"/>
        </w:tabs>
        <w:numPr>
          <w:ilvl w:val="0"/>
          <w:numId w:val="135"/>
        </w:numPr>
        <w:rPr>
          <w:rFonts w:ascii="Arial" w:cs="Arial" w:eastAsia="Arial" w:hAnsi="Arial"/>
          <w:sz w:val="20"/>
          <w:szCs w:val="20"/>
          <w:color w:val="auto"/>
        </w:rPr>
      </w:pPr>
      <w:r>
        <w:rPr>
          <w:rFonts w:ascii="Arial" w:cs="Arial" w:eastAsia="Arial" w:hAnsi="Arial"/>
          <w:sz w:val="20"/>
          <w:szCs w:val="20"/>
          <w:i w:val="1"/>
          <w:iCs w:val="1"/>
          <w:color w:val="auto"/>
        </w:rPr>
        <w:t>Interest</w:t>
      </w:r>
      <w:r>
        <w:rPr>
          <w:rFonts w:ascii="Arial" w:cs="Arial" w:eastAsia="Arial" w:hAnsi="Arial"/>
          <w:sz w:val="20"/>
          <w:szCs w:val="20"/>
          <w:color w:val="auto"/>
        </w:rPr>
        <w:t>. Wynn Resorts Finance, LLC, a Nevada limited liability company (“</w:t>
      </w:r>
      <w:r>
        <w:rPr>
          <w:rFonts w:ascii="Arial" w:cs="Arial" w:eastAsia="Arial" w:hAnsi="Arial"/>
          <w:sz w:val="20"/>
          <w:szCs w:val="20"/>
          <w:i w:val="1"/>
          <w:iCs w:val="1"/>
          <w:u w:val="single" w:color="auto"/>
          <w:color w:val="auto"/>
        </w:rPr>
        <w:t>Wynn Resorts Finance</w:t>
      </w:r>
      <w:r>
        <w:rPr>
          <w:rFonts w:ascii="Arial" w:cs="Arial" w:eastAsia="Arial" w:hAnsi="Arial"/>
          <w:sz w:val="20"/>
          <w:szCs w:val="20"/>
          <w:color w:val="auto"/>
        </w:rPr>
        <w:t>” ) and</w:t>
      </w:r>
      <w:r>
        <w:rPr>
          <w:rFonts w:ascii="Arial" w:cs="Arial" w:eastAsia="Arial" w:hAnsi="Arial"/>
          <w:sz w:val="20"/>
          <w:szCs w:val="20"/>
          <w:i w:val="1"/>
          <w:iCs w:val="1"/>
          <w:color w:val="auto"/>
        </w:rPr>
        <w:t xml:space="preserve"> </w:t>
      </w:r>
      <w:r>
        <w:rPr>
          <w:rFonts w:ascii="Arial" w:cs="Arial" w:eastAsia="Arial" w:hAnsi="Arial"/>
          <w:sz w:val="20"/>
          <w:szCs w:val="20"/>
          <w:color w:val="auto"/>
        </w:rPr>
        <w:t>Wynn Resorts Capital Corp., a Nevada corporation (“Wynn Resorts Capital,” and together with Wynn Resorts Finance, the “</w:t>
      </w:r>
      <w:r>
        <w:rPr>
          <w:rFonts w:ascii="Arial" w:cs="Arial" w:eastAsia="Arial" w:hAnsi="Arial"/>
          <w:sz w:val="20"/>
          <w:szCs w:val="20"/>
          <w:i w:val="1"/>
          <w:iCs w:val="1"/>
          <w:u w:val="single" w:color="auto"/>
          <w:color w:val="auto"/>
        </w:rPr>
        <w:t>Issuers</w:t>
      </w:r>
      <w:r>
        <w:rPr>
          <w:rFonts w:ascii="Arial" w:cs="Arial" w:eastAsia="Arial" w:hAnsi="Arial"/>
          <w:sz w:val="20"/>
          <w:szCs w:val="20"/>
          <w:color w:val="auto"/>
        </w:rPr>
        <w:t>”), as joint and several obligors, promise to pay interest on the principal amount of this Note at 7.125% per annum from February 16, 2023 until maturity. The Issuers shall pay interest semi-annually in arrears on February 15 and August 15 of each year, or if any such day is not a Business Day, on the next succeeding Business Day (each, an “</w:t>
      </w:r>
      <w:r>
        <w:rPr>
          <w:rFonts w:ascii="Arial" w:cs="Arial" w:eastAsia="Arial" w:hAnsi="Arial"/>
          <w:sz w:val="20"/>
          <w:szCs w:val="20"/>
          <w:i w:val="1"/>
          <w:iCs w:val="1"/>
          <w:u w:val="single" w:color="auto"/>
          <w:color w:val="auto"/>
        </w:rPr>
        <w:t>Interest Payment Date</w:t>
      </w:r>
      <w:r>
        <w:rPr>
          <w:rFonts w:ascii="Arial" w:cs="Arial" w:eastAsia="Arial" w:hAnsi="Arial"/>
          <w:sz w:val="20"/>
          <w:szCs w:val="20"/>
          <w:color w:val="auto"/>
        </w:rPr>
        <w:t xml:space="preserve">”). Interest on the Notes shall accrue from the most recent date to which interest has been paid or, if no interest has been paid, from the date of issuance;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the first Interest Payment Date shall be August 15, 2023.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66" w:lineRule="exact"/>
        <w:rPr>
          <w:rFonts w:ascii="Arial" w:cs="Arial" w:eastAsia="Arial" w:hAnsi="Arial"/>
          <w:sz w:val="20"/>
          <w:szCs w:val="20"/>
          <w:color w:val="auto"/>
        </w:rPr>
      </w:pPr>
    </w:p>
    <w:p>
      <w:pPr>
        <w:jc w:val="both"/>
        <w:ind w:firstLine="1268"/>
        <w:spacing w:after="0" w:line="225" w:lineRule="auto"/>
        <w:tabs>
          <w:tab w:leader="none" w:pos="1890" w:val="left"/>
        </w:tabs>
        <w:numPr>
          <w:ilvl w:val="0"/>
          <w:numId w:val="135"/>
        </w:numPr>
        <w:rPr>
          <w:rFonts w:ascii="Arial" w:cs="Arial" w:eastAsia="Arial" w:hAnsi="Arial"/>
          <w:sz w:val="20"/>
          <w:szCs w:val="20"/>
          <w:color w:val="auto"/>
        </w:rPr>
      </w:pPr>
      <w:r>
        <w:rPr>
          <w:rFonts w:ascii="Arial" w:cs="Arial" w:eastAsia="Arial" w:hAnsi="Arial"/>
          <w:sz w:val="20"/>
          <w:szCs w:val="20"/>
          <w:i w:val="1"/>
          <w:iCs w:val="1"/>
          <w:color w:val="auto"/>
        </w:rPr>
        <w:t>Method of Payment</w:t>
      </w:r>
      <w:r>
        <w:rPr>
          <w:rFonts w:ascii="Arial" w:cs="Arial" w:eastAsia="Arial" w:hAnsi="Arial"/>
          <w:sz w:val="20"/>
          <w:szCs w:val="20"/>
          <w:color w:val="auto"/>
        </w:rPr>
        <w:t>. The Issuers shall pay interest on the Notes (except defaulted interest) to the Persons who</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are registered Holders of Notes at the close of business on the February 1 or August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A-1-3</w:t>
      </w:r>
    </w:p>
    <w:p>
      <w:pPr>
        <w:sectPr>
          <w:pgSz w:w="11900" w:h="16838" w:orient="portrait"/>
          <w:cols w:equalWidth="0" w:num="1">
            <w:col w:w="11240"/>
          </w:cols>
          <w:pgMar w:left="320" w:top="1361" w:right="339" w:bottom="1440" w:gutter="0" w:footer="0" w:header="0"/>
        </w:sectPr>
      </w:pPr>
    </w:p>
    <w:bookmarkStart w:id="99" w:name="page100"/>
    <w:bookmarkEnd w:id="99"/>
    <w:p>
      <w:pPr>
        <w:jc w:val="both"/>
        <w:ind w:firstLine="1268"/>
        <w:spacing w:after="0" w:line="228" w:lineRule="auto"/>
        <w:tabs>
          <w:tab w:leader="none" w:pos="1890" w:val="left"/>
        </w:tabs>
        <w:numPr>
          <w:ilvl w:val="0"/>
          <w:numId w:val="136"/>
        </w:numPr>
        <w:rPr>
          <w:rFonts w:ascii="Arial" w:cs="Arial" w:eastAsia="Arial" w:hAnsi="Arial"/>
          <w:sz w:val="21"/>
          <w:szCs w:val="21"/>
          <w:color w:val="auto"/>
        </w:rPr>
      </w:pPr>
      <w:r>
        <w:rPr>
          <w:rFonts w:ascii="Arial" w:cs="Arial" w:eastAsia="Arial" w:hAnsi="Arial"/>
          <w:sz w:val="21"/>
          <w:szCs w:val="21"/>
          <w:i w:val="1"/>
          <w:iCs w:val="1"/>
          <w:color w:val="auto"/>
        </w:rPr>
        <w:t>Paying Agent and Registrar</w:t>
      </w:r>
      <w:r>
        <w:rPr>
          <w:rFonts w:ascii="Arial" w:cs="Arial" w:eastAsia="Arial" w:hAnsi="Arial"/>
          <w:sz w:val="21"/>
          <w:szCs w:val="21"/>
          <w:color w:val="auto"/>
        </w:rPr>
        <w:t>. Initially, U.S. Bank Trust Company, National Association, the Trustee under the</w:t>
      </w:r>
      <w:r>
        <w:rPr>
          <w:rFonts w:ascii="Arial" w:cs="Arial" w:eastAsia="Arial" w:hAnsi="Arial"/>
          <w:sz w:val="21"/>
          <w:szCs w:val="21"/>
          <w:i w:val="1"/>
          <w:iCs w:val="1"/>
          <w:color w:val="auto"/>
        </w:rPr>
        <w:t xml:space="preserve"> </w:t>
      </w:r>
      <w:r>
        <w:rPr>
          <w:rFonts w:ascii="Arial" w:cs="Arial" w:eastAsia="Arial" w:hAnsi="Arial"/>
          <w:sz w:val="21"/>
          <w:szCs w:val="21"/>
          <w:color w:val="auto"/>
        </w:rPr>
        <w:t>Indenture, shall act as Paying Agent and Registrar. The Issuers may change any Paying Agent or Registrar without notice to any Holder. Either Issuer or any Guarantor may act in any such capacity.</w:t>
      </w:r>
    </w:p>
    <w:p>
      <w:pPr>
        <w:spacing w:after="0" w:line="153" w:lineRule="exact"/>
        <w:rPr>
          <w:rFonts w:ascii="Arial" w:cs="Arial" w:eastAsia="Arial" w:hAnsi="Arial"/>
          <w:sz w:val="21"/>
          <w:szCs w:val="21"/>
          <w:color w:val="auto"/>
        </w:rPr>
      </w:pPr>
    </w:p>
    <w:p>
      <w:pPr>
        <w:jc w:val="both"/>
        <w:ind w:firstLine="1268"/>
        <w:spacing w:after="0"/>
        <w:tabs>
          <w:tab w:leader="none" w:pos="1890" w:val="left"/>
        </w:tabs>
        <w:numPr>
          <w:ilvl w:val="0"/>
          <w:numId w:val="136"/>
        </w:numPr>
        <w:rPr>
          <w:rFonts w:ascii="Arial" w:cs="Arial" w:eastAsia="Arial" w:hAnsi="Arial"/>
          <w:sz w:val="19"/>
          <w:szCs w:val="19"/>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The Issuers issued the Notes under an Indenture dated as of February 16, 2023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54" w:lineRule="exact"/>
        <w:rPr>
          <w:rFonts w:ascii="Arial" w:cs="Arial" w:eastAsia="Arial" w:hAnsi="Arial"/>
          <w:sz w:val="19"/>
          <w:szCs w:val="19"/>
          <w:color w:val="auto"/>
        </w:rPr>
      </w:pPr>
    </w:p>
    <w:p>
      <w:pPr>
        <w:ind w:firstLine="1268"/>
        <w:spacing w:after="0" w:line="237" w:lineRule="auto"/>
        <w:tabs>
          <w:tab w:leader="none" w:pos="1890" w:val="left"/>
        </w:tabs>
        <w:numPr>
          <w:ilvl w:val="0"/>
          <w:numId w:val="136"/>
        </w:numPr>
        <w:rPr>
          <w:rFonts w:ascii="Arial" w:cs="Arial" w:eastAsia="Arial" w:hAnsi="Arial"/>
          <w:sz w:val="21"/>
          <w:szCs w:val="21"/>
          <w:color w:val="auto"/>
        </w:rPr>
      </w:pPr>
      <w:r>
        <w:rPr>
          <w:rFonts w:ascii="Arial" w:cs="Arial" w:eastAsia="Arial" w:hAnsi="Arial"/>
          <w:sz w:val="21"/>
          <w:szCs w:val="21"/>
          <w:i w:val="1"/>
          <w:iCs w:val="1"/>
          <w:color w:val="auto"/>
        </w:rPr>
        <w:t>Optional Redemption</w:t>
      </w:r>
      <w:r>
        <w:rPr>
          <w:rFonts w:ascii="Arial" w:cs="Arial" w:eastAsia="Arial" w:hAnsi="Arial"/>
          <w:sz w:val="21"/>
          <w:szCs w:val="21"/>
          <w:color w:val="auto"/>
        </w:rPr>
        <w:t>. The Notes are redeemable at the Issuers’ election, in whole or in part at any time prior</w:t>
      </w:r>
      <w:r>
        <w:rPr>
          <w:rFonts w:ascii="Arial" w:cs="Arial" w:eastAsia="Arial" w:hAnsi="Arial"/>
          <w:sz w:val="21"/>
          <w:szCs w:val="21"/>
          <w:i w:val="1"/>
          <w:iCs w:val="1"/>
          <w:color w:val="auto"/>
        </w:rPr>
        <w:t xml:space="preserve"> </w:t>
      </w:r>
      <w:r>
        <w:rPr>
          <w:rFonts w:ascii="Arial" w:cs="Arial" w:eastAsia="Arial" w:hAnsi="Arial"/>
          <w:sz w:val="21"/>
          <w:szCs w:val="21"/>
          <w:color w:val="auto"/>
        </w:rPr>
        <w:t>to their Stated Maturity.</w:t>
      </w:r>
    </w:p>
    <w:p>
      <w:pPr>
        <w:spacing w:after="0" w:line="154" w:lineRule="exact"/>
        <w:rPr>
          <w:rFonts w:ascii="Arial" w:cs="Arial" w:eastAsia="Arial" w:hAnsi="Arial"/>
          <w:sz w:val="21"/>
          <w:szCs w:val="21"/>
          <w:color w:val="auto"/>
        </w:rPr>
      </w:pPr>
    </w:p>
    <w:p>
      <w:pPr>
        <w:ind w:left="2520" w:hanging="620"/>
        <w:spacing w:after="0"/>
        <w:tabs>
          <w:tab w:leader="none" w:pos="252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redemption price for the Notes that are redeemed before November 15, 2030 will be equal to the</w:t>
      </w:r>
    </w:p>
    <w:p>
      <w:pPr>
        <w:spacing w:after="0" w:line="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greater of:</w:t>
      </w:r>
    </w:p>
    <w:p>
      <w:pPr>
        <w:spacing w:after="0" w:line="162"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ARTICLE 1.  100% of the principal amount of the Notes to be redeemed; or</w:t>
      </w:r>
    </w:p>
    <w:p>
      <w:pPr>
        <w:spacing w:after="0" w:line="180" w:lineRule="exact"/>
        <w:rPr>
          <w:sz w:val="20"/>
          <w:szCs w:val="20"/>
          <w:color w:val="auto"/>
        </w:rPr>
      </w:pPr>
    </w:p>
    <w:p>
      <w:pPr>
        <w:jc w:val="both"/>
        <w:ind w:left="2840" w:hanging="315"/>
        <w:spacing w:after="0" w:line="231" w:lineRule="auto"/>
        <w:rPr>
          <w:sz w:val="20"/>
          <w:szCs w:val="20"/>
          <w:color w:val="auto"/>
        </w:rPr>
      </w:pPr>
      <w:r>
        <w:rPr>
          <w:rFonts w:ascii="Arial" w:cs="Arial" w:eastAsia="Arial" w:hAnsi="Arial"/>
          <w:sz w:val="20"/>
          <w:szCs w:val="20"/>
          <w:color w:val="auto"/>
        </w:rPr>
        <w:t>ARTICLE 2. 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56"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plus, in either of the above cases, accrued and unpaid interest to, but not including, the date of redemption on the Notes to be redeemed.</w:t>
      </w:r>
    </w:p>
    <w:p>
      <w:pPr>
        <w:spacing w:after="0" w:line="155" w:lineRule="exact"/>
        <w:rPr>
          <w:sz w:val="20"/>
          <w:szCs w:val="20"/>
          <w:color w:val="auto"/>
        </w:rPr>
      </w:pPr>
    </w:p>
    <w:p>
      <w:pPr>
        <w:jc w:val="both"/>
        <w:ind w:firstLine="1900"/>
        <w:spacing w:after="0" w:line="228" w:lineRule="auto"/>
        <w:tabs>
          <w:tab w:leader="none" w:pos="2522"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redemption price for Notes that are redeemed on or after November 15, 2030 will be equal to the sum of 100% of their principal amount, plus accrued and unpaid interest to, but not including, the date of redemption on the Notes to be redeemed.</w:t>
      </w:r>
    </w:p>
    <w:p>
      <w:pPr>
        <w:spacing w:after="0" w:line="154"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0"/>
          <w:szCs w:val="20"/>
          <w:color w:val="auto"/>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Unless the Issuers default in the payment of the redemption price, interest will cease to accrue on the Notes or portions thereof called for redemption on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A-1-4</w:t>
      </w:r>
    </w:p>
    <w:p>
      <w:pPr>
        <w:sectPr>
          <w:pgSz w:w="11900" w:h="16838" w:orient="portrait"/>
          <w:cols w:equalWidth="0" w:num="1">
            <w:col w:w="11240"/>
          </w:cols>
          <w:pgMar w:left="320" w:top="1368" w:right="339" w:bottom="1440" w:gutter="0" w:footer="0" w:header="0"/>
        </w:sectPr>
      </w:pPr>
    </w:p>
    <w:bookmarkStart w:id="100" w:name="page101"/>
    <w:bookmarkEnd w:id="100"/>
    <w:p>
      <w:pPr>
        <w:ind w:firstLine="1268"/>
        <w:spacing w:after="0" w:line="237" w:lineRule="auto"/>
        <w:tabs>
          <w:tab w:leader="none" w:pos="1890" w:val="left"/>
        </w:tabs>
        <w:numPr>
          <w:ilvl w:val="0"/>
          <w:numId w:val="138"/>
        </w:numPr>
        <w:rPr>
          <w:rFonts w:ascii="Arial" w:cs="Arial" w:eastAsia="Arial" w:hAnsi="Arial"/>
          <w:sz w:val="21"/>
          <w:szCs w:val="21"/>
          <w:color w:val="auto"/>
        </w:rPr>
      </w:pPr>
      <w:r>
        <w:rPr>
          <w:rFonts w:ascii="Arial" w:cs="Arial" w:eastAsia="Arial" w:hAnsi="Arial"/>
          <w:sz w:val="21"/>
          <w:szCs w:val="21"/>
          <w:i w:val="1"/>
          <w:iCs w:val="1"/>
          <w:color w:val="auto"/>
        </w:rPr>
        <w:t>Mandatory Redemption</w:t>
      </w:r>
      <w:r>
        <w:rPr>
          <w:rFonts w:ascii="Arial" w:cs="Arial" w:eastAsia="Arial" w:hAnsi="Arial"/>
          <w:sz w:val="21"/>
          <w:szCs w:val="21"/>
          <w:color w:val="auto"/>
        </w:rPr>
        <w:t>. Other than as set forth in Paragraph 7 below, the Issuers shall not be required to make</w:t>
      </w:r>
      <w:r>
        <w:rPr>
          <w:rFonts w:ascii="Arial" w:cs="Arial" w:eastAsia="Arial" w:hAnsi="Arial"/>
          <w:sz w:val="21"/>
          <w:szCs w:val="21"/>
          <w:i w:val="1"/>
          <w:iCs w:val="1"/>
          <w:color w:val="auto"/>
        </w:rPr>
        <w:t xml:space="preserve"> </w:t>
      </w:r>
      <w:r>
        <w:rPr>
          <w:rFonts w:ascii="Arial" w:cs="Arial" w:eastAsia="Arial" w:hAnsi="Arial"/>
          <w:sz w:val="21"/>
          <w:szCs w:val="21"/>
          <w:color w:val="auto"/>
        </w:rPr>
        <w:t>mandatory redemption or sinking fund payments with respect to the Notes.</w:t>
      </w:r>
    </w:p>
    <w:p>
      <w:pPr>
        <w:spacing w:after="0" w:line="154" w:lineRule="exact"/>
        <w:rPr>
          <w:rFonts w:ascii="Arial" w:cs="Arial" w:eastAsia="Arial" w:hAnsi="Arial"/>
          <w:sz w:val="21"/>
          <w:szCs w:val="21"/>
          <w:color w:val="auto"/>
        </w:rPr>
      </w:pPr>
    </w:p>
    <w:p>
      <w:pPr>
        <w:jc w:val="both"/>
        <w:ind w:firstLine="1268"/>
        <w:spacing w:after="0" w:line="234" w:lineRule="auto"/>
        <w:tabs>
          <w:tab w:leader="none" w:pos="1890" w:val="left"/>
        </w:tabs>
        <w:numPr>
          <w:ilvl w:val="0"/>
          <w:numId w:val="138"/>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or this Note, each Holder, by accepting this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then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166"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70" w:lineRule="exact"/>
        <w:rPr>
          <w:sz w:val="20"/>
          <w:szCs w:val="20"/>
          <w:color w:val="auto"/>
        </w:rPr>
      </w:pPr>
    </w:p>
    <w:p>
      <w:pPr>
        <w:jc w:val="both"/>
        <w:ind w:firstLine="632"/>
        <w:spacing w:after="0" w:line="260" w:lineRule="auto"/>
        <w:rPr>
          <w:sz w:val="20"/>
          <w:szCs w:val="20"/>
          <w:color w:val="auto"/>
        </w:rPr>
      </w:pPr>
      <w:r>
        <w:rPr>
          <w:rFonts w:ascii="Arial" w:cs="Arial" w:eastAsia="Arial" w:hAnsi="Arial"/>
          <w:sz w:val="20"/>
          <w:szCs w:val="20"/>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A-1-5</w:t>
      </w:r>
    </w:p>
    <w:p>
      <w:pPr>
        <w:sectPr>
          <w:pgSz w:w="11900" w:h="16838" w:orient="portrait"/>
          <w:cols w:equalWidth="0" w:num="1">
            <w:col w:w="11240"/>
          </w:cols>
          <w:pgMar w:left="320" w:top="1368" w:right="339" w:bottom="1440" w:gutter="0" w:footer="0" w:header="0"/>
        </w:sectPr>
      </w:pPr>
    </w:p>
    <w:bookmarkStart w:id="101" w:name="page102"/>
    <w:bookmarkEnd w:id="101"/>
    <w:p>
      <w:pPr>
        <w:jc w:val="both"/>
        <w:ind w:firstLine="1268"/>
        <w:spacing w:after="0" w:line="218" w:lineRule="auto"/>
        <w:tabs>
          <w:tab w:leader="none" w:pos="1890" w:val="left"/>
        </w:tabs>
        <w:numPr>
          <w:ilvl w:val="0"/>
          <w:numId w:val="139"/>
        </w:numPr>
        <w:rPr>
          <w:rFonts w:ascii="Arial" w:cs="Arial" w:eastAsia="Arial" w:hAnsi="Arial"/>
          <w:sz w:val="21"/>
          <w:szCs w:val="21"/>
          <w:color w:val="auto"/>
        </w:rPr>
      </w:pPr>
      <w:r>
        <w:rPr>
          <w:rFonts w:ascii="Arial" w:cs="Arial" w:eastAsia="Arial" w:hAnsi="Arial"/>
          <w:sz w:val="21"/>
          <w:szCs w:val="21"/>
          <w:i w:val="1"/>
          <w:iCs w:val="1"/>
          <w:color w:val="auto"/>
        </w:rPr>
        <w:t>Repurchase at Option of Holder</w:t>
      </w:r>
      <w:r>
        <w:rPr>
          <w:rFonts w:ascii="Arial" w:cs="Arial" w:eastAsia="Arial" w:hAnsi="Arial"/>
          <w:sz w:val="21"/>
          <w:szCs w:val="21"/>
          <w:color w:val="auto"/>
        </w:rPr>
        <w:t>. If a Change of Control Triggering Event occurs, the Issuers shall make an</w:t>
      </w:r>
      <w:r>
        <w:rPr>
          <w:rFonts w:ascii="Arial" w:cs="Arial" w:eastAsia="Arial" w:hAnsi="Arial"/>
          <w:sz w:val="21"/>
          <w:szCs w:val="21"/>
          <w:i w:val="1"/>
          <w:iCs w:val="1"/>
          <w:color w:val="auto"/>
        </w:rPr>
        <w:t xml:space="preserve"> </w:t>
      </w:r>
      <w:r>
        <w:rPr>
          <w:rFonts w:ascii="Arial" w:cs="Arial" w:eastAsia="Arial" w:hAnsi="Arial"/>
          <w:sz w:val="21"/>
          <w:szCs w:val="21"/>
          <w:color w:val="auto"/>
        </w:rPr>
        <w:t>offer (a “</w:t>
      </w:r>
      <w:r>
        <w:rPr>
          <w:rFonts w:ascii="Arial" w:cs="Arial" w:eastAsia="Arial" w:hAnsi="Arial"/>
          <w:sz w:val="21"/>
          <w:szCs w:val="21"/>
          <w:i w:val="1"/>
          <w:iCs w:val="1"/>
          <w:u w:val="single" w:color="auto"/>
          <w:color w:val="auto"/>
        </w:rPr>
        <w:t>Change of Control Offer</w:t>
      </w:r>
      <w:r>
        <w:rPr>
          <w:rFonts w:ascii="Arial" w:cs="Arial" w:eastAsia="Arial" w:hAnsi="Arial"/>
          <w:sz w:val="21"/>
          <w:szCs w:val="21"/>
          <w:color w:val="auto"/>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Arial" w:cs="Arial" w:eastAsia="Arial" w:hAnsi="Arial"/>
          <w:sz w:val="21"/>
          <w:szCs w:val="21"/>
          <w:i w:val="1"/>
          <w:iCs w:val="1"/>
          <w:u w:val="single" w:color="auto"/>
          <w:color w:val="auto"/>
        </w:rPr>
        <w:t>Change of Control Payment</w:t>
      </w:r>
      <w:r>
        <w:rPr>
          <w:rFonts w:ascii="Arial" w:cs="Arial" w:eastAsia="Arial" w:hAnsi="Arial"/>
          <w:sz w:val="21"/>
          <w:szCs w:val="21"/>
          <w:color w:val="auto"/>
        </w:rPr>
        <w:t>”). Within 10 days following any Change of Control Triggering Event, the Issuers shall mail a notice to each Holder setting forth the procedures governing the Change of Control Offer as required by the Indenture.</w:t>
      </w:r>
    </w:p>
    <w:p>
      <w:pPr>
        <w:spacing w:after="0" w:line="157" w:lineRule="exact"/>
        <w:rPr>
          <w:rFonts w:ascii="Arial" w:cs="Arial" w:eastAsia="Arial" w:hAnsi="Arial"/>
          <w:sz w:val="21"/>
          <w:szCs w:val="21"/>
          <w:color w:val="auto"/>
        </w:rPr>
      </w:pPr>
    </w:p>
    <w:p>
      <w:pPr>
        <w:jc w:val="both"/>
        <w:ind w:firstLine="1268"/>
        <w:spacing w:after="0" w:line="229" w:lineRule="auto"/>
        <w:tabs>
          <w:tab w:leader="none" w:pos="1890" w:val="left"/>
        </w:tabs>
        <w:numPr>
          <w:ilvl w:val="0"/>
          <w:numId w:val="139"/>
        </w:numPr>
        <w:rPr>
          <w:rFonts w:ascii="Arial" w:cs="Arial" w:eastAsia="Arial" w:hAnsi="Arial"/>
          <w:sz w:val="20"/>
          <w:szCs w:val="20"/>
          <w:color w:val="auto"/>
        </w:rPr>
      </w:pPr>
      <w:r>
        <w:rPr>
          <w:rFonts w:ascii="Arial" w:cs="Arial" w:eastAsia="Arial" w:hAnsi="Arial"/>
          <w:sz w:val="20"/>
          <w:szCs w:val="20"/>
          <w:i w:val="1"/>
          <w:iCs w:val="1"/>
          <w:color w:val="auto"/>
        </w:rPr>
        <w:t>Notice of Redemption</w:t>
      </w:r>
      <w:r>
        <w:rPr>
          <w:rFonts w:ascii="Arial" w:cs="Arial" w:eastAsia="Arial" w:hAnsi="Arial"/>
          <w:sz w:val="20"/>
          <w:szCs w:val="20"/>
          <w:color w:val="auto"/>
        </w:rPr>
        <w:t>. Notice of redemption shall be delivered at least 15 days but not more than 60 days</w:t>
      </w:r>
      <w:r>
        <w:rPr>
          <w:rFonts w:ascii="Arial" w:cs="Arial" w:eastAsia="Arial" w:hAnsi="Arial"/>
          <w:sz w:val="20"/>
          <w:szCs w:val="20"/>
          <w:i w:val="1"/>
          <w:iCs w:val="1"/>
          <w:color w:val="auto"/>
        </w:rPr>
        <w:t xml:space="preserve"> </w:t>
      </w:r>
      <w:r>
        <w:rPr>
          <w:rFonts w:ascii="Arial" w:cs="Arial" w:eastAsia="Arial" w:hAnsi="Arial"/>
          <w:sz w:val="20"/>
          <w:szCs w:val="20"/>
          <w:color w:val="auto"/>
        </w:rPr>
        <w:t>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57" w:lineRule="exact"/>
        <w:rPr>
          <w:rFonts w:ascii="Arial" w:cs="Arial" w:eastAsia="Arial" w:hAnsi="Arial"/>
          <w:sz w:val="20"/>
          <w:szCs w:val="20"/>
          <w:color w:val="auto"/>
        </w:rPr>
      </w:pPr>
    </w:p>
    <w:p>
      <w:pPr>
        <w:jc w:val="both"/>
        <w:ind w:firstLine="1268"/>
        <w:spacing w:after="0" w:line="227" w:lineRule="auto"/>
        <w:tabs>
          <w:tab w:leader="none" w:pos="1890" w:val="left"/>
        </w:tabs>
        <w:numPr>
          <w:ilvl w:val="0"/>
          <w:numId w:val="139"/>
        </w:numPr>
        <w:rPr>
          <w:rFonts w:ascii="Arial" w:cs="Arial" w:eastAsia="Arial" w:hAnsi="Arial"/>
          <w:sz w:val="20"/>
          <w:szCs w:val="20"/>
          <w:color w:val="auto"/>
        </w:rPr>
      </w:pPr>
      <w:r>
        <w:rPr>
          <w:rFonts w:ascii="Arial" w:cs="Arial" w:eastAsia="Arial" w:hAnsi="Arial"/>
          <w:sz w:val="20"/>
          <w:szCs w:val="20"/>
          <w:i w:val="1"/>
          <w:iCs w:val="1"/>
          <w:color w:val="auto"/>
        </w:rPr>
        <w:t>Denominations, Transfer, Exchange</w:t>
      </w:r>
      <w:r>
        <w:rPr>
          <w:rFonts w:ascii="Arial" w:cs="Arial" w:eastAsia="Arial" w:hAnsi="Arial"/>
          <w:sz w:val="20"/>
          <w:szCs w:val="20"/>
          <w:color w:val="auto"/>
        </w:rPr>
        <w:t>. The Notes are in registered form without coupons in denominations of</w:t>
      </w:r>
      <w:r>
        <w:rPr>
          <w:rFonts w:ascii="Arial" w:cs="Arial" w:eastAsia="Arial" w:hAnsi="Arial"/>
          <w:sz w:val="20"/>
          <w:szCs w:val="20"/>
          <w:i w:val="1"/>
          <w:iCs w:val="1"/>
          <w:color w:val="auto"/>
        </w:rPr>
        <w:t xml:space="preserve"> </w:t>
      </w:r>
      <w:r>
        <w:rPr>
          <w:rFonts w:ascii="Arial" w:cs="Arial" w:eastAsia="Arial" w:hAnsi="Arial"/>
          <w:sz w:val="20"/>
          <w:szCs w:val="20"/>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54" w:lineRule="exact"/>
        <w:rPr>
          <w:rFonts w:ascii="Arial" w:cs="Arial" w:eastAsia="Arial" w:hAnsi="Arial"/>
          <w:sz w:val="20"/>
          <w:szCs w:val="20"/>
          <w:color w:val="auto"/>
        </w:rPr>
      </w:pPr>
    </w:p>
    <w:p>
      <w:pPr>
        <w:ind w:left="1880" w:hanging="612"/>
        <w:spacing w:after="0"/>
        <w:tabs>
          <w:tab w:leader="none" w:pos="1880" w:val="left"/>
        </w:tabs>
        <w:numPr>
          <w:ilvl w:val="0"/>
          <w:numId w:val="139"/>
        </w:numPr>
        <w:rPr>
          <w:rFonts w:ascii="Arial" w:cs="Arial" w:eastAsia="Arial" w:hAnsi="Arial"/>
          <w:sz w:val="20"/>
          <w:szCs w:val="20"/>
          <w:color w:val="auto"/>
        </w:rPr>
      </w:pPr>
      <w:r>
        <w:rPr>
          <w:rFonts w:ascii="Arial" w:cs="Arial" w:eastAsia="Arial" w:hAnsi="Arial"/>
          <w:sz w:val="20"/>
          <w:szCs w:val="20"/>
          <w:i w:val="1"/>
          <w:iCs w:val="1"/>
          <w:color w:val="auto"/>
        </w:rPr>
        <w:t>Persons Deemed Owners</w:t>
      </w:r>
      <w:r>
        <w:rPr>
          <w:rFonts w:ascii="Arial" w:cs="Arial" w:eastAsia="Arial" w:hAnsi="Arial"/>
          <w:sz w:val="20"/>
          <w:szCs w:val="20"/>
          <w:color w:val="auto"/>
        </w:rPr>
        <w:t>. The registered Holder of a Note may be treated as its owner for all purposes.</w:t>
      </w:r>
    </w:p>
    <w:p>
      <w:pPr>
        <w:spacing w:after="0" w:line="191" w:lineRule="exact"/>
        <w:rPr>
          <w:rFonts w:ascii="Arial" w:cs="Arial" w:eastAsia="Arial" w:hAnsi="Arial"/>
          <w:sz w:val="20"/>
          <w:szCs w:val="20"/>
          <w:color w:val="auto"/>
        </w:rPr>
      </w:pPr>
    </w:p>
    <w:p>
      <w:pPr>
        <w:ind w:left="1900" w:hanging="632"/>
        <w:spacing w:after="0"/>
        <w:tabs>
          <w:tab w:leader="none" w:pos="1900" w:val="left"/>
        </w:tabs>
        <w:numPr>
          <w:ilvl w:val="0"/>
          <w:numId w:val="139"/>
        </w:numPr>
        <w:rPr>
          <w:rFonts w:ascii="Arial" w:cs="Arial" w:eastAsia="Arial" w:hAnsi="Arial"/>
          <w:sz w:val="21"/>
          <w:szCs w:val="21"/>
          <w:color w:val="auto"/>
        </w:rPr>
      </w:pPr>
      <w:r>
        <w:rPr>
          <w:rFonts w:ascii="Arial" w:cs="Arial" w:eastAsia="Arial" w:hAnsi="Arial"/>
          <w:sz w:val="21"/>
          <w:szCs w:val="21"/>
          <w:i w:val="1"/>
          <w:iCs w:val="1"/>
          <w:color w:val="auto"/>
        </w:rPr>
        <w:t>Amendment, Supplement and Waiver</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900"/>
        <w:spacing w:after="0" w:line="220" w:lineRule="auto"/>
        <w:tabs>
          <w:tab w:leader="none" w:pos="2523" w:val="left"/>
        </w:tabs>
        <w:numPr>
          <w:ilvl w:val="1"/>
          <w:numId w:val="139"/>
        </w:numPr>
        <w:rPr>
          <w:rFonts w:ascii="Arial" w:cs="Arial" w:eastAsia="Arial" w:hAnsi="Arial"/>
          <w:sz w:val="21"/>
          <w:szCs w:val="21"/>
          <w:color w:val="auto"/>
        </w:rPr>
      </w:pPr>
      <w:r>
        <w:rPr>
          <w:rFonts w:ascii="Arial" w:cs="Arial" w:eastAsia="Arial" w:hAnsi="Arial"/>
          <w:sz w:val="21"/>
          <w:szCs w:val="21"/>
          <w:color w:val="auto"/>
        </w:rPr>
        <w:t>Subject to certain exceptions, the Indenture, the Notes and the Note Guarantees may be amended or supplemented with the consent of the Holders of at least a majority in principal amount of the then outstanding Notes, voting as a single class, and any existing Default or Event of Default or compliance with any provision of the Indenture, the Notes or the Note Guarantees may be waived with the consent of the Holders of a majority in principal amount of the then outstanding Notes, voting as a single class.</w:t>
      </w:r>
    </w:p>
    <w:p>
      <w:pPr>
        <w:spacing w:after="0" w:line="156" w:lineRule="exact"/>
        <w:rPr>
          <w:rFonts w:ascii="Arial" w:cs="Arial" w:eastAsia="Arial" w:hAnsi="Arial"/>
          <w:sz w:val="21"/>
          <w:szCs w:val="21"/>
          <w:color w:val="auto"/>
        </w:rPr>
      </w:pPr>
    </w:p>
    <w:p>
      <w:pPr>
        <w:jc w:val="both"/>
        <w:ind w:firstLine="1900"/>
        <w:spacing w:after="0" w:line="226" w:lineRule="auto"/>
        <w:tabs>
          <w:tab w:leader="none" w:pos="2522" w:val="left"/>
        </w:tabs>
        <w:numPr>
          <w:ilvl w:val="1"/>
          <w:numId w:val="139"/>
        </w:numPr>
        <w:rPr>
          <w:rFonts w:ascii="Arial" w:cs="Arial" w:eastAsia="Arial" w:hAnsi="Arial"/>
          <w:sz w:val="20"/>
          <w:szCs w:val="20"/>
          <w:color w:val="auto"/>
        </w:rPr>
      </w:pPr>
      <w:r>
        <w:rPr>
          <w:rFonts w:ascii="Arial" w:cs="Arial" w:eastAsia="Arial" w:hAnsi="Arial"/>
          <w:sz w:val="20"/>
          <w:szCs w:val="20"/>
          <w:color w:val="auto"/>
        </w:rPr>
        <w:t>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A-1-6</w:t>
      </w:r>
    </w:p>
    <w:p>
      <w:pPr>
        <w:sectPr>
          <w:pgSz w:w="11900" w:h="16838" w:orient="portrait"/>
          <w:cols w:equalWidth="0" w:num="1">
            <w:col w:w="11240"/>
          </w:cols>
          <w:pgMar w:left="320" w:top="1368" w:right="339" w:bottom="1440" w:gutter="0" w:footer="0" w:header="0"/>
        </w:sectPr>
      </w:pPr>
    </w:p>
    <w:bookmarkStart w:id="102" w:name="page103"/>
    <w:bookmarkEnd w:id="102"/>
    <w:p>
      <w:pPr>
        <w:jc w:val="both"/>
        <w:spacing w:after="0" w:line="234" w:lineRule="auto"/>
        <w:rPr>
          <w:sz w:val="20"/>
          <w:szCs w:val="20"/>
          <w:color w:val="auto"/>
        </w:rPr>
      </w:pPr>
      <w:r>
        <w:rPr>
          <w:rFonts w:ascii="Arial" w:cs="Arial" w:eastAsia="Arial" w:hAnsi="Arial"/>
          <w:sz w:val="20"/>
          <w:szCs w:val="20"/>
          <w:color w:val="auto"/>
        </w:rPr>
        <w:t>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or (ix) make any change in the preceding amendment and waiver provisions.</w:t>
      </w:r>
    </w:p>
    <w:p>
      <w:pPr>
        <w:spacing w:after="0" w:line="156" w:lineRule="exact"/>
        <w:rPr>
          <w:sz w:val="20"/>
          <w:szCs w:val="20"/>
          <w:color w:val="auto"/>
        </w:rPr>
      </w:pPr>
    </w:p>
    <w:p>
      <w:pPr>
        <w:jc w:val="both"/>
        <w:ind w:firstLine="1900"/>
        <w:spacing w:after="0" w:line="234" w:lineRule="auto"/>
        <w:tabs>
          <w:tab w:leader="none" w:pos="2523" w:val="left"/>
        </w:tabs>
        <w:numPr>
          <w:ilvl w:val="1"/>
          <w:numId w:val="140"/>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or the Note Guarantees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Resorts Finance’s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February 9, 2023,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to release the Note Guarantee of a Guarantor in accordance with the terms of the Indenture, (vii) provide for the issuance of Additional Notes in accordance with the limitations set forth in the Indenture as of the date of the Indenture, (viii) allow any Guarantor to execute a supplemental indenture to the Indenture and/or a Note Guarantee with respect to the Notes, (ix) to comply with requirements of the SEC in order to effect or maintain the qualification of the Indenture under the Trust Indenture Act, if then applicable, (x) to comply with requirements of applicable Gaming Laws or to provide for requirements imposed by applicable Gaming Authorities; (xi) to provide for the acceptance or appointment of a successor trustee or (xii) provide for the Notes to be secured.</w:t>
      </w:r>
    </w:p>
    <w:p>
      <w:pPr>
        <w:spacing w:after="0" w:line="168" w:lineRule="exact"/>
        <w:rPr>
          <w:rFonts w:ascii="Arial" w:cs="Arial" w:eastAsia="Arial" w:hAnsi="Arial"/>
          <w:sz w:val="19"/>
          <w:szCs w:val="19"/>
          <w:color w:val="auto"/>
        </w:rPr>
      </w:pPr>
    </w:p>
    <w:p>
      <w:pPr>
        <w:jc w:val="both"/>
        <w:ind w:firstLine="1268"/>
        <w:spacing w:after="0" w:line="235" w:lineRule="auto"/>
        <w:tabs>
          <w:tab w:leader="none" w:pos="1890" w:val="left"/>
        </w:tabs>
        <w:numPr>
          <w:ilvl w:val="0"/>
          <w:numId w:val="141"/>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if any, with respect to the Notes; (ii) default in payment when due of principal of, or premium, if any, on the Notes when the same becomes due and payable at maturity, upon redemption (including in connection with an offer to purchase) or otherwise, (iii) failure by Wynn Resorts Capital, Wynn Resorts Finance or any of Guarantors to comply with Sections 4.11 or 5.01 of the Indenture; (iv) failure by Wynn Resorts Capital, Wynn Resorts Finance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the Indenture; (vi) failure by Wynn Resorts Capital, Wynn Resorts Finance or any of the Guarantors to pay final non-appealable judgments (not paid or covered by insurance as to which the relevant insurance company has not denied responsibility) aggregating in excess of $125.0 million, which judgments are not paid, bonded, discharged or stayed for a period of 60 days; or (vii) certain events of bankruptcy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A-1-7</w:t>
      </w:r>
    </w:p>
    <w:p>
      <w:pPr>
        <w:sectPr>
          <w:pgSz w:w="11900" w:h="16838" w:orient="portrait"/>
          <w:cols w:equalWidth="0" w:num="1">
            <w:col w:w="11240"/>
          </w:cols>
          <w:pgMar w:left="320" w:top="1368" w:right="339" w:bottom="1440" w:gutter="0" w:footer="0" w:header="0"/>
        </w:sectPr>
      </w:pPr>
    </w:p>
    <w:bookmarkStart w:id="103" w:name="page104"/>
    <w:bookmarkEnd w:id="103"/>
    <w:p>
      <w:pPr>
        <w:jc w:val="both"/>
        <w:spacing w:after="0" w:line="216" w:lineRule="auto"/>
        <w:rPr>
          <w:sz w:val="20"/>
          <w:szCs w:val="20"/>
          <w:color w:val="auto"/>
        </w:rPr>
      </w:pPr>
      <w:r>
        <w:rPr>
          <w:rFonts w:ascii="Arial" w:cs="Arial" w:eastAsia="Arial" w:hAnsi="Arial"/>
          <w:sz w:val="21"/>
          <w:szCs w:val="21"/>
          <w:color w:val="auto"/>
        </w:rPr>
        <w:t xml:space="preserve">insolvency described in the Indenture with respect to (a) either Issuer or (b) any Guarantor;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if a Default for a failure to report or failure to deliver a required certificate in connection with another default (the “</w:t>
      </w:r>
      <w:r>
        <w:rPr>
          <w:rFonts w:ascii="Arial" w:cs="Arial" w:eastAsia="Arial" w:hAnsi="Arial"/>
          <w:sz w:val="21"/>
          <w:szCs w:val="21"/>
          <w:i w:val="1"/>
          <w:iCs w:val="1"/>
          <w:color w:val="auto"/>
        </w:rPr>
        <w:t>Initial Default</w:t>
      </w:r>
      <w:r>
        <w:rPr>
          <w:rFonts w:ascii="Arial" w:cs="Arial" w:eastAsia="Arial" w:hAnsi="Arial"/>
          <w:sz w:val="21"/>
          <w:szCs w:val="21"/>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the Indenture shall be deemed to be cured upon the delivery of any such report required by such covenant or such notice or certificate, as applicable, even though such delivery is not within the prescribed period specified in the Indenture.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the case of an Event of Default arising from certain events of bankruptcy or insolvency with respect to (a) either Issuer or</w:t>
      </w:r>
    </w:p>
    <w:p>
      <w:pPr>
        <w:spacing w:after="0" w:line="10" w:lineRule="exact"/>
        <w:rPr>
          <w:sz w:val="20"/>
          <w:szCs w:val="20"/>
          <w:color w:val="auto"/>
        </w:rPr>
      </w:pPr>
    </w:p>
    <w:p>
      <w:pPr>
        <w:jc w:val="both"/>
        <w:ind w:firstLine="5"/>
        <w:spacing w:after="0" w:line="234" w:lineRule="auto"/>
        <w:tabs>
          <w:tab w:leader="none" w:pos="31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an Officers’ Certificate regarding compliance with the Indenture. Upon becoming aware of any Default or Event of Default, the Issuers are required to deliver to the Trustee an Officers’ Certificate specifying such Default or Event of Default.</w:t>
      </w:r>
    </w:p>
    <w:p>
      <w:pPr>
        <w:spacing w:after="0" w:line="162" w:lineRule="exact"/>
        <w:rPr>
          <w:rFonts w:ascii="Arial" w:cs="Arial" w:eastAsia="Arial" w:hAnsi="Arial"/>
          <w:sz w:val="19"/>
          <w:szCs w:val="19"/>
          <w:color w:val="auto"/>
        </w:rPr>
      </w:pPr>
    </w:p>
    <w:p>
      <w:pPr>
        <w:ind w:left="1900" w:hanging="632"/>
        <w:spacing w:after="0"/>
        <w:tabs>
          <w:tab w:leader="none" w:pos="1900" w:val="left"/>
        </w:tabs>
        <w:numPr>
          <w:ilvl w:val="1"/>
          <w:numId w:val="142"/>
        </w:numPr>
        <w:rPr>
          <w:rFonts w:ascii="Arial" w:cs="Arial" w:eastAsia="Arial" w:hAnsi="Arial"/>
          <w:sz w:val="21"/>
          <w:szCs w:val="21"/>
          <w:color w:val="auto"/>
        </w:rPr>
      </w:pPr>
      <w:r>
        <w:rPr>
          <w:rFonts w:ascii="Arial" w:cs="Arial" w:eastAsia="Arial" w:hAnsi="Arial"/>
          <w:sz w:val="21"/>
          <w:szCs w:val="21"/>
          <w:i w:val="1"/>
          <w:iCs w:val="1"/>
          <w:color w:val="auto"/>
        </w:rPr>
        <w:t>[Reserved]</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268"/>
        <w:spacing w:after="0" w:line="249" w:lineRule="auto"/>
        <w:tabs>
          <w:tab w:leader="none" w:pos="1890" w:val="left"/>
        </w:tabs>
        <w:numPr>
          <w:ilvl w:val="1"/>
          <w:numId w:val="142"/>
        </w:numPr>
        <w:rPr>
          <w:rFonts w:ascii="Arial" w:cs="Arial" w:eastAsia="Arial" w:hAnsi="Arial"/>
          <w:sz w:val="19"/>
          <w:szCs w:val="19"/>
          <w:color w:val="auto"/>
        </w:rPr>
      </w:pPr>
      <w:r>
        <w:rPr>
          <w:rFonts w:ascii="Arial" w:cs="Arial" w:eastAsia="Arial" w:hAnsi="Arial"/>
          <w:sz w:val="19"/>
          <w:szCs w:val="19"/>
          <w:i w:val="1"/>
          <w:iCs w:val="1"/>
          <w:color w:val="auto"/>
        </w:rPr>
        <w:t>Trustee Dealings with Issuers</w:t>
      </w:r>
      <w:r>
        <w:rPr>
          <w:rFonts w:ascii="Arial" w:cs="Arial" w:eastAsia="Arial" w:hAnsi="Arial"/>
          <w:sz w:val="19"/>
          <w:szCs w:val="19"/>
          <w:color w:val="auto"/>
        </w:rPr>
        <w:t>. The Trustee, in its individual or any other capacity, may become the owner or</w:t>
      </w:r>
      <w:r>
        <w:rPr>
          <w:rFonts w:ascii="Arial" w:cs="Arial" w:eastAsia="Arial" w:hAnsi="Arial"/>
          <w:sz w:val="19"/>
          <w:szCs w:val="19"/>
          <w:i w:val="1"/>
          <w:iCs w:val="1"/>
          <w:color w:val="auto"/>
        </w:rPr>
        <w:t xml:space="preserve"> </w:t>
      </w:r>
      <w:r>
        <w:rPr>
          <w:rFonts w:ascii="Arial" w:cs="Arial" w:eastAsia="Arial" w:hAnsi="Arial"/>
          <w:sz w:val="19"/>
          <w:szCs w:val="19"/>
          <w:color w:val="auto"/>
        </w:rPr>
        <w:t>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45" w:lineRule="exact"/>
        <w:rPr>
          <w:rFonts w:ascii="Arial" w:cs="Arial" w:eastAsia="Arial" w:hAnsi="Arial"/>
          <w:sz w:val="19"/>
          <w:szCs w:val="19"/>
          <w:color w:val="auto"/>
        </w:rPr>
      </w:pPr>
    </w:p>
    <w:p>
      <w:pPr>
        <w:jc w:val="both"/>
        <w:ind w:firstLine="1268"/>
        <w:spacing w:after="0" w:line="244" w:lineRule="auto"/>
        <w:tabs>
          <w:tab w:leader="none" w:pos="1890" w:val="left"/>
        </w:tabs>
        <w:numPr>
          <w:ilvl w:val="1"/>
          <w:numId w:val="142"/>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employee, incorporator, organizer,</w:t>
      </w:r>
      <w:r>
        <w:rPr>
          <w:rFonts w:ascii="Arial" w:cs="Arial" w:eastAsia="Arial" w:hAnsi="Arial"/>
          <w:sz w:val="19"/>
          <w:szCs w:val="19"/>
          <w:i w:val="1"/>
          <w:iCs w:val="1"/>
          <w:color w:val="auto"/>
        </w:rPr>
        <w:t xml:space="preserve"> </w:t>
      </w:r>
      <w:r>
        <w:rPr>
          <w:rFonts w:ascii="Arial" w:cs="Arial" w:eastAsia="Arial" w:hAnsi="Arial"/>
          <w:sz w:val="19"/>
          <w:szCs w:val="19"/>
          <w:color w:val="auto"/>
        </w:rPr>
        <w:t>equity holder or member of either Issuer or any Guarantor, as such, shall have any liability for any obligations of either Issuer or any Guarantor under the Notes, the Note Guarantees,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52" w:lineRule="exact"/>
        <w:rPr>
          <w:rFonts w:ascii="Arial" w:cs="Arial" w:eastAsia="Arial" w:hAnsi="Arial"/>
          <w:sz w:val="19"/>
          <w:szCs w:val="19"/>
          <w:color w:val="auto"/>
        </w:rPr>
      </w:pPr>
    </w:p>
    <w:p>
      <w:pPr>
        <w:ind w:left="1900" w:hanging="632"/>
        <w:spacing w:after="0"/>
        <w:tabs>
          <w:tab w:leader="none" w:pos="1900" w:val="left"/>
        </w:tabs>
        <w:numPr>
          <w:ilvl w:val="1"/>
          <w:numId w:val="142"/>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 an</w:t>
      </w:r>
    </w:p>
    <w:p>
      <w:pPr>
        <w:spacing w:after="0" w:line="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authenticating agent.</w:t>
      </w:r>
    </w:p>
    <w:p>
      <w:pPr>
        <w:spacing w:after="0" w:line="161" w:lineRule="exact"/>
        <w:rPr>
          <w:rFonts w:ascii="Arial" w:cs="Arial" w:eastAsia="Arial" w:hAnsi="Arial"/>
          <w:sz w:val="19"/>
          <w:szCs w:val="19"/>
          <w:color w:val="auto"/>
        </w:rPr>
      </w:pPr>
    </w:p>
    <w:p>
      <w:pPr>
        <w:jc w:val="both"/>
        <w:ind w:firstLine="1268"/>
        <w:spacing w:after="0" w:line="228" w:lineRule="auto"/>
        <w:tabs>
          <w:tab w:leader="none" w:pos="1890" w:val="left"/>
        </w:tabs>
        <w:numPr>
          <w:ilvl w:val="1"/>
          <w:numId w:val="142"/>
        </w:numPr>
        <w:rPr>
          <w:rFonts w:ascii="Arial" w:cs="Arial" w:eastAsia="Arial" w:hAnsi="Arial"/>
          <w:sz w:val="21"/>
          <w:szCs w:val="21"/>
          <w:color w:val="auto"/>
        </w:rPr>
      </w:pPr>
      <w:r>
        <w:rPr>
          <w:rFonts w:ascii="Arial" w:cs="Arial" w:eastAsia="Arial" w:hAnsi="Arial"/>
          <w:sz w:val="21"/>
          <w:szCs w:val="21"/>
          <w:i w:val="1"/>
          <w:iCs w:val="1"/>
          <w:color w:val="auto"/>
        </w:rPr>
        <w:t>Abbreviations</w:t>
      </w:r>
      <w:r>
        <w:rPr>
          <w:rFonts w:ascii="Arial" w:cs="Arial" w:eastAsia="Arial" w:hAnsi="Arial"/>
          <w:sz w:val="21"/>
          <w:szCs w:val="21"/>
          <w:color w:val="auto"/>
        </w:rPr>
        <w:t>. Customary abbreviations may be used in the name of a Holder or an assignee, such as: TEN</w:t>
      </w:r>
      <w:r>
        <w:rPr>
          <w:rFonts w:ascii="Arial" w:cs="Arial" w:eastAsia="Arial" w:hAnsi="Arial"/>
          <w:sz w:val="21"/>
          <w:szCs w:val="21"/>
          <w:i w:val="1"/>
          <w:iCs w:val="1"/>
          <w:color w:val="auto"/>
        </w:rPr>
        <w:t xml:space="preserve"> </w:t>
      </w:r>
      <w:r>
        <w:rPr>
          <w:rFonts w:ascii="Arial" w:cs="Arial" w:eastAsia="Arial" w:hAnsi="Arial"/>
          <w:sz w:val="21"/>
          <w:szCs w:val="21"/>
          <w:color w:val="auto"/>
        </w:rPr>
        <w:t>COM (= 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A-1-8</w:t>
      </w:r>
    </w:p>
    <w:p>
      <w:pPr>
        <w:sectPr>
          <w:pgSz w:w="11900" w:h="16838" w:orient="portrait"/>
          <w:cols w:equalWidth="0" w:num="1">
            <w:col w:w="11240"/>
          </w:cols>
          <w:pgMar w:left="320" w:top="1368" w:right="339" w:bottom="1440" w:gutter="0" w:footer="0" w:header="0"/>
        </w:sectPr>
      </w:pPr>
    </w:p>
    <w:bookmarkStart w:id="104" w:name="page105"/>
    <w:bookmarkEnd w:id="104"/>
    <w:p>
      <w:pPr>
        <w:jc w:val="both"/>
        <w:ind w:firstLine="1268"/>
        <w:spacing w:after="0" w:line="228" w:lineRule="auto"/>
        <w:tabs>
          <w:tab w:leader="none" w:pos="1890" w:val="left"/>
        </w:tabs>
        <w:numPr>
          <w:ilvl w:val="0"/>
          <w:numId w:val="143"/>
        </w:numPr>
        <w:rPr>
          <w:rFonts w:ascii="Arial" w:cs="Arial" w:eastAsia="Arial" w:hAnsi="Arial"/>
          <w:sz w:val="21"/>
          <w:szCs w:val="21"/>
          <w:color w:val="auto"/>
        </w:rPr>
      </w:pPr>
      <w:r>
        <w:rPr>
          <w:rFonts w:ascii="Arial" w:cs="Arial" w:eastAsia="Arial" w:hAnsi="Arial"/>
          <w:sz w:val="21"/>
          <w:szCs w:val="21"/>
          <w:i w:val="1"/>
          <w:iCs w:val="1"/>
          <w:color w:val="auto"/>
        </w:rPr>
        <w:t>Governing Law</w:t>
      </w:r>
      <w:r>
        <w:rPr>
          <w:rFonts w:ascii="Arial" w:cs="Arial" w:eastAsia="Arial" w:hAnsi="Arial"/>
          <w:sz w:val="21"/>
          <w:szCs w:val="21"/>
          <w:color w:val="auto"/>
        </w:rPr>
        <w:t>. THE INDENTURE, THIS NOTE AND THE NOTE GUARANTEES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GOVERNED BY AND CONSTRUED IN ACCORDANCE WITH THE LAWS OF THE STATE OF NEW YORK, INCLUDING, WITHOUT LIMITATION, SECTION 4-1401 OF THE NEW YORK OBLIGATIONS LAW.</w:t>
      </w:r>
    </w:p>
    <w:p>
      <w:pPr>
        <w:spacing w:after="0" w:line="153" w:lineRule="exact"/>
        <w:rPr>
          <w:rFonts w:ascii="Arial" w:cs="Arial" w:eastAsia="Arial" w:hAnsi="Arial"/>
          <w:sz w:val="21"/>
          <w:szCs w:val="21"/>
          <w:color w:val="auto"/>
        </w:rPr>
      </w:pPr>
    </w:p>
    <w:p>
      <w:pPr>
        <w:jc w:val="both"/>
        <w:ind w:firstLine="1268"/>
        <w:spacing w:after="0" w:line="220" w:lineRule="auto"/>
        <w:tabs>
          <w:tab w:leader="none" w:pos="1890" w:val="left"/>
        </w:tabs>
        <w:numPr>
          <w:ilvl w:val="0"/>
          <w:numId w:val="143"/>
        </w:numPr>
        <w:rPr>
          <w:rFonts w:ascii="Arial" w:cs="Arial" w:eastAsia="Arial" w:hAnsi="Arial"/>
          <w:sz w:val="21"/>
          <w:szCs w:val="21"/>
          <w:color w:val="auto"/>
        </w:rPr>
      </w:pPr>
      <w:r>
        <w:rPr>
          <w:rFonts w:ascii="Arial" w:cs="Arial" w:eastAsia="Arial" w:hAnsi="Arial"/>
          <w:sz w:val="21"/>
          <w:szCs w:val="21"/>
          <w:i w:val="1"/>
          <w:iCs w:val="1"/>
          <w:color w:val="auto"/>
        </w:rPr>
        <w:t>CUSIP Numbers</w:t>
      </w:r>
      <w:r>
        <w:rPr>
          <w:rFonts w:ascii="Arial" w:cs="Arial" w:eastAsia="Arial" w:hAnsi="Arial"/>
          <w:sz w:val="21"/>
          <w:szCs w:val="21"/>
          <w:color w:val="auto"/>
        </w:rPr>
        <w:t>. Pursuant to a recommendation promulgated by the Committee on Uniform Security</w:t>
      </w:r>
      <w:r>
        <w:rPr>
          <w:rFonts w:ascii="Arial" w:cs="Arial" w:eastAsia="Arial" w:hAnsi="Arial"/>
          <w:sz w:val="21"/>
          <w:szCs w:val="21"/>
          <w:i w:val="1"/>
          <w:iCs w:val="1"/>
          <w:color w:val="auto"/>
        </w:rPr>
        <w:t xml:space="preserve"> </w:t>
      </w:r>
      <w:r>
        <w:rPr>
          <w:rFonts w:ascii="Arial" w:cs="Arial" w:eastAsia="Arial" w:hAnsi="Arial"/>
          <w:sz w:val="21"/>
          <w:szCs w:val="21"/>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6"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The Issuers shall furnish to any Holder upon written request and without charge a copy of the Indenture. Requests may be made to:</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c/o Wynn Resorts Finance, LLC</w:t>
      </w:r>
    </w:p>
    <w:p>
      <w:pPr>
        <w:ind w:left="640"/>
        <w:spacing w:after="0" w:line="209" w:lineRule="auto"/>
        <w:rPr>
          <w:sz w:val="20"/>
          <w:szCs w:val="20"/>
          <w:color w:val="auto"/>
        </w:rPr>
      </w:pPr>
      <w:r>
        <w:rPr>
          <w:rFonts w:ascii="Arial" w:cs="Arial" w:eastAsia="Arial" w:hAnsi="Arial"/>
          <w:sz w:val="21"/>
          <w:szCs w:val="21"/>
          <w:color w:val="auto"/>
        </w:rPr>
        <w:t>3131 Las Vegas Boulevard South</w:t>
      </w:r>
    </w:p>
    <w:p>
      <w:pPr>
        <w:ind w:left="640"/>
        <w:spacing w:after="0" w:line="209" w:lineRule="auto"/>
        <w:rPr>
          <w:sz w:val="20"/>
          <w:szCs w:val="20"/>
          <w:color w:val="auto"/>
        </w:rPr>
      </w:pPr>
      <w:r>
        <w:rPr>
          <w:rFonts w:ascii="Arial" w:cs="Arial" w:eastAsia="Arial" w:hAnsi="Arial"/>
          <w:sz w:val="21"/>
          <w:szCs w:val="21"/>
          <w:color w:val="auto"/>
        </w:rPr>
        <w:t>Las Vegas, NV 89109</w:t>
      </w:r>
    </w:p>
    <w:p>
      <w:pPr>
        <w:ind w:left="640"/>
        <w:spacing w:after="0" w:line="209" w:lineRule="auto"/>
        <w:rPr>
          <w:sz w:val="20"/>
          <w:szCs w:val="20"/>
          <w:color w:val="auto"/>
        </w:rPr>
      </w:pPr>
      <w:r>
        <w:rPr>
          <w:rFonts w:ascii="Arial" w:cs="Arial" w:eastAsia="Arial" w:hAnsi="Arial"/>
          <w:sz w:val="21"/>
          <w:szCs w:val="21"/>
          <w:color w:val="auto"/>
        </w:rPr>
        <w:t>Fax No.: (702) 770-1518</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A-1-9</w:t>
      </w:r>
    </w:p>
    <w:p>
      <w:pPr>
        <w:sectPr>
          <w:pgSz w:w="11900" w:h="16838" w:orient="portrait"/>
          <w:cols w:equalWidth="0" w:num="1">
            <w:col w:w="11240"/>
          </w:cols>
          <w:pgMar w:left="320" w:top="136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1"/>
          <w:szCs w:val="21"/>
          <w:color w:val="auto"/>
        </w:rPr>
        <w:t>Assignment Form</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To assign this Note, fill in the form below:</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(I) or (we) assign and transfer this Note to:</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(Print or type assignee’s name, address and zip code)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and irrevocably appoint</w:t>
      </w:r>
    </w:p>
    <w:p>
      <w:pPr>
        <w:spacing w:after="0"/>
        <w:rPr>
          <w:sz w:val="20"/>
          <w:szCs w:val="20"/>
          <w:color w:val="auto"/>
        </w:rPr>
      </w:pPr>
      <w:r>
        <w:rPr>
          <w:rFonts w:ascii="Arial" w:cs="Arial" w:eastAsia="Arial" w:hAnsi="Arial"/>
          <w:sz w:val="21"/>
          <w:szCs w:val="21"/>
          <w:color w:val="auto"/>
        </w:rPr>
        <w:t>to transfer this Note on the books of the Issuers. The agent may substitute another to act for him.</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Date: _______________</w:t>
      </w:r>
    </w:p>
    <w:p>
      <w:pPr>
        <w:spacing w:after="0" w:line="163"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Your Signature:</w:t>
      </w: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Signature Guarantee*: _________________________</w:t>
      </w:r>
    </w:p>
    <w:p>
      <w:pPr>
        <w:spacing w:after="0" w:line="180" w:lineRule="exact"/>
        <w:rPr>
          <w:sz w:val="20"/>
          <w:szCs w:val="20"/>
          <w:color w:val="auto"/>
        </w:rPr>
      </w:pPr>
    </w:p>
    <w:p>
      <w:pPr>
        <w:ind w:left="320" w:hanging="315"/>
        <w:spacing w:after="0"/>
        <w:tabs>
          <w:tab w:leader="none" w:pos="3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2" w:lineRule="exact"/>
        <w:rPr>
          <w:rFonts w:ascii="Arial" w:cs="Arial" w:eastAsia="Arial" w:hAnsi="Arial"/>
          <w:sz w:val="19"/>
          <w:szCs w:val="19"/>
          <w:color w:val="auto"/>
        </w:rPr>
      </w:pPr>
    </w:p>
    <w:p>
      <w:pPr>
        <w:ind w:left="5320"/>
        <w:spacing w:after="0"/>
        <w:rPr>
          <w:rFonts w:ascii="Arial" w:cs="Arial" w:eastAsia="Arial" w:hAnsi="Arial"/>
          <w:sz w:val="19"/>
          <w:szCs w:val="19"/>
          <w:color w:val="auto"/>
        </w:rPr>
      </w:pPr>
      <w:r>
        <w:rPr>
          <w:rFonts w:ascii="Arial" w:cs="Arial" w:eastAsia="Arial" w:hAnsi="Arial"/>
          <w:sz w:val="21"/>
          <w:szCs w:val="21"/>
          <w:color w:val="auto"/>
        </w:rPr>
        <w:t>A-1-10</w:t>
      </w:r>
    </w:p>
    <w:p>
      <w:pPr>
        <w:sectPr>
          <w:pgSz w:w="11900" w:h="16838" w:orient="portrait"/>
          <w:cols w:equalWidth="0" w:num="1">
            <w:col w:w="11240"/>
          </w:cols>
          <w:pgMar w:left="320" w:top="1368"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1"/>
          <w:szCs w:val="21"/>
          <w:color w:val="auto"/>
        </w:rPr>
        <w:t>Option of Holder to Elect Purchase</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If you want to elect to have this Note purchased by the Issuers pursuant to Section 4.11 of the Indenture, check the appropriate box below: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Section 4.11</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If you want to elect to have only part of the Note purchased by the Issuers pursuant to Section 4.11 of the Indenture, state the amount you elect to have purchased:</w:t>
      </w:r>
    </w:p>
    <w:p>
      <w:pPr>
        <w:spacing w:after="0" w:line="155"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$_______________</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Date: _______________</w:t>
      </w:r>
    </w:p>
    <w:p>
      <w:pPr>
        <w:spacing w:after="0" w:line="163"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Your Signature:</w:t>
      </w: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179"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Tax Identification No.:</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Signature Guarantee*: _________________________</w:t>
      </w:r>
    </w:p>
    <w:p>
      <w:pPr>
        <w:spacing w:after="0" w:line="180" w:lineRule="exact"/>
        <w:rPr>
          <w:sz w:val="20"/>
          <w:szCs w:val="20"/>
          <w:color w:val="auto"/>
        </w:rPr>
      </w:pPr>
    </w:p>
    <w:p>
      <w:pPr>
        <w:ind w:left="320" w:hanging="315"/>
        <w:spacing w:after="0"/>
        <w:tabs>
          <w:tab w:leader="none" w:pos="32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2" w:lineRule="exact"/>
        <w:rPr>
          <w:rFonts w:ascii="Arial" w:cs="Arial" w:eastAsia="Arial" w:hAnsi="Arial"/>
          <w:sz w:val="19"/>
          <w:szCs w:val="19"/>
          <w:color w:val="auto"/>
        </w:rPr>
      </w:pPr>
    </w:p>
    <w:p>
      <w:pPr>
        <w:ind w:left="5320"/>
        <w:spacing w:after="0"/>
        <w:rPr>
          <w:rFonts w:ascii="Arial" w:cs="Arial" w:eastAsia="Arial" w:hAnsi="Arial"/>
          <w:sz w:val="19"/>
          <w:szCs w:val="19"/>
          <w:color w:val="auto"/>
        </w:rPr>
      </w:pPr>
      <w:r>
        <w:rPr>
          <w:rFonts w:ascii="Arial" w:cs="Arial" w:eastAsia="Arial" w:hAnsi="Arial"/>
          <w:sz w:val="21"/>
          <w:szCs w:val="21"/>
          <w:color w:val="auto"/>
        </w:rPr>
        <w:t>A-1-11</w:t>
      </w:r>
    </w:p>
    <w:p>
      <w:pPr>
        <w:sectPr>
          <w:pgSz w:w="11900" w:h="16838" w:orient="portrait"/>
          <w:cols w:equalWidth="0" w:num="1">
            <w:col w:w="11240"/>
          </w:cols>
          <w:pgMar w:left="320" w:top="1368"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1"/>
          <w:szCs w:val="21"/>
          <w:color w:val="auto"/>
        </w:rPr>
        <w:t>SCHEDULE OF EXCHANGES OF INTERESTS IN THE GLOBAL NOTE*</w:t>
      </w:r>
    </w:p>
    <w:p>
      <w:pPr>
        <w:spacing w:after="0" w:line="180" w:lineRule="exact"/>
        <w:rPr>
          <w:sz w:val="20"/>
          <w:szCs w:val="20"/>
          <w:color w:val="auto"/>
        </w:rPr>
      </w:pPr>
    </w:p>
    <w:p>
      <w:pPr>
        <w:ind w:firstLine="632"/>
        <w:spacing w:after="0" w:line="258" w:lineRule="auto"/>
        <w:rPr>
          <w:sz w:val="20"/>
          <w:szCs w:val="20"/>
          <w:color w:val="auto"/>
        </w:rPr>
      </w:pPr>
      <w:r>
        <w:rPr>
          <w:rFonts w:ascii="Arial" w:cs="Arial" w:eastAsia="Arial" w:hAnsi="Arial"/>
          <w:sz w:val="20"/>
          <w:szCs w:val="20"/>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7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7"/>
              </w:rPr>
              <w:t>Amount of decrease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9"/>
              </w:rPr>
              <w:t>Amount of increase in</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 Amount</w:t>
            </w:r>
          </w:p>
        </w:tc>
        <w:tc>
          <w:tcPr>
            <w:tcW w:w="1760" w:type="dxa"/>
            <w:vAlign w:val="bottom"/>
          </w:tcPr>
          <w:p>
            <w:pPr>
              <w:jc w:val="center"/>
              <w:ind w:left="370"/>
              <w:spacing w:after="0"/>
              <w:rPr>
                <w:sz w:val="20"/>
                <w:szCs w:val="20"/>
                <w:color w:val="auto"/>
              </w:rPr>
            </w:pPr>
            <w:r>
              <w:rPr>
                <w:rFonts w:ascii="Arial" w:cs="Arial" w:eastAsia="Arial" w:hAnsi="Arial"/>
                <w:sz w:val="14"/>
                <w:szCs w:val="14"/>
                <w:b w:val="1"/>
                <w:bCs w:val="1"/>
                <w:color w:val="auto"/>
                <w:w w:val="88"/>
              </w:rPr>
              <w:t>Signature of</w:t>
            </w:r>
          </w:p>
        </w:tc>
      </w:tr>
      <w:tr>
        <w:trPr>
          <w:trHeight w:val="141"/>
        </w:trPr>
        <w:tc>
          <w:tcPr>
            <w:tcW w:w="1600" w:type="dxa"/>
            <w:vAlign w:val="bottom"/>
          </w:tcPr>
          <w:p>
            <w:pPr>
              <w:spacing w:after="0"/>
              <w:rPr>
                <w:sz w:val="12"/>
                <w:szCs w:val="12"/>
                <w:color w:val="auto"/>
              </w:rPr>
            </w:pPr>
          </w:p>
        </w:tc>
        <w:tc>
          <w:tcPr>
            <w:tcW w:w="2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in Principal Amount</w:t>
            </w:r>
          </w:p>
        </w:tc>
        <w:tc>
          <w:tcPr>
            <w:tcW w:w="22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Principal Amount</w:t>
            </w:r>
          </w:p>
        </w:tc>
        <w:tc>
          <w:tcPr>
            <w:tcW w:w="2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of this Global Note</w:t>
            </w:r>
          </w:p>
        </w:tc>
        <w:tc>
          <w:tcPr>
            <w:tcW w:w="1760" w:type="dxa"/>
            <w:vAlign w:val="bottom"/>
          </w:tcPr>
          <w:p>
            <w:pPr>
              <w:jc w:val="center"/>
              <w:ind w:left="370"/>
              <w:spacing w:after="0" w:line="141" w:lineRule="exact"/>
              <w:rPr>
                <w:sz w:val="20"/>
                <w:szCs w:val="20"/>
                <w:color w:val="auto"/>
              </w:rPr>
            </w:pPr>
            <w:r>
              <w:rPr>
                <w:rFonts w:ascii="Arial" w:cs="Arial" w:eastAsia="Arial" w:hAnsi="Arial"/>
                <w:sz w:val="14"/>
                <w:szCs w:val="14"/>
                <w:b w:val="1"/>
                <w:bCs w:val="1"/>
                <w:color w:val="auto"/>
                <w:w w:val="92"/>
              </w:rPr>
              <w:t>authorized officer of</w:t>
            </w:r>
          </w:p>
        </w:tc>
      </w:tr>
      <w:tr>
        <w:trPr>
          <w:trHeight w:val="135"/>
        </w:trPr>
        <w:tc>
          <w:tcPr>
            <w:tcW w:w="1600" w:type="dxa"/>
            <w:vAlign w:val="bottom"/>
          </w:tcPr>
          <w:p>
            <w:pPr>
              <w:spacing w:after="0"/>
              <w:rPr>
                <w:sz w:val="11"/>
                <w:szCs w:val="11"/>
                <w:color w:val="auto"/>
              </w:rPr>
            </w:pPr>
          </w:p>
        </w:tc>
        <w:tc>
          <w:tcPr>
            <w:tcW w:w="2260" w:type="dxa"/>
            <w:vAlign w:val="bottom"/>
          </w:tcPr>
          <w:p>
            <w:pPr>
              <w:jc w:val="center"/>
              <w:ind w:left="10"/>
              <w:spacing w:after="0" w:line="135" w:lineRule="exact"/>
              <w:rPr>
                <w:sz w:val="20"/>
                <w:szCs w:val="20"/>
                <w:color w:val="auto"/>
              </w:rPr>
            </w:pPr>
            <w:r>
              <w:rPr>
                <w:rFonts w:ascii="Arial" w:cs="Arial" w:eastAsia="Arial" w:hAnsi="Arial"/>
                <w:sz w:val="14"/>
                <w:szCs w:val="14"/>
                <w:b w:val="1"/>
                <w:bCs w:val="1"/>
                <w:color w:val="auto"/>
                <w:w w:val="91"/>
              </w:rPr>
              <w:t>of this Global Note</w:t>
            </w:r>
          </w:p>
        </w:tc>
        <w:tc>
          <w:tcPr>
            <w:tcW w:w="2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of this Global Note</w:t>
            </w: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following such</w:t>
            </w:r>
          </w:p>
        </w:tc>
        <w:tc>
          <w:tcPr>
            <w:tcW w:w="1760" w:type="dxa"/>
            <w:vAlign w:val="bottom"/>
          </w:tcPr>
          <w:p>
            <w:pPr>
              <w:jc w:val="center"/>
              <w:ind w:left="410"/>
              <w:spacing w:after="0" w:line="135" w:lineRule="exact"/>
              <w:rPr>
                <w:sz w:val="20"/>
                <w:szCs w:val="20"/>
                <w:color w:val="auto"/>
              </w:rPr>
            </w:pPr>
            <w:r>
              <w:rPr>
                <w:rFonts w:ascii="Arial" w:cs="Arial" w:eastAsia="Arial" w:hAnsi="Arial"/>
                <w:sz w:val="14"/>
                <w:szCs w:val="14"/>
                <w:b w:val="1"/>
                <w:bCs w:val="1"/>
                <w:color w:val="auto"/>
                <w:w w:val="90"/>
              </w:rPr>
              <w:t>Trustee or Custodian</w:t>
            </w:r>
          </w:p>
        </w:tc>
      </w:tr>
      <w:tr>
        <w:trPr>
          <w:trHeight w:val="183"/>
        </w:trPr>
        <w:tc>
          <w:tcPr>
            <w:tcW w:w="1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7"/>
              </w:rPr>
              <w:t>decrease (or increase)</w:t>
            </w:r>
          </w:p>
        </w:tc>
        <w:tc>
          <w:tcPr>
            <w:tcW w:w="1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hanging="315"/>
        <w:spacing w:after="0"/>
        <w:tabs>
          <w:tab w:leader="none" w:pos="320" w:val="left"/>
        </w:tabs>
        <w:numPr>
          <w:ilvl w:val="0"/>
          <w:numId w:val="146"/>
        </w:numPr>
        <w:rPr>
          <w:rFonts w:ascii="Arial" w:cs="Arial" w:eastAsia="Arial" w:hAnsi="Arial"/>
          <w:sz w:val="21"/>
          <w:szCs w:val="21"/>
          <w:color w:val="auto"/>
        </w:rPr>
      </w:pPr>
      <w:r>
        <w:rPr>
          <w:rFonts w:ascii="Arial" w:cs="Arial" w:eastAsia="Arial" w:hAnsi="Arial"/>
          <w:sz w:val="21"/>
          <w:szCs w:val="21"/>
          <w:i w:val="1"/>
          <w:iCs w:val="1"/>
          <w:color w:val="auto"/>
        </w:rPr>
        <w:t>This schedule should be included only if the Note is issued in global form.</w:t>
      </w:r>
    </w:p>
    <w:p>
      <w:pPr>
        <w:sectPr>
          <w:pgSz w:w="11900" w:h="16838" w:orient="portrait"/>
          <w:cols w:equalWidth="0" w:num="1">
            <w:col w:w="11240"/>
          </w:cols>
          <w:pgMar w:left="320" w:top="1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A-1-12</w:t>
      </w:r>
    </w:p>
    <w:p>
      <w:pPr>
        <w:sectPr>
          <w:pgSz w:w="11900" w:h="16838" w:orient="portrait"/>
          <w:cols w:equalWidth="0" w:num="1">
            <w:col w:w="11240"/>
          </w:cols>
          <w:pgMar w:left="320" w:top="1368" w:right="339" w:bottom="1440" w:gutter="0" w:footer="0" w:header="0"/>
          <w:type w:val="continuous"/>
        </w:sectPr>
      </w:pPr>
    </w:p>
    <w:bookmarkStart w:id="108" w:name="page109"/>
    <w:bookmarkEnd w:id="108"/>
    <w:p>
      <w:pPr>
        <w:ind w:left="9960"/>
        <w:spacing w:after="0"/>
        <w:rPr>
          <w:sz w:val="20"/>
          <w:szCs w:val="20"/>
          <w:color w:val="auto"/>
        </w:rPr>
      </w:pPr>
      <w:r>
        <w:rPr>
          <w:rFonts w:ascii="Arial" w:cs="Arial" w:eastAsia="Arial" w:hAnsi="Arial"/>
          <w:sz w:val="21"/>
          <w:szCs w:val="21"/>
          <w:b w:val="1"/>
          <w:bCs w:val="1"/>
          <w:color w:val="auto"/>
        </w:rPr>
        <w:t>EXHIBIT 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[Face of Regulation S Temporary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549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CUSIP/ISIN U98354 AC4/USU98354AC47</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7.125% Senior Notes due 2031</w:t>
      </w:r>
    </w:p>
    <w:p>
      <w:pPr>
        <w:spacing w:after="0" w:line="7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No. ___</w:t>
      </w:r>
      <w:r>
        <w:rPr>
          <w:sz w:val="20"/>
          <w:szCs w:val="20"/>
          <w:color w:val="auto"/>
        </w:rPr>
        <w:tab/>
      </w:r>
      <w:r>
        <w:rPr>
          <w:rFonts w:ascii="Arial" w:cs="Arial" w:eastAsia="Arial" w:hAnsi="Arial"/>
          <w:sz w:val="15"/>
          <w:szCs w:val="15"/>
          <w:color w:val="auto"/>
        </w:rPr>
        <w:t>$____________</w:t>
      </w:r>
    </w:p>
    <w:p>
      <w:pPr>
        <w:ind w:left="4400"/>
        <w:spacing w:after="0" w:line="193" w:lineRule="auto"/>
        <w:rPr>
          <w:sz w:val="20"/>
          <w:szCs w:val="20"/>
          <w:color w:val="auto"/>
        </w:rPr>
      </w:pPr>
      <w:r>
        <w:rPr>
          <w:rFonts w:ascii="Arial" w:cs="Arial" w:eastAsia="Arial" w:hAnsi="Arial"/>
          <w:sz w:val="17"/>
          <w:szCs w:val="17"/>
          <w:color w:val="auto"/>
        </w:rPr>
        <w:t>WYNN RESORTS FINANCE, LLC</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WYNN RESORTS CAPITAL CORP.</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promise to pay to ______________________ or registered assigns,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sum of</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DOLLARS on February 15, 2031.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 Dates: February 15 and August 15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Record Dates: February 1 and August 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A-2-1</w:t>
      </w:r>
      <w:r>
        <w:rPr>
          <w:rFonts w:ascii="Arial" w:cs="Arial" w:eastAsia="Arial" w:hAnsi="Arial"/>
          <w:sz w:val="14"/>
          <w:szCs w:val="14"/>
          <w:color w:val="auto"/>
        </w:rPr>
        <w:t>|</w:t>
      </w:r>
    </w:p>
    <w:p>
      <w:pPr>
        <w:sectPr>
          <w:pgSz w:w="11900" w:h="16838" w:orient="portrait"/>
          <w:cols w:equalWidth="0" w:num="1">
            <w:col w:w="11240"/>
          </w:cols>
          <w:pgMar w:left="320" w:top="100" w:right="339" w:bottom="1440" w:gutter="0" w:footer="0" w:header="0"/>
        </w:sectPr>
      </w:pPr>
    </w:p>
    <w:bookmarkStart w:id="109" w:name="page110"/>
    <w:bookmarkEnd w:id="109"/>
    <w:p>
      <w:pPr>
        <w:spacing w:after="0" w:line="138"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WYNN RESORTS FINANCE, LLC</w:t>
      </w:r>
    </w:p>
    <w:p>
      <w:pPr>
        <w:spacing w:after="0" w:line="222"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03"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4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-6985</wp:posOffset>
            </wp:positionV>
            <wp:extent cx="612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line="202" w:lineRule="auto"/>
        <w:rPr>
          <w:sz w:val="20"/>
          <w:szCs w:val="20"/>
          <w:color w:val="auto"/>
        </w:rPr>
      </w:pPr>
      <w:r>
        <w:rPr>
          <w:rFonts w:ascii="Arial" w:cs="Arial" w:eastAsia="Arial" w:hAnsi="Arial"/>
          <w:sz w:val="19"/>
          <w:szCs w:val="19"/>
          <w:color w:val="auto"/>
        </w:rPr>
        <w:t>Name:</w:t>
      </w: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WYNN RESORTS CAPITAL CORP.</w:t>
      </w:r>
    </w:p>
    <w:p>
      <w:pPr>
        <w:spacing w:after="0" w:line="200" w:lineRule="exact"/>
        <w:rPr>
          <w:sz w:val="20"/>
          <w:szCs w:val="20"/>
          <w:color w:val="auto"/>
        </w:rPr>
      </w:pPr>
    </w:p>
    <w:p>
      <w:pPr>
        <w:spacing w:after="0" w:line="240"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ind w:left="2680"/>
        <w:spacing w:after="0" w:line="216"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-123825</wp:posOffset>
            </wp:positionV>
            <wp:extent cx="6121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A-2-2</w:t>
      </w:r>
    </w:p>
    <w:p>
      <w:pPr>
        <w:sectPr>
          <w:pgSz w:w="11900" w:h="16838" w:orient="portrait"/>
          <w:cols w:equalWidth="0" w:num="1">
            <w:col w:w="9019"/>
          </w:cols>
          <w:pgMar w:left="1440" w:top="1440" w:right="1440"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color w:val="auto"/>
        </w:rPr>
        <w:t>This is one of the Notes referred to</w:t>
      </w:r>
    </w:p>
    <w:p>
      <w:pPr>
        <w:spacing w:after="0"/>
        <w:rPr>
          <w:sz w:val="20"/>
          <w:szCs w:val="20"/>
          <w:color w:val="auto"/>
        </w:rPr>
      </w:pPr>
      <w:r>
        <w:rPr>
          <w:rFonts w:ascii="Arial" w:cs="Arial" w:eastAsia="Arial" w:hAnsi="Arial"/>
          <w:sz w:val="17"/>
          <w:szCs w:val="17"/>
          <w:color w:val="auto"/>
        </w:rPr>
        <w:t>in the within-mentioned Indenture: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BANK TRUST COMPANY, NATIONAL ASSOCIATION</w:t>
      </w: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as Trustee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3549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4259"/>
        <w:spacing w:after="0"/>
        <w:rPr>
          <w:sz w:val="20"/>
          <w:szCs w:val="20"/>
          <w:color w:val="auto"/>
        </w:rPr>
      </w:pPr>
      <w:r>
        <w:rPr>
          <w:rFonts w:ascii="Arial" w:cs="Arial" w:eastAsia="Arial" w:hAnsi="Arial"/>
          <w:sz w:val="21"/>
          <w:szCs w:val="21"/>
          <w:color w:val="auto"/>
        </w:rPr>
        <w:t>A-2-3</w:t>
      </w:r>
    </w:p>
    <w:p>
      <w:pPr>
        <w:sectPr>
          <w:pgSz w:w="11900" w:h="16838" w:orient="portrait"/>
          <w:cols w:equalWidth="0" w:num="1">
            <w:col w:w="10139"/>
          </w:cols>
          <w:pgMar w:left="320" w:top="1361"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21"/>
          <w:szCs w:val="21"/>
          <w:color w:val="auto"/>
        </w:rPr>
        <w:t>[Back of Regulation S Temporary Global Note]</w:t>
      </w:r>
    </w:p>
    <w:p>
      <w:pPr>
        <w:jc w:val="center"/>
        <w:spacing w:after="0"/>
        <w:rPr>
          <w:sz w:val="20"/>
          <w:szCs w:val="20"/>
          <w:color w:val="auto"/>
        </w:rPr>
      </w:pPr>
      <w:r>
        <w:rPr>
          <w:rFonts w:ascii="Arial" w:cs="Arial" w:eastAsia="Arial" w:hAnsi="Arial"/>
          <w:sz w:val="21"/>
          <w:szCs w:val="21"/>
          <w:color w:val="auto"/>
        </w:rPr>
        <w:t>7.125% Senior Notes due 2031</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Insert the Private Placement Legend, if applicable, pursuant to Section 2.06(f)(1) of the Indenture</w:t>
      </w:r>
      <w:r>
        <w:rPr>
          <w:rFonts w:ascii="Arial" w:cs="Arial" w:eastAsia="Arial" w:hAnsi="Arial"/>
          <w:sz w:val="21"/>
          <w:szCs w:val="2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Insert the Global Notes Legend, if applicable, pursuant to Section 2.06(f)(2) of the Indenture</w:t>
      </w:r>
      <w:r>
        <w:rPr>
          <w:rFonts w:ascii="Arial" w:cs="Arial" w:eastAsia="Arial" w:hAnsi="Arial"/>
          <w:sz w:val="21"/>
          <w:szCs w:val="2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Insert the Regulation S Temporary Global Note Legend pursuant to Section 2.06(f)(3) of the Indenture</w:t>
      </w:r>
      <w:r>
        <w:rPr>
          <w:rFonts w:ascii="Arial" w:cs="Arial" w:eastAsia="Arial" w:hAnsi="Arial"/>
          <w:sz w:val="21"/>
          <w:szCs w:val="21"/>
          <w:color w:val="auto"/>
        </w:rPr>
        <w:t>]</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Capitalized terms used herein have the meanings assigned to them in the Indenture referred to below unless otherwise indicated.</w:t>
      </w:r>
    </w:p>
    <w:p>
      <w:pPr>
        <w:spacing w:after="0" w:line="155" w:lineRule="exact"/>
        <w:rPr>
          <w:sz w:val="20"/>
          <w:szCs w:val="20"/>
          <w:color w:val="auto"/>
        </w:rPr>
      </w:pPr>
    </w:p>
    <w:p>
      <w:pPr>
        <w:jc w:val="both"/>
        <w:ind w:firstLine="1268"/>
        <w:spacing w:after="0" w:line="223" w:lineRule="auto"/>
        <w:tabs>
          <w:tab w:leader="none" w:pos="1890" w:val="left"/>
        </w:tabs>
        <w:numPr>
          <w:ilvl w:val="0"/>
          <w:numId w:val="147"/>
        </w:numPr>
        <w:rPr>
          <w:rFonts w:ascii="Arial" w:cs="Arial" w:eastAsia="Arial" w:hAnsi="Arial"/>
          <w:sz w:val="20"/>
          <w:szCs w:val="20"/>
          <w:color w:val="auto"/>
        </w:rPr>
      </w:pPr>
      <w:r>
        <w:rPr>
          <w:rFonts w:ascii="Arial" w:cs="Arial" w:eastAsia="Arial" w:hAnsi="Arial"/>
          <w:sz w:val="20"/>
          <w:szCs w:val="20"/>
          <w:i w:val="1"/>
          <w:iCs w:val="1"/>
          <w:color w:val="auto"/>
        </w:rPr>
        <w:t>Interest</w:t>
      </w:r>
      <w:r>
        <w:rPr>
          <w:rFonts w:ascii="Arial" w:cs="Arial" w:eastAsia="Arial" w:hAnsi="Arial"/>
          <w:sz w:val="20"/>
          <w:szCs w:val="20"/>
          <w:color w:val="auto"/>
        </w:rPr>
        <w:t>. Wynn Resorts Finance, LLC, a Nevada limited liability company (“</w:t>
      </w:r>
      <w:r>
        <w:rPr>
          <w:rFonts w:ascii="Arial" w:cs="Arial" w:eastAsia="Arial" w:hAnsi="Arial"/>
          <w:sz w:val="20"/>
          <w:szCs w:val="20"/>
          <w:i w:val="1"/>
          <w:iCs w:val="1"/>
          <w:u w:val="single" w:color="auto"/>
          <w:color w:val="auto"/>
        </w:rPr>
        <w:t>Wynn Resorts Finance</w:t>
      </w:r>
      <w:r>
        <w:rPr>
          <w:rFonts w:ascii="Arial" w:cs="Arial" w:eastAsia="Arial" w:hAnsi="Arial"/>
          <w:sz w:val="20"/>
          <w:szCs w:val="20"/>
          <w:color w:val="auto"/>
        </w:rPr>
        <w:t>” ) and</w:t>
      </w:r>
      <w:r>
        <w:rPr>
          <w:rFonts w:ascii="Arial" w:cs="Arial" w:eastAsia="Arial" w:hAnsi="Arial"/>
          <w:sz w:val="20"/>
          <w:szCs w:val="20"/>
          <w:i w:val="1"/>
          <w:iCs w:val="1"/>
          <w:color w:val="auto"/>
        </w:rPr>
        <w:t xml:space="preserve"> </w:t>
      </w:r>
      <w:r>
        <w:rPr>
          <w:rFonts w:ascii="Arial" w:cs="Arial" w:eastAsia="Arial" w:hAnsi="Arial"/>
          <w:sz w:val="20"/>
          <w:szCs w:val="20"/>
          <w:color w:val="auto"/>
        </w:rPr>
        <w:t>Wynn Resorts Capital Corp., a Nevada corporation (“Wynn Resorts Capital,” and together with Wynn Resorts Finance, the “</w:t>
      </w:r>
      <w:r>
        <w:rPr>
          <w:rFonts w:ascii="Arial" w:cs="Arial" w:eastAsia="Arial" w:hAnsi="Arial"/>
          <w:sz w:val="20"/>
          <w:szCs w:val="20"/>
          <w:i w:val="1"/>
          <w:iCs w:val="1"/>
          <w:u w:val="single" w:color="auto"/>
          <w:color w:val="auto"/>
        </w:rPr>
        <w:t>Issuers</w:t>
      </w:r>
      <w:r>
        <w:rPr>
          <w:rFonts w:ascii="Arial" w:cs="Arial" w:eastAsia="Arial" w:hAnsi="Arial"/>
          <w:sz w:val="20"/>
          <w:szCs w:val="20"/>
          <w:color w:val="auto"/>
        </w:rPr>
        <w:t>”), as joint and several obligors, promise to pay interest on the principal amount of this Note at 7.125% per annum from February 16, 2023 until maturity. The Issuers shall pay interest semi-annually in arrears on February 15 and August 15 of each year, or if any such day is not a Business Day, on the next succeeding Business Day (each, an “</w:t>
      </w:r>
      <w:r>
        <w:rPr>
          <w:rFonts w:ascii="Arial" w:cs="Arial" w:eastAsia="Arial" w:hAnsi="Arial"/>
          <w:sz w:val="20"/>
          <w:szCs w:val="20"/>
          <w:i w:val="1"/>
          <w:iCs w:val="1"/>
          <w:u w:val="single" w:color="auto"/>
          <w:color w:val="auto"/>
        </w:rPr>
        <w:t>Interest Payment Date</w:t>
      </w:r>
      <w:r>
        <w:rPr>
          <w:rFonts w:ascii="Arial" w:cs="Arial" w:eastAsia="Arial" w:hAnsi="Arial"/>
          <w:sz w:val="20"/>
          <w:szCs w:val="20"/>
          <w:color w:val="auto"/>
        </w:rPr>
        <w:t xml:space="preserve">”). Interest on the Notes shall accrue from the most recent date to which interest has been paid or, if no interest has been paid, from the date of issuance;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the first Interest Payment Date shall be August 15, 2023.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66" w:lineRule="exact"/>
        <w:rPr>
          <w:rFonts w:ascii="Arial" w:cs="Arial" w:eastAsia="Arial" w:hAnsi="Arial"/>
          <w:sz w:val="20"/>
          <w:szCs w:val="20"/>
          <w:color w:val="auto"/>
        </w:rPr>
      </w:pPr>
    </w:p>
    <w:p>
      <w:pPr>
        <w:jc w:val="both"/>
        <w:ind w:firstLine="1268"/>
        <w:spacing w:after="0" w:line="225" w:lineRule="auto"/>
        <w:tabs>
          <w:tab w:leader="none" w:pos="1890" w:val="left"/>
        </w:tabs>
        <w:numPr>
          <w:ilvl w:val="0"/>
          <w:numId w:val="147"/>
        </w:numPr>
        <w:rPr>
          <w:rFonts w:ascii="Arial" w:cs="Arial" w:eastAsia="Arial" w:hAnsi="Arial"/>
          <w:sz w:val="20"/>
          <w:szCs w:val="20"/>
          <w:color w:val="auto"/>
        </w:rPr>
      </w:pPr>
      <w:r>
        <w:rPr>
          <w:rFonts w:ascii="Arial" w:cs="Arial" w:eastAsia="Arial" w:hAnsi="Arial"/>
          <w:sz w:val="20"/>
          <w:szCs w:val="20"/>
          <w:i w:val="1"/>
          <w:iCs w:val="1"/>
          <w:color w:val="auto"/>
        </w:rPr>
        <w:t>Method of Payment</w:t>
      </w:r>
      <w:r>
        <w:rPr>
          <w:rFonts w:ascii="Arial" w:cs="Arial" w:eastAsia="Arial" w:hAnsi="Arial"/>
          <w:sz w:val="20"/>
          <w:szCs w:val="20"/>
          <w:color w:val="auto"/>
        </w:rPr>
        <w:t>. The Issuers shall pay interest on the Notes (except defaulted interest) to the Persons who</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are registered Holders of Notes at the close of business on the February 1 or August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59" w:lineRule="exact"/>
        <w:rPr>
          <w:rFonts w:ascii="Arial" w:cs="Arial" w:eastAsia="Arial" w:hAnsi="Arial"/>
          <w:sz w:val="20"/>
          <w:szCs w:val="20"/>
          <w:color w:val="auto"/>
        </w:rPr>
      </w:pPr>
    </w:p>
    <w:p>
      <w:pPr>
        <w:jc w:val="both"/>
        <w:ind w:firstLine="1268"/>
        <w:spacing w:after="0" w:line="228" w:lineRule="auto"/>
        <w:tabs>
          <w:tab w:leader="none" w:pos="1890" w:val="left"/>
        </w:tabs>
        <w:numPr>
          <w:ilvl w:val="0"/>
          <w:numId w:val="147"/>
        </w:numPr>
        <w:rPr>
          <w:rFonts w:ascii="Arial" w:cs="Arial" w:eastAsia="Arial" w:hAnsi="Arial"/>
          <w:sz w:val="21"/>
          <w:szCs w:val="21"/>
          <w:color w:val="auto"/>
        </w:rPr>
      </w:pPr>
      <w:r>
        <w:rPr>
          <w:rFonts w:ascii="Arial" w:cs="Arial" w:eastAsia="Arial" w:hAnsi="Arial"/>
          <w:sz w:val="21"/>
          <w:szCs w:val="21"/>
          <w:i w:val="1"/>
          <w:iCs w:val="1"/>
          <w:color w:val="auto"/>
        </w:rPr>
        <w:t>Paying Agent and Registrar</w:t>
      </w:r>
      <w:r>
        <w:rPr>
          <w:rFonts w:ascii="Arial" w:cs="Arial" w:eastAsia="Arial" w:hAnsi="Arial"/>
          <w:sz w:val="21"/>
          <w:szCs w:val="21"/>
          <w:color w:val="auto"/>
        </w:rPr>
        <w:t>. Initially, U.S. Bank Trust Company, National Association, the Trustee under the</w:t>
      </w:r>
      <w:r>
        <w:rPr>
          <w:rFonts w:ascii="Arial" w:cs="Arial" w:eastAsia="Arial" w:hAnsi="Arial"/>
          <w:sz w:val="21"/>
          <w:szCs w:val="21"/>
          <w:i w:val="1"/>
          <w:iCs w:val="1"/>
          <w:color w:val="auto"/>
        </w:rPr>
        <w:t xml:space="preserve"> </w:t>
      </w:r>
      <w:r>
        <w:rPr>
          <w:rFonts w:ascii="Arial" w:cs="Arial" w:eastAsia="Arial" w:hAnsi="Arial"/>
          <w:sz w:val="21"/>
          <w:szCs w:val="21"/>
          <w:color w:val="auto"/>
        </w:rPr>
        <w:t>Indenture, shall act as Paying Agent and Registrar. The Issuers may change any Paying Agent or Registrar without notice to any Holder. Either Issuer or any Guarantor may act in any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A-2-4</w:t>
      </w:r>
    </w:p>
    <w:p>
      <w:pPr>
        <w:sectPr>
          <w:pgSz w:w="11900" w:h="16838" w:orient="portrait"/>
          <w:cols w:equalWidth="0" w:num="1">
            <w:col w:w="11240"/>
          </w:cols>
          <w:pgMar w:left="320" w:top="1355" w:right="339" w:bottom="1440" w:gutter="0" w:footer="0" w:header="0"/>
        </w:sectPr>
      </w:pPr>
    </w:p>
    <w:bookmarkStart w:id="112" w:name="page113"/>
    <w:bookmarkEnd w:id="112"/>
    <w:p>
      <w:pPr>
        <w:jc w:val="both"/>
        <w:ind w:firstLine="1268"/>
        <w:spacing w:after="0"/>
        <w:tabs>
          <w:tab w:leader="none" w:pos="1890" w:val="left"/>
        </w:tabs>
        <w:numPr>
          <w:ilvl w:val="0"/>
          <w:numId w:val="148"/>
        </w:numPr>
        <w:rPr>
          <w:rFonts w:ascii="Arial" w:cs="Arial" w:eastAsia="Arial" w:hAnsi="Arial"/>
          <w:sz w:val="19"/>
          <w:szCs w:val="19"/>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The Issuers issued the Notes under an Indenture dated as of February 16, 2023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54" w:lineRule="exact"/>
        <w:rPr>
          <w:rFonts w:ascii="Arial" w:cs="Arial" w:eastAsia="Arial" w:hAnsi="Arial"/>
          <w:sz w:val="19"/>
          <w:szCs w:val="19"/>
          <w:color w:val="auto"/>
        </w:rPr>
      </w:pPr>
    </w:p>
    <w:p>
      <w:pPr>
        <w:ind w:firstLine="1268"/>
        <w:spacing w:after="0" w:line="237" w:lineRule="auto"/>
        <w:tabs>
          <w:tab w:leader="none" w:pos="1890" w:val="left"/>
        </w:tabs>
        <w:numPr>
          <w:ilvl w:val="0"/>
          <w:numId w:val="148"/>
        </w:numPr>
        <w:rPr>
          <w:rFonts w:ascii="Arial" w:cs="Arial" w:eastAsia="Arial" w:hAnsi="Arial"/>
          <w:sz w:val="21"/>
          <w:szCs w:val="21"/>
          <w:color w:val="auto"/>
        </w:rPr>
      </w:pPr>
      <w:r>
        <w:rPr>
          <w:rFonts w:ascii="Arial" w:cs="Arial" w:eastAsia="Arial" w:hAnsi="Arial"/>
          <w:sz w:val="21"/>
          <w:szCs w:val="21"/>
          <w:i w:val="1"/>
          <w:iCs w:val="1"/>
          <w:color w:val="auto"/>
        </w:rPr>
        <w:t>Optional Redemption</w:t>
      </w:r>
      <w:r>
        <w:rPr>
          <w:rFonts w:ascii="Arial" w:cs="Arial" w:eastAsia="Arial" w:hAnsi="Arial"/>
          <w:sz w:val="21"/>
          <w:szCs w:val="21"/>
          <w:color w:val="auto"/>
        </w:rPr>
        <w:t>. The Notes are redeemable at the Issuers’ election, in whole or in part at any time prior</w:t>
      </w:r>
      <w:r>
        <w:rPr>
          <w:rFonts w:ascii="Arial" w:cs="Arial" w:eastAsia="Arial" w:hAnsi="Arial"/>
          <w:sz w:val="21"/>
          <w:szCs w:val="21"/>
          <w:i w:val="1"/>
          <w:iCs w:val="1"/>
          <w:color w:val="auto"/>
        </w:rPr>
        <w:t xml:space="preserve"> </w:t>
      </w:r>
      <w:r>
        <w:rPr>
          <w:rFonts w:ascii="Arial" w:cs="Arial" w:eastAsia="Arial" w:hAnsi="Arial"/>
          <w:sz w:val="21"/>
          <w:szCs w:val="21"/>
          <w:color w:val="auto"/>
        </w:rPr>
        <w:t>to their Stated Maturity.</w:t>
      </w:r>
    </w:p>
    <w:p>
      <w:pPr>
        <w:spacing w:after="0" w:line="154" w:lineRule="exact"/>
        <w:rPr>
          <w:rFonts w:ascii="Arial" w:cs="Arial" w:eastAsia="Arial" w:hAnsi="Arial"/>
          <w:sz w:val="21"/>
          <w:szCs w:val="21"/>
          <w:color w:val="auto"/>
        </w:rPr>
      </w:pPr>
    </w:p>
    <w:p>
      <w:pPr>
        <w:ind w:left="2520" w:hanging="620"/>
        <w:spacing w:after="0"/>
        <w:tabs>
          <w:tab w:leader="none" w:pos="252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redemption price for the Notes that are redeemed before November 15, 2030 will be equal to the</w:t>
      </w:r>
    </w:p>
    <w:p>
      <w:pPr>
        <w:spacing w:after="0" w:line="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greater of:</w:t>
      </w:r>
    </w:p>
    <w:p>
      <w:pPr>
        <w:spacing w:after="0" w:line="162"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ARTICLE 1.  100% of the principal amount of the Notes to be redeemed; or</w:t>
      </w:r>
    </w:p>
    <w:p>
      <w:pPr>
        <w:spacing w:after="0" w:line="180" w:lineRule="exact"/>
        <w:rPr>
          <w:sz w:val="20"/>
          <w:szCs w:val="20"/>
          <w:color w:val="auto"/>
        </w:rPr>
      </w:pPr>
    </w:p>
    <w:p>
      <w:pPr>
        <w:jc w:val="both"/>
        <w:ind w:left="2840" w:hanging="315"/>
        <w:spacing w:after="0" w:line="231" w:lineRule="auto"/>
        <w:rPr>
          <w:sz w:val="20"/>
          <w:szCs w:val="20"/>
          <w:color w:val="auto"/>
        </w:rPr>
      </w:pPr>
      <w:r>
        <w:rPr>
          <w:rFonts w:ascii="Arial" w:cs="Arial" w:eastAsia="Arial" w:hAnsi="Arial"/>
          <w:sz w:val="20"/>
          <w:szCs w:val="20"/>
          <w:color w:val="auto"/>
        </w:rPr>
        <w:t>ARTICLE 2. 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56"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plus, in either of the above cases, accrued and unpaid interest to, but not including, the date of redemption on the Notes to be redeemed.</w:t>
      </w:r>
    </w:p>
    <w:p>
      <w:pPr>
        <w:spacing w:after="0" w:line="155" w:lineRule="exact"/>
        <w:rPr>
          <w:sz w:val="20"/>
          <w:szCs w:val="20"/>
          <w:color w:val="auto"/>
        </w:rPr>
      </w:pPr>
    </w:p>
    <w:p>
      <w:pPr>
        <w:jc w:val="both"/>
        <w:ind w:firstLine="1900"/>
        <w:spacing w:after="0" w:line="228" w:lineRule="auto"/>
        <w:tabs>
          <w:tab w:leader="none" w:pos="2522"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redemption price for Notes that are redeemed on or after November 15, 2030 will be equal to the sum of 100% of their principal amount, plus accrued and unpaid interest to, but not including, the date of redemption on the Notes to be redeemed.</w:t>
      </w:r>
    </w:p>
    <w:p>
      <w:pPr>
        <w:spacing w:after="0" w:line="154"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0"/>
          <w:szCs w:val="20"/>
          <w:color w:val="auto"/>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w:t>
      </w:r>
    </w:p>
    <w:p>
      <w:pPr>
        <w:spacing w:after="0" w:line="155"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Unless the Issuers default in the payment of the redemption price, interest will cease to accrue on the Notes or portions thereof called for redemption on the applicable redemption date.</w:t>
      </w:r>
    </w:p>
    <w:p>
      <w:pPr>
        <w:spacing w:after="0" w:line="155" w:lineRule="exact"/>
        <w:rPr>
          <w:sz w:val="20"/>
          <w:szCs w:val="20"/>
          <w:color w:val="auto"/>
        </w:rPr>
      </w:pPr>
    </w:p>
    <w:p>
      <w:pPr>
        <w:ind w:firstLine="1268"/>
        <w:spacing w:after="0" w:line="237" w:lineRule="auto"/>
        <w:tabs>
          <w:tab w:leader="none" w:pos="1890" w:val="left"/>
        </w:tabs>
        <w:numPr>
          <w:ilvl w:val="0"/>
          <w:numId w:val="150"/>
        </w:numPr>
        <w:rPr>
          <w:rFonts w:ascii="Arial" w:cs="Arial" w:eastAsia="Arial" w:hAnsi="Arial"/>
          <w:sz w:val="21"/>
          <w:szCs w:val="21"/>
          <w:color w:val="auto"/>
        </w:rPr>
      </w:pPr>
      <w:r>
        <w:rPr>
          <w:rFonts w:ascii="Arial" w:cs="Arial" w:eastAsia="Arial" w:hAnsi="Arial"/>
          <w:sz w:val="21"/>
          <w:szCs w:val="21"/>
          <w:i w:val="1"/>
          <w:iCs w:val="1"/>
          <w:color w:val="auto"/>
        </w:rPr>
        <w:t>Mandatory Redemption</w:t>
      </w:r>
      <w:r>
        <w:rPr>
          <w:rFonts w:ascii="Arial" w:cs="Arial" w:eastAsia="Arial" w:hAnsi="Arial"/>
          <w:sz w:val="21"/>
          <w:szCs w:val="21"/>
          <w:color w:val="auto"/>
        </w:rPr>
        <w:t>. Other than as set forth in Paragraph 7 below, the Issuers shall not be required to make</w:t>
      </w:r>
      <w:r>
        <w:rPr>
          <w:rFonts w:ascii="Arial" w:cs="Arial" w:eastAsia="Arial" w:hAnsi="Arial"/>
          <w:sz w:val="21"/>
          <w:szCs w:val="21"/>
          <w:i w:val="1"/>
          <w:iCs w:val="1"/>
          <w:color w:val="auto"/>
        </w:rPr>
        <w:t xml:space="preserve"> </w:t>
      </w:r>
      <w:r>
        <w:rPr>
          <w:rFonts w:ascii="Arial" w:cs="Arial" w:eastAsia="Arial" w:hAnsi="Arial"/>
          <w:sz w:val="21"/>
          <w:szCs w:val="21"/>
          <w:color w:val="auto"/>
        </w:rPr>
        <w:t>mandatory redemption or sinking fund payments with respect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A-2-5</w:t>
      </w:r>
    </w:p>
    <w:p>
      <w:pPr>
        <w:sectPr>
          <w:pgSz w:w="11900" w:h="16838" w:orient="portrait"/>
          <w:cols w:equalWidth="0" w:num="1">
            <w:col w:w="11240"/>
          </w:cols>
          <w:pgMar w:left="320" w:top="1368" w:right="339" w:bottom="1440" w:gutter="0" w:footer="0" w:header="0"/>
        </w:sectPr>
      </w:pPr>
    </w:p>
    <w:bookmarkStart w:id="113" w:name="page114"/>
    <w:bookmarkEnd w:id="113"/>
    <w:p>
      <w:pPr>
        <w:jc w:val="both"/>
        <w:ind w:firstLine="1268"/>
        <w:spacing w:after="0" w:line="234" w:lineRule="auto"/>
        <w:tabs>
          <w:tab w:leader="none" w:pos="1890" w:val="left"/>
        </w:tabs>
        <w:numPr>
          <w:ilvl w:val="0"/>
          <w:numId w:val="151"/>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or this Note, each Holder, by accepting this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then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166"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70" w:lineRule="exact"/>
        <w:rPr>
          <w:sz w:val="20"/>
          <w:szCs w:val="20"/>
          <w:color w:val="auto"/>
        </w:rPr>
      </w:pPr>
    </w:p>
    <w:p>
      <w:pPr>
        <w:jc w:val="both"/>
        <w:ind w:firstLine="632"/>
        <w:spacing w:after="0" w:line="260" w:lineRule="auto"/>
        <w:rPr>
          <w:sz w:val="20"/>
          <w:szCs w:val="20"/>
          <w:color w:val="auto"/>
        </w:rPr>
      </w:pPr>
      <w:r>
        <w:rPr>
          <w:rFonts w:ascii="Arial" w:cs="Arial" w:eastAsia="Arial" w:hAnsi="Arial"/>
          <w:sz w:val="20"/>
          <w:szCs w:val="20"/>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150" w:lineRule="exact"/>
        <w:rPr>
          <w:sz w:val="20"/>
          <w:szCs w:val="20"/>
          <w:color w:val="auto"/>
        </w:rPr>
      </w:pPr>
    </w:p>
    <w:p>
      <w:pPr>
        <w:jc w:val="both"/>
        <w:ind w:firstLine="1268"/>
        <w:spacing w:after="0" w:line="218" w:lineRule="auto"/>
        <w:tabs>
          <w:tab w:leader="none" w:pos="1890" w:val="left"/>
        </w:tabs>
        <w:numPr>
          <w:ilvl w:val="0"/>
          <w:numId w:val="152"/>
        </w:numPr>
        <w:rPr>
          <w:rFonts w:ascii="Arial" w:cs="Arial" w:eastAsia="Arial" w:hAnsi="Arial"/>
          <w:sz w:val="21"/>
          <w:szCs w:val="21"/>
          <w:color w:val="auto"/>
        </w:rPr>
      </w:pPr>
      <w:r>
        <w:rPr>
          <w:rFonts w:ascii="Arial" w:cs="Arial" w:eastAsia="Arial" w:hAnsi="Arial"/>
          <w:sz w:val="21"/>
          <w:szCs w:val="21"/>
          <w:i w:val="1"/>
          <w:iCs w:val="1"/>
          <w:color w:val="auto"/>
        </w:rPr>
        <w:t>Repurchase at Option of Holder</w:t>
      </w:r>
      <w:r>
        <w:rPr>
          <w:rFonts w:ascii="Arial" w:cs="Arial" w:eastAsia="Arial" w:hAnsi="Arial"/>
          <w:sz w:val="21"/>
          <w:szCs w:val="21"/>
          <w:color w:val="auto"/>
        </w:rPr>
        <w:t>. If a Change of Control Triggering Event occurs, the Issuers shall make an</w:t>
      </w:r>
      <w:r>
        <w:rPr>
          <w:rFonts w:ascii="Arial" w:cs="Arial" w:eastAsia="Arial" w:hAnsi="Arial"/>
          <w:sz w:val="21"/>
          <w:szCs w:val="21"/>
          <w:i w:val="1"/>
          <w:iCs w:val="1"/>
          <w:color w:val="auto"/>
        </w:rPr>
        <w:t xml:space="preserve"> </w:t>
      </w:r>
      <w:r>
        <w:rPr>
          <w:rFonts w:ascii="Arial" w:cs="Arial" w:eastAsia="Arial" w:hAnsi="Arial"/>
          <w:sz w:val="21"/>
          <w:szCs w:val="21"/>
          <w:color w:val="auto"/>
        </w:rPr>
        <w:t>offer (a “</w:t>
      </w:r>
      <w:r>
        <w:rPr>
          <w:rFonts w:ascii="Arial" w:cs="Arial" w:eastAsia="Arial" w:hAnsi="Arial"/>
          <w:sz w:val="21"/>
          <w:szCs w:val="21"/>
          <w:i w:val="1"/>
          <w:iCs w:val="1"/>
          <w:u w:val="single" w:color="auto"/>
          <w:color w:val="auto"/>
        </w:rPr>
        <w:t>Change of Control Offer</w:t>
      </w:r>
      <w:r>
        <w:rPr>
          <w:rFonts w:ascii="Arial" w:cs="Arial" w:eastAsia="Arial" w:hAnsi="Arial"/>
          <w:sz w:val="21"/>
          <w:szCs w:val="21"/>
          <w:color w:val="auto"/>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Arial" w:cs="Arial" w:eastAsia="Arial" w:hAnsi="Arial"/>
          <w:sz w:val="21"/>
          <w:szCs w:val="21"/>
          <w:i w:val="1"/>
          <w:iCs w:val="1"/>
          <w:u w:val="single" w:color="auto"/>
          <w:color w:val="auto"/>
        </w:rPr>
        <w:t>Change of Control Payment</w:t>
      </w:r>
      <w:r>
        <w:rPr>
          <w:rFonts w:ascii="Arial" w:cs="Arial" w:eastAsia="Arial" w:hAnsi="Arial"/>
          <w:sz w:val="21"/>
          <w:szCs w:val="21"/>
          <w:color w:val="auto"/>
        </w:rPr>
        <w:t>”). Within 10 days following any Change of Control Triggering Event, the Issuers shall mail a notice to each Holder setting forth the procedures governing the Change of Control Offer as required by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A-2-6</w:t>
      </w:r>
    </w:p>
    <w:p>
      <w:pPr>
        <w:sectPr>
          <w:pgSz w:w="11900" w:h="16838" w:orient="portrait"/>
          <w:cols w:equalWidth="0" w:num="1">
            <w:col w:w="11240"/>
          </w:cols>
          <w:pgMar w:left="320" w:top="1368" w:right="339" w:bottom="1440" w:gutter="0" w:footer="0" w:header="0"/>
        </w:sectPr>
      </w:pPr>
    </w:p>
    <w:bookmarkStart w:id="114" w:name="page115"/>
    <w:bookmarkEnd w:id="114"/>
    <w:p>
      <w:pPr>
        <w:jc w:val="both"/>
        <w:ind w:firstLine="1268"/>
        <w:spacing w:after="0" w:line="229" w:lineRule="auto"/>
        <w:tabs>
          <w:tab w:leader="none" w:pos="1890" w:val="left"/>
        </w:tabs>
        <w:numPr>
          <w:ilvl w:val="0"/>
          <w:numId w:val="153"/>
        </w:numPr>
        <w:rPr>
          <w:rFonts w:ascii="Arial" w:cs="Arial" w:eastAsia="Arial" w:hAnsi="Arial"/>
          <w:sz w:val="20"/>
          <w:szCs w:val="20"/>
          <w:color w:val="auto"/>
        </w:rPr>
      </w:pPr>
      <w:r>
        <w:rPr>
          <w:rFonts w:ascii="Arial" w:cs="Arial" w:eastAsia="Arial" w:hAnsi="Arial"/>
          <w:sz w:val="20"/>
          <w:szCs w:val="20"/>
          <w:i w:val="1"/>
          <w:iCs w:val="1"/>
          <w:color w:val="auto"/>
        </w:rPr>
        <w:t>Notice of Redemption</w:t>
      </w:r>
      <w:r>
        <w:rPr>
          <w:rFonts w:ascii="Arial" w:cs="Arial" w:eastAsia="Arial" w:hAnsi="Arial"/>
          <w:sz w:val="20"/>
          <w:szCs w:val="20"/>
          <w:color w:val="auto"/>
        </w:rPr>
        <w:t>. Notice of redemption shall be delivered at least 15 days but not more than 60 days</w:t>
      </w:r>
      <w:r>
        <w:rPr>
          <w:rFonts w:ascii="Arial" w:cs="Arial" w:eastAsia="Arial" w:hAnsi="Arial"/>
          <w:sz w:val="20"/>
          <w:szCs w:val="20"/>
          <w:i w:val="1"/>
          <w:iCs w:val="1"/>
          <w:color w:val="auto"/>
        </w:rPr>
        <w:t xml:space="preserve"> </w:t>
      </w:r>
      <w:r>
        <w:rPr>
          <w:rFonts w:ascii="Arial" w:cs="Arial" w:eastAsia="Arial" w:hAnsi="Arial"/>
          <w:sz w:val="20"/>
          <w:szCs w:val="20"/>
          <w:color w:val="auto"/>
        </w:rPr>
        <w:t>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57" w:lineRule="exact"/>
        <w:rPr>
          <w:rFonts w:ascii="Arial" w:cs="Arial" w:eastAsia="Arial" w:hAnsi="Arial"/>
          <w:sz w:val="20"/>
          <w:szCs w:val="20"/>
          <w:color w:val="auto"/>
        </w:rPr>
      </w:pPr>
    </w:p>
    <w:p>
      <w:pPr>
        <w:jc w:val="both"/>
        <w:ind w:firstLine="1268"/>
        <w:spacing w:after="0" w:line="227" w:lineRule="auto"/>
        <w:tabs>
          <w:tab w:leader="none" w:pos="1890" w:val="left"/>
        </w:tabs>
        <w:numPr>
          <w:ilvl w:val="0"/>
          <w:numId w:val="153"/>
        </w:numPr>
        <w:rPr>
          <w:rFonts w:ascii="Arial" w:cs="Arial" w:eastAsia="Arial" w:hAnsi="Arial"/>
          <w:sz w:val="20"/>
          <w:szCs w:val="20"/>
          <w:color w:val="auto"/>
        </w:rPr>
      </w:pPr>
      <w:r>
        <w:rPr>
          <w:rFonts w:ascii="Arial" w:cs="Arial" w:eastAsia="Arial" w:hAnsi="Arial"/>
          <w:sz w:val="20"/>
          <w:szCs w:val="20"/>
          <w:i w:val="1"/>
          <w:iCs w:val="1"/>
          <w:color w:val="auto"/>
        </w:rPr>
        <w:t>Denominations, Transfer, Exchange</w:t>
      </w:r>
      <w:r>
        <w:rPr>
          <w:rFonts w:ascii="Arial" w:cs="Arial" w:eastAsia="Arial" w:hAnsi="Arial"/>
          <w:sz w:val="20"/>
          <w:szCs w:val="20"/>
          <w:color w:val="auto"/>
        </w:rPr>
        <w:t>. The Notes are in registered form without coupons in denominations of</w:t>
      </w:r>
      <w:r>
        <w:rPr>
          <w:rFonts w:ascii="Arial" w:cs="Arial" w:eastAsia="Arial" w:hAnsi="Arial"/>
          <w:sz w:val="20"/>
          <w:szCs w:val="20"/>
          <w:i w:val="1"/>
          <w:iCs w:val="1"/>
          <w:color w:val="auto"/>
        </w:rPr>
        <w:t xml:space="preserve"> </w:t>
      </w:r>
      <w:r>
        <w:rPr>
          <w:rFonts w:ascii="Arial" w:cs="Arial" w:eastAsia="Arial" w:hAnsi="Arial"/>
          <w:sz w:val="20"/>
          <w:szCs w:val="20"/>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55"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156" w:lineRule="exact"/>
        <w:rPr>
          <w:sz w:val="20"/>
          <w:szCs w:val="20"/>
          <w:color w:val="auto"/>
        </w:rPr>
      </w:pPr>
    </w:p>
    <w:p>
      <w:pPr>
        <w:ind w:left="1880" w:hanging="612"/>
        <w:spacing w:after="0"/>
        <w:tabs>
          <w:tab w:leader="none" w:pos="1880" w:val="left"/>
        </w:tabs>
        <w:numPr>
          <w:ilvl w:val="0"/>
          <w:numId w:val="154"/>
        </w:numPr>
        <w:rPr>
          <w:rFonts w:ascii="Arial" w:cs="Arial" w:eastAsia="Arial" w:hAnsi="Arial"/>
          <w:sz w:val="20"/>
          <w:szCs w:val="20"/>
          <w:color w:val="auto"/>
        </w:rPr>
      </w:pPr>
      <w:r>
        <w:rPr>
          <w:rFonts w:ascii="Arial" w:cs="Arial" w:eastAsia="Arial" w:hAnsi="Arial"/>
          <w:sz w:val="20"/>
          <w:szCs w:val="20"/>
          <w:i w:val="1"/>
          <w:iCs w:val="1"/>
          <w:color w:val="auto"/>
        </w:rPr>
        <w:t>Persons Deemed Owners</w:t>
      </w:r>
      <w:r>
        <w:rPr>
          <w:rFonts w:ascii="Arial" w:cs="Arial" w:eastAsia="Arial" w:hAnsi="Arial"/>
          <w:sz w:val="20"/>
          <w:szCs w:val="20"/>
          <w:color w:val="auto"/>
        </w:rPr>
        <w:t>. The registered Holder of a Note may be treated as its owner for all purposes.</w:t>
      </w:r>
    </w:p>
    <w:p>
      <w:pPr>
        <w:spacing w:after="0" w:line="191" w:lineRule="exact"/>
        <w:rPr>
          <w:rFonts w:ascii="Arial" w:cs="Arial" w:eastAsia="Arial" w:hAnsi="Arial"/>
          <w:sz w:val="20"/>
          <w:szCs w:val="20"/>
          <w:color w:val="auto"/>
        </w:rPr>
      </w:pPr>
    </w:p>
    <w:p>
      <w:pPr>
        <w:ind w:left="1900" w:hanging="632"/>
        <w:spacing w:after="0"/>
        <w:tabs>
          <w:tab w:leader="none" w:pos="1900" w:val="left"/>
        </w:tabs>
        <w:numPr>
          <w:ilvl w:val="0"/>
          <w:numId w:val="154"/>
        </w:numPr>
        <w:rPr>
          <w:rFonts w:ascii="Arial" w:cs="Arial" w:eastAsia="Arial" w:hAnsi="Arial"/>
          <w:sz w:val="21"/>
          <w:szCs w:val="21"/>
          <w:color w:val="auto"/>
        </w:rPr>
      </w:pPr>
      <w:r>
        <w:rPr>
          <w:rFonts w:ascii="Arial" w:cs="Arial" w:eastAsia="Arial" w:hAnsi="Arial"/>
          <w:sz w:val="21"/>
          <w:szCs w:val="21"/>
          <w:i w:val="1"/>
          <w:iCs w:val="1"/>
          <w:color w:val="auto"/>
        </w:rPr>
        <w:t>Amendment, Supplement and Waiver</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900"/>
        <w:spacing w:after="0" w:line="220" w:lineRule="auto"/>
        <w:tabs>
          <w:tab w:leader="none" w:pos="2523" w:val="left"/>
        </w:tabs>
        <w:numPr>
          <w:ilvl w:val="1"/>
          <w:numId w:val="154"/>
        </w:numPr>
        <w:rPr>
          <w:rFonts w:ascii="Arial" w:cs="Arial" w:eastAsia="Arial" w:hAnsi="Arial"/>
          <w:sz w:val="21"/>
          <w:szCs w:val="21"/>
          <w:color w:val="auto"/>
        </w:rPr>
      </w:pPr>
      <w:r>
        <w:rPr>
          <w:rFonts w:ascii="Arial" w:cs="Arial" w:eastAsia="Arial" w:hAnsi="Arial"/>
          <w:sz w:val="21"/>
          <w:szCs w:val="21"/>
          <w:color w:val="auto"/>
        </w:rPr>
        <w:t>Subject to certain exceptions, the Indenture, the Notes and the Note Guarantees may be amended or supplemented with the consent of the Holders of at least a majority in principal amount of the then outstanding Notes, voting as a single class, and any existing Default or Event of Default or compliance with any provision of the Indenture, the Notes or the Note Guarantees may be waived with the consent of the Holders of a majority in principal amount of the then outstanding Notes, voting as a single class.</w:t>
      </w:r>
    </w:p>
    <w:p>
      <w:pPr>
        <w:spacing w:after="0" w:line="156" w:lineRule="exact"/>
        <w:rPr>
          <w:rFonts w:ascii="Arial" w:cs="Arial" w:eastAsia="Arial" w:hAnsi="Arial"/>
          <w:sz w:val="21"/>
          <w:szCs w:val="21"/>
          <w:color w:val="auto"/>
        </w:rPr>
      </w:pPr>
    </w:p>
    <w:p>
      <w:pPr>
        <w:jc w:val="both"/>
        <w:ind w:firstLine="1900"/>
        <w:spacing w:after="0" w:line="214" w:lineRule="auto"/>
        <w:tabs>
          <w:tab w:leader="none" w:pos="2522" w:val="left"/>
        </w:tabs>
        <w:numPr>
          <w:ilvl w:val="1"/>
          <w:numId w:val="154"/>
        </w:numPr>
        <w:rPr>
          <w:rFonts w:ascii="Arial" w:cs="Arial" w:eastAsia="Arial" w:hAnsi="Arial"/>
          <w:sz w:val="21"/>
          <w:szCs w:val="21"/>
          <w:color w:val="auto"/>
        </w:rPr>
      </w:pPr>
      <w:r>
        <w:rPr>
          <w:rFonts w:ascii="Arial" w:cs="Arial" w:eastAsia="Arial" w:hAnsi="Arial"/>
          <w:sz w:val="21"/>
          <w:szCs w:val="21"/>
          <w:color w:val="auto"/>
        </w:rPr>
        <w:t>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A-2-7</w:t>
      </w:r>
    </w:p>
    <w:p>
      <w:pPr>
        <w:sectPr>
          <w:pgSz w:w="11900" w:h="16838" w:orient="portrait"/>
          <w:cols w:equalWidth="0" w:num="1">
            <w:col w:w="11240"/>
          </w:cols>
          <w:pgMar w:left="320" w:top="1368" w:right="339" w:bottom="1440" w:gutter="0" w:footer="0" w:header="0"/>
        </w:sectPr>
      </w:pPr>
    </w:p>
    <w:bookmarkStart w:id="115" w:name="page116"/>
    <w:bookmarkEnd w:id="115"/>
    <w:p>
      <w:pPr>
        <w:jc w:val="both"/>
        <w:spacing w:after="0" w:line="228" w:lineRule="auto"/>
        <w:rPr>
          <w:sz w:val="20"/>
          <w:szCs w:val="20"/>
          <w:color w:val="auto"/>
        </w:rPr>
      </w:pPr>
      <w:r>
        <w:rPr>
          <w:rFonts w:ascii="Arial" w:cs="Arial" w:eastAsia="Arial" w:hAnsi="Arial"/>
          <w:sz w:val="21"/>
          <w:szCs w:val="21"/>
          <w:color w:val="auto"/>
        </w:rPr>
        <w:t>any Note Guarantee in a manner that would adversely affect the Holders of the Notes or release any Guarantor from any of its obligations under its Note Guarantee or the Indenture (except in accordance with the terms of the Indenture) or (ix) make any change in the preceding amendment and waiver provisions.</w:t>
      </w:r>
    </w:p>
    <w:p>
      <w:pPr>
        <w:spacing w:after="0" w:line="154" w:lineRule="exact"/>
        <w:rPr>
          <w:sz w:val="20"/>
          <w:szCs w:val="20"/>
          <w:color w:val="auto"/>
        </w:rPr>
      </w:pPr>
    </w:p>
    <w:p>
      <w:pPr>
        <w:jc w:val="both"/>
        <w:ind w:firstLine="1900"/>
        <w:spacing w:after="0" w:line="234" w:lineRule="auto"/>
        <w:tabs>
          <w:tab w:leader="none" w:pos="2523" w:val="left"/>
        </w:tabs>
        <w:numPr>
          <w:ilvl w:val="1"/>
          <w:numId w:val="155"/>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or the Note Guarantees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Resorts Finance’s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February 9, 2023,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to release the Note Guarantee of a Guarantor in accordance with the terms of the Indenture, (vii) provide for the issuance of Additional Notes in accordance with the limitations set forth in the Indenture as of the date of the Indenture, (viii) allow any Guarantor to execute a supplemental indenture to the Indenture and/or a Note Guarantee with respect to the Notes, (ix) to comply with requirements of the SEC in order to effect or maintain the qualification of the Indenture under the Trust Indenture Act, if then applicable, (x) to comply with requirements of applicable Gaming Laws or to provide for requirements imposed by applicable Gaming Authorities; (xi) to provide for the acceptance or appointment of a successor trustee or (xii) provide for the Notes to be secured.</w:t>
      </w:r>
    </w:p>
    <w:p>
      <w:pPr>
        <w:spacing w:after="0" w:line="168" w:lineRule="exact"/>
        <w:rPr>
          <w:rFonts w:ascii="Arial" w:cs="Arial" w:eastAsia="Arial" w:hAnsi="Arial"/>
          <w:sz w:val="19"/>
          <w:szCs w:val="19"/>
          <w:color w:val="auto"/>
        </w:rPr>
      </w:pPr>
    </w:p>
    <w:p>
      <w:pPr>
        <w:jc w:val="both"/>
        <w:ind w:firstLine="1268"/>
        <w:spacing w:after="0" w:line="234" w:lineRule="auto"/>
        <w:tabs>
          <w:tab w:leader="none" w:pos="1890" w:val="left"/>
        </w:tabs>
        <w:numPr>
          <w:ilvl w:val="0"/>
          <w:numId w:val="156"/>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if any, with respect to the Notes; (ii) default in payment when due of principal of, or premium, if any, on the Notes when the same becomes due and payable at maturity, upon redemption (including in connection with an offer to purchase) or otherwise, (iii) failure by Wynn Resorts Capital, Wynn Resorts Finance or any of Guarantors to comply with Sections 4.11 or 5.01 of the Indenture; (iv) failure by Wynn Resorts Capital, Wynn Resorts Finance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the Indenture; (vi) failure by Wynn Resorts Capital, Wynn Resorts Finance or any of the Guarantors to pay final non-appealable judgments (not paid or covered by insurance as to which the relevant insurance company has not denied responsibility) aggregating in excess of $125.0 million, which judgments are not paid, bonded, discharged or stayed for a period of 60 days; or (vii) certain events of bankruptcy or insolvency described in the Indenture with respect to (a) either Issuer or (b) any Guarantor;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a Default for a failure to report or failure to deliver a required certificate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A-2-8</w:t>
      </w:r>
    </w:p>
    <w:p>
      <w:pPr>
        <w:sectPr>
          <w:pgSz w:w="11900" w:h="16838" w:orient="portrait"/>
          <w:cols w:equalWidth="0" w:num="1">
            <w:col w:w="11240"/>
          </w:cols>
          <w:pgMar w:left="320" w:top="1368" w:right="339" w:bottom="1440" w:gutter="0" w:footer="0" w:header="0"/>
        </w:sectPr>
      </w:pPr>
    </w:p>
    <w:bookmarkStart w:id="116" w:name="page117"/>
    <w:bookmarkEnd w:id="116"/>
    <w:p>
      <w:pPr>
        <w:jc w:val="both"/>
        <w:spacing w:after="0" w:line="229" w:lineRule="auto"/>
        <w:rPr>
          <w:sz w:val="20"/>
          <w:szCs w:val="20"/>
          <w:color w:val="auto"/>
        </w:rPr>
      </w:pPr>
      <w:r>
        <w:rPr>
          <w:rFonts w:ascii="Arial" w:cs="Arial" w:eastAsia="Arial" w:hAnsi="Arial"/>
          <w:sz w:val="20"/>
          <w:szCs w:val="20"/>
          <w:color w:val="auto"/>
        </w:rPr>
        <w:t>connection with another default (the “</w:t>
      </w:r>
      <w:r>
        <w:rPr>
          <w:rFonts w:ascii="Arial" w:cs="Arial" w:eastAsia="Arial" w:hAnsi="Arial"/>
          <w:sz w:val="20"/>
          <w:szCs w:val="20"/>
          <w:i w:val="1"/>
          <w:iCs w:val="1"/>
          <w:color w:val="auto"/>
        </w:rPr>
        <w:t>Initial Default</w:t>
      </w:r>
      <w:r>
        <w:rPr>
          <w:rFonts w:ascii="Arial" w:cs="Arial" w:eastAsia="Arial" w:hAnsi="Arial"/>
          <w:sz w:val="20"/>
          <w:szCs w:val="20"/>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the Indenture shall be deemed to be cured upon the delivery of any such report required by such covenant or such notice or certificate, as applicable, even though such delivery is not within the prescribed period specified in the Indenture.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the case of an Event of Default arising from certain events of bankruptcy or insolvency with respect to (a) either Issuer or</w:t>
      </w:r>
    </w:p>
    <w:p>
      <w:pPr>
        <w:spacing w:after="0" w:line="10" w:lineRule="exact"/>
        <w:rPr>
          <w:sz w:val="20"/>
          <w:szCs w:val="20"/>
          <w:color w:val="auto"/>
        </w:rPr>
      </w:pPr>
    </w:p>
    <w:p>
      <w:pPr>
        <w:jc w:val="both"/>
        <w:ind w:firstLine="5"/>
        <w:spacing w:after="0" w:line="234" w:lineRule="auto"/>
        <w:tabs>
          <w:tab w:leader="none" w:pos="31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an Officers’ Certificate regarding compliance with the Indenture. Upon becoming aware of any Default or Event of Default, the Issuers are required to deliver to the Trustee an Officers’ Certificate specifying such Default or Event of Default.</w:t>
      </w:r>
    </w:p>
    <w:p>
      <w:pPr>
        <w:spacing w:after="0" w:line="162" w:lineRule="exact"/>
        <w:rPr>
          <w:rFonts w:ascii="Arial" w:cs="Arial" w:eastAsia="Arial" w:hAnsi="Arial"/>
          <w:sz w:val="19"/>
          <w:szCs w:val="19"/>
          <w:color w:val="auto"/>
        </w:rPr>
      </w:pPr>
    </w:p>
    <w:p>
      <w:pPr>
        <w:ind w:left="1940" w:hanging="672"/>
        <w:spacing w:after="0"/>
        <w:tabs>
          <w:tab w:leader="none" w:pos="1940" w:val="left"/>
        </w:tabs>
        <w:numPr>
          <w:ilvl w:val="1"/>
          <w:numId w:val="157"/>
        </w:numPr>
        <w:rPr>
          <w:rFonts w:ascii="Arial" w:cs="Arial" w:eastAsia="Arial" w:hAnsi="Arial"/>
          <w:sz w:val="21"/>
          <w:szCs w:val="21"/>
          <w:color w:val="auto"/>
        </w:rPr>
      </w:pPr>
      <w:r>
        <w:rPr>
          <w:rFonts w:ascii="Arial" w:cs="Arial" w:eastAsia="Arial" w:hAnsi="Arial"/>
          <w:sz w:val="21"/>
          <w:szCs w:val="21"/>
          <w:i w:val="1"/>
          <w:iCs w:val="1"/>
          <w:color w:val="auto"/>
        </w:rPr>
        <w:t>[Reserved]</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268"/>
        <w:spacing w:after="0" w:line="249" w:lineRule="auto"/>
        <w:tabs>
          <w:tab w:leader="none" w:pos="1890" w:val="left"/>
        </w:tabs>
        <w:numPr>
          <w:ilvl w:val="1"/>
          <w:numId w:val="157"/>
        </w:numPr>
        <w:rPr>
          <w:rFonts w:ascii="Arial" w:cs="Arial" w:eastAsia="Arial" w:hAnsi="Arial"/>
          <w:sz w:val="19"/>
          <w:szCs w:val="19"/>
          <w:color w:val="auto"/>
        </w:rPr>
      </w:pPr>
      <w:r>
        <w:rPr>
          <w:rFonts w:ascii="Arial" w:cs="Arial" w:eastAsia="Arial" w:hAnsi="Arial"/>
          <w:sz w:val="19"/>
          <w:szCs w:val="19"/>
          <w:i w:val="1"/>
          <w:iCs w:val="1"/>
          <w:color w:val="auto"/>
        </w:rPr>
        <w:t>Trustee Dealings with Issuers</w:t>
      </w:r>
      <w:r>
        <w:rPr>
          <w:rFonts w:ascii="Arial" w:cs="Arial" w:eastAsia="Arial" w:hAnsi="Arial"/>
          <w:sz w:val="19"/>
          <w:szCs w:val="19"/>
          <w:color w:val="auto"/>
        </w:rPr>
        <w:t>. The Trustee, in its individual or any other capacity, may become the owner or</w:t>
      </w:r>
      <w:r>
        <w:rPr>
          <w:rFonts w:ascii="Arial" w:cs="Arial" w:eastAsia="Arial" w:hAnsi="Arial"/>
          <w:sz w:val="19"/>
          <w:szCs w:val="19"/>
          <w:i w:val="1"/>
          <w:iCs w:val="1"/>
          <w:color w:val="auto"/>
        </w:rPr>
        <w:t xml:space="preserve"> </w:t>
      </w:r>
      <w:r>
        <w:rPr>
          <w:rFonts w:ascii="Arial" w:cs="Arial" w:eastAsia="Arial" w:hAnsi="Arial"/>
          <w:sz w:val="19"/>
          <w:szCs w:val="19"/>
          <w:color w:val="auto"/>
        </w:rPr>
        <w:t>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45" w:lineRule="exact"/>
        <w:rPr>
          <w:rFonts w:ascii="Arial" w:cs="Arial" w:eastAsia="Arial" w:hAnsi="Arial"/>
          <w:sz w:val="19"/>
          <w:szCs w:val="19"/>
          <w:color w:val="auto"/>
        </w:rPr>
      </w:pPr>
    </w:p>
    <w:p>
      <w:pPr>
        <w:jc w:val="both"/>
        <w:ind w:firstLine="1268"/>
        <w:spacing w:after="0" w:line="244" w:lineRule="auto"/>
        <w:tabs>
          <w:tab w:leader="none" w:pos="1890" w:val="left"/>
        </w:tabs>
        <w:numPr>
          <w:ilvl w:val="1"/>
          <w:numId w:val="157"/>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employee, incorporator, organizer,</w:t>
      </w:r>
      <w:r>
        <w:rPr>
          <w:rFonts w:ascii="Arial" w:cs="Arial" w:eastAsia="Arial" w:hAnsi="Arial"/>
          <w:sz w:val="19"/>
          <w:szCs w:val="19"/>
          <w:i w:val="1"/>
          <w:iCs w:val="1"/>
          <w:color w:val="auto"/>
        </w:rPr>
        <w:t xml:space="preserve"> </w:t>
      </w:r>
      <w:r>
        <w:rPr>
          <w:rFonts w:ascii="Arial" w:cs="Arial" w:eastAsia="Arial" w:hAnsi="Arial"/>
          <w:sz w:val="19"/>
          <w:szCs w:val="19"/>
          <w:color w:val="auto"/>
        </w:rPr>
        <w:t>equity holder or member of either Issuer or any Guarantor, as such, shall have any liability for any obligations of either Issuer or any Guarantor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52" w:lineRule="exact"/>
        <w:rPr>
          <w:rFonts w:ascii="Arial" w:cs="Arial" w:eastAsia="Arial" w:hAnsi="Arial"/>
          <w:sz w:val="19"/>
          <w:szCs w:val="19"/>
          <w:color w:val="auto"/>
        </w:rPr>
      </w:pPr>
    </w:p>
    <w:p>
      <w:pPr>
        <w:ind w:left="1900" w:hanging="632"/>
        <w:spacing w:after="0"/>
        <w:tabs>
          <w:tab w:leader="none" w:pos="1900" w:val="left"/>
        </w:tabs>
        <w:numPr>
          <w:ilvl w:val="1"/>
          <w:numId w:val="157"/>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 an</w:t>
      </w:r>
    </w:p>
    <w:p>
      <w:pPr>
        <w:spacing w:after="0" w:line="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authenticating agent.</w:t>
      </w:r>
    </w:p>
    <w:p>
      <w:pPr>
        <w:spacing w:after="0" w:line="161" w:lineRule="exact"/>
        <w:rPr>
          <w:rFonts w:ascii="Arial" w:cs="Arial" w:eastAsia="Arial" w:hAnsi="Arial"/>
          <w:sz w:val="19"/>
          <w:szCs w:val="19"/>
          <w:color w:val="auto"/>
        </w:rPr>
      </w:pPr>
    </w:p>
    <w:p>
      <w:pPr>
        <w:jc w:val="both"/>
        <w:ind w:firstLine="1268"/>
        <w:spacing w:after="0" w:line="228" w:lineRule="auto"/>
        <w:tabs>
          <w:tab w:leader="none" w:pos="1890" w:val="left"/>
        </w:tabs>
        <w:numPr>
          <w:ilvl w:val="1"/>
          <w:numId w:val="157"/>
        </w:numPr>
        <w:rPr>
          <w:rFonts w:ascii="Arial" w:cs="Arial" w:eastAsia="Arial" w:hAnsi="Arial"/>
          <w:sz w:val="21"/>
          <w:szCs w:val="21"/>
          <w:color w:val="auto"/>
        </w:rPr>
      </w:pPr>
      <w:r>
        <w:rPr>
          <w:rFonts w:ascii="Arial" w:cs="Arial" w:eastAsia="Arial" w:hAnsi="Arial"/>
          <w:sz w:val="21"/>
          <w:szCs w:val="21"/>
          <w:i w:val="1"/>
          <w:iCs w:val="1"/>
          <w:color w:val="auto"/>
        </w:rPr>
        <w:t>Abbreviations</w:t>
      </w:r>
      <w:r>
        <w:rPr>
          <w:rFonts w:ascii="Arial" w:cs="Arial" w:eastAsia="Arial" w:hAnsi="Arial"/>
          <w:sz w:val="21"/>
          <w:szCs w:val="21"/>
          <w:color w:val="auto"/>
        </w:rPr>
        <w:t>. Customary abbreviations may be used in the name of a Holder or an assignee, such as: TEN</w:t>
      </w:r>
      <w:r>
        <w:rPr>
          <w:rFonts w:ascii="Arial" w:cs="Arial" w:eastAsia="Arial" w:hAnsi="Arial"/>
          <w:sz w:val="21"/>
          <w:szCs w:val="21"/>
          <w:i w:val="1"/>
          <w:iCs w:val="1"/>
          <w:color w:val="auto"/>
        </w:rPr>
        <w:t xml:space="preserve"> </w:t>
      </w:r>
      <w:r>
        <w:rPr>
          <w:rFonts w:ascii="Arial" w:cs="Arial" w:eastAsia="Arial" w:hAnsi="Arial"/>
          <w:sz w:val="21"/>
          <w:szCs w:val="21"/>
          <w:color w:val="auto"/>
        </w:rPr>
        <w:t>COM (= 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A-2-9</w:t>
      </w:r>
    </w:p>
    <w:p>
      <w:pPr>
        <w:sectPr>
          <w:pgSz w:w="11900" w:h="16838" w:orient="portrait"/>
          <w:cols w:equalWidth="0" w:num="1">
            <w:col w:w="11240"/>
          </w:cols>
          <w:pgMar w:left="320" w:top="1368" w:right="339" w:bottom="1440" w:gutter="0" w:footer="0" w:header="0"/>
        </w:sectPr>
      </w:pPr>
    </w:p>
    <w:bookmarkStart w:id="117" w:name="page118"/>
    <w:bookmarkEnd w:id="117"/>
    <w:p>
      <w:pPr>
        <w:jc w:val="both"/>
        <w:ind w:firstLine="1268"/>
        <w:spacing w:after="0" w:line="228" w:lineRule="auto"/>
        <w:tabs>
          <w:tab w:leader="none" w:pos="1890" w:val="left"/>
        </w:tabs>
        <w:numPr>
          <w:ilvl w:val="0"/>
          <w:numId w:val="158"/>
        </w:numPr>
        <w:rPr>
          <w:rFonts w:ascii="Arial" w:cs="Arial" w:eastAsia="Arial" w:hAnsi="Arial"/>
          <w:sz w:val="21"/>
          <w:szCs w:val="21"/>
          <w:color w:val="auto"/>
        </w:rPr>
      </w:pPr>
      <w:r>
        <w:rPr>
          <w:rFonts w:ascii="Arial" w:cs="Arial" w:eastAsia="Arial" w:hAnsi="Arial"/>
          <w:sz w:val="21"/>
          <w:szCs w:val="21"/>
          <w:i w:val="1"/>
          <w:iCs w:val="1"/>
          <w:color w:val="auto"/>
        </w:rPr>
        <w:t>Governing Law</w:t>
      </w:r>
      <w:r>
        <w:rPr>
          <w:rFonts w:ascii="Arial" w:cs="Arial" w:eastAsia="Arial" w:hAnsi="Arial"/>
          <w:sz w:val="21"/>
          <w:szCs w:val="21"/>
          <w:color w:val="auto"/>
        </w:rPr>
        <w:t>. THE INDENTURE, THIS NOTE AND THE NOTE GUARANTEES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GOVERNED BY AND CONSTRUED IN ACCORDANCE WITH THE LAWS OF THE STATE OF NEW YORK, INCLUDING, WITHOUT LIMITATION, SECTION 4-1401 OF THE NEW YORK OBLIGATIONS LAW.</w:t>
      </w:r>
    </w:p>
    <w:p>
      <w:pPr>
        <w:spacing w:after="0" w:line="153" w:lineRule="exact"/>
        <w:rPr>
          <w:rFonts w:ascii="Arial" w:cs="Arial" w:eastAsia="Arial" w:hAnsi="Arial"/>
          <w:sz w:val="21"/>
          <w:szCs w:val="21"/>
          <w:color w:val="auto"/>
        </w:rPr>
      </w:pPr>
    </w:p>
    <w:p>
      <w:pPr>
        <w:jc w:val="both"/>
        <w:ind w:firstLine="1268"/>
        <w:spacing w:after="0" w:line="220" w:lineRule="auto"/>
        <w:tabs>
          <w:tab w:leader="none" w:pos="1890" w:val="left"/>
        </w:tabs>
        <w:numPr>
          <w:ilvl w:val="0"/>
          <w:numId w:val="158"/>
        </w:numPr>
        <w:rPr>
          <w:rFonts w:ascii="Arial" w:cs="Arial" w:eastAsia="Arial" w:hAnsi="Arial"/>
          <w:sz w:val="21"/>
          <w:szCs w:val="21"/>
          <w:color w:val="auto"/>
        </w:rPr>
      </w:pPr>
      <w:r>
        <w:rPr>
          <w:rFonts w:ascii="Arial" w:cs="Arial" w:eastAsia="Arial" w:hAnsi="Arial"/>
          <w:sz w:val="21"/>
          <w:szCs w:val="21"/>
          <w:i w:val="1"/>
          <w:iCs w:val="1"/>
          <w:color w:val="auto"/>
        </w:rPr>
        <w:t>CUSIP Numbers</w:t>
      </w:r>
      <w:r>
        <w:rPr>
          <w:rFonts w:ascii="Arial" w:cs="Arial" w:eastAsia="Arial" w:hAnsi="Arial"/>
          <w:sz w:val="21"/>
          <w:szCs w:val="21"/>
          <w:color w:val="auto"/>
        </w:rPr>
        <w:t>. Pursuant to a recommendation promulgated by the Committee on Uniform Security</w:t>
      </w:r>
      <w:r>
        <w:rPr>
          <w:rFonts w:ascii="Arial" w:cs="Arial" w:eastAsia="Arial" w:hAnsi="Arial"/>
          <w:sz w:val="21"/>
          <w:szCs w:val="21"/>
          <w:i w:val="1"/>
          <w:iCs w:val="1"/>
          <w:color w:val="auto"/>
        </w:rPr>
        <w:t xml:space="preserve"> </w:t>
      </w:r>
      <w:r>
        <w:rPr>
          <w:rFonts w:ascii="Arial" w:cs="Arial" w:eastAsia="Arial" w:hAnsi="Arial"/>
          <w:sz w:val="21"/>
          <w:szCs w:val="21"/>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A-2-10</w:t>
      </w:r>
    </w:p>
    <w:p>
      <w:pPr>
        <w:sectPr>
          <w:pgSz w:w="11900" w:h="16838" w:orient="portrait"/>
          <w:cols w:equalWidth="0" w:num="1">
            <w:col w:w="11240"/>
          </w:cols>
          <w:pgMar w:left="320" w:top="1368"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The Issuers shall furnish to any Holder upon written request and without charge a copy of the Indenture. Requests may be made to:</w:t>
      </w:r>
    </w:p>
    <w:p>
      <w:pPr>
        <w:sectPr>
          <w:pgSz w:w="11900" w:h="16838" w:orient="portrait"/>
          <w:cols w:equalWidth="0" w:num="1">
            <w:col w:w="11040"/>
          </w:cols>
          <w:pgMar w:left="320" w:top="1368" w:right="539" w:bottom="1440" w:gutter="0" w:footer="0" w:header="0"/>
        </w:sect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c/o Wynn Resorts Finance, LLC</w:t>
      </w:r>
    </w:p>
    <w:p>
      <w:pPr>
        <w:ind w:left="640"/>
        <w:spacing w:after="0" w:line="209" w:lineRule="auto"/>
        <w:rPr>
          <w:sz w:val="20"/>
          <w:szCs w:val="20"/>
          <w:color w:val="auto"/>
        </w:rPr>
      </w:pPr>
      <w:r>
        <w:rPr>
          <w:rFonts w:ascii="Arial" w:cs="Arial" w:eastAsia="Arial" w:hAnsi="Arial"/>
          <w:sz w:val="21"/>
          <w:szCs w:val="21"/>
          <w:color w:val="auto"/>
        </w:rPr>
        <w:t>3131 Las Vegas Boulevard South</w:t>
      </w:r>
    </w:p>
    <w:p>
      <w:pPr>
        <w:ind w:left="640"/>
        <w:spacing w:after="0" w:line="209" w:lineRule="auto"/>
        <w:rPr>
          <w:sz w:val="20"/>
          <w:szCs w:val="20"/>
          <w:color w:val="auto"/>
        </w:rPr>
      </w:pPr>
      <w:r>
        <w:rPr>
          <w:rFonts w:ascii="Arial" w:cs="Arial" w:eastAsia="Arial" w:hAnsi="Arial"/>
          <w:sz w:val="21"/>
          <w:szCs w:val="21"/>
          <w:color w:val="auto"/>
        </w:rPr>
        <w:t>Las Vegas, NV 89109</w:t>
      </w:r>
    </w:p>
    <w:p>
      <w:pPr>
        <w:ind w:left="640"/>
        <w:spacing w:after="0" w:line="209" w:lineRule="auto"/>
        <w:rPr>
          <w:sz w:val="20"/>
          <w:szCs w:val="20"/>
          <w:color w:val="auto"/>
        </w:rPr>
      </w:pPr>
      <w:r>
        <w:rPr>
          <w:rFonts w:ascii="Arial" w:cs="Arial" w:eastAsia="Arial" w:hAnsi="Arial"/>
          <w:sz w:val="21"/>
          <w:szCs w:val="21"/>
          <w:color w:val="auto"/>
        </w:rPr>
        <w:t>Fax No.: (702) 770-1518</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A-2-11</w:t>
      </w:r>
    </w:p>
    <w:p>
      <w:pPr>
        <w:sectPr>
          <w:pgSz w:w="11900" w:h="16838" w:orient="portrait"/>
          <w:cols w:equalWidth="0" w:num="1">
            <w:col w:w="11040"/>
          </w:cols>
          <w:pgMar w:left="320" w:top="1368" w:right="53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21"/>
          <w:szCs w:val="21"/>
          <w:color w:val="auto"/>
        </w:rPr>
        <w:t>Assignment Form</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To assign this Note, fill in the form below:</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(I) or (we) assign and transfer this Note to:</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(Print or type assignee’s name, address and zip code)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and irrevocably appoint</w:t>
      </w:r>
    </w:p>
    <w:p>
      <w:pPr>
        <w:spacing w:after="0"/>
        <w:rPr>
          <w:sz w:val="20"/>
          <w:szCs w:val="20"/>
          <w:color w:val="auto"/>
        </w:rPr>
      </w:pPr>
      <w:r>
        <w:rPr>
          <w:rFonts w:ascii="Arial" w:cs="Arial" w:eastAsia="Arial" w:hAnsi="Arial"/>
          <w:sz w:val="21"/>
          <w:szCs w:val="21"/>
          <w:color w:val="auto"/>
        </w:rPr>
        <w:t>to transfer this Note on the books of the Issuers. The agent may substitute another to act for him.</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Date: _______________</w:t>
      </w:r>
    </w:p>
    <w:p>
      <w:pPr>
        <w:spacing w:after="0" w:line="163"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Your Signature:</w:t>
      </w: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Signature Guarantee*: _________________________</w:t>
      </w:r>
    </w:p>
    <w:p>
      <w:pPr>
        <w:spacing w:after="0" w:line="180" w:lineRule="exact"/>
        <w:rPr>
          <w:sz w:val="20"/>
          <w:szCs w:val="20"/>
          <w:color w:val="auto"/>
        </w:rPr>
      </w:pPr>
    </w:p>
    <w:p>
      <w:pPr>
        <w:ind w:left="320" w:hanging="315"/>
        <w:spacing w:after="0"/>
        <w:tabs>
          <w:tab w:leader="none" w:pos="32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2" w:lineRule="exact"/>
        <w:rPr>
          <w:rFonts w:ascii="Arial" w:cs="Arial" w:eastAsia="Arial" w:hAnsi="Arial"/>
          <w:sz w:val="19"/>
          <w:szCs w:val="19"/>
          <w:color w:val="auto"/>
        </w:rPr>
      </w:pPr>
    </w:p>
    <w:p>
      <w:pPr>
        <w:ind w:left="5320"/>
        <w:spacing w:after="0"/>
        <w:rPr>
          <w:rFonts w:ascii="Arial" w:cs="Arial" w:eastAsia="Arial" w:hAnsi="Arial"/>
          <w:sz w:val="19"/>
          <w:szCs w:val="19"/>
          <w:color w:val="auto"/>
        </w:rPr>
      </w:pPr>
      <w:r>
        <w:rPr>
          <w:rFonts w:ascii="Arial" w:cs="Arial" w:eastAsia="Arial" w:hAnsi="Arial"/>
          <w:sz w:val="21"/>
          <w:szCs w:val="21"/>
          <w:color w:val="auto"/>
        </w:rPr>
        <w:t>A-2-12</w:t>
      </w:r>
    </w:p>
    <w:p>
      <w:pPr>
        <w:sectPr>
          <w:pgSz w:w="11900" w:h="16838" w:orient="portrait"/>
          <w:cols w:equalWidth="0" w:num="1">
            <w:col w:w="11240"/>
          </w:cols>
          <w:pgMar w:left="320" w:top="1368"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1"/>
          <w:szCs w:val="21"/>
          <w:color w:val="auto"/>
        </w:rPr>
        <w:t>Option of Holder to Elect Purchase</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If you want to elect to have this Note purchased by the Issuers pursuant to Section 4.11 of the Indenture, check the appropriate box below: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Section 4.11</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If you want to elect to have only part of the Note purchased by the Issuers pursuant to Section 4.11 of the Indenture, state the amount you elect to have purchased:</w:t>
      </w:r>
    </w:p>
    <w:p>
      <w:pPr>
        <w:spacing w:after="0" w:line="155"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$_______________</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Date: _______________</w:t>
      </w:r>
    </w:p>
    <w:p>
      <w:pPr>
        <w:spacing w:after="0" w:line="163"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Your Signature:</w:t>
      </w: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179"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Tax Identification No.:</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Signature Guarantee*: _________________________</w:t>
      </w:r>
    </w:p>
    <w:p>
      <w:pPr>
        <w:spacing w:after="0" w:line="180" w:lineRule="exact"/>
        <w:rPr>
          <w:sz w:val="20"/>
          <w:szCs w:val="20"/>
          <w:color w:val="auto"/>
        </w:rPr>
      </w:pPr>
    </w:p>
    <w:p>
      <w:pPr>
        <w:ind w:left="320" w:hanging="315"/>
        <w:spacing w:after="0"/>
        <w:tabs>
          <w:tab w:leader="none" w:pos="3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2" w:lineRule="exact"/>
        <w:rPr>
          <w:rFonts w:ascii="Arial" w:cs="Arial" w:eastAsia="Arial" w:hAnsi="Arial"/>
          <w:sz w:val="19"/>
          <w:szCs w:val="19"/>
          <w:color w:val="auto"/>
        </w:rPr>
      </w:pPr>
    </w:p>
    <w:p>
      <w:pPr>
        <w:ind w:left="5320"/>
        <w:spacing w:after="0"/>
        <w:rPr>
          <w:rFonts w:ascii="Arial" w:cs="Arial" w:eastAsia="Arial" w:hAnsi="Arial"/>
          <w:sz w:val="19"/>
          <w:szCs w:val="19"/>
          <w:color w:val="auto"/>
        </w:rPr>
      </w:pPr>
      <w:r>
        <w:rPr>
          <w:rFonts w:ascii="Arial" w:cs="Arial" w:eastAsia="Arial" w:hAnsi="Arial"/>
          <w:sz w:val="21"/>
          <w:szCs w:val="21"/>
          <w:color w:val="auto"/>
        </w:rPr>
        <w:t>A-2-13</w:t>
      </w:r>
    </w:p>
    <w:p>
      <w:pPr>
        <w:sectPr>
          <w:pgSz w:w="11900" w:h="16838" w:orient="portrait"/>
          <w:cols w:equalWidth="0" w:num="1">
            <w:col w:w="11240"/>
          </w:cols>
          <w:pgMar w:left="320" w:top="1368"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1"/>
          <w:szCs w:val="21"/>
          <w:color w:val="auto"/>
        </w:rPr>
        <w:t>SCHEDULE OF EXCHANGES OF INTERESTS IN THE GLOBAL NOTE*</w:t>
      </w:r>
    </w:p>
    <w:p>
      <w:pPr>
        <w:spacing w:after="0" w:line="180" w:lineRule="exact"/>
        <w:rPr>
          <w:sz w:val="20"/>
          <w:szCs w:val="20"/>
          <w:color w:val="auto"/>
        </w:rPr>
      </w:pPr>
    </w:p>
    <w:p>
      <w:pPr>
        <w:ind w:firstLine="632"/>
        <w:spacing w:after="0" w:line="258" w:lineRule="auto"/>
        <w:rPr>
          <w:sz w:val="20"/>
          <w:szCs w:val="20"/>
          <w:color w:val="auto"/>
        </w:rPr>
      </w:pPr>
      <w:r>
        <w:rPr>
          <w:rFonts w:ascii="Arial" w:cs="Arial" w:eastAsia="Arial" w:hAnsi="Arial"/>
          <w:sz w:val="20"/>
          <w:szCs w:val="20"/>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7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7"/>
              </w:rPr>
              <w:t>Amount of decrease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9"/>
              </w:rPr>
              <w:t>Amount of increase in</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 Amount</w:t>
            </w:r>
          </w:p>
        </w:tc>
        <w:tc>
          <w:tcPr>
            <w:tcW w:w="1760" w:type="dxa"/>
            <w:vAlign w:val="bottom"/>
          </w:tcPr>
          <w:p>
            <w:pPr>
              <w:jc w:val="center"/>
              <w:ind w:left="370"/>
              <w:spacing w:after="0"/>
              <w:rPr>
                <w:sz w:val="20"/>
                <w:szCs w:val="20"/>
                <w:color w:val="auto"/>
              </w:rPr>
            </w:pPr>
            <w:r>
              <w:rPr>
                <w:rFonts w:ascii="Arial" w:cs="Arial" w:eastAsia="Arial" w:hAnsi="Arial"/>
                <w:sz w:val="14"/>
                <w:szCs w:val="14"/>
                <w:b w:val="1"/>
                <w:bCs w:val="1"/>
                <w:color w:val="auto"/>
                <w:w w:val="88"/>
              </w:rPr>
              <w:t>Signature of</w:t>
            </w:r>
          </w:p>
        </w:tc>
      </w:tr>
      <w:tr>
        <w:trPr>
          <w:trHeight w:val="141"/>
        </w:trPr>
        <w:tc>
          <w:tcPr>
            <w:tcW w:w="1600" w:type="dxa"/>
            <w:vAlign w:val="bottom"/>
          </w:tcPr>
          <w:p>
            <w:pPr>
              <w:spacing w:after="0"/>
              <w:rPr>
                <w:sz w:val="12"/>
                <w:szCs w:val="12"/>
                <w:color w:val="auto"/>
              </w:rPr>
            </w:pPr>
          </w:p>
        </w:tc>
        <w:tc>
          <w:tcPr>
            <w:tcW w:w="2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in Principal Amount</w:t>
            </w:r>
          </w:p>
        </w:tc>
        <w:tc>
          <w:tcPr>
            <w:tcW w:w="22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Principal Amount</w:t>
            </w:r>
          </w:p>
        </w:tc>
        <w:tc>
          <w:tcPr>
            <w:tcW w:w="2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of this Global Note</w:t>
            </w:r>
          </w:p>
        </w:tc>
        <w:tc>
          <w:tcPr>
            <w:tcW w:w="1760" w:type="dxa"/>
            <w:vAlign w:val="bottom"/>
          </w:tcPr>
          <w:p>
            <w:pPr>
              <w:jc w:val="center"/>
              <w:ind w:left="370"/>
              <w:spacing w:after="0" w:line="141" w:lineRule="exact"/>
              <w:rPr>
                <w:sz w:val="20"/>
                <w:szCs w:val="20"/>
                <w:color w:val="auto"/>
              </w:rPr>
            </w:pPr>
            <w:r>
              <w:rPr>
                <w:rFonts w:ascii="Arial" w:cs="Arial" w:eastAsia="Arial" w:hAnsi="Arial"/>
                <w:sz w:val="14"/>
                <w:szCs w:val="14"/>
                <w:b w:val="1"/>
                <w:bCs w:val="1"/>
                <w:color w:val="auto"/>
                <w:w w:val="92"/>
              </w:rPr>
              <w:t>authorized officer of</w:t>
            </w:r>
          </w:p>
        </w:tc>
      </w:tr>
      <w:tr>
        <w:trPr>
          <w:trHeight w:val="135"/>
        </w:trPr>
        <w:tc>
          <w:tcPr>
            <w:tcW w:w="1600" w:type="dxa"/>
            <w:vAlign w:val="bottom"/>
          </w:tcPr>
          <w:p>
            <w:pPr>
              <w:spacing w:after="0"/>
              <w:rPr>
                <w:sz w:val="11"/>
                <w:szCs w:val="11"/>
                <w:color w:val="auto"/>
              </w:rPr>
            </w:pPr>
          </w:p>
        </w:tc>
        <w:tc>
          <w:tcPr>
            <w:tcW w:w="2260" w:type="dxa"/>
            <w:vAlign w:val="bottom"/>
          </w:tcPr>
          <w:p>
            <w:pPr>
              <w:jc w:val="center"/>
              <w:ind w:left="10"/>
              <w:spacing w:after="0" w:line="135" w:lineRule="exact"/>
              <w:rPr>
                <w:sz w:val="20"/>
                <w:szCs w:val="20"/>
                <w:color w:val="auto"/>
              </w:rPr>
            </w:pPr>
            <w:r>
              <w:rPr>
                <w:rFonts w:ascii="Arial" w:cs="Arial" w:eastAsia="Arial" w:hAnsi="Arial"/>
                <w:sz w:val="14"/>
                <w:szCs w:val="14"/>
                <w:b w:val="1"/>
                <w:bCs w:val="1"/>
                <w:color w:val="auto"/>
                <w:w w:val="91"/>
              </w:rPr>
              <w:t>of this Global Note</w:t>
            </w:r>
          </w:p>
        </w:tc>
        <w:tc>
          <w:tcPr>
            <w:tcW w:w="2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of this Global Note</w:t>
            </w: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following such</w:t>
            </w:r>
          </w:p>
        </w:tc>
        <w:tc>
          <w:tcPr>
            <w:tcW w:w="1760" w:type="dxa"/>
            <w:vAlign w:val="bottom"/>
          </w:tcPr>
          <w:p>
            <w:pPr>
              <w:jc w:val="center"/>
              <w:ind w:left="410"/>
              <w:spacing w:after="0" w:line="135" w:lineRule="exact"/>
              <w:rPr>
                <w:sz w:val="20"/>
                <w:szCs w:val="20"/>
                <w:color w:val="auto"/>
              </w:rPr>
            </w:pPr>
            <w:r>
              <w:rPr>
                <w:rFonts w:ascii="Arial" w:cs="Arial" w:eastAsia="Arial" w:hAnsi="Arial"/>
                <w:sz w:val="14"/>
                <w:szCs w:val="14"/>
                <w:b w:val="1"/>
                <w:bCs w:val="1"/>
                <w:color w:val="auto"/>
                <w:w w:val="90"/>
              </w:rPr>
              <w:t>Trustee or Custodian</w:t>
            </w:r>
          </w:p>
        </w:tc>
      </w:tr>
      <w:tr>
        <w:trPr>
          <w:trHeight w:val="183"/>
        </w:trPr>
        <w:tc>
          <w:tcPr>
            <w:tcW w:w="1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7"/>
              </w:rPr>
              <w:t>decrease (or increase)</w:t>
            </w:r>
          </w:p>
        </w:tc>
        <w:tc>
          <w:tcPr>
            <w:tcW w:w="1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hanging="315"/>
        <w:spacing w:after="0"/>
        <w:tabs>
          <w:tab w:leader="none" w:pos="320" w:val="left"/>
        </w:tabs>
        <w:numPr>
          <w:ilvl w:val="0"/>
          <w:numId w:val="161"/>
        </w:numPr>
        <w:rPr>
          <w:rFonts w:ascii="Arial" w:cs="Arial" w:eastAsia="Arial" w:hAnsi="Arial"/>
          <w:sz w:val="21"/>
          <w:szCs w:val="21"/>
          <w:color w:val="auto"/>
        </w:rPr>
      </w:pPr>
      <w:r>
        <w:rPr>
          <w:rFonts w:ascii="Arial" w:cs="Arial" w:eastAsia="Arial" w:hAnsi="Arial"/>
          <w:sz w:val="21"/>
          <w:szCs w:val="21"/>
          <w:i w:val="1"/>
          <w:iCs w:val="1"/>
          <w:color w:val="auto"/>
        </w:rPr>
        <w:t>This schedule should be included only if the Note is issued in global form.</w:t>
      </w:r>
    </w:p>
    <w:p>
      <w:pPr>
        <w:sectPr>
          <w:pgSz w:w="11900" w:h="16838" w:orient="portrait"/>
          <w:cols w:equalWidth="0" w:num="1">
            <w:col w:w="11240"/>
          </w:cols>
          <w:pgMar w:left="320" w:top="1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A-2-14</w:t>
      </w:r>
    </w:p>
    <w:p>
      <w:pPr>
        <w:sectPr>
          <w:pgSz w:w="11900" w:h="16838" w:orient="portrait"/>
          <w:cols w:equalWidth="0" w:num="1">
            <w:col w:w="11240"/>
          </w:cols>
          <w:pgMar w:left="320" w:top="1368" w:right="33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21"/>
          <w:szCs w:val="21"/>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CERTIFICATE OF TRANSFER</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Wynn Resorts Finance, LLC</w:t>
      </w:r>
    </w:p>
    <w:p>
      <w:pPr>
        <w:spacing w:after="0" w:line="209" w:lineRule="auto"/>
        <w:rPr>
          <w:sz w:val="20"/>
          <w:szCs w:val="20"/>
          <w:color w:val="auto"/>
        </w:rPr>
      </w:pPr>
      <w:r>
        <w:rPr>
          <w:rFonts w:ascii="Arial" w:cs="Arial" w:eastAsia="Arial" w:hAnsi="Arial"/>
          <w:sz w:val="21"/>
          <w:szCs w:val="21"/>
          <w:color w:val="auto"/>
        </w:rPr>
        <w:t>Wynn Resorts Capital Corp.</w:t>
      </w:r>
    </w:p>
    <w:p>
      <w:pPr>
        <w:spacing w:after="0" w:line="209" w:lineRule="auto"/>
        <w:rPr>
          <w:sz w:val="20"/>
          <w:szCs w:val="20"/>
          <w:color w:val="auto"/>
        </w:rPr>
      </w:pPr>
      <w:r>
        <w:rPr>
          <w:rFonts w:ascii="Arial" w:cs="Arial" w:eastAsia="Arial" w:hAnsi="Arial"/>
          <w:sz w:val="21"/>
          <w:szCs w:val="21"/>
          <w:color w:val="auto"/>
        </w:rPr>
        <w:t>3131 Las Vegas Boulevard South</w:t>
      </w:r>
    </w:p>
    <w:p>
      <w:pPr>
        <w:spacing w:after="0" w:line="209" w:lineRule="auto"/>
        <w:rPr>
          <w:sz w:val="20"/>
          <w:szCs w:val="20"/>
          <w:color w:val="auto"/>
        </w:rPr>
      </w:pPr>
      <w:r>
        <w:rPr>
          <w:rFonts w:ascii="Arial" w:cs="Arial" w:eastAsia="Arial" w:hAnsi="Arial"/>
          <w:sz w:val="21"/>
          <w:szCs w:val="21"/>
          <w:color w:val="auto"/>
        </w:rPr>
        <w:t>Las Vegas, Nevada 89109</w:t>
      </w:r>
    </w:p>
    <w:p>
      <w:pPr>
        <w:spacing w:after="0" w:line="209" w:lineRule="auto"/>
        <w:rPr>
          <w:sz w:val="20"/>
          <w:szCs w:val="20"/>
          <w:color w:val="auto"/>
        </w:rPr>
      </w:pPr>
      <w:r>
        <w:rPr>
          <w:rFonts w:ascii="Arial" w:cs="Arial" w:eastAsia="Arial" w:hAnsi="Arial"/>
          <w:sz w:val="21"/>
          <w:szCs w:val="21"/>
          <w:color w:val="auto"/>
        </w:rPr>
        <w:t>Fax No.: (702) 770-1100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Attention: President</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U.S. Bank Trust Company, National Association</w:t>
      </w:r>
    </w:p>
    <w:p>
      <w:pPr>
        <w:spacing w:after="0" w:line="209" w:lineRule="auto"/>
        <w:rPr>
          <w:sz w:val="20"/>
          <w:szCs w:val="20"/>
          <w:color w:val="auto"/>
        </w:rPr>
      </w:pPr>
      <w:r>
        <w:rPr>
          <w:rFonts w:ascii="Arial" w:cs="Arial" w:eastAsia="Arial" w:hAnsi="Arial"/>
          <w:sz w:val="21"/>
          <w:szCs w:val="21"/>
          <w:color w:val="auto"/>
        </w:rPr>
        <w:t>EP-MN-WS3C</w:t>
      </w:r>
    </w:p>
    <w:p>
      <w:pPr>
        <w:spacing w:after="0" w:line="209" w:lineRule="auto"/>
        <w:rPr>
          <w:sz w:val="20"/>
          <w:szCs w:val="20"/>
          <w:color w:val="auto"/>
        </w:rPr>
      </w:pPr>
      <w:r>
        <w:rPr>
          <w:rFonts w:ascii="Arial" w:cs="Arial" w:eastAsia="Arial" w:hAnsi="Arial"/>
          <w:sz w:val="21"/>
          <w:szCs w:val="21"/>
          <w:color w:val="auto"/>
        </w:rPr>
        <w:t>60 Livingston Avenue</w:t>
      </w:r>
    </w:p>
    <w:p>
      <w:pPr>
        <w:spacing w:after="0" w:line="209" w:lineRule="auto"/>
        <w:rPr>
          <w:sz w:val="20"/>
          <w:szCs w:val="20"/>
          <w:color w:val="auto"/>
        </w:rPr>
      </w:pPr>
      <w:r>
        <w:rPr>
          <w:rFonts w:ascii="Arial" w:cs="Arial" w:eastAsia="Arial" w:hAnsi="Arial"/>
          <w:sz w:val="21"/>
          <w:szCs w:val="21"/>
          <w:color w:val="auto"/>
        </w:rPr>
        <w:t>St. Paul, Minnesota 55107</w:t>
      </w:r>
    </w:p>
    <w:p>
      <w:pPr>
        <w:spacing w:after="0" w:line="209" w:lineRule="auto"/>
        <w:rPr>
          <w:sz w:val="20"/>
          <w:szCs w:val="20"/>
          <w:color w:val="auto"/>
        </w:rPr>
      </w:pPr>
      <w:r>
        <w:rPr>
          <w:rFonts w:ascii="Arial" w:cs="Arial" w:eastAsia="Arial" w:hAnsi="Arial"/>
          <w:sz w:val="21"/>
          <w:szCs w:val="21"/>
          <w:color w:val="auto"/>
        </w:rPr>
        <w:t>Fax: (651) 495-8097</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Attention: Corporate Trust Department – Wynn Administrator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Re: 7.125% Senior Notes due 2031</w:t>
      </w:r>
    </w:p>
    <w:p>
      <w:pPr>
        <w:spacing w:after="0" w:line="180"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Reference is hereby made to the Indenture, dated as of February 16, 2023 (the “</w:t>
      </w:r>
      <w:r>
        <w:rPr>
          <w:rFonts w:ascii="Arial" w:cs="Arial" w:eastAsia="Arial" w:hAnsi="Arial"/>
          <w:sz w:val="21"/>
          <w:szCs w:val="21"/>
          <w:i w:val="1"/>
          <w:iCs w:val="1"/>
          <w:u w:val="single" w:color="auto"/>
          <w:color w:val="auto"/>
        </w:rPr>
        <w:t>Indenture</w:t>
      </w:r>
      <w:r>
        <w:rPr>
          <w:rFonts w:ascii="Arial" w:cs="Arial" w:eastAsia="Arial" w:hAnsi="Arial"/>
          <w:sz w:val="21"/>
          <w:szCs w:val="21"/>
          <w:color w:val="auto"/>
        </w:rPr>
        <w:t>”), among Wynn Resorts Finance, LLC, a Nevada limited liability company (“</w:t>
      </w:r>
      <w:r>
        <w:rPr>
          <w:rFonts w:ascii="Arial" w:cs="Arial" w:eastAsia="Arial" w:hAnsi="Arial"/>
          <w:sz w:val="21"/>
          <w:szCs w:val="21"/>
          <w:i w:val="1"/>
          <w:iCs w:val="1"/>
          <w:u w:val="single" w:color="auto"/>
          <w:color w:val="auto"/>
        </w:rPr>
        <w:t>Wynn Resorts Finance</w:t>
      </w:r>
      <w:r>
        <w:rPr>
          <w:rFonts w:ascii="Arial" w:cs="Arial" w:eastAsia="Arial" w:hAnsi="Arial"/>
          <w:sz w:val="21"/>
          <w:szCs w:val="21"/>
          <w:color w:val="auto"/>
        </w:rPr>
        <w:t>”), Wynn Resorts Capital Corp., a Nevada corporation (“</w:t>
      </w:r>
      <w:r>
        <w:rPr>
          <w:rFonts w:ascii="Arial" w:cs="Arial" w:eastAsia="Arial" w:hAnsi="Arial"/>
          <w:sz w:val="21"/>
          <w:szCs w:val="21"/>
          <w:i w:val="1"/>
          <w:iCs w:val="1"/>
          <w:u w:val="single" w:color="auto"/>
          <w:color w:val="auto"/>
        </w:rPr>
        <w:t>Wynn</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Resorts Capital</w:t>
      </w:r>
      <w:r>
        <w:rPr>
          <w:rFonts w:ascii="Arial" w:cs="Arial" w:eastAsia="Arial" w:hAnsi="Arial"/>
          <w:sz w:val="21"/>
          <w:szCs w:val="21"/>
          <w:color w:val="auto"/>
        </w:rPr>
        <w:t>” and, together with Wynn Resorts Finance,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the Guarantors party thereto and U.S. Bank Trust</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National Association, as trustee (the “</w:t>
      </w:r>
      <w:r>
        <w:rPr>
          <w:rFonts w:ascii="Arial" w:cs="Arial" w:eastAsia="Arial" w:hAnsi="Arial"/>
          <w:sz w:val="21"/>
          <w:szCs w:val="21"/>
          <w:i w:val="1"/>
          <w:iCs w:val="1"/>
          <w:u w:val="single" w:color="auto"/>
          <w:color w:val="auto"/>
        </w:rPr>
        <w:t>Trustee</w:t>
      </w:r>
      <w:r>
        <w:rPr>
          <w:rFonts w:ascii="Arial" w:cs="Arial" w:eastAsia="Arial" w:hAnsi="Arial"/>
          <w:sz w:val="21"/>
          <w:szCs w:val="21"/>
          <w:color w:val="auto"/>
        </w:rPr>
        <w:t>”). Capitalized terms used but not defined herein shall have the meanings given to them in the Indenture.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___________________, (the “</w:t>
      </w:r>
      <w:r>
        <w:rPr>
          <w:rFonts w:ascii="Arial" w:cs="Arial" w:eastAsia="Arial" w:hAnsi="Arial"/>
          <w:sz w:val="19"/>
          <w:szCs w:val="19"/>
          <w:i w:val="1"/>
          <w:iCs w:val="1"/>
          <w:u w:val="single" w:color="auto"/>
          <w:color w:val="auto"/>
        </w:rPr>
        <w:t>Transferor</w:t>
      </w:r>
      <w:r>
        <w:rPr>
          <w:rFonts w:ascii="Arial" w:cs="Arial" w:eastAsia="Arial" w:hAnsi="Arial"/>
          <w:sz w:val="19"/>
          <w:szCs w:val="19"/>
          <w:color w:val="auto"/>
        </w:rPr>
        <w:t>”) owns and proposes to transfer the Note[s] or interest in such Note[s] specified in</w:t>
      </w:r>
    </w:p>
    <w:p>
      <w:pPr>
        <w:spacing w:after="0"/>
        <w:tabs>
          <w:tab w:leader="none" w:pos="760" w:val="left"/>
          <w:tab w:leader="none" w:pos="1120" w:val="left"/>
          <w:tab w:leader="none" w:pos="1920" w:val="left"/>
          <w:tab w:leader="none" w:pos="2300" w:val="left"/>
          <w:tab w:leader="none" w:pos="2760" w:val="left"/>
          <w:tab w:leader="none" w:pos="3740" w:val="left"/>
          <w:tab w:leader="none" w:pos="4580" w:val="left"/>
          <w:tab w:leader="none" w:pos="4980" w:val="left"/>
          <w:tab w:leader="none" w:pos="6140" w:val="left"/>
          <w:tab w:leader="none" w:pos="6520" w:val="left"/>
          <w:tab w:leader="none" w:pos="7120" w:val="left"/>
          <w:tab w:leader="none" w:pos="7960" w:val="left"/>
          <w:tab w:leader="none" w:pos="8360" w:val="left"/>
          <w:tab w:leader="none" w:pos="9260" w:val="left"/>
          <w:tab w:leader="none" w:pos="9820" w:val="left"/>
          <w:tab w:leader="none" w:pos="11060" w:val="left"/>
        </w:tabs>
        <w:rPr>
          <w:sz w:val="20"/>
          <w:szCs w:val="20"/>
          <w:color w:val="auto"/>
        </w:rPr>
      </w:pPr>
      <w:r>
        <w:rPr>
          <w:rFonts w:ascii="Arial" w:cs="Arial" w:eastAsia="Arial" w:hAnsi="Arial"/>
          <w:sz w:val="21"/>
          <w:szCs w:val="21"/>
          <w:u w:val="single" w:color="auto"/>
          <w:color w:val="auto"/>
        </w:rPr>
        <w:t>Annex</w:t>
      </w:r>
      <w:r>
        <w:rPr>
          <w:sz w:val="20"/>
          <w:szCs w:val="20"/>
          <w:color w:val="auto"/>
        </w:rPr>
        <w:tab/>
      </w:r>
      <w:r>
        <w:rPr>
          <w:rFonts w:ascii="Arial" w:cs="Arial" w:eastAsia="Arial" w:hAnsi="Arial"/>
          <w:sz w:val="21"/>
          <w:szCs w:val="21"/>
          <w:u w:val="single" w:color="auto"/>
          <w:color w:val="auto"/>
        </w:rPr>
        <w:t>A</w:t>
      </w:r>
      <w:r>
        <w:rPr>
          <w:sz w:val="20"/>
          <w:szCs w:val="20"/>
          <w:color w:val="auto"/>
        </w:rPr>
        <w:tab/>
      </w:r>
      <w:r>
        <w:rPr>
          <w:rFonts w:ascii="Arial" w:cs="Arial" w:eastAsia="Arial" w:hAnsi="Arial"/>
          <w:sz w:val="21"/>
          <w:szCs w:val="21"/>
          <w:color w:val="auto"/>
        </w:rPr>
        <w:t>hereto,</w:t>
        <w:tab/>
        <w:t>in</w:t>
        <w:tab/>
        <w:t>the</w:t>
        <w:tab/>
        <w:t>principal</w:t>
        <w:tab/>
        <w:t>amount</w:t>
        <w:tab/>
        <w:t>of</w:t>
        <w:tab/>
        <w:t>$________</w:t>
        <w:tab/>
        <w:t>in</w:t>
        <w:tab/>
        <w:t>such</w:t>
        <w:tab/>
        <w:t>Note[s]</w:t>
        <w:tab/>
        <w:t>or</w:t>
        <w:tab/>
        <w:t>interests</w:t>
        <w:tab/>
        <w:t>(the</w:t>
        <w:tab/>
        <w:t>“</w:t>
      </w:r>
      <w:r>
        <w:rPr>
          <w:rFonts w:ascii="Arial" w:cs="Arial" w:eastAsia="Arial" w:hAnsi="Arial"/>
          <w:sz w:val="21"/>
          <w:szCs w:val="21"/>
          <w:i w:val="1"/>
          <w:iCs w:val="1"/>
          <w:u w:val="single" w:color="auto"/>
          <w:color w:val="auto"/>
        </w:rPr>
        <w:t>Transfer</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to</w:t>
      </w:r>
    </w:p>
    <w:p>
      <w:pPr>
        <w:spacing w:after="0" w:line="231" w:lineRule="auto"/>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u w:val="single" w:color="auto"/>
          <w:color w:val="auto"/>
        </w:rPr>
        <w:t>Transferee</w:t>
      </w:r>
      <w:r>
        <w:rPr>
          <w:rFonts w:ascii="Arial" w:cs="Arial" w:eastAsia="Arial" w:hAnsi="Arial"/>
          <w:sz w:val="19"/>
          <w:szCs w:val="19"/>
          <w:color w:val="auto"/>
        </w:rPr>
        <w:t xml:space="preserve">”), as further specified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In connection with the Transfer, the</w:t>
      </w:r>
    </w:p>
    <w:p>
      <w:pPr>
        <w:spacing w:after="0"/>
        <w:rPr>
          <w:sz w:val="20"/>
          <w:szCs w:val="20"/>
          <w:color w:val="auto"/>
        </w:rPr>
      </w:pPr>
      <w:r>
        <w:rPr>
          <w:rFonts w:ascii="Arial" w:cs="Arial" w:eastAsia="Arial" w:hAnsi="Arial"/>
          <w:sz w:val="21"/>
          <w:szCs w:val="21"/>
          <w:color w:val="auto"/>
        </w:rPr>
        <w:t>Transferor hereby certifies that: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[CHECK ALL THAT APPLY]</w:t>
      </w:r>
    </w:p>
    <w:p>
      <w:pPr>
        <w:spacing w:after="0" w:line="140" w:lineRule="exact"/>
        <w:rPr>
          <w:sz w:val="20"/>
          <w:szCs w:val="20"/>
          <w:color w:val="auto"/>
        </w:rPr>
      </w:pPr>
    </w:p>
    <w:p>
      <w:pPr>
        <w:jc w:val="both"/>
        <w:ind w:firstLine="637"/>
        <w:spacing w:after="0" w:line="220" w:lineRule="exact"/>
        <w:tabs>
          <w:tab w:leader="none" w:pos="1263" w:val="left"/>
        </w:tabs>
        <w:numPr>
          <w:ilvl w:val="0"/>
          <w:numId w:val="16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the 144A Global Note or a Restricted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Definitive Note pursuant to Rule 144A</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 effected pursuant to and in accordance with Rule 144A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of 1933, as amended (the “</w:t>
      </w:r>
      <w:r>
        <w:rPr>
          <w:rFonts w:ascii="Arial" w:cs="Arial" w:eastAsia="Arial" w:hAnsi="Arial"/>
          <w:sz w:val="19"/>
          <w:szCs w:val="19"/>
          <w:i w:val="1"/>
          <w:iCs w:val="1"/>
          <w:u w:val="single" w:color="auto"/>
          <w:color w:val="auto"/>
        </w:rPr>
        <w:t>Securities Act</w:t>
      </w:r>
      <w:r>
        <w:rPr>
          <w:rFonts w:ascii="Arial" w:cs="Arial" w:eastAsia="Arial" w:hAnsi="Arial"/>
          <w:sz w:val="19"/>
          <w:szCs w:val="19"/>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21" w:lineRule="exact"/>
        <w:rPr>
          <w:rFonts w:ascii="Arial" w:cs="Arial" w:eastAsia="Arial" w:hAnsi="Arial"/>
          <w:sz w:val="19"/>
          <w:szCs w:val="19"/>
          <w:color w:val="auto"/>
        </w:rPr>
      </w:pPr>
    </w:p>
    <w:p>
      <w:pPr>
        <w:jc w:val="both"/>
        <w:ind w:firstLine="637"/>
        <w:spacing w:after="0" w:line="230" w:lineRule="exact"/>
        <w:tabs>
          <w:tab w:leader="none" w:pos="1263" w:val="left"/>
        </w:tabs>
        <w:numPr>
          <w:ilvl w:val="0"/>
          <w:numId w:val="162"/>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Check if Transferee will take delivery of a beneficial interest in the Regulation S Temporary Global Note,</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the Regulation S Permanent Global Note or a Restricted Definitive Note pursuant to Regulation S</w:t>
      </w:r>
      <w:r>
        <w:rPr>
          <w:rFonts w:ascii="Arial" w:cs="Arial" w:eastAsia="Arial" w:hAnsi="Arial"/>
          <w:sz w:val="21"/>
          <w:szCs w:val="21"/>
          <w:b w:val="1"/>
          <w:bCs w:val="1"/>
          <w:color w:val="auto"/>
        </w:rPr>
        <w:t xml:space="preserve">. </w:t>
      </w:r>
      <w:r>
        <w:rPr>
          <w:rFonts w:ascii="Arial" w:cs="Arial" w:eastAsia="Arial" w:hAnsi="Arial"/>
          <w:sz w:val="21"/>
          <w:szCs w:val="21"/>
          <w:color w:val="auto"/>
        </w:rPr>
        <w:t>The Transfer is being</w:t>
      </w:r>
      <w:r>
        <w:rPr>
          <w:rFonts w:ascii="Arial" w:cs="Arial" w:eastAsia="Arial" w:hAnsi="Arial"/>
          <w:sz w:val="21"/>
          <w:szCs w:val="21"/>
          <w:b w:val="1"/>
          <w:bCs w:val="1"/>
          <w:color w:val="auto"/>
        </w:rPr>
        <w:t xml:space="preserve"> </w:t>
      </w:r>
      <w:r>
        <w:rPr>
          <w:rFonts w:ascii="Arial" w:cs="Arial" w:eastAsia="Arial" w:hAnsi="Arial"/>
          <w:sz w:val="21"/>
          <w:szCs w:val="21"/>
          <w:color w:val="auto"/>
        </w:rPr>
        <w:t>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w:t>
      </w:r>
    </w:p>
    <w:p>
      <w:pPr>
        <w:sectPr>
          <w:pgSz w:w="11900" w:h="16838" w:orient="portrait"/>
          <w:cols w:equalWidth="0" w:num="1">
            <w:col w:w="11240"/>
          </w:cols>
          <w:pgMar w:left="320" w:top="100" w:right="339" w:bottom="1440" w:gutter="0" w:footer="0" w:header="0"/>
        </w:sectPr>
      </w:pPr>
    </w:p>
    <w:bookmarkStart w:id="123" w:name="page124"/>
    <w:bookmarkEnd w:id="123"/>
    <w:p>
      <w:pPr>
        <w:jc w:val="both"/>
        <w:spacing w:after="0" w:line="237" w:lineRule="auto"/>
        <w:rPr>
          <w:sz w:val="20"/>
          <w:szCs w:val="20"/>
          <w:color w:val="auto"/>
        </w:rPr>
      </w:pPr>
      <w:r>
        <w:rPr>
          <w:rFonts w:ascii="Arial" w:cs="Arial" w:eastAsia="Arial" w:hAnsi="Arial"/>
          <w:sz w:val="19"/>
          <w:szCs w:val="19"/>
          <w:color w:val="auto"/>
        </w:rPr>
        <w:t>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119" w:lineRule="exact"/>
        <w:rPr>
          <w:sz w:val="20"/>
          <w:szCs w:val="20"/>
          <w:color w:val="auto"/>
        </w:rPr>
      </w:pPr>
    </w:p>
    <w:p>
      <w:pPr>
        <w:jc w:val="both"/>
        <w:ind w:firstLine="637"/>
        <w:spacing w:after="0" w:line="230" w:lineRule="exact"/>
        <w:tabs>
          <w:tab w:leader="none" w:pos="1263" w:val="left"/>
        </w:tabs>
        <w:numPr>
          <w:ilvl w:val="0"/>
          <w:numId w:val="16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Check and complete if Transferee will take delivery of a beneficial interest in the IAI Global Note or a</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Restricted Definitive Note pursuant to any provision of the Securities Act other than Rule 144A or Regulation S</w:t>
      </w:r>
      <w:r>
        <w:rPr>
          <w:rFonts w:ascii="Arial" w:cs="Arial" w:eastAsia="Arial" w:hAnsi="Arial"/>
          <w:sz w:val="20"/>
          <w:szCs w:val="20"/>
          <w:b w:val="1"/>
          <w:bCs w:val="1"/>
          <w:color w:val="auto"/>
        </w:rPr>
        <w:t xml:space="preserve">. </w:t>
      </w:r>
      <w:r>
        <w:rPr>
          <w:rFonts w:ascii="Arial" w:cs="Arial" w:eastAsia="Arial" w:hAnsi="Arial"/>
          <w:sz w:val="20"/>
          <w:szCs w:val="20"/>
          <w:color w:val="auto"/>
        </w:rPr>
        <w:t>The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18" w:lineRule="exact"/>
        <w:rPr>
          <w:rFonts w:ascii="Arial" w:cs="Arial" w:eastAsia="Arial" w:hAnsi="Arial"/>
          <w:sz w:val="20"/>
          <w:szCs w:val="20"/>
          <w:color w:val="auto"/>
        </w:rPr>
      </w:pPr>
    </w:p>
    <w:p>
      <w:pPr>
        <w:ind w:left="1900" w:hanging="632"/>
        <w:spacing w:after="0" w:line="230" w:lineRule="exact"/>
        <w:tabs>
          <w:tab w:leader="none" w:pos="1900" w:val="left"/>
        </w:tabs>
        <w:numPr>
          <w:ilvl w:val="1"/>
          <w:numId w:val="16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such Transfer is being effected pursuant to and in accordance with Rule 144 under the Securities Act;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or</w:t>
      </w:r>
    </w:p>
    <w:p>
      <w:pPr>
        <w:spacing w:after="0" w:line="140" w:lineRule="exact"/>
        <w:rPr>
          <w:sz w:val="20"/>
          <w:szCs w:val="20"/>
          <w:color w:val="auto"/>
        </w:rPr>
      </w:pPr>
    </w:p>
    <w:p>
      <w:pPr>
        <w:ind w:left="1900" w:hanging="632"/>
        <w:spacing w:after="0" w:line="242" w:lineRule="exact"/>
        <w:tabs>
          <w:tab w:leader="none" w:pos="1900" w:val="left"/>
        </w:tabs>
        <w:numPr>
          <w:ilvl w:val="1"/>
          <w:numId w:val="164"/>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such Transfer is being effected to the Wynn Resorts Finance or a subsidiary thereof;</w:t>
      </w:r>
    </w:p>
    <w:p>
      <w:pPr>
        <w:spacing w:after="0" w:line="219" w:lineRule="exact"/>
        <w:rPr>
          <w:rFonts w:ascii="Arial" w:cs="Arial" w:eastAsia="Arial" w:hAnsi="Arial"/>
          <w:sz w:val="21"/>
          <w:szCs w:val="21"/>
          <w:color w:val="auto"/>
        </w:rPr>
      </w:pPr>
    </w:p>
    <w:p>
      <w:pPr>
        <w:ind w:left="5540"/>
        <w:spacing w:after="0"/>
        <w:rPr>
          <w:rFonts w:ascii="Arial" w:cs="Arial" w:eastAsia="Arial" w:hAnsi="Arial"/>
          <w:sz w:val="21"/>
          <w:szCs w:val="21"/>
          <w:color w:val="auto"/>
        </w:rPr>
      </w:pPr>
      <w:r>
        <w:rPr>
          <w:rFonts w:ascii="Arial" w:cs="Arial" w:eastAsia="Arial" w:hAnsi="Arial"/>
          <w:sz w:val="21"/>
          <w:szCs w:val="21"/>
          <w:color w:val="auto"/>
        </w:rPr>
        <w:t>or</w:t>
      </w:r>
    </w:p>
    <w:p>
      <w:pPr>
        <w:spacing w:after="0" w:line="139" w:lineRule="exact"/>
        <w:rPr>
          <w:rFonts w:ascii="Arial" w:cs="Arial" w:eastAsia="Arial" w:hAnsi="Arial"/>
          <w:sz w:val="21"/>
          <w:szCs w:val="21"/>
          <w:color w:val="auto"/>
        </w:rPr>
      </w:pPr>
    </w:p>
    <w:p>
      <w:pPr>
        <w:jc w:val="both"/>
        <w:ind w:left="640" w:firstLine="628"/>
        <w:spacing w:after="0" w:line="219" w:lineRule="exact"/>
        <w:tabs>
          <w:tab w:leader="none" w:pos="1900" w:val="left"/>
        </w:tabs>
        <w:numPr>
          <w:ilvl w:val="1"/>
          <w:numId w:val="16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23" w:lineRule="exact"/>
        <w:rPr>
          <w:rFonts w:ascii="Arial" w:cs="Arial" w:eastAsia="Arial" w:hAnsi="Arial"/>
          <w:sz w:val="20"/>
          <w:szCs w:val="20"/>
          <w:color w:val="auto"/>
        </w:rPr>
      </w:pPr>
    </w:p>
    <w:p>
      <w:pPr>
        <w:ind w:left="1260" w:hanging="623"/>
        <w:spacing w:after="0" w:line="230" w:lineRule="exact"/>
        <w:tabs>
          <w:tab w:leader="none" w:pos="1260" w:val="left"/>
        </w:tabs>
        <w:numPr>
          <w:ilvl w:val="0"/>
          <w:numId w:val="16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Check if Transferee will take delivery of a beneficial interest in an Unrestricted Global Note or of an</w:t>
      </w:r>
    </w:p>
    <w:p>
      <w:pPr>
        <w:spacing w:after="0" w:line="3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b w:val="1"/>
          <w:bCs w:val="1"/>
          <w:u w:val="single" w:color="auto"/>
          <w:color w:val="auto"/>
        </w:rPr>
        <w:t>Unrestricted Definitive Note</w:t>
      </w:r>
      <w:r>
        <w:rPr>
          <w:rFonts w:ascii="Arial" w:cs="Arial" w:eastAsia="Arial" w:hAnsi="Arial"/>
          <w:sz w:val="21"/>
          <w:szCs w:val="21"/>
          <w:b w:val="1"/>
          <w:bCs w:val="1"/>
          <w:color w:val="auto"/>
        </w:rPr>
        <w:t>.</w:t>
      </w:r>
    </w:p>
    <w:p>
      <w:pPr>
        <w:spacing w:after="0" w:line="121" w:lineRule="exact"/>
        <w:rPr>
          <w:rFonts w:ascii="Arial" w:cs="Arial" w:eastAsia="Arial" w:hAnsi="Arial"/>
          <w:sz w:val="20"/>
          <w:szCs w:val="20"/>
          <w:color w:val="auto"/>
        </w:rPr>
      </w:pPr>
    </w:p>
    <w:p>
      <w:pPr>
        <w:ind w:left="640" w:firstLine="628"/>
        <w:spacing w:after="0" w:line="259" w:lineRule="exact"/>
        <w:tabs>
          <w:tab w:leader="none" w:pos="1900" w:val="left"/>
        </w:tabs>
        <w:numPr>
          <w:ilvl w:val="1"/>
          <w:numId w:val="165"/>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Transfer is pursuant to Rule 144. </w:t>
      </w:r>
      <w:r>
        <w:rPr>
          <w:rFonts w:ascii="Arial" w:cs="Arial" w:eastAsia="Arial" w:hAnsi="Arial"/>
          <w:sz w:val="21"/>
          <w:szCs w:val="21"/>
          <w:color w:val="auto"/>
        </w:rPr>
        <w:t>(i) The Transfer is being effected pursuant to and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Rule 144 under the Securities Act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ectPr>
          <w:pgSz w:w="11900" w:h="16838" w:orient="portrait"/>
          <w:cols w:equalWidth="0" w:num="1">
            <w:col w:w="11240"/>
          </w:cols>
          <w:pgMar w:left="320" w:top="1368" w:right="339" w:bottom="1440" w:gutter="0" w:footer="0" w:header="0"/>
        </w:sectPr>
      </w:pPr>
    </w:p>
    <w:bookmarkStart w:id="124" w:name="page125"/>
    <w:bookmarkEnd w:id="124"/>
    <w:p>
      <w:pPr>
        <w:jc w:val="both"/>
        <w:ind w:left="640"/>
        <w:spacing w:after="0" w:line="218" w:lineRule="auto"/>
        <w:rPr>
          <w:sz w:val="20"/>
          <w:szCs w:val="20"/>
          <w:color w:val="auto"/>
        </w:rPr>
      </w:pPr>
      <w:r>
        <w:rPr>
          <w:rFonts w:ascii="Arial" w:cs="Arial" w:eastAsia="Arial" w:hAnsi="Arial"/>
          <w:sz w:val="21"/>
          <w:szCs w:val="21"/>
          <w:color w:val="auto"/>
        </w:rPr>
        <w:t>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18" w:lineRule="exact"/>
        <w:rPr>
          <w:sz w:val="20"/>
          <w:szCs w:val="20"/>
          <w:color w:val="auto"/>
        </w:rPr>
      </w:pPr>
    </w:p>
    <w:p>
      <w:pPr>
        <w:jc w:val="both"/>
        <w:ind w:left="640" w:firstLine="628"/>
        <w:spacing w:after="0" w:line="224" w:lineRule="exact"/>
        <w:tabs>
          <w:tab w:leader="none" w:pos="1899" w:val="left"/>
        </w:tabs>
        <w:numPr>
          <w:ilvl w:val="0"/>
          <w:numId w:val="166"/>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Regulation S. </w:t>
      </w:r>
      <w:r>
        <w:rPr>
          <w:rFonts w:ascii="Arial" w:cs="Arial" w:eastAsia="Arial" w:hAnsi="Arial"/>
          <w:sz w:val="19"/>
          <w:szCs w:val="19"/>
          <w:color w:val="auto"/>
        </w:rPr>
        <w:t>(i)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16" w:lineRule="exact"/>
        <w:rPr>
          <w:rFonts w:ascii="Arial" w:cs="Arial" w:eastAsia="Arial" w:hAnsi="Arial"/>
          <w:sz w:val="19"/>
          <w:szCs w:val="19"/>
          <w:color w:val="auto"/>
        </w:rPr>
      </w:pPr>
    </w:p>
    <w:p>
      <w:pPr>
        <w:jc w:val="both"/>
        <w:ind w:left="640" w:firstLine="628"/>
        <w:spacing w:after="0" w:line="223" w:lineRule="exact"/>
        <w:tabs>
          <w:tab w:leader="none" w:pos="1900" w:val="left"/>
        </w:tabs>
        <w:numPr>
          <w:ilvl w:val="0"/>
          <w:numId w:val="16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Check if Transfer is Pursuant to Other Exemption. </w:t>
      </w:r>
      <w:r>
        <w:rPr>
          <w:rFonts w:ascii="Arial" w:cs="Arial" w:eastAsia="Arial" w:hAnsi="Arial"/>
          <w:sz w:val="20"/>
          <w:szCs w:val="20"/>
          <w:color w:val="auto"/>
        </w:rPr>
        <w:t>(i) The Transfer is being effected pursuant to and in</w:t>
      </w:r>
      <w:r>
        <w:rPr>
          <w:rFonts w:ascii="Arial" w:cs="Arial" w:eastAsia="Arial" w:hAnsi="Arial"/>
          <w:sz w:val="20"/>
          <w:szCs w:val="20"/>
          <w:b w:val="1"/>
          <w:bCs w:val="1"/>
          <w:color w:val="auto"/>
        </w:rPr>
        <w:t xml:space="preserve"> </w:t>
      </w:r>
      <w:r>
        <w:rPr>
          <w:rFonts w:ascii="Arial" w:cs="Arial" w:eastAsia="Arial" w:hAnsi="Arial"/>
          <w:sz w:val="20"/>
          <w:szCs w:val="20"/>
          <w:color w:val="auto"/>
        </w:rPr>
        <w:t>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certificate and the statements contained herein are made for your benefit and the benefit of Wynn Resorts Finance.</w:t>
      </w:r>
    </w:p>
    <w:p>
      <w:pPr>
        <w:spacing w:after="0" w:line="203"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[Insert Name of Transferor]</w:t>
      </w:r>
    </w:p>
    <w:p>
      <w:pPr>
        <w:spacing w:after="0" w:line="200" w:lineRule="exact"/>
        <w:rPr>
          <w:sz w:val="20"/>
          <w:szCs w:val="20"/>
          <w:color w:val="auto"/>
        </w:rPr>
      </w:pPr>
    </w:p>
    <w:p>
      <w:pPr>
        <w:spacing w:after="0" w:line="230"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w:t>
      </w:r>
    </w:p>
    <w:p>
      <w:pPr>
        <w:ind w:left="4120"/>
        <w:spacing w:after="0" w:line="209" w:lineRule="auto"/>
        <w:rPr>
          <w:sz w:val="20"/>
          <w:szCs w:val="20"/>
          <w:color w:val="auto"/>
        </w:rPr>
      </w:pPr>
      <w:r>
        <w:rPr>
          <w:rFonts w:ascii="Arial" w:cs="Arial" w:eastAsia="Arial" w:hAnsi="Arial"/>
          <w:sz w:val="21"/>
          <w:szCs w:val="21"/>
          <w:color w:val="auto"/>
        </w:rPr>
        <w:t>Name:</w:t>
      </w:r>
    </w:p>
    <w:p>
      <w:pPr>
        <w:ind w:left="4120"/>
        <w:spacing w:after="0"/>
        <w:rPr>
          <w:sz w:val="20"/>
          <w:szCs w:val="20"/>
          <w:color w:val="auto"/>
        </w:rPr>
      </w:pPr>
      <w:r>
        <w:rPr>
          <w:rFonts w:ascii="Arial" w:cs="Arial" w:eastAsia="Arial" w:hAnsi="Arial"/>
          <w:sz w:val="21"/>
          <w:szCs w:val="21"/>
          <w:color w:val="auto"/>
        </w:rPr>
        <w:t>Title: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w:t>
      </w:r>
    </w:p>
    <w:p>
      <w:pPr>
        <w:sectPr>
          <w:pgSz w:w="11900" w:h="16838" w:orient="portrait"/>
          <w:cols w:equalWidth="0" w:num="1">
            <w:col w:w="11240"/>
          </w:cols>
          <w:pgMar w:left="320" w:top="1368" w:right="339" w:bottom="1440" w:gutter="0" w:footer="0" w:header="0"/>
        </w:sectPr>
      </w:pPr>
    </w:p>
    <w:bookmarkStart w:id="125" w:name="page126"/>
    <w:bookmarkEnd w:id="125"/>
    <w:p>
      <w:pPr>
        <w:ind w:right="2479" w:firstLine="3577"/>
        <w:spacing w:after="0" w:line="418" w:lineRule="auto"/>
        <w:rPr>
          <w:sz w:val="20"/>
          <w:szCs w:val="20"/>
          <w:color w:val="auto"/>
        </w:rPr>
      </w:pPr>
      <w:r>
        <w:rPr>
          <w:rFonts w:ascii="Arial" w:cs="Arial" w:eastAsia="Arial" w:hAnsi="Arial"/>
          <w:sz w:val="21"/>
          <w:szCs w:val="21"/>
          <w:u w:val="single" w:color="auto"/>
          <w:color w:val="auto"/>
        </w:rPr>
        <w:t xml:space="preserve">ANNEX A TO CERTIFICATE OF TRANSFER </w:t>
      </w:r>
      <w:r>
        <w:rPr>
          <w:rFonts w:ascii="Arial" w:cs="Arial" w:eastAsia="Arial" w:hAnsi="Arial"/>
          <w:sz w:val="21"/>
          <w:szCs w:val="21"/>
          <w:color w:val="auto"/>
        </w:rPr>
        <w:t>1. The Transferor owns and proposes to transfer the following:</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[CHECK ONE OF (a) OR (b)]</w:t>
      </w:r>
    </w:p>
    <w:p>
      <w:pPr>
        <w:spacing w:after="0" w:line="140" w:lineRule="exact"/>
        <w:rPr>
          <w:sz w:val="20"/>
          <w:szCs w:val="20"/>
          <w:color w:val="auto"/>
        </w:rPr>
      </w:pPr>
    </w:p>
    <w:p>
      <w:pPr>
        <w:ind w:left="880" w:hanging="454"/>
        <w:spacing w:after="0" w:line="242" w:lineRule="exact"/>
        <w:tabs>
          <w:tab w:leader="none" w:pos="880" w:val="left"/>
        </w:tabs>
        <w:numPr>
          <w:ilvl w:val="1"/>
          <w:numId w:val="167"/>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 beneficial interest in the:</w:t>
      </w:r>
    </w:p>
    <w:p>
      <w:pPr>
        <w:spacing w:after="0" w:line="179" w:lineRule="exact"/>
        <w:rPr>
          <w:rFonts w:ascii="Arial" w:cs="Arial" w:eastAsia="Arial" w:hAnsi="Arial"/>
          <w:sz w:val="21"/>
          <w:szCs w:val="21"/>
          <w:color w:val="auto"/>
        </w:rPr>
      </w:pPr>
    </w:p>
    <w:p>
      <w:pPr>
        <w:ind w:left="1040" w:hanging="403"/>
        <w:spacing w:after="0" w:line="242" w:lineRule="exact"/>
        <w:tabs>
          <w:tab w:leader="none" w:pos="1040" w:val="left"/>
        </w:tabs>
        <w:numPr>
          <w:ilvl w:val="2"/>
          <w:numId w:val="167"/>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144A Global Note (CUSIP _________), or</w:t>
      </w:r>
    </w:p>
    <w:p>
      <w:pPr>
        <w:spacing w:after="0" w:line="179" w:lineRule="exact"/>
        <w:rPr>
          <w:rFonts w:ascii="Arial" w:cs="Arial" w:eastAsia="Arial" w:hAnsi="Arial"/>
          <w:sz w:val="21"/>
          <w:szCs w:val="21"/>
          <w:color w:val="auto"/>
        </w:rPr>
      </w:pPr>
    </w:p>
    <w:p>
      <w:pPr>
        <w:ind w:left="1100" w:hanging="463"/>
        <w:spacing w:after="0" w:line="242" w:lineRule="exact"/>
        <w:tabs>
          <w:tab w:leader="none" w:pos="1100" w:val="left"/>
        </w:tabs>
        <w:numPr>
          <w:ilvl w:val="2"/>
          <w:numId w:val="167"/>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Regulation S Global Note (CUSIP _________), or</w:t>
      </w:r>
    </w:p>
    <w:p>
      <w:pPr>
        <w:spacing w:after="0" w:line="179" w:lineRule="exact"/>
        <w:rPr>
          <w:rFonts w:ascii="Arial" w:cs="Arial" w:eastAsia="Arial" w:hAnsi="Arial"/>
          <w:sz w:val="21"/>
          <w:szCs w:val="21"/>
          <w:color w:val="auto"/>
        </w:rPr>
      </w:pPr>
    </w:p>
    <w:p>
      <w:pPr>
        <w:ind w:left="1160" w:hanging="523"/>
        <w:spacing w:after="0" w:line="242" w:lineRule="exact"/>
        <w:tabs>
          <w:tab w:leader="none" w:pos="1160" w:val="left"/>
        </w:tabs>
        <w:numPr>
          <w:ilvl w:val="2"/>
          <w:numId w:val="167"/>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IAI Global Note (CUSIP _________); or</w:t>
      </w:r>
    </w:p>
    <w:p>
      <w:pPr>
        <w:spacing w:after="0" w:line="179" w:lineRule="exact"/>
        <w:rPr>
          <w:rFonts w:ascii="Arial" w:cs="Arial" w:eastAsia="Arial" w:hAnsi="Arial"/>
          <w:sz w:val="21"/>
          <w:szCs w:val="21"/>
          <w:color w:val="auto"/>
        </w:rPr>
      </w:pPr>
    </w:p>
    <w:p>
      <w:pPr>
        <w:ind w:left="880" w:hanging="454"/>
        <w:spacing w:after="0" w:line="242" w:lineRule="exact"/>
        <w:tabs>
          <w:tab w:leader="none" w:pos="880" w:val="left"/>
        </w:tabs>
        <w:numPr>
          <w:ilvl w:val="1"/>
          <w:numId w:val="167"/>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 Restricted Definitive Note.</w:t>
      </w:r>
    </w:p>
    <w:p>
      <w:pPr>
        <w:spacing w:after="0" w:line="219" w:lineRule="exact"/>
        <w:rPr>
          <w:rFonts w:ascii="Arial" w:cs="Arial" w:eastAsia="Arial" w:hAnsi="Arial"/>
          <w:sz w:val="21"/>
          <w:szCs w:val="21"/>
          <w:color w:val="auto"/>
        </w:rPr>
      </w:pPr>
    </w:p>
    <w:p>
      <w:pPr>
        <w:ind w:left="360" w:hanging="355"/>
        <w:spacing w:after="0"/>
        <w:tabs>
          <w:tab w:leader="none" w:pos="36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After the Transfer the Transferee will hold:</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[CHECK ONE]</w:t>
      </w:r>
    </w:p>
    <w:p>
      <w:pPr>
        <w:spacing w:after="0" w:line="140" w:lineRule="exact"/>
        <w:rPr>
          <w:sz w:val="20"/>
          <w:szCs w:val="20"/>
          <w:color w:val="auto"/>
        </w:rPr>
      </w:pPr>
    </w:p>
    <w:p>
      <w:pPr>
        <w:ind w:left="880" w:hanging="454"/>
        <w:spacing w:after="0" w:line="242" w:lineRule="exact"/>
        <w:tabs>
          <w:tab w:leader="none" w:pos="880" w:val="left"/>
        </w:tabs>
        <w:numPr>
          <w:ilvl w:val="0"/>
          <w:numId w:val="169"/>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 beneficial interest in the:</w:t>
      </w:r>
    </w:p>
    <w:p>
      <w:pPr>
        <w:spacing w:after="0" w:line="179" w:lineRule="exact"/>
        <w:rPr>
          <w:rFonts w:ascii="Arial" w:cs="Arial" w:eastAsia="Arial" w:hAnsi="Arial"/>
          <w:sz w:val="21"/>
          <w:szCs w:val="21"/>
          <w:color w:val="auto"/>
        </w:rPr>
      </w:pPr>
    </w:p>
    <w:p>
      <w:pPr>
        <w:ind w:left="1040" w:hanging="403"/>
        <w:spacing w:after="0" w:line="242" w:lineRule="exact"/>
        <w:tabs>
          <w:tab w:leader="none" w:pos="1040" w:val="left"/>
        </w:tabs>
        <w:numPr>
          <w:ilvl w:val="1"/>
          <w:numId w:val="169"/>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144A Global Note (CUSIP _________), or</w:t>
      </w:r>
    </w:p>
    <w:p>
      <w:pPr>
        <w:spacing w:after="0" w:line="179" w:lineRule="exact"/>
        <w:rPr>
          <w:rFonts w:ascii="Arial" w:cs="Arial" w:eastAsia="Arial" w:hAnsi="Arial"/>
          <w:sz w:val="21"/>
          <w:szCs w:val="21"/>
          <w:color w:val="auto"/>
        </w:rPr>
      </w:pPr>
    </w:p>
    <w:p>
      <w:pPr>
        <w:ind w:left="1100" w:hanging="463"/>
        <w:spacing w:after="0" w:line="242" w:lineRule="exact"/>
        <w:tabs>
          <w:tab w:leader="none" w:pos="1100" w:val="left"/>
        </w:tabs>
        <w:numPr>
          <w:ilvl w:val="1"/>
          <w:numId w:val="169"/>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Regulation S Global Note (CUSIP _________), or</w:t>
      </w:r>
    </w:p>
    <w:p>
      <w:pPr>
        <w:spacing w:after="0" w:line="179" w:lineRule="exact"/>
        <w:rPr>
          <w:rFonts w:ascii="Arial" w:cs="Arial" w:eastAsia="Arial" w:hAnsi="Arial"/>
          <w:sz w:val="21"/>
          <w:szCs w:val="21"/>
          <w:color w:val="auto"/>
        </w:rPr>
      </w:pPr>
    </w:p>
    <w:p>
      <w:pPr>
        <w:ind w:left="1160" w:hanging="523"/>
        <w:spacing w:after="0" w:line="242" w:lineRule="exact"/>
        <w:tabs>
          <w:tab w:leader="none" w:pos="1160" w:val="left"/>
        </w:tabs>
        <w:numPr>
          <w:ilvl w:val="1"/>
          <w:numId w:val="169"/>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IAI Global Note (CUSIP _________); or</w:t>
      </w:r>
    </w:p>
    <w:p>
      <w:pPr>
        <w:spacing w:after="0" w:line="179" w:lineRule="exact"/>
        <w:rPr>
          <w:rFonts w:ascii="Arial" w:cs="Arial" w:eastAsia="Arial" w:hAnsi="Arial"/>
          <w:sz w:val="21"/>
          <w:szCs w:val="21"/>
          <w:color w:val="auto"/>
        </w:rPr>
      </w:pPr>
    </w:p>
    <w:p>
      <w:pPr>
        <w:ind w:left="1160" w:hanging="523"/>
        <w:spacing w:after="0" w:line="242" w:lineRule="exact"/>
        <w:tabs>
          <w:tab w:leader="none" w:pos="1160" w:val="left"/>
        </w:tabs>
        <w:numPr>
          <w:ilvl w:val="1"/>
          <w:numId w:val="169"/>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Unrestricted Global Note (CUSIP _________); or</w:t>
      </w:r>
    </w:p>
    <w:p>
      <w:pPr>
        <w:spacing w:after="0" w:line="179" w:lineRule="exact"/>
        <w:rPr>
          <w:rFonts w:ascii="Arial" w:cs="Arial" w:eastAsia="Arial" w:hAnsi="Arial"/>
          <w:sz w:val="21"/>
          <w:szCs w:val="21"/>
          <w:color w:val="auto"/>
        </w:rPr>
      </w:pPr>
    </w:p>
    <w:p>
      <w:pPr>
        <w:ind w:left="880" w:hanging="454"/>
        <w:spacing w:after="0" w:line="242" w:lineRule="exact"/>
        <w:tabs>
          <w:tab w:leader="none" w:pos="880" w:val="left"/>
        </w:tabs>
        <w:numPr>
          <w:ilvl w:val="0"/>
          <w:numId w:val="169"/>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 Restricted Definitive Note; or</w:t>
      </w:r>
    </w:p>
    <w:p>
      <w:pPr>
        <w:spacing w:after="0" w:line="179" w:lineRule="exact"/>
        <w:rPr>
          <w:rFonts w:ascii="Arial" w:cs="Arial" w:eastAsia="Arial" w:hAnsi="Arial"/>
          <w:sz w:val="21"/>
          <w:szCs w:val="21"/>
          <w:color w:val="auto"/>
        </w:rPr>
      </w:pPr>
    </w:p>
    <w:p>
      <w:pPr>
        <w:ind w:left="880" w:hanging="454"/>
        <w:spacing w:after="0" w:line="242" w:lineRule="exact"/>
        <w:tabs>
          <w:tab w:leader="none" w:pos="880" w:val="left"/>
        </w:tabs>
        <w:numPr>
          <w:ilvl w:val="0"/>
          <w:numId w:val="169"/>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an Unrestricted Definitive Note,</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21"/>
          <w:szCs w:val="21"/>
          <w:color w:val="auto"/>
        </w:rPr>
        <w:t>in accordance with the terms of the Indenture.</w:t>
      </w:r>
    </w:p>
    <w:p>
      <w:pPr>
        <w:sectPr>
          <w:pgSz w:w="11900" w:h="16838" w:orient="portrait"/>
          <w:cols w:equalWidth="0" w:num="1">
            <w:col w:w="10139"/>
          </w:cols>
          <w:pgMar w:left="320" w:top="1368"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21"/>
          <w:szCs w:val="21"/>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CERTIFICATE OF EXCHANGE</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Wynn Resorts Finance, LLC</w:t>
      </w:r>
    </w:p>
    <w:p>
      <w:pPr>
        <w:spacing w:after="0" w:line="209" w:lineRule="auto"/>
        <w:rPr>
          <w:sz w:val="20"/>
          <w:szCs w:val="20"/>
          <w:color w:val="auto"/>
        </w:rPr>
      </w:pPr>
      <w:r>
        <w:rPr>
          <w:rFonts w:ascii="Arial" w:cs="Arial" w:eastAsia="Arial" w:hAnsi="Arial"/>
          <w:sz w:val="21"/>
          <w:szCs w:val="21"/>
          <w:color w:val="auto"/>
        </w:rPr>
        <w:t>Wynn Resorts Capital Corp.</w:t>
      </w:r>
    </w:p>
    <w:p>
      <w:pPr>
        <w:spacing w:after="0" w:line="209" w:lineRule="auto"/>
        <w:rPr>
          <w:sz w:val="20"/>
          <w:szCs w:val="20"/>
          <w:color w:val="auto"/>
        </w:rPr>
      </w:pPr>
      <w:r>
        <w:rPr>
          <w:rFonts w:ascii="Arial" w:cs="Arial" w:eastAsia="Arial" w:hAnsi="Arial"/>
          <w:sz w:val="21"/>
          <w:szCs w:val="21"/>
          <w:color w:val="auto"/>
        </w:rPr>
        <w:t>3131 Las Vegas Boulevard South</w:t>
      </w:r>
    </w:p>
    <w:p>
      <w:pPr>
        <w:spacing w:after="0" w:line="209" w:lineRule="auto"/>
        <w:rPr>
          <w:sz w:val="20"/>
          <w:szCs w:val="20"/>
          <w:color w:val="auto"/>
        </w:rPr>
      </w:pPr>
      <w:r>
        <w:rPr>
          <w:rFonts w:ascii="Arial" w:cs="Arial" w:eastAsia="Arial" w:hAnsi="Arial"/>
          <w:sz w:val="21"/>
          <w:szCs w:val="21"/>
          <w:color w:val="auto"/>
        </w:rPr>
        <w:t>Las Vegas, Nevada 89109</w:t>
      </w:r>
    </w:p>
    <w:p>
      <w:pPr>
        <w:spacing w:after="0" w:line="209" w:lineRule="auto"/>
        <w:rPr>
          <w:sz w:val="20"/>
          <w:szCs w:val="20"/>
          <w:color w:val="auto"/>
        </w:rPr>
      </w:pPr>
      <w:r>
        <w:rPr>
          <w:rFonts w:ascii="Arial" w:cs="Arial" w:eastAsia="Arial" w:hAnsi="Arial"/>
          <w:sz w:val="21"/>
          <w:szCs w:val="21"/>
          <w:color w:val="auto"/>
        </w:rPr>
        <w:t>Fax: (702) 770-1100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Attention: President</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U.S. Bank Trust Company, National Association</w:t>
      </w:r>
    </w:p>
    <w:p>
      <w:pPr>
        <w:spacing w:after="0" w:line="209" w:lineRule="auto"/>
        <w:rPr>
          <w:sz w:val="20"/>
          <w:szCs w:val="20"/>
          <w:color w:val="auto"/>
        </w:rPr>
      </w:pPr>
      <w:r>
        <w:rPr>
          <w:rFonts w:ascii="Arial" w:cs="Arial" w:eastAsia="Arial" w:hAnsi="Arial"/>
          <w:sz w:val="21"/>
          <w:szCs w:val="21"/>
          <w:color w:val="auto"/>
        </w:rPr>
        <w:t>EP-MN-WS3C</w:t>
      </w:r>
    </w:p>
    <w:p>
      <w:pPr>
        <w:spacing w:after="0" w:line="209" w:lineRule="auto"/>
        <w:rPr>
          <w:sz w:val="20"/>
          <w:szCs w:val="20"/>
          <w:color w:val="auto"/>
        </w:rPr>
      </w:pPr>
      <w:r>
        <w:rPr>
          <w:rFonts w:ascii="Arial" w:cs="Arial" w:eastAsia="Arial" w:hAnsi="Arial"/>
          <w:sz w:val="21"/>
          <w:szCs w:val="21"/>
          <w:color w:val="auto"/>
        </w:rPr>
        <w:t>60 Livingston Avenue</w:t>
      </w:r>
    </w:p>
    <w:p>
      <w:pPr>
        <w:spacing w:after="0" w:line="209" w:lineRule="auto"/>
        <w:rPr>
          <w:sz w:val="20"/>
          <w:szCs w:val="20"/>
          <w:color w:val="auto"/>
        </w:rPr>
      </w:pPr>
      <w:r>
        <w:rPr>
          <w:rFonts w:ascii="Arial" w:cs="Arial" w:eastAsia="Arial" w:hAnsi="Arial"/>
          <w:sz w:val="21"/>
          <w:szCs w:val="21"/>
          <w:color w:val="auto"/>
        </w:rPr>
        <w:t>St. Paul, Minnesota 55107</w:t>
      </w:r>
    </w:p>
    <w:p>
      <w:pPr>
        <w:spacing w:after="0" w:line="209" w:lineRule="auto"/>
        <w:rPr>
          <w:sz w:val="20"/>
          <w:szCs w:val="20"/>
          <w:color w:val="auto"/>
        </w:rPr>
      </w:pPr>
      <w:r>
        <w:rPr>
          <w:rFonts w:ascii="Arial" w:cs="Arial" w:eastAsia="Arial" w:hAnsi="Arial"/>
          <w:sz w:val="21"/>
          <w:szCs w:val="21"/>
          <w:color w:val="auto"/>
        </w:rPr>
        <w:t>Fax No.: (651) 495-8097</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Attention: Corporate Trust Department – Wynn Administrator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Re: 7.125% Senior Notes due 2031</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(CUSIP __________)</w:t>
      </w:r>
    </w:p>
    <w:p>
      <w:pPr>
        <w:spacing w:after="0" w:line="180"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Reference is hereby made to the Indenture, dated as of February 16, 2023 (the “</w:t>
      </w:r>
      <w:r>
        <w:rPr>
          <w:rFonts w:ascii="Arial" w:cs="Arial" w:eastAsia="Arial" w:hAnsi="Arial"/>
          <w:sz w:val="21"/>
          <w:szCs w:val="21"/>
          <w:i w:val="1"/>
          <w:iCs w:val="1"/>
          <w:u w:val="single" w:color="auto"/>
          <w:color w:val="auto"/>
        </w:rPr>
        <w:t>Indenture</w:t>
      </w:r>
      <w:r>
        <w:rPr>
          <w:rFonts w:ascii="Arial" w:cs="Arial" w:eastAsia="Arial" w:hAnsi="Arial"/>
          <w:sz w:val="21"/>
          <w:szCs w:val="21"/>
          <w:color w:val="auto"/>
        </w:rPr>
        <w:t>”), among Wynn Resorts Finance, LLC, a Nevada limited liability company (“</w:t>
      </w:r>
      <w:r>
        <w:rPr>
          <w:rFonts w:ascii="Arial" w:cs="Arial" w:eastAsia="Arial" w:hAnsi="Arial"/>
          <w:sz w:val="21"/>
          <w:szCs w:val="21"/>
          <w:i w:val="1"/>
          <w:iCs w:val="1"/>
          <w:u w:val="single" w:color="auto"/>
          <w:color w:val="auto"/>
        </w:rPr>
        <w:t>Wynn Resorts Finance</w:t>
      </w:r>
      <w:r>
        <w:rPr>
          <w:rFonts w:ascii="Arial" w:cs="Arial" w:eastAsia="Arial" w:hAnsi="Arial"/>
          <w:sz w:val="21"/>
          <w:szCs w:val="21"/>
          <w:color w:val="auto"/>
        </w:rPr>
        <w:t>”), Wynn Resorts Capital Corp., a Nevada corporation (“</w:t>
      </w:r>
      <w:r>
        <w:rPr>
          <w:rFonts w:ascii="Arial" w:cs="Arial" w:eastAsia="Arial" w:hAnsi="Arial"/>
          <w:sz w:val="21"/>
          <w:szCs w:val="21"/>
          <w:i w:val="1"/>
          <w:iCs w:val="1"/>
          <w:u w:val="single" w:color="auto"/>
          <w:color w:val="auto"/>
        </w:rPr>
        <w:t>Wynn</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Resorts Capital</w:t>
      </w:r>
      <w:r>
        <w:rPr>
          <w:rFonts w:ascii="Arial" w:cs="Arial" w:eastAsia="Arial" w:hAnsi="Arial"/>
          <w:sz w:val="21"/>
          <w:szCs w:val="21"/>
          <w:color w:val="auto"/>
        </w:rPr>
        <w:t>” and, together with Wynn Resorts Finance,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the Guarantors party thereto and U.S. Bank Trust</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National Association, as trustee (the “</w:t>
      </w:r>
      <w:r>
        <w:rPr>
          <w:rFonts w:ascii="Arial" w:cs="Arial" w:eastAsia="Arial" w:hAnsi="Arial"/>
          <w:sz w:val="21"/>
          <w:szCs w:val="21"/>
          <w:i w:val="1"/>
          <w:iCs w:val="1"/>
          <w:u w:val="single" w:color="auto"/>
          <w:color w:val="auto"/>
        </w:rPr>
        <w:t>Trustee</w:t>
      </w:r>
      <w:r>
        <w:rPr>
          <w:rFonts w:ascii="Arial" w:cs="Arial" w:eastAsia="Arial" w:hAnsi="Arial"/>
          <w:sz w:val="21"/>
          <w:szCs w:val="21"/>
          <w:color w:val="auto"/>
        </w:rPr>
        <w:t>”). Capitalized terms used but not defined herein shall have the meanings given to them in the Indenture.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__________________________, (the “</w:t>
      </w:r>
      <w:r>
        <w:rPr>
          <w:rFonts w:ascii="Arial" w:cs="Arial" w:eastAsia="Arial" w:hAnsi="Arial"/>
          <w:sz w:val="20"/>
          <w:szCs w:val="20"/>
          <w:i w:val="1"/>
          <w:iCs w:val="1"/>
          <w:u w:val="single" w:color="auto"/>
          <w:color w:val="auto"/>
        </w:rPr>
        <w:t>Owner</w:t>
      </w:r>
      <w:r>
        <w:rPr>
          <w:rFonts w:ascii="Arial" w:cs="Arial" w:eastAsia="Arial" w:hAnsi="Arial"/>
          <w:sz w:val="20"/>
          <w:szCs w:val="20"/>
          <w:color w:val="auto"/>
        </w:rPr>
        <w:t>”) owns and proposes to exchange the Note[s] or interest in such Note[s]</w:t>
      </w:r>
    </w:p>
    <w:p>
      <w:pPr>
        <w:spacing w:after="0" w:line="231" w:lineRule="auto"/>
        <w:rPr>
          <w:sz w:val="20"/>
          <w:szCs w:val="20"/>
          <w:color w:val="auto"/>
        </w:rPr>
      </w:pPr>
      <w:r>
        <w:rPr>
          <w:rFonts w:ascii="Arial" w:cs="Arial" w:eastAsia="Arial" w:hAnsi="Arial"/>
          <w:sz w:val="19"/>
          <w:szCs w:val="19"/>
          <w:color w:val="auto"/>
        </w:rPr>
        <w:t>specified herein, in the principal amount of $____________ in such Note[s] or interests (the “</w:t>
      </w:r>
      <w:r>
        <w:rPr>
          <w:rFonts w:ascii="Arial" w:cs="Arial" w:eastAsia="Arial" w:hAnsi="Arial"/>
          <w:sz w:val="19"/>
          <w:szCs w:val="19"/>
          <w:i w:val="1"/>
          <w:iCs w:val="1"/>
          <w:u w:val="single" w:color="auto"/>
          <w:color w:val="auto"/>
        </w:rPr>
        <w:t>Exchange</w:t>
      </w:r>
      <w:r>
        <w:rPr>
          <w:rFonts w:ascii="Arial" w:cs="Arial" w:eastAsia="Arial" w:hAnsi="Arial"/>
          <w:sz w:val="19"/>
          <w:szCs w:val="19"/>
          <w:color w:val="auto"/>
        </w:rPr>
        <w:t>”). In connection with the</w:t>
      </w:r>
    </w:p>
    <w:p>
      <w:pPr>
        <w:spacing w:after="0"/>
        <w:rPr>
          <w:sz w:val="20"/>
          <w:szCs w:val="20"/>
          <w:color w:val="auto"/>
        </w:rPr>
      </w:pPr>
      <w:r>
        <w:rPr>
          <w:rFonts w:ascii="Arial" w:cs="Arial" w:eastAsia="Arial" w:hAnsi="Arial"/>
          <w:sz w:val="21"/>
          <w:szCs w:val="21"/>
          <w:color w:val="auto"/>
        </w:rPr>
        <w:t>Exchange, the Owner hereby certifies that:</w:t>
      </w:r>
    </w:p>
    <w:p>
      <w:pPr>
        <w:spacing w:after="0" w:line="156" w:lineRule="exact"/>
        <w:rPr>
          <w:sz w:val="20"/>
          <w:szCs w:val="20"/>
          <w:color w:val="auto"/>
        </w:rPr>
      </w:pPr>
    </w:p>
    <w:p>
      <w:pPr>
        <w:ind w:right="20" w:firstLine="637"/>
        <w:spacing w:after="0" w:line="241" w:lineRule="auto"/>
        <w:tabs>
          <w:tab w:leader="none" w:pos="1263" w:val="left"/>
        </w:tabs>
        <w:numPr>
          <w:ilvl w:val="0"/>
          <w:numId w:val="170"/>
        </w:numPr>
        <w:rPr>
          <w:rFonts w:ascii="Arial" w:cs="Arial" w:eastAsia="Arial" w:hAnsi="Arial"/>
          <w:sz w:val="21"/>
          <w:szCs w:val="21"/>
          <w:color w:val="auto"/>
        </w:rPr>
      </w:pPr>
      <w:r>
        <w:rPr>
          <w:rFonts w:ascii="Arial" w:cs="Arial" w:eastAsia="Arial" w:hAnsi="Arial"/>
          <w:sz w:val="21"/>
          <w:szCs w:val="21"/>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13" w:lineRule="exact"/>
        <w:rPr>
          <w:sz w:val="20"/>
          <w:szCs w:val="20"/>
          <w:color w:val="auto"/>
        </w:rPr>
      </w:pPr>
    </w:p>
    <w:p>
      <w:pPr>
        <w:jc w:val="both"/>
        <w:ind w:firstLine="637"/>
        <w:spacing w:after="0" w:line="223" w:lineRule="exact"/>
        <w:tabs>
          <w:tab w:leader="none" w:pos="1260" w:val="left"/>
        </w:tabs>
        <w:numPr>
          <w:ilvl w:val="0"/>
          <w:numId w:val="17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Check if Exchange is from beneficial interest in a Restricted Global Note to beneficial interest in an Unrestricted Global Note. </w:t>
      </w:r>
      <w:r>
        <w:rPr>
          <w:rFonts w:ascii="Arial" w:cs="Arial" w:eastAsia="Arial" w:hAnsi="Arial"/>
          <w:sz w:val="20"/>
          <w:szCs w:val="20"/>
          <w:color w:val="auto"/>
        </w:rPr>
        <w:t>In connection with the Exchange of the Owner’s beneficial interest in a Restricted Global Note for a</w:t>
      </w:r>
      <w:r>
        <w:rPr>
          <w:rFonts w:ascii="Arial" w:cs="Arial" w:eastAsia="Arial" w:hAnsi="Arial"/>
          <w:sz w:val="20"/>
          <w:szCs w:val="20"/>
          <w:b w:val="1"/>
          <w:bCs w:val="1"/>
          <w:color w:val="auto"/>
        </w:rPr>
        <w:t xml:space="preserve"> </w:t>
      </w:r>
      <w:r>
        <w:rPr>
          <w:rFonts w:ascii="Arial" w:cs="Arial" w:eastAsia="Arial" w:hAnsi="Arial"/>
          <w:sz w:val="20"/>
          <w:szCs w:val="20"/>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16" w:lineRule="exact"/>
        <w:rPr>
          <w:rFonts w:ascii="Arial" w:cs="Arial" w:eastAsia="Arial" w:hAnsi="Arial"/>
          <w:sz w:val="20"/>
          <w:szCs w:val="20"/>
          <w:color w:val="auto"/>
        </w:rPr>
      </w:pPr>
    </w:p>
    <w:p>
      <w:pPr>
        <w:jc w:val="both"/>
        <w:ind w:firstLine="637"/>
        <w:spacing w:after="0" w:line="230" w:lineRule="exact"/>
        <w:tabs>
          <w:tab w:leader="none" w:pos="1259" w:val="left"/>
        </w:tabs>
        <w:numPr>
          <w:ilvl w:val="0"/>
          <w:numId w:val="171"/>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Exchange is from beneficial interest in a Restricted Global Note to Unrestricted Definitive Note. </w:t>
      </w:r>
      <w:r>
        <w:rPr>
          <w:rFonts w:ascii="Arial" w:cs="Arial" w:eastAsia="Arial" w:hAnsi="Arial"/>
          <w:sz w:val="21"/>
          <w:szCs w:val="21"/>
          <w:color w:val="auto"/>
        </w:rPr>
        <w:t>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C-1</w:t>
      </w:r>
    </w:p>
    <w:p>
      <w:pPr>
        <w:sectPr>
          <w:pgSz w:w="11900" w:h="16838" w:orient="portrait"/>
          <w:cols w:equalWidth="0" w:num="1">
            <w:col w:w="11240"/>
          </w:cols>
          <w:pgMar w:left="320" w:top="100" w:right="339" w:bottom="1440" w:gutter="0" w:footer="0" w:header="0"/>
        </w:sectPr>
      </w:pPr>
    </w:p>
    <w:bookmarkStart w:id="127" w:name="page128"/>
    <w:bookmarkEnd w:id="127"/>
    <w:p>
      <w:pPr>
        <w:jc w:val="both"/>
        <w:spacing w:after="0" w:line="228" w:lineRule="auto"/>
        <w:rPr>
          <w:sz w:val="20"/>
          <w:szCs w:val="20"/>
          <w:color w:val="auto"/>
        </w:rPr>
      </w:pPr>
      <w:r>
        <w:rPr>
          <w:rFonts w:ascii="Arial" w:cs="Arial" w:eastAsia="Arial" w:hAnsi="Arial"/>
          <w:sz w:val="21"/>
          <w:szCs w:val="21"/>
          <w:color w:val="auto"/>
        </w:rPr>
        <w:t>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14" w:lineRule="exact"/>
        <w:rPr>
          <w:sz w:val="20"/>
          <w:szCs w:val="20"/>
          <w:color w:val="auto"/>
        </w:rPr>
      </w:pPr>
    </w:p>
    <w:p>
      <w:pPr>
        <w:jc w:val="both"/>
        <w:ind w:firstLine="637"/>
        <w:spacing w:after="0" w:line="225" w:lineRule="exact"/>
        <w:tabs>
          <w:tab w:leader="none" w:pos="1260" w:val="left"/>
        </w:tabs>
        <w:numPr>
          <w:ilvl w:val="0"/>
          <w:numId w:val="17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Check if Exchange is from Restricted Definitive Note to beneficial interest in an Unrestricted Global Note. </w:t>
      </w:r>
      <w:r>
        <w:rPr>
          <w:rFonts w:ascii="Arial" w:cs="Arial" w:eastAsia="Arial" w:hAnsi="Arial"/>
          <w:sz w:val="20"/>
          <w:szCs w:val="20"/>
          <w:color w:val="auto"/>
        </w:rPr>
        <w:t>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14" w:lineRule="exact"/>
        <w:rPr>
          <w:rFonts w:ascii="Arial" w:cs="Arial" w:eastAsia="Arial" w:hAnsi="Arial"/>
          <w:sz w:val="20"/>
          <w:szCs w:val="20"/>
          <w:color w:val="auto"/>
        </w:rPr>
      </w:pPr>
    </w:p>
    <w:p>
      <w:pPr>
        <w:jc w:val="both"/>
        <w:ind w:firstLine="637"/>
        <w:spacing w:after="0" w:line="225" w:lineRule="exact"/>
        <w:tabs>
          <w:tab w:leader="none" w:pos="1259" w:val="left"/>
        </w:tabs>
        <w:numPr>
          <w:ilvl w:val="0"/>
          <w:numId w:val="17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Check if Exchange is from Restricted Definitive Note to Unrestricted Definitive Note. </w:t>
      </w:r>
      <w:r>
        <w:rPr>
          <w:rFonts w:ascii="Arial" w:cs="Arial" w:eastAsia="Arial" w:hAnsi="Arial"/>
          <w:sz w:val="20"/>
          <w:szCs w:val="20"/>
          <w:color w:val="auto"/>
        </w:rPr>
        <w:t>In connection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48" w:lineRule="exact"/>
        <w:rPr>
          <w:sz w:val="20"/>
          <w:szCs w:val="20"/>
          <w:color w:val="auto"/>
        </w:rPr>
      </w:pPr>
    </w:p>
    <w:p>
      <w:pPr>
        <w:ind w:firstLine="637"/>
        <w:spacing w:after="0" w:line="241" w:lineRule="auto"/>
        <w:tabs>
          <w:tab w:leader="none" w:pos="1263" w:val="left"/>
        </w:tabs>
        <w:numPr>
          <w:ilvl w:val="0"/>
          <w:numId w:val="173"/>
        </w:numPr>
        <w:rPr>
          <w:rFonts w:ascii="Arial" w:cs="Arial" w:eastAsia="Arial" w:hAnsi="Arial"/>
          <w:sz w:val="21"/>
          <w:szCs w:val="21"/>
          <w:color w:val="auto"/>
        </w:rPr>
      </w:pPr>
      <w:r>
        <w:rPr>
          <w:rFonts w:ascii="Arial" w:cs="Arial" w:eastAsia="Arial" w:hAnsi="Arial"/>
          <w:sz w:val="21"/>
          <w:szCs w:val="21"/>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13" w:lineRule="exact"/>
        <w:rPr>
          <w:sz w:val="20"/>
          <w:szCs w:val="20"/>
          <w:color w:val="auto"/>
        </w:rPr>
      </w:pPr>
    </w:p>
    <w:p>
      <w:pPr>
        <w:jc w:val="both"/>
        <w:ind w:firstLine="637"/>
        <w:spacing w:after="0" w:line="227" w:lineRule="exact"/>
        <w:tabs>
          <w:tab w:leader="none" w:pos="1260" w:val="left"/>
        </w:tabs>
        <w:numPr>
          <w:ilvl w:val="0"/>
          <w:numId w:val="17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Check if Exchange is from beneficial interest in a Restricted Global Note to Restricted Definitive Note. </w:t>
      </w:r>
      <w:r>
        <w:rPr>
          <w:rFonts w:ascii="Arial" w:cs="Arial" w:eastAsia="Arial" w:hAnsi="Arial"/>
          <w:sz w:val="20"/>
          <w:szCs w:val="20"/>
          <w:color w:val="auto"/>
        </w:rPr>
        <w:t>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16" w:lineRule="exact"/>
        <w:rPr>
          <w:rFonts w:ascii="Arial" w:cs="Arial" w:eastAsia="Arial" w:hAnsi="Arial"/>
          <w:sz w:val="20"/>
          <w:szCs w:val="20"/>
          <w:color w:val="auto"/>
        </w:rPr>
      </w:pPr>
    </w:p>
    <w:p>
      <w:pPr>
        <w:jc w:val="both"/>
        <w:ind w:firstLine="637"/>
        <w:spacing w:after="0" w:line="221" w:lineRule="exact"/>
        <w:tabs>
          <w:tab w:leader="none" w:pos="1259" w:val="left"/>
        </w:tabs>
        <w:numPr>
          <w:ilvl w:val="0"/>
          <w:numId w:val="174"/>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Exchange is from Restricted Definitive Note to beneficial interest in a Restricted Global Note. </w:t>
      </w:r>
      <w:r>
        <w:rPr>
          <w:rFonts w:ascii="Arial" w:cs="Arial" w:eastAsia="Arial" w:hAnsi="Arial"/>
          <w:sz w:val="21"/>
          <w:szCs w:val="21"/>
          <w:color w:val="auto"/>
        </w:rPr>
        <w:t>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connection with the Exchange of the Owner’s Restricted Definitive Note for a beneficial interest in the [CHECK ONE] </w:t>
      </w:r>
      <w:r>
        <w:rPr>
          <w:rFonts w:ascii="MS PGothic" w:cs="MS PGothic" w:eastAsia="MS PGothic" w:hAnsi="MS PGothic"/>
          <w:sz w:val="21"/>
          <w:szCs w:val="21"/>
          <w:color w:val="auto"/>
        </w:rPr>
        <w:t>☐</w:t>
      </w:r>
      <w:r>
        <w:rPr>
          <w:rFonts w:ascii="Arial" w:cs="Arial" w:eastAsia="Arial" w:hAnsi="Arial"/>
          <w:sz w:val="21"/>
          <w:szCs w:val="21"/>
          <w:color w:val="auto"/>
        </w:rPr>
        <w:t xml:space="preserve"> 144A Global Note, </w:t>
      </w:r>
      <w:r>
        <w:rPr>
          <w:rFonts w:ascii="MS PGothic" w:cs="MS PGothic" w:eastAsia="MS PGothic" w:hAnsi="MS PGothic"/>
          <w:sz w:val="21"/>
          <w:szCs w:val="21"/>
          <w:color w:val="auto"/>
        </w:rPr>
        <w:t>☐</w:t>
      </w:r>
      <w:r>
        <w:rPr>
          <w:rFonts w:ascii="Arial" w:cs="Arial" w:eastAsia="Arial" w:hAnsi="Arial"/>
          <w:sz w:val="21"/>
          <w:szCs w:val="21"/>
          <w:color w:val="auto"/>
        </w:rPr>
        <w:t xml:space="preserve"> Regulation S Global Note, </w:t>
      </w:r>
      <w:r>
        <w:rPr>
          <w:rFonts w:ascii="MS PGothic" w:cs="MS PGothic" w:eastAsia="MS PGothic" w:hAnsi="MS PGothic"/>
          <w:sz w:val="21"/>
          <w:szCs w:val="21"/>
          <w:color w:val="auto"/>
        </w:rPr>
        <w:t>☐</w:t>
      </w:r>
      <w:r>
        <w:rPr>
          <w:rFonts w:ascii="Arial" w:cs="Arial" w:eastAsia="Arial" w:hAnsi="Arial"/>
          <w:sz w:val="21"/>
          <w:szCs w:val="21"/>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certificate and the statements contained herein are made for your benefit and the benefit of Wynn Resorts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C-2</w:t>
      </w:r>
    </w:p>
    <w:p>
      <w:pPr>
        <w:sectPr>
          <w:pgSz w:w="11900" w:h="16838" w:orient="portrait"/>
          <w:cols w:equalWidth="0" w:num="1">
            <w:col w:w="11240"/>
          </w:cols>
          <w:pgMar w:left="320" w:top="1368" w:right="339" w:bottom="1440" w:gutter="0" w:footer="0" w:header="0"/>
        </w:sectPr>
      </w:pPr>
    </w:p>
    <w:bookmarkStart w:id="128" w:name="page129"/>
    <w:bookmarkEnd w:id="128"/>
    <w:p>
      <w:pPr>
        <w:jc w:val="right"/>
        <w:ind w:right="3699"/>
        <w:spacing w:after="0"/>
        <w:rPr>
          <w:sz w:val="20"/>
          <w:szCs w:val="20"/>
          <w:color w:val="auto"/>
        </w:rPr>
      </w:pPr>
      <w:r>
        <w:rPr>
          <w:rFonts w:ascii="Arial" w:cs="Arial" w:eastAsia="Arial" w:hAnsi="Arial"/>
          <w:sz w:val="21"/>
          <w:szCs w:val="21"/>
          <w:color w:val="auto"/>
        </w:rPr>
        <w:t>[Insert Name of Transferor]</w:t>
      </w:r>
    </w:p>
    <w:p>
      <w:pPr>
        <w:spacing w:after="0" w:line="200" w:lineRule="exact"/>
        <w:rPr>
          <w:sz w:val="20"/>
          <w:szCs w:val="20"/>
          <w:color w:val="auto"/>
        </w:rPr>
      </w:pPr>
    </w:p>
    <w:p>
      <w:pPr>
        <w:spacing w:after="0" w:line="230"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w:t>
      </w:r>
    </w:p>
    <w:p>
      <w:pPr>
        <w:ind w:left="4000"/>
        <w:spacing w:after="0" w:line="209" w:lineRule="auto"/>
        <w:rPr>
          <w:sz w:val="20"/>
          <w:szCs w:val="20"/>
          <w:color w:val="auto"/>
        </w:rPr>
      </w:pPr>
      <w:r>
        <w:rPr>
          <w:rFonts w:ascii="Arial" w:cs="Arial" w:eastAsia="Arial" w:hAnsi="Arial"/>
          <w:sz w:val="21"/>
          <w:szCs w:val="21"/>
          <w:color w:val="auto"/>
        </w:rPr>
        <w:t>Name:</w:t>
      </w:r>
    </w:p>
    <w:p>
      <w:pPr>
        <w:ind w:left="4000"/>
        <w:spacing w:after="0"/>
        <w:rPr>
          <w:sz w:val="20"/>
          <w:szCs w:val="20"/>
          <w:color w:val="auto"/>
        </w:rPr>
      </w:pPr>
      <w:r>
        <w:rPr>
          <w:rFonts w:ascii="Arial" w:cs="Arial" w:eastAsia="Arial" w:hAnsi="Arial"/>
          <w:sz w:val="21"/>
          <w:szCs w:val="21"/>
          <w:color w:val="auto"/>
        </w:rPr>
        <w:t>Title: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Dated: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C-3</w:t>
      </w:r>
    </w:p>
    <w:p>
      <w:pPr>
        <w:sectPr>
          <w:pgSz w:w="11900" w:h="16838" w:orient="portrait"/>
          <w:cols w:equalWidth="0" w:num="1">
            <w:col w:w="10139"/>
          </w:cols>
          <w:pgMar w:left="320" w:top="1368"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21"/>
          <w:szCs w:val="21"/>
          <w:b w:val="1"/>
          <w:bCs w:val="1"/>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CERTIFICATE FROM</w:t>
      </w:r>
    </w:p>
    <w:p>
      <w:pPr>
        <w:jc w:val="center"/>
        <w:spacing w:after="0"/>
        <w:rPr>
          <w:sz w:val="20"/>
          <w:szCs w:val="20"/>
          <w:color w:val="auto"/>
        </w:rPr>
      </w:pPr>
      <w:r>
        <w:rPr>
          <w:rFonts w:ascii="Arial" w:cs="Arial" w:eastAsia="Arial" w:hAnsi="Arial"/>
          <w:sz w:val="21"/>
          <w:szCs w:val="21"/>
          <w:color w:val="auto"/>
        </w:rPr>
        <w:t>ACQUIRING INSTITUTIONAL ACCREDITED INVESTOR</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Wynn Resorts Finance, LLC</w:t>
      </w:r>
    </w:p>
    <w:p>
      <w:pPr>
        <w:spacing w:after="0" w:line="209" w:lineRule="auto"/>
        <w:rPr>
          <w:sz w:val="20"/>
          <w:szCs w:val="20"/>
          <w:color w:val="auto"/>
        </w:rPr>
      </w:pPr>
      <w:r>
        <w:rPr>
          <w:rFonts w:ascii="Arial" w:cs="Arial" w:eastAsia="Arial" w:hAnsi="Arial"/>
          <w:sz w:val="21"/>
          <w:szCs w:val="21"/>
          <w:color w:val="auto"/>
        </w:rPr>
        <w:t>Wynn Resorts Capital Corp.</w:t>
      </w:r>
    </w:p>
    <w:p>
      <w:pPr>
        <w:spacing w:after="0" w:line="209" w:lineRule="auto"/>
        <w:rPr>
          <w:sz w:val="20"/>
          <w:szCs w:val="20"/>
          <w:color w:val="auto"/>
        </w:rPr>
      </w:pPr>
      <w:r>
        <w:rPr>
          <w:rFonts w:ascii="Arial" w:cs="Arial" w:eastAsia="Arial" w:hAnsi="Arial"/>
          <w:sz w:val="21"/>
          <w:szCs w:val="21"/>
          <w:color w:val="auto"/>
        </w:rPr>
        <w:t>3131 Las Vegas Boulevard South</w:t>
      </w:r>
    </w:p>
    <w:p>
      <w:pPr>
        <w:spacing w:after="0" w:line="209" w:lineRule="auto"/>
        <w:rPr>
          <w:sz w:val="20"/>
          <w:szCs w:val="20"/>
          <w:color w:val="auto"/>
        </w:rPr>
      </w:pPr>
      <w:r>
        <w:rPr>
          <w:rFonts w:ascii="Arial" w:cs="Arial" w:eastAsia="Arial" w:hAnsi="Arial"/>
          <w:sz w:val="21"/>
          <w:szCs w:val="21"/>
          <w:color w:val="auto"/>
        </w:rPr>
        <w:t>Las Vegas, Nevada 89109</w:t>
      </w:r>
    </w:p>
    <w:p>
      <w:pPr>
        <w:spacing w:after="0" w:line="209" w:lineRule="auto"/>
        <w:rPr>
          <w:sz w:val="20"/>
          <w:szCs w:val="20"/>
          <w:color w:val="auto"/>
        </w:rPr>
      </w:pPr>
      <w:r>
        <w:rPr>
          <w:rFonts w:ascii="Arial" w:cs="Arial" w:eastAsia="Arial" w:hAnsi="Arial"/>
          <w:sz w:val="21"/>
          <w:szCs w:val="21"/>
          <w:color w:val="auto"/>
        </w:rPr>
        <w:t>Fax No.: (702) 770-1100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Attention: President</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U.S. Bank Trust Company, National Association</w:t>
      </w:r>
    </w:p>
    <w:p>
      <w:pPr>
        <w:spacing w:after="0" w:line="209" w:lineRule="auto"/>
        <w:rPr>
          <w:sz w:val="20"/>
          <w:szCs w:val="20"/>
          <w:color w:val="auto"/>
        </w:rPr>
      </w:pPr>
      <w:r>
        <w:rPr>
          <w:rFonts w:ascii="Arial" w:cs="Arial" w:eastAsia="Arial" w:hAnsi="Arial"/>
          <w:sz w:val="21"/>
          <w:szCs w:val="21"/>
          <w:color w:val="auto"/>
        </w:rPr>
        <w:t>EP-MN-WS3C</w:t>
      </w:r>
    </w:p>
    <w:p>
      <w:pPr>
        <w:spacing w:after="0" w:line="209" w:lineRule="auto"/>
        <w:rPr>
          <w:sz w:val="20"/>
          <w:szCs w:val="20"/>
          <w:color w:val="auto"/>
        </w:rPr>
      </w:pPr>
      <w:r>
        <w:rPr>
          <w:rFonts w:ascii="Arial" w:cs="Arial" w:eastAsia="Arial" w:hAnsi="Arial"/>
          <w:sz w:val="21"/>
          <w:szCs w:val="21"/>
          <w:color w:val="auto"/>
        </w:rPr>
        <w:t>60 Livingston Avenue</w:t>
      </w:r>
    </w:p>
    <w:p>
      <w:pPr>
        <w:spacing w:after="0" w:line="209" w:lineRule="auto"/>
        <w:rPr>
          <w:sz w:val="20"/>
          <w:szCs w:val="20"/>
          <w:color w:val="auto"/>
        </w:rPr>
      </w:pPr>
      <w:r>
        <w:rPr>
          <w:rFonts w:ascii="Arial" w:cs="Arial" w:eastAsia="Arial" w:hAnsi="Arial"/>
          <w:sz w:val="21"/>
          <w:szCs w:val="21"/>
          <w:color w:val="auto"/>
        </w:rPr>
        <w:t>St. Paul, Minnesota 55107</w:t>
      </w:r>
    </w:p>
    <w:p>
      <w:pPr>
        <w:spacing w:after="0" w:line="209" w:lineRule="auto"/>
        <w:rPr>
          <w:sz w:val="20"/>
          <w:szCs w:val="20"/>
          <w:color w:val="auto"/>
        </w:rPr>
      </w:pPr>
      <w:r>
        <w:rPr>
          <w:rFonts w:ascii="Arial" w:cs="Arial" w:eastAsia="Arial" w:hAnsi="Arial"/>
          <w:sz w:val="21"/>
          <w:szCs w:val="21"/>
          <w:color w:val="auto"/>
        </w:rPr>
        <w:t>Fax No.: (651) 495-8097</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Attention: Corporate Trust Department – Wynn Administrator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Re: 7.125% Senior Notes due 2031</w:t>
      </w:r>
    </w:p>
    <w:p>
      <w:pPr>
        <w:spacing w:after="0" w:line="180"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Reference is hereby made to the Indenture, dated as of February 16, 2023 (the “</w:t>
      </w:r>
      <w:r>
        <w:rPr>
          <w:rFonts w:ascii="Arial" w:cs="Arial" w:eastAsia="Arial" w:hAnsi="Arial"/>
          <w:sz w:val="21"/>
          <w:szCs w:val="21"/>
          <w:i w:val="1"/>
          <w:iCs w:val="1"/>
          <w:u w:val="single" w:color="auto"/>
          <w:color w:val="auto"/>
        </w:rPr>
        <w:t>Indenture</w:t>
      </w:r>
      <w:r>
        <w:rPr>
          <w:rFonts w:ascii="Arial" w:cs="Arial" w:eastAsia="Arial" w:hAnsi="Arial"/>
          <w:sz w:val="21"/>
          <w:szCs w:val="21"/>
          <w:color w:val="auto"/>
        </w:rPr>
        <w:t>”), among Wynn Resorts Finance, LLC, a Nevada limited liability company (“</w:t>
      </w:r>
      <w:r>
        <w:rPr>
          <w:rFonts w:ascii="Arial" w:cs="Arial" w:eastAsia="Arial" w:hAnsi="Arial"/>
          <w:sz w:val="21"/>
          <w:szCs w:val="21"/>
          <w:i w:val="1"/>
          <w:iCs w:val="1"/>
          <w:u w:val="single" w:color="auto"/>
          <w:color w:val="auto"/>
        </w:rPr>
        <w:t>Wynn Resorts Finance</w:t>
      </w:r>
      <w:r>
        <w:rPr>
          <w:rFonts w:ascii="Arial" w:cs="Arial" w:eastAsia="Arial" w:hAnsi="Arial"/>
          <w:sz w:val="21"/>
          <w:szCs w:val="21"/>
          <w:color w:val="auto"/>
        </w:rPr>
        <w:t>”), Wynn Resorts Capital Corp., a Nevada corporation (“</w:t>
      </w:r>
      <w:r>
        <w:rPr>
          <w:rFonts w:ascii="Arial" w:cs="Arial" w:eastAsia="Arial" w:hAnsi="Arial"/>
          <w:sz w:val="21"/>
          <w:szCs w:val="21"/>
          <w:i w:val="1"/>
          <w:iCs w:val="1"/>
          <w:u w:val="single" w:color="auto"/>
          <w:color w:val="auto"/>
        </w:rPr>
        <w:t>Wynn</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Resorts Capital</w:t>
      </w:r>
      <w:r>
        <w:rPr>
          <w:rFonts w:ascii="Arial" w:cs="Arial" w:eastAsia="Arial" w:hAnsi="Arial"/>
          <w:sz w:val="21"/>
          <w:szCs w:val="21"/>
          <w:color w:val="auto"/>
        </w:rPr>
        <w:t>” and, together with Wynn Resorts Finance,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the Guarantors party thereto and U.S. Bank Trust</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National Association, as trustee (the “</w:t>
      </w:r>
      <w:r>
        <w:rPr>
          <w:rFonts w:ascii="Arial" w:cs="Arial" w:eastAsia="Arial" w:hAnsi="Arial"/>
          <w:sz w:val="21"/>
          <w:szCs w:val="21"/>
          <w:i w:val="1"/>
          <w:iCs w:val="1"/>
          <w:u w:val="single" w:color="auto"/>
          <w:color w:val="auto"/>
        </w:rPr>
        <w:t>Trustee</w:t>
      </w:r>
      <w:r>
        <w:rPr>
          <w:rFonts w:ascii="Arial" w:cs="Arial" w:eastAsia="Arial" w:hAnsi="Arial"/>
          <w:sz w:val="21"/>
          <w:szCs w:val="21"/>
          <w:color w:val="auto"/>
        </w:rPr>
        <w:t>”). Capitalized terms used but not defined herein shall have the meanings given to them in the Indenture.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connection with our proposed purchase of $____________ aggregate principal amount of:</w:t>
      </w:r>
    </w:p>
    <w:p>
      <w:pPr>
        <w:spacing w:after="0" w:line="140" w:lineRule="exact"/>
        <w:rPr>
          <w:sz w:val="20"/>
          <w:szCs w:val="20"/>
          <w:color w:val="auto"/>
        </w:rPr>
      </w:pPr>
    </w:p>
    <w:p>
      <w:pPr>
        <w:ind w:left="1260" w:hanging="623"/>
        <w:spacing w:after="0" w:line="242" w:lineRule="exact"/>
        <w:tabs>
          <w:tab w:leader="none" w:pos="1260" w:val="left"/>
        </w:tabs>
        <w:numPr>
          <w:ilvl w:val="0"/>
          <w:numId w:val="175"/>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 beneficial interest in a Global Note, or</w:t>
      </w:r>
    </w:p>
    <w:p>
      <w:pPr>
        <w:spacing w:after="0" w:line="179" w:lineRule="exact"/>
        <w:rPr>
          <w:rFonts w:ascii="Arial" w:cs="Arial" w:eastAsia="Arial" w:hAnsi="Arial"/>
          <w:sz w:val="21"/>
          <w:szCs w:val="21"/>
          <w:color w:val="auto"/>
        </w:rPr>
      </w:pPr>
    </w:p>
    <w:p>
      <w:pPr>
        <w:ind w:left="1260" w:hanging="623"/>
        <w:spacing w:after="0" w:line="242" w:lineRule="exact"/>
        <w:tabs>
          <w:tab w:leader="none" w:pos="1260" w:val="left"/>
        </w:tabs>
        <w:numPr>
          <w:ilvl w:val="0"/>
          <w:numId w:val="175"/>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 Definitive Note,</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we confirm that:</w:t>
      </w:r>
    </w:p>
    <w:p>
      <w:pPr>
        <w:spacing w:after="0" w:line="180" w:lineRule="exact"/>
        <w:rPr>
          <w:sz w:val="20"/>
          <w:szCs w:val="20"/>
          <w:color w:val="auto"/>
        </w:rPr>
      </w:pPr>
    </w:p>
    <w:p>
      <w:pPr>
        <w:jc w:val="both"/>
        <w:ind w:firstLine="637"/>
        <w:spacing w:after="0" w:line="223" w:lineRule="auto"/>
        <w:tabs>
          <w:tab w:leader="none" w:pos="1263"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21"/>
          <w:szCs w:val="21"/>
          <w:i w:val="1"/>
          <w:iCs w:val="1"/>
          <w:u w:val="single" w:color="auto"/>
          <w:color w:val="auto"/>
        </w:rPr>
        <w:t>Securities Act</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jc w:val="both"/>
        <w:ind w:firstLine="637"/>
        <w:spacing w:after="0" w:line="225" w:lineRule="auto"/>
        <w:tabs>
          <w:tab w:leader="none" w:pos="126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Wynn Resorts Finance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Wynn Resorts Finance a signed letter substantially in the form of this letter and an Opinion of Counsel in form reasonably acceptable to Wynn Resorts Finance to the effect that such transfer is in compliance with the Securities Act, (D) outside the United States in accordance with Rule 904 of Regulation S under the Securities Act, or (E) pursuant to the provisions of Rule 144(k) under the Securities Act, and we further agree to provide to any Person purchasing the Definitive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D-1</w:t>
      </w:r>
    </w:p>
    <w:p>
      <w:pPr>
        <w:sectPr>
          <w:pgSz w:w="11900" w:h="16838" w:orient="portrait"/>
          <w:cols w:equalWidth="0" w:num="1">
            <w:col w:w="11240"/>
          </w:cols>
          <w:pgMar w:left="320" w:top="100" w:right="339" w:bottom="1440" w:gutter="0" w:footer="0" w:header="0"/>
        </w:sectPr>
      </w:pPr>
    </w:p>
    <w:bookmarkStart w:id="130" w:name="page131"/>
    <w:bookmarkEnd w:id="130"/>
    <w:p>
      <w:pPr>
        <w:spacing w:after="0" w:line="237" w:lineRule="auto"/>
        <w:rPr>
          <w:sz w:val="20"/>
          <w:szCs w:val="20"/>
          <w:color w:val="auto"/>
        </w:rPr>
      </w:pPr>
      <w:r>
        <w:rPr>
          <w:rFonts w:ascii="Arial" w:cs="Arial" w:eastAsia="Arial" w:hAnsi="Arial"/>
          <w:sz w:val="21"/>
          <w:szCs w:val="21"/>
          <w:color w:val="auto"/>
        </w:rPr>
        <w:t>or beneficial interest in a Global Note from us in a transaction meeting the requirements of clauses (A) through (E) of this paragraph a notice advising such purchaser that resales thereof are restricted as stated herein.</w:t>
      </w:r>
    </w:p>
    <w:p>
      <w:pPr>
        <w:spacing w:after="0" w:line="155" w:lineRule="exact"/>
        <w:rPr>
          <w:sz w:val="20"/>
          <w:szCs w:val="20"/>
          <w:color w:val="auto"/>
        </w:rPr>
      </w:pPr>
    </w:p>
    <w:p>
      <w:pPr>
        <w:jc w:val="both"/>
        <w:ind w:firstLine="637"/>
        <w:spacing w:after="0" w:line="223" w:lineRule="auto"/>
        <w:tabs>
          <w:tab w:leader="none" w:pos="1263" w:val="left"/>
        </w:tabs>
        <w:numPr>
          <w:ilvl w:val="0"/>
          <w:numId w:val="177"/>
        </w:numPr>
        <w:rPr>
          <w:rFonts w:ascii="Arial" w:cs="Arial" w:eastAsia="Arial" w:hAnsi="Arial"/>
          <w:sz w:val="21"/>
          <w:szCs w:val="21"/>
          <w:color w:val="auto"/>
        </w:rPr>
      </w:pPr>
      <w:r>
        <w:rPr>
          <w:rFonts w:ascii="Arial" w:cs="Arial" w:eastAsia="Arial" w:hAnsi="Arial"/>
          <w:sz w:val="21"/>
          <w:szCs w:val="21"/>
          <w:color w:val="auto"/>
        </w:rPr>
        <w:t>We understand that, on any proposed resale of the Notes or beneficial interest therein, we will be required to furnish to you and Wynn Resorts Finance such certifications, legal opinions and other information as you and Wynn Resorts Finance may reasonably require to confirm that the proposed sale complies with the foregoing restrictions. We further understand that the Notes purchased by us will bear a legend to the foregoing effect.</w:t>
      </w:r>
    </w:p>
    <w:p>
      <w:pPr>
        <w:spacing w:after="0" w:line="155" w:lineRule="exact"/>
        <w:rPr>
          <w:rFonts w:ascii="Arial" w:cs="Arial" w:eastAsia="Arial" w:hAnsi="Arial"/>
          <w:sz w:val="21"/>
          <w:szCs w:val="21"/>
          <w:color w:val="auto"/>
        </w:rPr>
      </w:pPr>
    </w:p>
    <w:p>
      <w:pPr>
        <w:jc w:val="both"/>
        <w:ind w:firstLine="637"/>
        <w:spacing w:after="0" w:line="223" w:lineRule="auto"/>
        <w:tabs>
          <w:tab w:leader="none" w:pos="1263" w:val="left"/>
        </w:tabs>
        <w:numPr>
          <w:ilvl w:val="0"/>
          <w:numId w:val="177"/>
        </w:numPr>
        <w:rPr>
          <w:rFonts w:ascii="Arial" w:cs="Arial" w:eastAsia="Arial" w:hAnsi="Arial"/>
          <w:sz w:val="21"/>
          <w:szCs w:val="21"/>
          <w:color w:val="auto"/>
        </w:rPr>
      </w:pPr>
      <w:r>
        <w:rPr>
          <w:rFonts w:ascii="Arial" w:cs="Arial" w:eastAsia="Arial" w:hAnsi="Arial"/>
          <w:sz w:val="21"/>
          <w:szCs w:val="21"/>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55" w:lineRule="exact"/>
        <w:rPr>
          <w:rFonts w:ascii="Arial" w:cs="Arial" w:eastAsia="Arial" w:hAnsi="Arial"/>
          <w:sz w:val="21"/>
          <w:szCs w:val="21"/>
          <w:color w:val="auto"/>
        </w:rPr>
      </w:pPr>
    </w:p>
    <w:p>
      <w:pPr>
        <w:ind w:firstLine="637"/>
        <w:spacing w:after="0" w:line="258" w:lineRule="auto"/>
        <w:tabs>
          <w:tab w:leader="none" w:pos="126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37"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You and Wynn Resorts Finance are entitled to rely upon this letter and are irrevocably authorized to produce this letter or a copy hereof to any interested party in any administrative or legal proceedings or official inquiry with respect to the matters covered hereby.</w:t>
      </w:r>
    </w:p>
    <w:p>
      <w:pPr>
        <w:spacing w:after="0" w:line="154"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[Insert Name of Accredited Investor]</w:t>
      </w:r>
    </w:p>
    <w:p>
      <w:pPr>
        <w:spacing w:after="0" w:line="200" w:lineRule="exact"/>
        <w:rPr>
          <w:sz w:val="20"/>
          <w:szCs w:val="20"/>
          <w:color w:val="auto"/>
        </w:rPr>
      </w:pPr>
    </w:p>
    <w:p>
      <w:pPr>
        <w:spacing w:after="0" w:line="230"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w:t>
      </w:r>
    </w:p>
    <w:p>
      <w:pPr>
        <w:ind w:left="4000"/>
        <w:spacing w:after="0" w:line="209" w:lineRule="auto"/>
        <w:rPr>
          <w:sz w:val="20"/>
          <w:szCs w:val="20"/>
          <w:color w:val="auto"/>
        </w:rPr>
      </w:pPr>
      <w:r>
        <w:rPr>
          <w:rFonts w:ascii="Arial" w:cs="Arial" w:eastAsia="Arial" w:hAnsi="Arial"/>
          <w:sz w:val="21"/>
          <w:szCs w:val="21"/>
          <w:color w:val="auto"/>
        </w:rPr>
        <w:t>Name:</w:t>
      </w:r>
    </w:p>
    <w:p>
      <w:pPr>
        <w:ind w:left="4000"/>
        <w:spacing w:after="0"/>
        <w:rPr>
          <w:sz w:val="20"/>
          <w:szCs w:val="20"/>
          <w:color w:val="auto"/>
        </w:rPr>
      </w:pPr>
      <w:r>
        <w:rPr>
          <w:rFonts w:ascii="Arial" w:cs="Arial" w:eastAsia="Arial" w:hAnsi="Arial"/>
          <w:sz w:val="21"/>
          <w:szCs w:val="21"/>
          <w:color w:val="auto"/>
        </w:rPr>
        <w:t>Title: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D-2</w:t>
      </w:r>
      <w:r>
        <w:rPr>
          <w:rFonts w:ascii="Arial" w:cs="Arial" w:eastAsia="Arial" w:hAnsi="Arial"/>
          <w:sz w:val="14"/>
          <w:szCs w:val="14"/>
          <w:color w:val="auto"/>
        </w:rPr>
        <w:t>|</w:t>
      </w:r>
    </w:p>
    <w:p>
      <w:pPr>
        <w:sectPr>
          <w:pgSz w:w="11900" w:h="16838" w:orient="portrait"/>
          <w:cols w:equalWidth="0" w:num="1">
            <w:col w:w="11240"/>
          </w:cols>
          <w:pgMar w:left="320" w:top="136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1"/>
          <w:szCs w:val="21"/>
          <w:b w:val="1"/>
          <w:bCs w:val="1"/>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NOTATION OF GUARANTEE]</w:t>
      </w:r>
    </w:p>
    <w:p>
      <w:pPr>
        <w:spacing w:after="0" w:line="180" w:lineRule="exact"/>
        <w:rPr>
          <w:sz w:val="20"/>
          <w:szCs w:val="20"/>
          <w:color w:val="auto"/>
        </w:rPr>
      </w:pPr>
    </w:p>
    <w:p>
      <w:pPr>
        <w:jc w:val="both"/>
        <w:ind w:firstLine="632"/>
        <w:spacing w:after="0" w:line="232" w:lineRule="auto"/>
        <w:rPr>
          <w:sz w:val="20"/>
          <w:szCs w:val="20"/>
          <w:color w:val="auto"/>
        </w:rPr>
      </w:pPr>
      <w:r>
        <w:rPr>
          <w:rFonts w:ascii="Arial" w:cs="Arial" w:eastAsia="Arial" w:hAnsi="Arial"/>
          <w:sz w:val="19"/>
          <w:szCs w:val="19"/>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February 16, 2023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Resorts Finance, LLC, a Nevada limited liability company (“</w:t>
      </w:r>
      <w:r>
        <w:rPr>
          <w:rFonts w:ascii="Arial" w:cs="Arial" w:eastAsia="Arial" w:hAnsi="Arial"/>
          <w:sz w:val="19"/>
          <w:szCs w:val="19"/>
          <w:i w:val="1"/>
          <w:iCs w:val="1"/>
          <w:u w:val="single" w:color="auto"/>
          <w:color w:val="auto"/>
        </w:rPr>
        <w:t>Wynn Resorts Finance</w:t>
      </w:r>
      <w:r>
        <w:rPr>
          <w:rFonts w:ascii="Arial" w:cs="Arial" w:eastAsia="Arial" w:hAnsi="Arial"/>
          <w:sz w:val="19"/>
          <w:szCs w:val="19"/>
          <w:color w:val="auto"/>
        </w:rPr>
        <w:t>”) and Wynn Resorts Capital Corp., a Nevada corporation (“</w:t>
      </w:r>
      <w:r>
        <w:rPr>
          <w:rFonts w:ascii="Arial" w:cs="Arial" w:eastAsia="Arial" w:hAnsi="Arial"/>
          <w:sz w:val="19"/>
          <w:szCs w:val="19"/>
          <w:i w:val="1"/>
          <w:iCs w:val="1"/>
          <w:u w:val="single" w:color="auto"/>
          <w:color w:val="auto"/>
        </w:rPr>
        <w:t>Wynn Resorts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Capital</w:t>
      </w:r>
      <w:r>
        <w:rPr>
          <w:rFonts w:ascii="Arial" w:cs="Arial" w:eastAsia="Arial" w:hAnsi="Arial"/>
          <w:sz w:val="19"/>
          <w:szCs w:val="19"/>
          <w:color w:val="auto"/>
        </w:rPr>
        <w:t>,” and together with Wynn Resorts Finance,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and EBH Holdings, LLC, a Nevada</w:t>
      </w:r>
      <w:r>
        <w:rPr>
          <w:rFonts w:ascii="Arial" w:cs="Arial" w:eastAsia="Arial" w:hAnsi="Arial"/>
          <w:sz w:val="19"/>
          <w:szCs w:val="19"/>
          <w:i w:val="1"/>
          <w:iCs w:val="1"/>
          <w:color w:val="auto"/>
        </w:rPr>
        <w:t xml:space="preserve"> </w:t>
      </w:r>
      <w:r>
        <w:rPr>
          <w:rFonts w:ascii="Arial" w:cs="Arial" w:eastAsia="Arial" w:hAnsi="Arial"/>
          <w:sz w:val="19"/>
          <w:szCs w:val="19"/>
          <w:color w:val="auto"/>
        </w:rPr>
        <w:t>limited liability company, Wynn Group Asia, Inc., a Nevada corporation, Everett Property, LLC, a Massachusetts limited liability company, Wynn America Group, LLC, a Nevada limited liability company, Wynn Las Vegas Holdings, LLC, a Nevada limited liability company, Wynn Las Vegas, LLC, a Nevada limited liability company, Wynn MA, LLC, a Nevada limited liability company, Wynn Sunrise, LLC, a Nevada limited liability company and Wynn Las Vegas Capital Corp., a Nevada corporation, as guarantors (the “</w:t>
      </w:r>
      <w:r>
        <w:rPr>
          <w:rFonts w:ascii="Arial" w:cs="Arial" w:eastAsia="Arial" w:hAnsi="Arial"/>
          <w:sz w:val="19"/>
          <w:szCs w:val="19"/>
          <w:i w:val="1"/>
          <w:iCs w:val="1"/>
          <w:u w:val="single" w:color="auto"/>
          <w:color w:val="auto"/>
        </w:rPr>
        <w:t>Guarantors</w:t>
      </w:r>
      <w:r>
        <w:rPr>
          <w:rFonts w:ascii="Arial" w:cs="Arial" w:eastAsia="Arial" w:hAnsi="Arial"/>
          <w:sz w:val="19"/>
          <w:szCs w:val="19"/>
          <w:color w:val="auto"/>
        </w:rPr>
        <w:t>”) and U.S. Bank Trust Company,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(a) the due and punctual payment of the principal of, premium, if any, and interest on the Notes (as defined in the Indenture), whether at maturity, by acceleration, redemption or otherwise, the due and punctual payment of interest on overdue principal of and interest on the Notes,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w:t>
      </w:r>
    </w:p>
    <w:p>
      <w:pPr>
        <w:spacing w:after="0" w:line="6" w:lineRule="exact"/>
        <w:rPr>
          <w:sz w:val="20"/>
          <w:szCs w:val="20"/>
          <w:color w:val="auto"/>
        </w:rPr>
      </w:pPr>
    </w:p>
    <w:p>
      <w:pPr>
        <w:ind w:left="4120" w:right="340" w:hanging="4115"/>
        <w:spacing w:after="0" w:line="426" w:lineRule="auto"/>
        <w:tabs>
          <w:tab w:leader="none" w:pos="301" w:val="left"/>
        </w:tabs>
        <w:numPr>
          <w:ilvl w:val="0"/>
          <w:numId w:val="178"/>
        </w:numPr>
        <w:rPr>
          <w:rFonts w:ascii="Arial" w:cs="Arial" w:eastAsia="Arial" w:hAnsi="Arial"/>
          <w:sz w:val="21"/>
          <w:szCs w:val="21"/>
          <w:color w:val="auto"/>
        </w:rPr>
      </w:pPr>
      <w:r>
        <w:rPr>
          <w:rFonts w:ascii="Arial" w:cs="Arial" w:eastAsia="Arial" w:hAnsi="Arial"/>
          <w:sz w:val="21"/>
          <w:szCs w:val="21"/>
          <w:color w:val="auto"/>
        </w:rPr>
        <w:t>agrees to and shall be bound by such provisions and (b) appoints the Trustee attorney-in-fact of such Holder for such purpose. [Name of Guarantor(s)]</w:t>
      </w:r>
    </w:p>
    <w:p>
      <w:pPr>
        <w:spacing w:after="0" w:line="217"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By:</w:t>
      </w:r>
    </w:p>
    <w:p>
      <w:pPr>
        <w:ind w:left="4120"/>
        <w:spacing w:after="0" w:line="209" w:lineRule="auto"/>
        <w:rPr>
          <w:sz w:val="20"/>
          <w:szCs w:val="20"/>
          <w:color w:val="auto"/>
        </w:rPr>
      </w:pPr>
      <w:r>
        <w:rPr>
          <w:rFonts w:ascii="Arial" w:cs="Arial" w:eastAsia="Arial" w:hAnsi="Arial"/>
          <w:sz w:val="21"/>
          <w:szCs w:val="21"/>
          <w:color w:val="auto"/>
        </w:rPr>
        <w:t>Name:</w:t>
      </w:r>
    </w:p>
    <w:p>
      <w:pPr>
        <w:ind w:left="412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E-1</w:t>
      </w:r>
    </w:p>
    <w:p>
      <w:pPr>
        <w:sectPr>
          <w:pgSz w:w="11900" w:h="16838" w:orient="portrait"/>
          <w:cols w:equalWidth="0" w:num="1">
            <w:col w:w="11240"/>
          </w:cols>
          <w:pgMar w:left="320" w:top="10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1"/>
          <w:szCs w:val="21"/>
          <w:b w:val="1"/>
          <w:bCs w:val="1"/>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SUPPLEMENTAL INDENTURE</w:t>
      </w:r>
    </w:p>
    <w:p>
      <w:pPr>
        <w:jc w:val="center"/>
        <w:spacing w:after="0"/>
        <w:rPr>
          <w:sz w:val="20"/>
          <w:szCs w:val="20"/>
          <w:color w:val="auto"/>
        </w:rPr>
      </w:pPr>
      <w:r>
        <w:rPr>
          <w:rFonts w:ascii="Arial" w:cs="Arial" w:eastAsia="Arial" w:hAnsi="Arial"/>
          <w:sz w:val="21"/>
          <w:szCs w:val="21"/>
          <w:color w:val="auto"/>
        </w:rPr>
        <w:t>TO BE DELIVERED BY SUBSEQUENT GUARANTORS]</w:t>
      </w:r>
    </w:p>
    <w:p>
      <w:pPr>
        <w:spacing w:after="0" w:line="149" w:lineRule="exact"/>
        <w:rPr>
          <w:sz w:val="20"/>
          <w:szCs w:val="20"/>
          <w:color w:val="auto"/>
        </w:rPr>
      </w:pPr>
    </w:p>
    <w:p>
      <w:pPr>
        <w:ind w:left="640"/>
        <w:spacing w:after="0"/>
        <w:tabs>
          <w:tab w:leader="none" w:pos="2020" w:val="left"/>
          <w:tab w:leader="none" w:pos="3060" w:val="left"/>
          <w:tab w:leader="none" w:pos="3660" w:val="left"/>
          <w:tab w:leader="none" w:pos="5140" w:val="left"/>
          <w:tab w:leader="none" w:pos="6420" w:val="left"/>
          <w:tab w:leader="none" w:pos="7120" w:val="left"/>
          <w:tab w:leader="none" w:pos="7540" w:val="left"/>
          <w:tab w:leader="none" w:pos="7940" w:val="left"/>
          <w:tab w:leader="none" w:pos="9940" w:val="left"/>
          <w:tab w:leader="none" w:pos="10640" w:val="left"/>
        </w:tabs>
        <w:rPr>
          <w:sz w:val="20"/>
          <w:szCs w:val="20"/>
          <w:color w:val="auto"/>
        </w:rPr>
      </w:pPr>
      <w:r>
        <w:rPr>
          <w:rFonts w:ascii="Arial" w:cs="Arial" w:eastAsia="Arial" w:hAnsi="Arial"/>
          <w:sz w:val="21"/>
          <w:szCs w:val="21"/>
          <w:color w:val="auto"/>
        </w:rPr>
        <w:t>Supplemental</w:t>
        <w:tab/>
        <w:t>Indenture</w:t>
        <w:tab/>
        <w:t>(this</w:t>
        <w:tab/>
        <w:t>“</w:t>
      </w:r>
      <w:r>
        <w:rPr>
          <w:rFonts w:ascii="Arial" w:cs="Arial" w:eastAsia="Arial" w:hAnsi="Arial"/>
          <w:sz w:val="21"/>
          <w:szCs w:val="21"/>
          <w:i w:val="1"/>
          <w:iCs w:val="1"/>
          <w:u w:val="single" w:color="auto"/>
          <w:color w:val="auto"/>
        </w:rPr>
        <w:t>Supplemental</w:t>
      </w:r>
      <w:r>
        <w:rPr>
          <w:sz w:val="20"/>
          <w:szCs w:val="20"/>
          <w:color w:val="auto"/>
        </w:rPr>
        <w:tab/>
      </w:r>
      <w:r>
        <w:rPr>
          <w:rFonts w:ascii="Arial" w:cs="Arial" w:eastAsia="Arial" w:hAnsi="Arial"/>
          <w:sz w:val="21"/>
          <w:szCs w:val="21"/>
          <w:i w:val="1"/>
          <w:iCs w:val="1"/>
          <w:u w:val="single" w:color="auto"/>
          <w:color w:val="auto"/>
        </w:rPr>
        <w:t>Indenture</w:t>
      </w: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dated</w:t>
        <w:tab/>
        <w:t>as</w:t>
        <w:tab/>
        <w:t>of</w:t>
        <w:tab/>
        <w:t>________________,</w:t>
        <w:tab/>
        <w:t>20__,</w:t>
      </w:r>
      <w:r>
        <w:rPr>
          <w:sz w:val="20"/>
          <w:szCs w:val="20"/>
          <w:color w:val="auto"/>
        </w:rPr>
        <w:tab/>
      </w:r>
      <w:r>
        <w:rPr>
          <w:rFonts w:ascii="Arial" w:cs="Arial" w:eastAsia="Arial" w:hAnsi="Arial"/>
          <w:sz w:val="18"/>
          <w:szCs w:val="18"/>
          <w:color w:val="auto"/>
        </w:rPr>
        <w:t>among</w:t>
      </w:r>
    </w:p>
    <w:p>
      <w:pPr>
        <w:spacing w:after="0" w:line="219" w:lineRule="auto"/>
        <w:rPr>
          <w:sz w:val="20"/>
          <w:szCs w:val="20"/>
          <w:color w:val="auto"/>
        </w:rPr>
      </w:pPr>
      <w:r>
        <w:rPr>
          <w:rFonts w:ascii="Arial" w:cs="Arial" w:eastAsia="Arial" w:hAnsi="Arial"/>
          <w:sz w:val="20"/>
          <w:szCs w:val="20"/>
          <w:color w:val="auto"/>
        </w:rPr>
        <w:t>__________________ (the “</w:t>
      </w:r>
      <w:r>
        <w:rPr>
          <w:rFonts w:ascii="Arial" w:cs="Arial" w:eastAsia="Arial" w:hAnsi="Arial"/>
          <w:sz w:val="20"/>
          <w:szCs w:val="20"/>
          <w:i w:val="1"/>
          <w:iCs w:val="1"/>
          <w:u w:val="single" w:color="auto"/>
          <w:color w:val="auto"/>
        </w:rPr>
        <w:t>Guaranteeing Subsidiary</w:t>
      </w:r>
      <w:r>
        <w:rPr>
          <w:rFonts w:ascii="Arial" w:cs="Arial" w:eastAsia="Arial" w:hAnsi="Arial"/>
          <w:sz w:val="20"/>
          <w:szCs w:val="20"/>
          <w:color w:val="auto"/>
        </w:rPr>
        <w:t>”), a subsidiary of Wynn Resorts Finance, LLC, a Nevada limited liability</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company (“</w:t>
      </w:r>
      <w:r>
        <w:rPr>
          <w:rFonts w:ascii="Arial" w:cs="Arial" w:eastAsia="Arial" w:hAnsi="Arial"/>
          <w:sz w:val="21"/>
          <w:szCs w:val="21"/>
          <w:i w:val="1"/>
          <w:iCs w:val="1"/>
          <w:u w:val="single" w:color="auto"/>
          <w:color w:val="auto"/>
        </w:rPr>
        <w:t>Wynn Resorts Finance</w:t>
      </w:r>
      <w:r>
        <w:rPr>
          <w:rFonts w:ascii="Arial" w:cs="Arial" w:eastAsia="Arial" w:hAnsi="Arial"/>
          <w:sz w:val="21"/>
          <w:szCs w:val="21"/>
          <w:color w:val="auto"/>
        </w:rPr>
        <w:t>”), Wynn Resorts Capital Corp., a Nevada corporation (“</w:t>
      </w:r>
      <w:r>
        <w:rPr>
          <w:rFonts w:ascii="Arial" w:cs="Arial" w:eastAsia="Arial" w:hAnsi="Arial"/>
          <w:sz w:val="21"/>
          <w:szCs w:val="21"/>
          <w:i w:val="1"/>
          <w:iCs w:val="1"/>
          <w:u w:val="single" w:color="auto"/>
          <w:color w:val="auto"/>
        </w:rPr>
        <w:t>Wynn Resorts Capital</w:t>
      </w:r>
      <w:r>
        <w:rPr>
          <w:rFonts w:ascii="Arial" w:cs="Arial" w:eastAsia="Arial" w:hAnsi="Arial"/>
          <w:sz w:val="21"/>
          <w:szCs w:val="21"/>
          <w:color w:val="auto"/>
        </w:rPr>
        <w:t>,” and together with Wynn Resorts Finance,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and the Guarantors (as defined in the Indenture referred to herein) and U.S. Bank Trust Company, National Association, as trustee under the Indenture referred to below (the “</w:t>
      </w:r>
      <w:r>
        <w:rPr>
          <w:rFonts w:ascii="Arial" w:cs="Arial" w:eastAsia="Arial" w:hAnsi="Arial"/>
          <w:sz w:val="21"/>
          <w:szCs w:val="21"/>
          <w:i w:val="1"/>
          <w:iCs w:val="1"/>
          <w:u w:val="single" w:color="auto"/>
          <w:color w:val="auto"/>
        </w:rPr>
        <w:t>Trustee</w:t>
      </w:r>
      <w:r>
        <w:rPr>
          <w:rFonts w:ascii="Arial" w:cs="Arial" w:eastAsia="Arial" w:hAnsi="Arial"/>
          <w:sz w:val="21"/>
          <w:szCs w:val="2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WHEREAS, the Issuers have heretofore executed and delivered to the Trustee an indenture (the “</w:t>
      </w:r>
      <w:r>
        <w:rPr>
          <w:rFonts w:ascii="Arial" w:cs="Arial" w:eastAsia="Arial" w:hAnsi="Arial"/>
          <w:sz w:val="21"/>
          <w:szCs w:val="21"/>
          <w:i w:val="1"/>
          <w:iCs w:val="1"/>
          <w:u w:val="single" w:color="auto"/>
          <w:color w:val="auto"/>
        </w:rPr>
        <w:t>Indenture</w:t>
      </w:r>
      <w:r>
        <w:rPr>
          <w:rFonts w:ascii="Arial" w:cs="Arial" w:eastAsia="Arial" w:hAnsi="Arial"/>
          <w:sz w:val="21"/>
          <w:szCs w:val="21"/>
          <w:color w:val="auto"/>
        </w:rPr>
        <w:t>”), dated as of February 16, 2023 providing for the issuance of an aggregate principal amount of $600,000,000 of 7.125% Senior Notes due 2031 (the “</w:t>
      </w:r>
      <w:r>
        <w:rPr>
          <w:rFonts w:ascii="Arial" w:cs="Arial" w:eastAsia="Arial" w:hAnsi="Arial"/>
          <w:sz w:val="21"/>
          <w:szCs w:val="21"/>
          <w:i w:val="1"/>
          <w:iCs w:val="1"/>
          <w:u w:val="single" w:color="auto"/>
          <w:color w:val="auto"/>
        </w:rPr>
        <w:t>Notes</w:t>
      </w:r>
      <w:r>
        <w:rPr>
          <w:rFonts w:ascii="Arial" w:cs="Arial" w:eastAsia="Arial" w:hAnsi="Arial"/>
          <w:sz w:val="21"/>
          <w:szCs w:val="21"/>
          <w:color w:val="auto"/>
        </w:rPr>
        <w:t>”);</w:t>
      </w:r>
    </w:p>
    <w:p>
      <w:pPr>
        <w:spacing w:after="0" w:line="154"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u w:val="single" w:color="auto"/>
          <w:color w:val="auto"/>
        </w:rPr>
        <w:t>Note Guarantee</w:t>
      </w:r>
      <w:r>
        <w:rPr>
          <w:rFonts w:ascii="Arial" w:cs="Arial" w:eastAsia="Arial" w:hAnsi="Arial"/>
          <w:sz w:val="19"/>
          <w:szCs w:val="19"/>
          <w:color w:val="auto"/>
        </w:rPr>
        <w:t>”); and</w:t>
      </w:r>
    </w:p>
    <w:p>
      <w:pPr>
        <w:spacing w:after="0" w:line="138"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WHEREAS, pursuant to Section 9.01 of the Indenture, the Trustee is authorized to execute and deliver this Supplemental Indenture.</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54" w:lineRule="exact"/>
        <w:rPr>
          <w:sz w:val="20"/>
          <w:szCs w:val="20"/>
          <w:color w:val="auto"/>
        </w:rPr>
      </w:pPr>
    </w:p>
    <w:p>
      <w:pPr>
        <w:ind w:left="1260" w:hanging="623"/>
        <w:spacing w:after="0"/>
        <w:tabs>
          <w:tab w:leader="none" w:pos="126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Capitalized Terms. Capitalized terms used herein without definition shall have the meanings assigned to them in the</w:t>
      </w:r>
    </w:p>
    <w:p>
      <w:pPr>
        <w:spacing w:after="0" w:line="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Indenture.</w:t>
      </w:r>
    </w:p>
    <w:p>
      <w:pPr>
        <w:spacing w:after="0" w:line="161" w:lineRule="exact"/>
        <w:rPr>
          <w:rFonts w:ascii="Arial" w:cs="Arial" w:eastAsia="Arial" w:hAnsi="Arial"/>
          <w:sz w:val="19"/>
          <w:szCs w:val="19"/>
          <w:color w:val="auto"/>
        </w:rPr>
      </w:pPr>
    </w:p>
    <w:p>
      <w:pPr>
        <w:ind w:left="1260" w:hanging="623"/>
        <w:spacing w:after="0"/>
        <w:tabs>
          <w:tab w:leader="none" w:pos="126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Agreement to Guarantee. The Guaranteeing Subsidiary hereby agrees as follows:</w:t>
      </w:r>
    </w:p>
    <w:p>
      <w:pPr>
        <w:spacing w:after="0" w:line="179" w:lineRule="exact"/>
        <w:rPr>
          <w:rFonts w:ascii="Arial" w:cs="Arial" w:eastAsia="Arial" w:hAnsi="Arial"/>
          <w:sz w:val="21"/>
          <w:szCs w:val="21"/>
          <w:color w:val="auto"/>
        </w:rPr>
      </w:pPr>
    </w:p>
    <w:p>
      <w:pPr>
        <w:jc w:val="both"/>
        <w:ind w:left="640" w:firstLine="628"/>
        <w:spacing w:after="0" w:line="228" w:lineRule="auto"/>
        <w:tabs>
          <w:tab w:leader="none" w:pos="1900" w:val="left"/>
        </w:tabs>
        <w:numPr>
          <w:ilvl w:val="1"/>
          <w:numId w:val="179"/>
        </w:numPr>
        <w:rPr>
          <w:rFonts w:ascii="Arial" w:cs="Arial" w:eastAsia="Arial" w:hAnsi="Arial"/>
          <w:sz w:val="21"/>
          <w:szCs w:val="21"/>
          <w:color w:val="auto"/>
        </w:rPr>
      </w:pPr>
      <w:r>
        <w:rPr>
          <w:rFonts w:ascii="Arial" w:cs="Arial" w:eastAsia="Arial" w:hAnsi="Arial"/>
          <w:sz w:val="21"/>
          <w:szCs w:val="21"/>
          <w:color w:val="auto"/>
        </w:rPr>
        <w:t>Along with all Guarantors named in the Indenture, to jointly, severally and unconditionally Guarantee to each Holder of a Note authenticated and delivered by the Trustee and to the Trustee and its successors and assigns, the Notes or the obligations of the Issuers hereunder or thereunder, that:</w:t>
      </w:r>
    </w:p>
    <w:p>
      <w:pPr>
        <w:spacing w:after="0" w:line="153" w:lineRule="exact"/>
        <w:rPr>
          <w:rFonts w:ascii="Arial" w:cs="Arial" w:eastAsia="Arial" w:hAnsi="Arial"/>
          <w:sz w:val="21"/>
          <w:szCs w:val="21"/>
          <w:color w:val="auto"/>
        </w:rPr>
      </w:pPr>
    </w:p>
    <w:p>
      <w:pPr>
        <w:jc w:val="both"/>
        <w:ind w:left="1260" w:firstLine="640"/>
        <w:spacing w:after="0" w:line="249" w:lineRule="auto"/>
        <w:tabs>
          <w:tab w:leader="none" w:pos="2511" w:val="left"/>
        </w:tabs>
        <w:numPr>
          <w:ilvl w:val="2"/>
          <w:numId w:val="179"/>
        </w:numPr>
        <w:rPr>
          <w:rFonts w:ascii="Arial" w:cs="Arial" w:eastAsia="Arial" w:hAnsi="Arial"/>
          <w:sz w:val="19"/>
          <w:szCs w:val="19"/>
          <w:color w:val="auto"/>
        </w:rPr>
      </w:pPr>
      <w:r>
        <w:rPr>
          <w:rFonts w:ascii="Arial" w:cs="Arial" w:eastAsia="Arial" w:hAnsi="Arial"/>
          <w:sz w:val="19"/>
          <w:szCs w:val="19"/>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45" w:lineRule="exact"/>
        <w:rPr>
          <w:rFonts w:ascii="Arial" w:cs="Arial" w:eastAsia="Arial" w:hAnsi="Arial"/>
          <w:sz w:val="19"/>
          <w:szCs w:val="19"/>
          <w:color w:val="auto"/>
        </w:rPr>
      </w:pPr>
    </w:p>
    <w:p>
      <w:pPr>
        <w:jc w:val="both"/>
        <w:ind w:left="1260" w:firstLine="640"/>
        <w:spacing w:after="0" w:line="228" w:lineRule="auto"/>
        <w:tabs>
          <w:tab w:leader="none" w:pos="2517" w:val="left"/>
        </w:tabs>
        <w:numPr>
          <w:ilvl w:val="2"/>
          <w:numId w:val="179"/>
        </w:numPr>
        <w:rPr>
          <w:rFonts w:ascii="Arial" w:cs="Arial" w:eastAsia="Arial" w:hAnsi="Arial"/>
          <w:sz w:val="21"/>
          <w:szCs w:val="21"/>
          <w:color w:val="auto"/>
        </w:rPr>
      </w:pPr>
      <w:r>
        <w:rPr>
          <w:rFonts w:ascii="Arial" w:cs="Arial" w:eastAsia="Arial" w:hAnsi="Arial"/>
          <w:sz w:val="21"/>
          <w:szCs w:val="21"/>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w:t>
      </w:r>
    </w:p>
    <w:p>
      <w:pPr>
        <w:sectPr>
          <w:pgSz w:w="11900" w:h="16838" w:orient="portrait"/>
          <w:cols w:equalWidth="0" w:num="1">
            <w:col w:w="11240"/>
          </w:cols>
          <w:pgMar w:left="320" w:top="100" w:right="339" w:bottom="1440" w:gutter="0" w:footer="0" w:header="0"/>
        </w:sectPr>
      </w:pPr>
    </w:p>
    <w:bookmarkStart w:id="133" w:name="page134"/>
    <w:bookmarkEnd w:id="133"/>
    <w:p>
      <w:pPr>
        <w:ind w:firstLine="632"/>
        <w:spacing w:after="0" w:line="237" w:lineRule="auto"/>
        <w:rPr>
          <w:sz w:val="20"/>
          <w:szCs w:val="20"/>
          <w:color w:val="auto"/>
        </w:rPr>
      </w:pPr>
      <w:r>
        <w:rPr>
          <w:rFonts w:ascii="Arial" w:cs="Arial" w:eastAsia="Arial" w:hAnsi="Arial"/>
          <w:sz w:val="21"/>
          <w:szCs w:val="21"/>
          <w:color w:val="auto"/>
        </w:rPr>
        <w:t>Failing payment when due of any amount so guaranteed or any performance so guaranteed for whatever reason, the Guarantors shall be jointly and severally obligated to pay the same immediately.</w:t>
      </w:r>
    </w:p>
    <w:p>
      <w:pPr>
        <w:spacing w:after="0" w:line="155" w:lineRule="exact"/>
        <w:rPr>
          <w:sz w:val="20"/>
          <w:szCs w:val="20"/>
          <w:color w:val="auto"/>
        </w:rPr>
      </w:pPr>
    </w:p>
    <w:p>
      <w:pPr>
        <w:jc w:val="both"/>
        <w:ind w:left="640" w:firstLine="628"/>
        <w:spacing w:after="0" w:line="249" w:lineRule="auto"/>
        <w:tabs>
          <w:tab w:leader="none" w:pos="1899"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145" w:lineRule="exact"/>
        <w:rPr>
          <w:rFonts w:ascii="Arial" w:cs="Arial" w:eastAsia="Arial" w:hAnsi="Arial"/>
          <w:sz w:val="19"/>
          <w:szCs w:val="19"/>
          <w:color w:val="auto"/>
        </w:rPr>
      </w:pPr>
    </w:p>
    <w:p>
      <w:pPr>
        <w:jc w:val="both"/>
        <w:ind w:left="640" w:firstLine="628"/>
        <w:spacing w:after="0" w:line="218" w:lineRule="auto"/>
        <w:tabs>
          <w:tab w:leader="none" w:pos="190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157" w:lineRule="exact"/>
        <w:rPr>
          <w:rFonts w:ascii="Arial" w:cs="Arial" w:eastAsia="Arial" w:hAnsi="Arial"/>
          <w:sz w:val="21"/>
          <w:szCs w:val="21"/>
          <w:color w:val="auto"/>
        </w:rPr>
      </w:pPr>
    </w:p>
    <w:p>
      <w:pPr>
        <w:ind w:left="640" w:firstLine="628"/>
        <w:spacing w:after="0" w:line="285" w:lineRule="auto"/>
        <w:tabs>
          <w:tab w:leader="none" w:pos="1899"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112" w:lineRule="exact"/>
        <w:rPr>
          <w:rFonts w:ascii="Arial" w:cs="Arial" w:eastAsia="Arial" w:hAnsi="Arial"/>
          <w:sz w:val="19"/>
          <w:szCs w:val="19"/>
          <w:color w:val="auto"/>
        </w:rPr>
      </w:pPr>
    </w:p>
    <w:p>
      <w:pPr>
        <w:jc w:val="both"/>
        <w:ind w:left="640" w:firstLine="628"/>
        <w:spacing w:after="0" w:line="223" w:lineRule="auto"/>
        <w:tabs>
          <w:tab w:leader="none" w:pos="190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155" w:lineRule="exact"/>
        <w:rPr>
          <w:rFonts w:ascii="Arial" w:cs="Arial" w:eastAsia="Arial" w:hAnsi="Arial"/>
          <w:sz w:val="21"/>
          <w:szCs w:val="21"/>
          <w:color w:val="auto"/>
        </w:rPr>
      </w:pPr>
    </w:p>
    <w:p>
      <w:pPr>
        <w:ind w:left="640" w:firstLine="628"/>
        <w:spacing w:after="0" w:line="237" w:lineRule="auto"/>
        <w:tabs>
          <w:tab w:leader="none" w:pos="1903"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 Guaranteeing Subsidiary shall not be entitled to any right of subrogation in relation to the Holders in respect of any obligations guaranteed hereby until payment in full of all obligations guaranteed hereby.</w:t>
      </w:r>
    </w:p>
    <w:p>
      <w:pPr>
        <w:spacing w:after="0" w:line="154" w:lineRule="exact"/>
        <w:rPr>
          <w:rFonts w:ascii="Arial" w:cs="Arial" w:eastAsia="Arial" w:hAnsi="Arial"/>
          <w:sz w:val="21"/>
          <w:szCs w:val="21"/>
          <w:color w:val="auto"/>
        </w:rPr>
      </w:pPr>
    </w:p>
    <w:p>
      <w:pPr>
        <w:jc w:val="both"/>
        <w:ind w:left="640" w:firstLine="628"/>
        <w:spacing w:after="0" w:line="218" w:lineRule="auto"/>
        <w:tabs>
          <w:tab w:leader="none" w:pos="1899" w:val="left"/>
        </w:tabs>
        <w:numPr>
          <w:ilvl w:val="0"/>
          <w:numId w:val="180"/>
        </w:numPr>
        <w:rPr>
          <w:rFonts w:ascii="Arial" w:cs="Arial" w:eastAsia="Arial" w:hAnsi="Arial"/>
          <w:sz w:val="21"/>
          <w:szCs w:val="21"/>
          <w:color w:val="auto"/>
        </w:rPr>
      </w:pPr>
      <w:r>
        <w:rPr>
          <w:rFonts w:ascii="Arial" w:cs="Arial" w:eastAsia="Arial" w:hAnsi="Arial"/>
          <w:sz w:val="21"/>
          <w:szCs w:val="21"/>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157" w:lineRule="exact"/>
        <w:rPr>
          <w:rFonts w:ascii="Arial" w:cs="Arial" w:eastAsia="Arial" w:hAnsi="Arial"/>
          <w:sz w:val="21"/>
          <w:szCs w:val="21"/>
          <w:color w:val="auto"/>
        </w:rPr>
      </w:pPr>
    </w:p>
    <w:p>
      <w:pPr>
        <w:ind w:left="640" w:firstLine="628"/>
        <w:spacing w:after="0" w:line="237" w:lineRule="auto"/>
        <w:tabs>
          <w:tab w:leader="none" w:pos="1899"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 Guarantors shall have the right to seek contribution from any non-paying Guarantor so long as the exercise of such right does not impair the rights of the Holders under the Note Guarantee.</w:t>
      </w:r>
    </w:p>
    <w:p>
      <w:pPr>
        <w:spacing w:after="0" w:line="154" w:lineRule="exact"/>
        <w:rPr>
          <w:rFonts w:ascii="Arial" w:cs="Arial" w:eastAsia="Arial" w:hAnsi="Arial"/>
          <w:sz w:val="21"/>
          <w:szCs w:val="21"/>
          <w:color w:val="auto"/>
        </w:rPr>
      </w:pPr>
    </w:p>
    <w:p>
      <w:pPr>
        <w:jc w:val="both"/>
        <w:ind w:left="640" w:firstLine="628"/>
        <w:spacing w:after="0" w:line="220" w:lineRule="auto"/>
        <w:tabs>
          <w:tab w:leader="none" w:pos="1891" w:val="left"/>
        </w:tabs>
        <w:numPr>
          <w:ilvl w:val="0"/>
          <w:numId w:val="180"/>
        </w:numPr>
        <w:rPr>
          <w:rFonts w:ascii="Arial" w:cs="Arial" w:eastAsia="Arial" w:hAnsi="Arial"/>
          <w:sz w:val="21"/>
          <w:szCs w:val="21"/>
          <w:color w:val="auto"/>
        </w:rPr>
      </w:pPr>
      <w:r>
        <w:rPr>
          <w:rFonts w:ascii="Arial" w:cs="Arial" w:eastAsia="Arial" w:hAnsi="Arial"/>
          <w:sz w:val="21"/>
          <w:szCs w:val="21"/>
          <w:color w:val="auto"/>
        </w:rPr>
        <w:t>Pursuant to Section 11.02 of the Indenture, after giving effect to any maximum amount and all other contingent and fixed liabilities that are relevant under any applicable Bankruptcy Law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w:t>
      </w:r>
    </w:p>
    <w:p>
      <w:pPr>
        <w:sectPr>
          <w:pgSz w:w="11900" w:h="16838" w:orient="portrait"/>
          <w:cols w:equalWidth="0" w:num="1">
            <w:col w:w="11240"/>
          </w:cols>
          <w:pgMar w:left="320" w:top="1368" w:right="339" w:bottom="1440" w:gutter="0" w:footer="0" w:header="0"/>
        </w:sectPr>
      </w:pPr>
    </w:p>
    <w:bookmarkStart w:id="134" w:name="page135"/>
    <w:bookmarkEnd w:id="134"/>
    <w:p>
      <w:pPr>
        <w:ind w:left="640"/>
        <w:spacing w:after="0" w:line="237" w:lineRule="auto"/>
        <w:rPr>
          <w:sz w:val="20"/>
          <w:szCs w:val="20"/>
          <w:color w:val="auto"/>
        </w:rPr>
      </w:pPr>
      <w:r>
        <w:rPr>
          <w:rFonts w:ascii="Arial" w:cs="Arial" w:eastAsia="Arial" w:hAnsi="Arial"/>
          <w:sz w:val="21"/>
          <w:szCs w:val="21"/>
          <w:color w:val="auto"/>
        </w:rPr>
        <w:t>permissible such that the obligations of such Guarantor under this Note Guarantee shall not constitute a fraudulent transfer or conveyance.</w:t>
      </w:r>
    </w:p>
    <w:p>
      <w:pPr>
        <w:spacing w:after="0" w:line="155" w:lineRule="exact"/>
        <w:rPr>
          <w:sz w:val="20"/>
          <w:szCs w:val="20"/>
          <w:color w:val="auto"/>
        </w:rPr>
      </w:pPr>
    </w:p>
    <w:p>
      <w:pPr>
        <w:ind w:firstLine="637"/>
        <w:spacing w:after="0" w:line="237" w:lineRule="auto"/>
        <w:tabs>
          <w:tab w:leader="none" w:pos="1263" w:val="left"/>
        </w:tabs>
        <w:numPr>
          <w:ilvl w:val="0"/>
          <w:numId w:val="181"/>
        </w:numPr>
        <w:rPr>
          <w:rFonts w:ascii="Arial" w:cs="Arial" w:eastAsia="Arial" w:hAnsi="Arial"/>
          <w:sz w:val="21"/>
          <w:szCs w:val="21"/>
          <w:color w:val="auto"/>
        </w:rPr>
      </w:pPr>
      <w:r>
        <w:rPr>
          <w:rFonts w:ascii="Arial" w:cs="Arial" w:eastAsia="Arial" w:hAnsi="Arial"/>
          <w:sz w:val="21"/>
          <w:szCs w:val="21"/>
          <w:color w:val="auto"/>
        </w:rPr>
        <w:t>Execution and Delivery. Each Guaranteeing Subsidiary agrees that the Note Guarantees shall remain in full force and effect notwithstanding any failure to endorse on each Note a notation of such Note Guarantee.</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Guaranteeing Subsidiary may Consolidate, etc. on Certain Terms.</w:t>
      </w:r>
    </w:p>
    <w:p>
      <w:pPr>
        <w:spacing w:after="0" w:line="179" w:lineRule="exact"/>
        <w:rPr>
          <w:rFonts w:ascii="Arial" w:cs="Arial" w:eastAsia="Arial" w:hAnsi="Arial"/>
          <w:sz w:val="21"/>
          <w:szCs w:val="21"/>
          <w:color w:val="auto"/>
        </w:rPr>
      </w:pPr>
    </w:p>
    <w:p>
      <w:pPr>
        <w:jc w:val="both"/>
        <w:ind w:left="640" w:firstLine="628"/>
        <w:spacing w:after="0" w:line="228" w:lineRule="auto"/>
        <w:tabs>
          <w:tab w:leader="none" w:pos="1900" w:val="left"/>
        </w:tabs>
        <w:numPr>
          <w:ilvl w:val="1"/>
          <w:numId w:val="181"/>
        </w:numPr>
        <w:rPr>
          <w:rFonts w:ascii="Arial" w:cs="Arial" w:eastAsia="Arial" w:hAnsi="Arial"/>
          <w:sz w:val="21"/>
          <w:szCs w:val="21"/>
          <w:color w:val="auto"/>
        </w:rPr>
      </w:pPr>
      <w:r>
        <w:rPr>
          <w:rFonts w:ascii="Arial" w:cs="Arial" w:eastAsia="Arial" w:hAnsi="Arial"/>
          <w:sz w:val="21"/>
          <w:szCs w:val="21"/>
          <w:color w:val="auto"/>
        </w:rPr>
        <w:t>A Guaranteeing Subsidiary may not consolidate with or merge with or into (whether or not such Guaranteeing Subsidiary is the surviving Person) another Person, other than either of the Issuers or another Guarantor, except as set forth in the Indenture.</w:t>
      </w:r>
    </w:p>
    <w:p>
      <w:pPr>
        <w:spacing w:after="0" w:line="153" w:lineRule="exact"/>
        <w:rPr>
          <w:rFonts w:ascii="Arial" w:cs="Arial" w:eastAsia="Arial" w:hAnsi="Arial"/>
          <w:sz w:val="21"/>
          <w:szCs w:val="21"/>
          <w:color w:val="auto"/>
        </w:rPr>
      </w:pPr>
    </w:p>
    <w:p>
      <w:pPr>
        <w:ind w:left="640" w:firstLine="628"/>
        <w:spacing w:after="0" w:line="258" w:lineRule="auto"/>
        <w:tabs>
          <w:tab w:leader="none" w:pos="1899" w:val="left"/>
        </w:tabs>
        <w:numPr>
          <w:ilvl w:val="1"/>
          <w:numId w:val="181"/>
        </w:numPr>
        <w:rPr>
          <w:rFonts w:ascii="Arial" w:cs="Arial" w:eastAsia="Arial" w:hAnsi="Arial"/>
          <w:sz w:val="20"/>
          <w:szCs w:val="20"/>
          <w:color w:val="auto"/>
        </w:rPr>
      </w:pPr>
      <w:r>
        <w:rPr>
          <w:rFonts w:ascii="Arial" w:cs="Arial" w:eastAsia="Arial" w:hAnsi="Arial"/>
          <w:sz w:val="20"/>
          <w:szCs w:val="20"/>
          <w:color w:val="auto"/>
        </w:rPr>
        <w:t>Notwithstanding the foregoing provisions of this Section 4 or the provisions of Section 11.04 of the Indenture, each Guarantor is permitted to reorganize as a corporation pursuant to a Permitted C-Corp. Conversion.</w:t>
      </w:r>
    </w:p>
    <w:p>
      <w:pPr>
        <w:spacing w:after="0" w:line="137" w:lineRule="exact"/>
        <w:rPr>
          <w:rFonts w:ascii="Arial" w:cs="Arial" w:eastAsia="Arial" w:hAnsi="Arial"/>
          <w:sz w:val="20"/>
          <w:szCs w:val="20"/>
          <w:color w:val="auto"/>
        </w:rPr>
      </w:pPr>
    </w:p>
    <w:p>
      <w:pPr>
        <w:ind w:left="1260" w:hanging="623"/>
        <w:spacing w:after="0"/>
        <w:tabs>
          <w:tab w:leader="none" w:pos="126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Releases.</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Subject to compliance with the provisions described in Section 4 above and under Article 11 of the Indenture, the Note Guarantee of a Guaranteeing Subsidiary will be released on the terms set forth in the Indenture.</w:t>
      </w:r>
    </w:p>
    <w:p>
      <w:pPr>
        <w:spacing w:after="0" w:line="155" w:lineRule="exact"/>
        <w:rPr>
          <w:sz w:val="20"/>
          <w:szCs w:val="20"/>
          <w:color w:val="auto"/>
        </w:rPr>
      </w:pPr>
    </w:p>
    <w:p>
      <w:pPr>
        <w:jc w:val="both"/>
        <w:ind w:firstLine="637"/>
        <w:spacing w:after="0" w:line="244" w:lineRule="auto"/>
        <w:tabs>
          <w:tab w:leader="none" w:pos="1263"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No Recourse Against Others. No past, present or future director, officer, employee, incorporator, organizer, equity holder or member of any Guarantor, as such, shall have any liability for any obligations of either Issuer or any Guarantor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52" w:lineRule="exact"/>
        <w:rPr>
          <w:rFonts w:ascii="Arial" w:cs="Arial" w:eastAsia="Arial" w:hAnsi="Arial"/>
          <w:sz w:val="19"/>
          <w:szCs w:val="19"/>
          <w:color w:val="auto"/>
        </w:rPr>
      </w:pPr>
    </w:p>
    <w:p>
      <w:pPr>
        <w:jc w:val="both"/>
        <w:ind w:firstLine="637"/>
        <w:spacing w:after="0" w:line="228" w:lineRule="auto"/>
        <w:tabs>
          <w:tab w:leader="none" w:pos="1263" w:val="left"/>
        </w:tabs>
        <w:numPr>
          <w:ilvl w:val="0"/>
          <w:numId w:val="182"/>
        </w:numPr>
        <w:rPr>
          <w:rFonts w:ascii="Arial" w:cs="Arial" w:eastAsia="Arial" w:hAnsi="Arial"/>
          <w:sz w:val="21"/>
          <w:szCs w:val="21"/>
          <w:color w:val="auto"/>
        </w:rPr>
      </w:pPr>
      <w:r>
        <w:rPr>
          <w:rFonts w:ascii="Arial" w:cs="Arial" w:eastAsia="Arial" w:hAnsi="Arial"/>
          <w:sz w:val="21"/>
          <w:szCs w:val="21"/>
          <w:color w:val="auto"/>
        </w:rPr>
        <w:t>NEW YORK LAW TO GOVERN. THIS SUPPLEMENTAL INDENTURE SHALL BE GOVERNED BY AND CONSTRUED IN ACCORDANCE WITH THE LAWS OF THE STATE OF NEW YORK, INCLUDING, WITHOUT LIMITATION, SECTION 4-1401 OF THE NEW YORK OBLIGATIONS LAW.</w:t>
      </w:r>
    </w:p>
    <w:p>
      <w:pPr>
        <w:spacing w:after="0" w:line="153" w:lineRule="exact"/>
        <w:rPr>
          <w:rFonts w:ascii="Arial" w:cs="Arial" w:eastAsia="Arial" w:hAnsi="Arial"/>
          <w:sz w:val="21"/>
          <w:szCs w:val="21"/>
          <w:color w:val="auto"/>
        </w:rPr>
      </w:pPr>
    </w:p>
    <w:p>
      <w:pPr>
        <w:jc w:val="both"/>
        <w:ind w:firstLine="637"/>
        <w:spacing w:after="0" w:line="228" w:lineRule="auto"/>
        <w:tabs>
          <w:tab w:leader="none" w:pos="1263" w:val="left"/>
        </w:tabs>
        <w:numPr>
          <w:ilvl w:val="0"/>
          <w:numId w:val="182"/>
        </w:numPr>
        <w:rPr>
          <w:rFonts w:ascii="Arial" w:cs="Arial" w:eastAsia="Arial" w:hAnsi="Arial"/>
          <w:sz w:val="21"/>
          <w:szCs w:val="21"/>
          <w:color w:val="auto"/>
        </w:rPr>
      </w:pPr>
      <w:r>
        <w:rPr>
          <w:rFonts w:ascii="Arial" w:cs="Arial" w:eastAsia="Arial" w:hAnsi="Arial"/>
          <w:sz w:val="21"/>
          <w:szCs w:val="21"/>
          <w:color w:val="auto"/>
        </w:rPr>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53" w:lineRule="exact"/>
        <w:rPr>
          <w:rFonts w:ascii="Arial" w:cs="Arial" w:eastAsia="Arial" w:hAnsi="Arial"/>
          <w:sz w:val="21"/>
          <w:szCs w:val="21"/>
          <w:color w:val="auto"/>
        </w:rPr>
      </w:pPr>
    </w:p>
    <w:p>
      <w:pPr>
        <w:ind w:firstLine="637"/>
        <w:spacing w:after="0" w:line="237" w:lineRule="auto"/>
        <w:tabs>
          <w:tab w:leader="none" w:pos="1263" w:val="left"/>
        </w:tabs>
        <w:numPr>
          <w:ilvl w:val="0"/>
          <w:numId w:val="182"/>
        </w:numPr>
        <w:rPr>
          <w:rFonts w:ascii="Arial" w:cs="Arial" w:eastAsia="Arial" w:hAnsi="Arial"/>
          <w:sz w:val="21"/>
          <w:szCs w:val="21"/>
          <w:color w:val="auto"/>
        </w:rPr>
      </w:pPr>
      <w:r>
        <w:rPr>
          <w:rFonts w:ascii="Arial" w:cs="Arial" w:eastAsia="Arial" w:hAnsi="Arial"/>
          <w:sz w:val="21"/>
          <w:szCs w:val="21"/>
          <w:color w:val="auto"/>
        </w:rPr>
        <w:t>Counterparts. The parties may sign any number of copies of this Supplemental Indenture. Each signed copy shall be an original, but all of them together represent the same agreement.</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 hereof.</w:t>
      </w:r>
    </w:p>
    <w:p>
      <w:pPr>
        <w:spacing w:after="0" w:line="202" w:lineRule="exact"/>
        <w:rPr>
          <w:rFonts w:ascii="Arial" w:cs="Arial" w:eastAsia="Arial" w:hAnsi="Arial"/>
          <w:sz w:val="19"/>
          <w:szCs w:val="19"/>
          <w:color w:val="auto"/>
        </w:rPr>
      </w:pPr>
    </w:p>
    <w:p>
      <w:pPr>
        <w:jc w:val="both"/>
        <w:ind w:firstLine="637"/>
        <w:spacing w:after="0" w:line="228" w:lineRule="auto"/>
        <w:tabs>
          <w:tab w:leader="none" w:pos="1255"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w:t>
      </w:r>
    </w:p>
    <w:p>
      <w:pPr>
        <w:sectPr>
          <w:pgSz w:w="11900" w:h="16838" w:orient="portrait"/>
          <w:cols w:equalWidth="0" w:num="1">
            <w:col w:w="11240"/>
          </w:cols>
          <w:pgMar w:left="320" w:top="1368" w:right="339" w:bottom="1440" w:gutter="0" w:footer="0" w:header="0"/>
        </w:sectPr>
      </w:pPr>
    </w:p>
    <w:bookmarkStart w:id="135" w:name="page136"/>
    <w:bookmarkEnd w:id="135"/>
    <w:p>
      <w:pPr>
        <w:spacing w:after="0" w:line="237" w:lineRule="auto"/>
        <w:rPr>
          <w:sz w:val="20"/>
          <w:szCs w:val="20"/>
          <w:color w:val="auto"/>
        </w:rPr>
      </w:pPr>
      <w:r>
        <w:rPr>
          <w:rFonts w:ascii="Arial" w:cs="Arial" w:eastAsia="Arial" w:hAnsi="Arial"/>
          <w:sz w:val="21"/>
          <w:szCs w:val="21"/>
          <w:color w:val="auto"/>
        </w:rPr>
        <w:t>IN WITNESS WHEREOF, the parties hereto have caused this Supplemental Indenture to be duly executed and attested, all as of the date first above written.</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Dated: _______________, 20___</w:t>
      </w:r>
    </w:p>
    <w:p>
      <w:pPr>
        <w:spacing w:after="0" w:line="174"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[Guaranteeing Subsidiary]</w:t>
      </w:r>
    </w:p>
    <w:p>
      <w:pPr>
        <w:spacing w:after="0" w:line="19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 _______________________________</w:t>
      </w:r>
    </w:p>
    <w:p>
      <w:pPr>
        <w:ind w:left="3800"/>
        <w:spacing w:after="0" w:line="209" w:lineRule="auto"/>
        <w:rPr>
          <w:sz w:val="20"/>
          <w:szCs w:val="20"/>
          <w:color w:val="auto"/>
        </w:rPr>
      </w:pPr>
      <w:r>
        <w:rPr>
          <w:rFonts w:ascii="Arial" w:cs="Arial" w:eastAsia="Arial" w:hAnsi="Arial"/>
          <w:sz w:val="21"/>
          <w:szCs w:val="21"/>
          <w:color w:val="auto"/>
        </w:rPr>
        <w:t>Name:</w:t>
      </w:r>
    </w:p>
    <w:p>
      <w:pPr>
        <w:ind w:left="3800"/>
        <w:spacing w:after="0"/>
        <w:rPr>
          <w:sz w:val="20"/>
          <w:szCs w:val="20"/>
          <w:color w:val="auto"/>
        </w:rPr>
      </w:pPr>
      <w:r>
        <w:rPr>
          <w:rFonts w:ascii="Arial" w:cs="Arial" w:eastAsia="Arial" w:hAnsi="Arial"/>
          <w:sz w:val="21"/>
          <w:szCs w:val="21"/>
          <w:color w:val="auto"/>
        </w:rPr>
        <w:t>Title:</w:t>
      </w:r>
    </w:p>
    <w:p>
      <w:pPr>
        <w:spacing w:after="0" w:line="182"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Issuers:</w:t>
      </w:r>
    </w:p>
    <w:p>
      <w:pPr>
        <w:spacing w:after="0" w:line="199"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WYNN RESORTS FINANCE, LLC</w:t>
      </w:r>
      <w:r>
        <w:rPr>
          <w:rFonts w:ascii="Arial" w:cs="Arial" w:eastAsia="Arial" w:hAnsi="Arial"/>
          <w:sz w:val="21"/>
          <w:szCs w:val="21"/>
          <w:color w:val="auto"/>
        </w:rPr>
        <w:t>,</w:t>
      </w:r>
    </w:p>
    <w:p>
      <w:pPr>
        <w:ind w:left="3800"/>
        <w:spacing w:after="0"/>
        <w:rPr>
          <w:sz w:val="20"/>
          <w:szCs w:val="20"/>
          <w:color w:val="auto"/>
        </w:rPr>
      </w:pPr>
      <w:r>
        <w:rPr>
          <w:rFonts w:ascii="Arial" w:cs="Arial" w:eastAsia="Arial" w:hAnsi="Arial"/>
          <w:sz w:val="21"/>
          <w:szCs w:val="21"/>
          <w:color w:val="auto"/>
        </w:rPr>
        <w:t>a Nevada limited liability company</w:t>
      </w:r>
    </w:p>
    <w:p>
      <w:pPr>
        <w:spacing w:after="0" w:line="162"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 Wynn Resorts Holdings, LLC, its sole member</w:t>
      </w:r>
    </w:p>
    <w:p>
      <w:pPr>
        <w:spacing w:after="0" w:line="180"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 Wynn Resorts, Limited, its sole member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-5715</wp:posOffset>
            </wp:positionV>
            <wp:extent cx="1339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ind w:left="5060"/>
        <w:spacing w:after="0" w:line="209" w:lineRule="auto"/>
        <w:rPr>
          <w:sz w:val="20"/>
          <w:szCs w:val="20"/>
          <w:color w:val="auto"/>
        </w:rPr>
      </w:pPr>
      <w:r>
        <w:rPr>
          <w:rFonts w:ascii="Arial" w:cs="Arial" w:eastAsia="Arial" w:hAnsi="Arial"/>
          <w:sz w:val="21"/>
          <w:szCs w:val="21"/>
          <w:color w:val="auto"/>
        </w:rPr>
        <w:t>Name:</w:t>
      </w:r>
    </w:p>
    <w:p>
      <w:pPr>
        <w:ind w:left="5060"/>
        <w:spacing w:after="0"/>
        <w:rPr>
          <w:sz w:val="20"/>
          <w:szCs w:val="20"/>
          <w:color w:val="auto"/>
        </w:rPr>
      </w:pPr>
      <w:r>
        <w:rPr>
          <w:rFonts w:ascii="Arial" w:cs="Arial" w:eastAsia="Arial" w:hAnsi="Arial"/>
          <w:sz w:val="21"/>
          <w:szCs w:val="21"/>
          <w:color w:val="auto"/>
        </w:rPr>
        <w:t>Title:</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WYNN RESORTS CAPITAL CORP.</w:t>
      </w:r>
      <w:r>
        <w:rPr>
          <w:rFonts w:ascii="Arial" w:cs="Arial" w:eastAsia="Arial" w:hAnsi="Arial"/>
          <w:sz w:val="21"/>
          <w:szCs w:val="21"/>
          <w:color w:val="auto"/>
        </w:rPr>
        <w:t>,</w:t>
      </w:r>
    </w:p>
    <w:p>
      <w:pPr>
        <w:ind w:left="3800"/>
        <w:spacing w:after="0"/>
        <w:rPr>
          <w:sz w:val="20"/>
          <w:szCs w:val="20"/>
          <w:color w:val="auto"/>
        </w:rPr>
      </w:pPr>
      <w:r>
        <w:rPr>
          <w:rFonts w:ascii="Arial" w:cs="Arial" w:eastAsia="Arial" w:hAnsi="Arial"/>
          <w:sz w:val="21"/>
          <w:szCs w:val="21"/>
          <w:color w:val="auto"/>
        </w:rPr>
        <w:t>a Nevada corporation</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By:_________________________________</w:t>
      </w:r>
    </w:p>
    <w:p>
      <w:pPr>
        <w:ind w:left="3800"/>
        <w:spacing w:after="0" w:line="209" w:lineRule="auto"/>
        <w:rPr>
          <w:sz w:val="20"/>
          <w:szCs w:val="20"/>
          <w:color w:val="auto"/>
        </w:rPr>
      </w:pPr>
      <w:r>
        <w:rPr>
          <w:rFonts w:ascii="Arial" w:cs="Arial" w:eastAsia="Arial" w:hAnsi="Arial"/>
          <w:sz w:val="21"/>
          <w:szCs w:val="21"/>
          <w:color w:val="auto"/>
        </w:rPr>
        <w:t>Name:</w:t>
      </w:r>
    </w:p>
    <w:p>
      <w:pPr>
        <w:ind w:left="38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F-4</w:t>
      </w:r>
    </w:p>
    <w:p>
      <w:pPr>
        <w:sectPr>
          <w:pgSz w:w="11900" w:h="16838" w:orient="portrait"/>
          <w:cols w:equalWidth="0" w:num="1">
            <w:col w:w="11240"/>
          </w:cols>
          <w:pgMar w:left="320" w:top="1368" w:right="339" w:bottom="1440" w:gutter="0" w:footer="0" w:header="0"/>
        </w:sectPr>
      </w:pPr>
    </w:p>
    <w:bookmarkStart w:id="136" w:name="page137"/>
    <w:bookmarkEnd w:id="136"/>
    <w:p>
      <w:pPr>
        <w:ind w:left="560"/>
        <w:spacing w:after="0"/>
        <w:rPr>
          <w:sz w:val="20"/>
          <w:szCs w:val="20"/>
          <w:color w:val="auto"/>
        </w:rPr>
      </w:pPr>
      <w:r>
        <w:rPr>
          <w:rFonts w:ascii="Arial" w:cs="Arial" w:eastAsia="Arial" w:hAnsi="Arial"/>
          <w:sz w:val="21"/>
          <w:szCs w:val="21"/>
          <w:b w:val="1"/>
          <w:bCs w:val="1"/>
          <w:color w:val="auto"/>
        </w:rPr>
        <w:t>Guarantors:</w:t>
      </w:r>
    </w:p>
    <w:p>
      <w:pPr>
        <w:spacing w:after="0" w:line="184"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EBH HOLDINGS, LLC</w:t>
      </w:r>
    </w:p>
    <w:p>
      <w:pPr>
        <w:spacing w:after="0" w:line="222"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MA, LLC, its sole member</w:t>
      </w:r>
    </w:p>
    <w:p>
      <w:pPr>
        <w:spacing w:after="0" w:line="203"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America Group,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03"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4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-6985</wp:posOffset>
            </wp:positionV>
            <wp:extent cx="6121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line="202" w:lineRule="auto"/>
        <w:rPr>
          <w:sz w:val="20"/>
          <w:szCs w:val="20"/>
          <w:color w:val="auto"/>
        </w:rPr>
      </w:pPr>
      <w:r>
        <w:rPr>
          <w:rFonts w:ascii="Arial" w:cs="Arial" w:eastAsia="Arial" w:hAnsi="Arial"/>
          <w:sz w:val="19"/>
          <w:szCs w:val="19"/>
          <w:color w:val="auto"/>
        </w:rPr>
        <w:t>Name:</w:t>
      </w: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4"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WYNN GROUP ASIA, INC.</w:t>
      </w:r>
    </w:p>
    <w:p>
      <w:pPr>
        <w:spacing w:after="0" w:line="200" w:lineRule="exact"/>
        <w:rPr>
          <w:sz w:val="20"/>
          <w:szCs w:val="20"/>
          <w:color w:val="auto"/>
        </w:rPr>
      </w:pPr>
    </w:p>
    <w:p>
      <w:pPr>
        <w:spacing w:after="0" w:line="240"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ind w:left="2680"/>
        <w:spacing w:after="0" w:line="216"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-123825</wp:posOffset>
            </wp:positionV>
            <wp:extent cx="6121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F-5</w:t>
      </w:r>
    </w:p>
    <w:p>
      <w:pPr>
        <w:sectPr>
          <w:pgSz w:w="11900" w:h="16838" w:orient="portrait"/>
          <w:cols w:equalWidth="0" w:num="1">
            <w:col w:w="9019"/>
          </w:cols>
          <w:pgMar w:left="1440" w:top="1362" w:right="1440" w:bottom="1440" w:gutter="0" w:footer="0" w:header="0"/>
        </w:sectPr>
      </w:pPr>
    </w:p>
    <w:bookmarkStart w:id="137" w:name="page138"/>
    <w:bookmarkEnd w:id="137"/>
    <w:p>
      <w:pPr>
        <w:ind w:left="2680"/>
        <w:spacing w:after="0"/>
        <w:rPr>
          <w:sz w:val="20"/>
          <w:szCs w:val="20"/>
          <w:color w:val="auto"/>
        </w:rPr>
      </w:pPr>
      <w:r>
        <w:rPr>
          <w:rFonts w:ascii="Arial" w:cs="Arial" w:eastAsia="Arial" w:hAnsi="Arial"/>
          <w:sz w:val="19"/>
          <w:szCs w:val="19"/>
          <w:b w:val="1"/>
          <w:bCs w:val="1"/>
          <w:color w:val="auto"/>
        </w:rPr>
        <w:t>EVERETT PROPERTY, LLC</w:t>
      </w:r>
    </w:p>
    <w:p>
      <w:pPr>
        <w:spacing w:after="0" w:line="222"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America Group, LLC, its sole member</w:t>
      </w:r>
    </w:p>
    <w:p>
      <w:pPr>
        <w:spacing w:after="0" w:line="203"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 Wynn Resorts, Limited, its sole member</w:t>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-6985</wp:posOffset>
            </wp:positionV>
            <wp:extent cx="612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line="216" w:lineRule="auto"/>
        <w:rPr>
          <w:sz w:val="20"/>
          <w:szCs w:val="20"/>
          <w:color w:val="auto"/>
        </w:rPr>
      </w:pPr>
      <w:r>
        <w:rPr>
          <w:rFonts w:ascii="Arial" w:cs="Arial" w:eastAsia="Arial" w:hAnsi="Arial"/>
          <w:sz w:val="19"/>
          <w:szCs w:val="19"/>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WYNN AMERICA GROUP, LLC</w:t>
      </w:r>
    </w:p>
    <w:p>
      <w:pPr>
        <w:spacing w:after="0" w:line="222"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03"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Limited, its sole member</w:t>
      </w:r>
    </w:p>
    <w:p>
      <w:pPr>
        <w:spacing w:after="0" w:line="200" w:lineRule="exact"/>
        <w:rPr>
          <w:sz w:val="20"/>
          <w:szCs w:val="20"/>
          <w:color w:val="auto"/>
        </w:rPr>
      </w:pPr>
    </w:p>
    <w:p>
      <w:pPr>
        <w:spacing w:after="0" w:line="24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-6985</wp:posOffset>
            </wp:positionV>
            <wp:extent cx="6121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line="202" w:lineRule="auto"/>
        <w:rPr>
          <w:sz w:val="20"/>
          <w:szCs w:val="20"/>
          <w:color w:val="auto"/>
        </w:rPr>
      </w:pPr>
      <w:r>
        <w:rPr>
          <w:rFonts w:ascii="Arial" w:cs="Arial" w:eastAsia="Arial" w:hAnsi="Arial"/>
          <w:sz w:val="19"/>
          <w:szCs w:val="19"/>
          <w:color w:val="auto"/>
        </w:rPr>
        <w:t>Name:</w:t>
      </w: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WYNN LAS VEGAS HOLDINGS, LLC</w:t>
      </w:r>
    </w:p>
    <w:p>
      <w:pPr>
        <w:spacing w:after="0" w:line="222"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03"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 Wynn Resorts, Limited, its sole member</w:t>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-6985</wp:posOffset>
            </wp:positionV>
            <wp:extent cx="612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line="216" w:lineRule="auto"/>
        <w:rPr>
          <w:sz w:val="20"/>
          <w:szCs w:val="20"/>
          <w:color w:val="auto"/>
        </w:rPr>
      </w:pPr>
      <w:r>
        <w:rPr>
          <w:rFonts w:ascii="Arial" w:cs="Arial" w:eastAsia="Arial" w:hAnsi="Arial"/>
          <w:sz w:val="19"/>
          <w:szCs w:val="19"/>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WYNN LAS VEGAS, LLC</w:t>
      </w:r>
    </w:p>
    <w:p>
      <w:pPr>
        <w:spacing w:after="0" w:line="222"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By: Wynn Las Vegas Holdings, LLC, its sole member</w:t>
      </w:r>
    </w:p>
    <w:p>
      <w:pPr>
        <w:spacing w:after="0" w:line="239"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03"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ectPr>
          <w:pgSz w:w="11900" w:h="16838" w:orient="portrait"/>
          <w:cols w:equalWidth="0" w:num="1">
            <w:col w:w="9019"/>
          </w:cols>
          <w:pgMar w:left="1440" w:top="1367"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F-6</w:t>
      </w:r>
    </w:p>
    <w:p>
      <w:pPr>
        <w:sectPr>
          <w:pgSz w:w="11900" w:h="16838" w:orient="portrait"/>
          <w:cols w:equalWidth="0" w:num="1">
            <w:col w:w="9019"/>
          </w:cols>
          <w:pgMar w:left="1440" w:top="1367" w:right="1440" w:bottom="804" w:gutter="0" w:footer="0" w:header="0"/>
          <w:type w:val="continuous"/>
        </w:sectPr>
      </w:pPr>
    </w:p>
    <w:bookmarkStart w:id="138" w:name="page139"/>
    <w:bookmarkEnd w:id="138"/>
    <w:p>
      <w:pPr>
        <w:jc w:val="center"/>
        <w:ind w:right="219"/>
        <w:spacing w:after="0"/>
        <w:rPr>
          <w:sz w:val="20"/>
          <w:szCs w:val="20"/>
          <w:color w:val="auto"/>
        </w:rPr>
      </w:pPr>
      <w:r>
        <w:rPr>
          <w:rFonts w:ascii="Arial" w:cs="Arial" w:eastAsia="Arial" w:hAnsi="Arial"/>
          <w:sz w:val="17"/>
          <w:szCs w:val="17"/>
          <w:color w:val="auto"/>
        </w:rPr>
        <w:t>By: Wynn Resorts, Limited, its sole member</w:t>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ind w:left="2680"/>
        <w:spacing w:after="0" w:line="216"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-123825</wp:posOffset>
            </wp:positionV>
            <wp:extent cx="6121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80"/>
        <w:spacing w:after="0"/>
        <w:rPr>
          <w:sz w:val="20"/>
          <w:szCs w:val="20"/>
          <w:color w:val="auto"/>
        </w:rPr>
      </w:pPr>
      <w:r>
        <w:rPr>
          <w:rFonts w:ascii="Arial" w:cs="Arial" w:eastAsia="Arial" w:hAnsi="Arial"/>
          <w:sz w:val="21"/>
          <w:szCs w:val="21"/>
          <w:b w:val="1"/>
          <w:bCs w:val="1"/>
          <w:color w:val="auto"/>
        </w:rPr>
        <w:t>WYNN MA, LLC</w:t>
      </w:r>
    </w:p>
    <w:p>
      <w:pPr>
        <w:spacing w:after="0" w:line="216"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America Group, LLC, its sole member</w:t>
      </w:r>
    </w:p>
    <w:p>
      <w:pPr>
        <w:spacing w:after="0" w:line="203"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 Wynn Resorts, Limited, its sole member</w:t>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-6985</wp:posOffset>
            </wp:positionV>
            <wp:extent cx="6121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line="216" w:lineRule="auto"/>
        <w:rPr>
          <w:sz w:val="20"/>
          <w:szCs w:val="20"/>
          <w:color w:val="auto"/>
        </w:rPr>
      </w:pPr>
      <w:r>
        <w:rPr>
          <w:rFonts w:ascii="Arial" w:cs="Arial" w:eastAsia="Arial" w:hAnsi="Arial"/>
          <w:sz w:val="19"/>
          <w:szCs w:val="19"/>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WYNN SUNRISE, LLC</w:t>
      </w:r>
    </w:p>
    <w:p>
      <w:pPr>
        <w:spacing w:after="0" w:line="222"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Las Vegas, LLC its sole member</w:t>
      </w:r>
    </w:p>
    <w:p>
      <w:pPr>
        <w:spacing w:after="0" w:line="216"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By: Wynn Las Vegas Holdings, LLC, its sole member</w:t>
      </w:r>
    </w:p>
    <w:p>
      <w:pPr>
        <w:spacing w:after="0" w:line="22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Finance, LLC, its sole member</w:t>
      </w:r>
    </w:p>
    <w:p>
      <w:pPr>
        <w:spacing w:after="0" w:line="216" w:lineRule="exact"/>
        <w:rPr>
          <w:sz w:val="20"/>
          <w:szCs w:val="20"/>
          <w:color w:val="auto"/>
        </w:rPr>
      </w:pPr>
    </w:p>
    <w:p>
      <w:pPr>
        <w:ind w:left="2680"/>
        <w:spacing w:after="0"/>
        <w:tabs>
          <w:tab w:leader="none" w:pos="3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Wynn Resorts Holdings, LLC, its sole member</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 Wynn Resorts, Limited, its sole member</w:t>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-6985</wp:posOffset>
            </wp:positionV>
            <wp:extent cx="612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680"/>
        <w:spacing w:after="0" w:line="202" w:lineRule="auto"/>
        <w:rPr>
          <w:sz w:val="20"/>
          <w:szCs w:val="20"/>
          <w:color w:val="auto"/>
        </w:rPr>
      </w:pPr>
      <w:r>
        <w:rPr>
          <w:rFonts w:ascii="Arial" w:cs="Arial" w:eastAsia="Arial" w:hAnsi="Arial"/>
          <w:sz w:val="19"/>
          <w:szCs w:val="19"/>
          <w:color w:val="auto"/>
        </w:rPr>
        <w:t>Name:</w:t>
      </w:r>
    </w:p>
    <w:p>
      <w:pPr>
        <w:ind w:left="2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F-7</w:t>
      </w:r>
    </w:p>
    <w:p>
      <w:pPr>
        <w:sectPr>
          <w:pgSz w:w="11900" w:h="16838" w:orient="portrait"/>
          <w:cols w:equalWidth="0" w:num="1">
            <w:col w:w="9019"/>
          </w:cols>
          <w:pgMar w:left="1440" w:top="1373" w:right="1440" w:bottom="1440" w:gutter="0" w:footer="0" w:header="0"/>
        </w:sectPr>
      </w:pPr>
    </w:p>
    <w:bookmarkStart w:id="139" w:name="page140"/>
    <w:bookmarkEnd w:id="139"/>
    <w:p>
      <w:pPr>
        <w:ind w:left="2680"/>
        <w:spacing w:after="0"/>
        <w:rPr>
          <w:sz w:val="20"/>
          <w:szCs w:val="20"/>
          <w:color w:val="auto"/>
        </w:rPr>
      </w:pPr>
      <w:r>
        <w:rPr>
          <w:rFonts w:ascii="Arial" w:cs="Arial" w:eastAsia="Arial" w:hAnsi="Arial"/>
          <w:sz w:val="19"/>
          <w:szCs w:val="19"/>
          <w:b w:val="1"/>
          <w:bCs w:val="1"/>
          <w:color w:val="auto"/>
        </w:rPr>
        <w:t>WYNN LAS VEGAS CAPITAL CORP.</w:t>
      </w:r>
    </w:p>
    <w:p>
      <w:pPr>
        <w:spacing w:after="0" w:line="200" w:lineRule="exact"/>
        <w:rPr>
          <w:sz w:val="20"/>
          <w:szCs w:val="20"/>
          <w:color w:val="auto"/>
        </w:rPr>
      </w:pPr>
    </w:p>
    <w:p>
      <w:pPr>
        <w:spacing w:after="0" w:line="240"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w:t>
      </w:r>
    </w:p>
    <w:p>
      <w:pPr>
        <w:ind w:left="2680"/>
        <w:spacing w:after="0" w:line="216" w:lineRule="auto"/>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-123825</wp:posOffset>
            </wp:positionV>
            <wp:extent cx="612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ind w:left="24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19"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U.S. BANK TRUST COMPANY, NATIONAL ASSOCIATION</w:t>
      </w:r>
      <w:r>
        <w:rPr>
          <w:rFonts w:ascii="Arial" w:cs="Arial" w:eastAsia="Arial" w:hAnsi="Arial"/>
          <w:sz w:val="21"/>
          <w:szCs w:val="21"/>
          <w:color w:val="auto"/>
        </w:rPr>
        <w:t>,</w:t>
      </w:r>
    </w:p>
    <w:p>
      <w:pPr>
        <w:ind w:left="2680"/>
        <w:spacing w:after="0"/>
        <w:rPr>
          <w:sz w:val="20"/>
          <w:szCs w:val="20"/>
          <w:color w:val="auto"/>
        </w:rPr>
      </w:pPr>
      <w:r>
        <w:rPr>
          <w:rFonts w:ascii="Arial" w:cs="Arial" w:eastAsia="Arial" w:hAnsi="Arial"/>
          <w:sz w:val="21"/>
          <w:szCs w:val="21"/>
          <w:color w:val="auto"/>
        </w:rPr>
        <w:t>as Trustee</w:t>
      </w:r>
    </w:p>
    <w:p>
      <w:pPr>
        <w:spacing w:after="0" w:line="175"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 _______________________________</w:t>
      </w:r>
    </w:p>
    <w:p>
      <w:pPr>
        <w:ind w:left="2880"/>
        <w:spacing w:after="0"/>
        <w:rPr>
          <w:sz w:val="20"/>
          <w:szCs w:val="20"/>
          <w:color w:val="auto"/>
        </w:rPr>
      </w:pPr>
      <w:r>
        <w:rPr>
          <w:rFonts w:ascii="Arial" w:cs="Arial" w:eastAsia="Arial" w:hAnsi="Arial"/>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F-8</w:t>
      </w:r>
    </w:p>
    <w:p>
      <w:pPr>
        <w:sectPr>
          <w:pgSz w:w="11900" w:h="16838" w:orient="portrait"/>
          <w:cols w:equalWidth="0" w:num="1">
            <w:col w:w="9019"/>
          </w:cols>
          <w:pgMar w:left="1440" w:top="1367" w:right="1440" w:bottom="1440" w:gutter="0" w:footer="0" w:header="0"/>
        </w:sectPr>
      </w:pPr>
    </w:p>
    <w:bookmarkStart w:id="140" w:name="page141"/>
    <w:bookmarkEnd w:id="140"/>
    <w:p>
      <w:pPr>
        <w:ind w:left="10380"/>
        <w:spacing w:after="0"/>
        <w:rPr>
          <w:sz w:val="20"/>
          <w:szCs w:val="20"/>
          <w:color w:val="auto"/>
        </w:rPr>
      </w:pPr>
      <w:r>
        <w:rPr>
          <w:rFonts w:ascii="Arial" w:cs="Arial" w:eastAsia="Arial" w:hAnsi="Arial"/>
          <w:sz w:val="16"/>
          <w:szCs w:val="16"/>
          <w:color w:val="auto"/>
        </w:rPr>
        <w:t>Exhibit 99.1</w:t>
      </w:r>
    </w:p>
    <w:p>
      <w:pPr>
        <w:spacing w:after="0" w:line="25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Wynn Resorts Announces Initial Settlement of Tender Offer for Cash by Wynn Resorts Finance, LLC for Any and All of its 7.750% Senior Notes due 2025</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LAS VEGAS, February 16, 2023 (BUSINESS WIRE) — Wynn Resorts, Limited (NASDAQ:WYNN) (“Wynn Resorts”) announced today the initial settlement of the previously announced cash tender offer (the “Tender Offer”) by its indirect wholly-owned subsidiary, Wynn Resorts Finance, LLC, (“Wynn Resorts Finance”), for any and all of the outstanding $600 million aggregate principal amount of 7.750% Senior Notes due 2025 (the “2025 Notes”) of Wynn Resorts Finance and Wynn Resorts Capital Corp.</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Tender Offer is expired at 5:00 P.M., New York City time, on February 15, 2023 (the “Expiration Time”). At the Expiration Time, valid tenders had been received with respect to approximately $506.4 million of the $600 million aggregate principal amount of 2025 Notes outstanding (which excludes 2025 Notes subject to the guaranteed delivery procedures).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Wynn Resorts Finance has accepted for payment all 2025 Notes validly tendered prior to the Expiration Date. On February 16, 2023, such tendering Holders received the tender offer consideration in the amount of $1,024.50 for each $1,000 principal amount of 2025 Notes, plus accrued and unpaid interest from the last interest payment date to, but excluding, the date hereof. With respect to 2025 Notes accepted for purchase that were tendered and are subsequently delivered in accordance with the guaranteed delivery procedures, such tendering Holders will receive payment of the tender offer consideration for such accepted 2025 Notes (to the extent such 2025 Notes were not delivered prior to the Expiration Time) on February 21, 2023, plus accrued and unpaid interest from the last interest payment date to, but excluding, the date 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D.F. King &amp; Co., Inc. acted as the information agent and tender agent.</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This press release shall not constitute an offer to purchase or the solicitation of an offer to sell the 2025 Notes. The Tender Offer was conducted in accordance with terms and subject to the conditions described in the Offer to Purchase dated as of February 9, 2023 and the related Notice of Guaranteed Delivery, copies of which may be obtained from D.F. King &amp; Co., Inc., the tender and information agent for the Tender Offer, at http://www.wynn@dfking.com, by telephone at</w:t>
      </w:r>
    </w:p>
    <w:p>
      <w:pPr>
        <w:spacing w:after="0" w:line="2" w:lineRule="exact"/>
        <w:rPr>
          <w:sz w:val="20"/>
          <w:szCs w:val="20"/>
          <w:color w:val="auto"/>
        </w:rPr>
      </w:pPr>
    </w:p>
    <w:p>
      <w:pPr>
        <w:ind w:firstLine="5"/>
        <w:spacing w:after="0" w:line="248" w:lineRule="auto"/>
        <w:tabs>
          <w:tab w:leader="none" w:pos="4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431-9646 (U.S. toll free) and (212) 269-5550 (banks and brokers) or in writing at D.F. King &amp; Co., Inc., 48 Wall Street, 22nd Floor, New York, NY 10005, Attention: Michael Horthman.</w:t>
      </w:r>
    </w:p>
    <w:p>
      <w:pPr>
        <w:spacing w:after="0" w:line="21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Wynn Resorts Finance has engaged Deutsche Bank Securities Inc. to act as the dealer manager in connection with the Tender Offer. Questions regarding the terms of the Tender Offer may be directed to Deutsche Bank Securities Inc. by telephone at (855) 287-1922 (U.S. toll-free) and (212) 250-7527 (collect).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This release contains forward-looking statements, including those related to the tender for 2025 Notes and whether or not Wynn Resorts Finance will consummate the tender offer. Such forward-looking statements are subject to a number of risks and uncertainties that could cause actual results to differ materially from those we express in these forward-looking statements, including, but not limited to, adverse macroeconomic conditions and their impact on levels of income and consumer discretionary spending, changes in interest rates, inflation, a decline in general economic activity or recession in the U.S. and/or global economies, the COVID-19 pandemic and the reimposition of restrictions on the general public or certain activities, extensive regulation of our business, pending or future legal proceedings, ability to maintain gaming licenses and concessions, dependence on key employees, general global political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Wynn Resorts’ financial results is included in Wynn Resorts’ Annual Report on Form 10-K for the year ended December 31, 2021, as supplemented by Wynn Resorts’ other periodic reports filed with the</w:t>
      </w:r>
    </w:p>
    <w:p>
      <w:pPr>
        <w:sectPr>
          <w:pgSz w:w="11900" w:h="16838" w:orient="portrait"/>
          <w:cols w:equalWidth="0" w:num="1">
            <w:col w:w="11240"/>
          </w:cols>
          <w:pgMar w:left="320" w:top="1390" w:right="339" w:bottom="1440" w:gutter="0" w:footer="0" w:header="0"/>
        </w:sectPr>
      </w:pPr>
    </w:p>
    <w:bookmarkStart w:id="141" w:name="page142"/>
    <w:bookmarkEnd w:id="141"/>
    <w:p>
      <w:pPr>
        <w:spacing w:after="0" w:line="324" w:lineRule="auto"/>
        <w:rPr>
          <w:sz w:val="20"/>
          <w:szCs w:val="20"/>
          <w:color w:val="auto"/>
        </w:rPr>
      </w:pPr>
      <w:r>
        <w:rPr>
          <w:rFonts w:ascii="Arial" w:cs="Arial" w:eastAsia="Arial" w:hAnsi="Arial"/>
          <w:sz w:val="16"/>
          <w:szCs w:val="16"/>
          <w:color w:val="auto"/>
        </w:rPr>
        <w:t>Securities and Exchange Commission from time to time. Neither Wynn Resorts nor Wynn Resorts Finance are under any obligation to (and expressly disclaim any such obligation to) update or revise their forward-looking statements as a result of new information, future events or otherwise, except as required by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Amir Markowitz</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240"/>
      </w:cols>
      <w:pgMar w:left="320" w:top="13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1)"/>
      <w:numFmt w:val="decimal"/>
      <w:start w:val="2"/>
    </w:lvl>
  </w:abstractNum>
  <w:abstractNum w:abstractNumId="2">
    <w:nsid w:val="CC1016F"/>
    <w:multiLevelType w:val="hybridMultilevel"/>
    <w:lvl w:ilvl="0">
      <w:lvlJc w:val="left"/>
      <w:lvlText w:val="(%1)"/>
      <w:numFmt w:val="lowerRoman"/>
      <w:start w:val="1"/>
    </w:lvl>
  </w:abstractNum>
  <w:abstractNum w:abstractNumId="3">
    <w:nsid w:val="43F18422"/>
    <w:multiLevelType w:val="hybridMultilevel"/>
    <w:lvl w:ilvl="0">
      <w:lvlJc w:val="left"/>
      <w:lvlText w:val="(%1)"/>
      <w:numFmt w:val="decimal"/>
      <w:start w:val="1"/>
    </w:lvl>
  </w:abstractNum>
  <w:abstractNum w:abstractNumId="4">
    <w:nsid w:val="60EF0119"/>
    <w:multiLevelType w:val="hybridMultilevel"/>
    <w:lvl w:ilvl="0">
      <w:lvlJc w:val="left"/>
      <w:lvlText w:val="(%1)"/>
      <w:numFmt w:val="decimal"/>
      <w:start w:val="1"/>
    </w:lvl>
  </w:abstractNum>
  <w:abstractNum w:abstractNumId="5">
    <w:nsid w:val="26F324BA"/>
    <w:multiLevelType w:val="hybridMultilevel"/>
    <w:lvl w:ilvl="0">
      <w:lvlJc w:val="left"/>
      <w:lvlText w:val="(%1)"/>
      <w:numFmt w:val="lowerLetter"/>
      <w:start w:val="25"/>
    </w:lvl>
  </w:abstractNum>
  <w:abstractNum w:abstractNumId="6">
    <w:nsid w:val="7F01579B"/>
    <w:multiLevelType w:val="hybridMultilevel"/>
    <w:lvl w:ilvl="0">
      <w:lvlJc w:val="left"/>
      <w:lvlText w:val="(%1)"/>
      <w:numFmt w:val="decimal"/>
      <w:start w:val="1"/>
    </w:lvl>
  </w:abstractNum>
  <w:abstractNum w:abstractNumId="7">
    <w:nsid w:val="49DA307D"/>
    <w:multiLevelType w:val="hybridMultilevel"/>
    <w:lvl w:ilvl="0">
      <w:lvlJc w:val="left"/>
      <w:lvlText w:val="(%1)"/>
      <w:numFmt w:val="decimal"/>
      <w:start w:val="1"/>
    </w:lvl>
  </w:abstractNum>
  <w:abstractNum w:abstractNumId="8">
    <w:nsid w:val="7055A5F5"/>
    <w:multiLevelType w:val="hybridMultilevel"/>
    <w:lvl w:ilvl="0">
      <w:lvlJc w:val="left"/>
      <w:lvlText w:val="(%1)"/>
      <w:numFmt w:val="decimal"/>
      <w:start w:val="4"/>
    </w:lvl>
  </w:abstractNum>
  <w:abstractNum w:abstractNumId="9">
    <w:nsid w:val="5FB8370B"/>
    <w:multiLevelType w:val="hybridMultilevel"/>
    <w:lvl w:ilvl="0">
      <w:lvlJc w:val="left"/>
      <w:lvlText w:val="(%1)"/>
      <w:numFmt w:val="lowerLetter"/>
      <w:start w:val="1"/>
    </w:lvl>
  </w:abstractNum>
  <w:abstractNum w:abstractNumId="10">
    <w:nsid w:val="50801EE1"/>
    <w:multiLevelType w:val="hybridMultilevel"/>
    <w:lvl w:ilvl="0">
      <w:lvlJc w:val="left"/>
      <w:lvlText w:val="(%1)"/>
      <w:numFmt w:val="lowerLetter"/>
      <w:start w:val="5"/>
    </w:lvl>
  </w:abstractNum>
  <w:abstractNum w:abstractNumId="11">
    <w:nsid w:val="488AC1A"/>
    <w:multiLevelType w:val="hybridMultilevel"/>
    <w:lvl w:ilvl="0">
      <w:lvlJc w:val="left"/>
      <w:lvlText w:val="(%1)"/>
      <w:numFmt w:val="lowerRoman"/>
      <w:start w:val="1"/>
    </w:lvl>
  </w:abstractNum>
  <w:abstractNum w:abstractNumId="12">
    <w:nsid w:val="5FB8011C"/>
    <w:multiLevelType w:val="hybridMultilevel"/>
    <w:lvl w:ilvl="0">
      <w:lvlJc w:val="left"/>
      <w:lvlText w:val="(%1)"/>
      <w:numFmt w:val="lowerLetter"/>
      <w:start w:val="3"/>
    </w:lvl>
  </w:abstractNum>
  <w:abstractNum w:abstractNumId="13">
    <w:nsid w:val="6AA78F7F"/>
    <w:multiLevelType w:val="hybridMultilevel"/>
    <w:lvl w:ilvl="0">
      <w:lvlJc w:val="left"/>
      <w:lvlText w:val="(%1)"/>
      <w:numFmt w:val="lowerLetter"/>
      <w:start w:val="4"/>
    </w:lvl>
  </w:abstractNum>
  <w:abstractNum w:abstractNumId="14">
    <w:nsid w:val="7672BD23"/>
    <w:multiLevelType w:val="hybridMultilevel"/>
    <w:lvl w:ilvl="0">
      <w:lvlJc w:val="left"/>
      <w:lvlText w:val="(%1)"/>
      <w:numFmt w:val="upperLetter"/>
      <w:start w:val="5"/>
    </w:lvl>
  </w:abstractNum>
  <w:abstractNum w:abstractNumId="15">
    <w:nsid w:val="6FC75AF8"/>
    <w:multiLevelType w:val="hybridMultilevel"/>
    <w:lvl w:ilvl="0">
      <w:lvlJc w:val="left"/>
      <w:lvlText w:val="(%1)"/>
      <w:numFmt w:val="lowerLetter"/>
      <w:start w:val="26"/>
    </w:lvl>
  </w:abstractNum>
  <w:abstractNum w:abstractNumId="16">
    <w:nsid w:val="6A5F7029"/>
    <w:multiLevelType w:val="hybridMultilevel"/>
    <w:lvl w:ilvl="0">
      <w:lvlJc w:val="left"/>
      <w:lvlText w:val="(%1)"/>
      <w:numFmt w:val="upperLetter"/>
      <w:start w:val="2"/>
    </w:lvl>
  </w:abstractNum>
  <w:abstractNum w:abstractNumId="17">
    <w:nsid w:val="7D5E18F8"/>
    <w:multiLevelType w:val="hybridMultilevel"/>
    <w:lvl w:ilvl="0">
      <w:lvlJc w:val="left"/>
      <w:lvlText w:val="(%1)"/>
      <w:numFmt w:val="lowerLetter"/>
      <w:start w:val="2"/>
    </w:lvl>
  </w:abstractNum>
  <w:abstractNum w:abstractNumId="18">
    <w:nsid w:val="5F3534A4"/>
    <w:multiLevelType w:val="hybridMultilevel"/>
    <w:lvl w:ilvl="0">
      <w:lvlJc w:val="left"/>
      <w:lvlText w:val="%1"/>
      <w:numFmt w:val="lowerLetter"/>
      <w:start w:val="1"/>
    </w:lvl>
    <w:lvl w:ilvl="1">
      <w:lvlJc w:val="left"/>
      <w:lvlText w:val="(%2)"/>
      <w:numFmt w:val="lowerLetter"/>
      <w:start w:val="1"/>
    </w:lvl>
  </w:abstractNum>
  <w:abstractNum w:abstractNumId="19">
    <w:nsid w:val="73A1821B"/>
    <w:multiLevelType w:val="hybridMultilevel"/>
    <w:lvl w:ilvl="0">
      <w:lvlJc w:val="left"/>
      <w:lvlText w:val="(%1)"/>
      <w:numFmt w:val="lowerLetter"/>
      <w:start w:val="35"/>
    </w:lvl>
    <w:lvl w:ilvl="1">
      <w:lvlJc w:val="left"/>
      <w:lvlText w:val="(%2)"/>
      <w:numFmt w:val="lowerLetter"/>
      <w:start w:val="2"/>
    </w:lvl>
  </w:abstractNum>
  <w:abstractNum w:abstractNumId="20">
    <w:nsid w:val="7DE67713"/>
    <w:multiLevelType w:val="hybridMultilevel"/>
    <w:lvl w:ilvl="0">
      <w:lvlJc w:val="left"/>
      <w:lvlText w:val="%1"/>
      <w:numFmt w:val="lowerLetter"/>
      <w:start w:val="1"/>
    </w:lvl>
    <w:lvl w:ilvl="1">
      <w:lvlJc w:val="left"/>
      <w:lvlText w:val="(%2)"/>
      <w:numFmt w:val="lowerLetter"/>
      <w:start w:val="3"/>
    </w:lvl>
  </w:abstractNum>
  <w:abstractNum w:abstractNumId="21">
    <w:nsid w:val="555C55B5"/>
    <w:multiLevelType w:val="hybridMultilevel"/>
    <w:lvl w:ilvl="0">
      <w:lvlJc w:val="left"/>
      <w:lvlText w:val="(%1)"/>
      <w:numFmt w:val="lowerLetter"/>
      <w:start w:val="61"/>
    </w:lvl>
    <w:lvl w:ilvl="1">
      <w:lvlJc w:val="left"/>
      <w:lvlText w:val="%2"/>
      <w:numFmt w:val="lowerLetter"/>
      <w:start w:val="1"/>
    </w:lvl>
  </w:abstractNum>
  <w:abstractNum w:abstractNumId="22">
    <w:nsid w:val="3FA62ACA"/>
    <w:multiLevelType w:val="hybridMultilevel"/>
    <w:lvl w:ilvl="0">
      <w:lvlJc w:val="left"/>
      <w:lvlText w:val="(%1)"/>
      <w:numFmt w:val="lowerLetter"/>
      <w:start w:val="4"/>
    </w:lvl>
  </w:abstractNum>
  <w:abstractNum w:abstractNumId="23">
    <w:nsid w:val="14FCE74E"/>
    <w:multiLevelType w:val="hybridMultilevel"/>
    <w:lvl w:ilvl="0">
      <w:lvlJc w:val="left"/>
      <w:lvlText w:val="(%1)"/>
      <w:numFmt w:val="lowerLetter"/>
      <w:start w:val="9"/>
    </w:lvl>
  </w:abstractNum>
  <w:abstractNum w:abstractNumId="24">
    <w:nsid w:val="6A3DD3E8"/>
    <w:multiLevelType w:val="hybridMultilevel"/>
    <w:lvl w:ilvl="0">
      <w:lvlJc w:val="left"/>
      <w:lvlText w:val="(%1)"/>
      <w:numFmt w:val="lowerLetter"/>
      <w:start w:val="25"/>
    </w:lvl>
  </w:abstractNum>
  <w:abstractNum w:abstractNumId="25">
    <w:nsid w:val="71C91298"/>
    <w:multiLevelType w:val="hybridMultilevel"/>
    <w:lvl w:ilvl="0">
      <w:lvlJc w:val="left"/>
      <w:lvlText w:val="(%1)"/>
      <w:numFmt w:val="lowerLetter"/>
      <w:start w:val="2"/>
    </w:lvl>
  </w:abstractNum>
  <w:abstractNum w:abstractNumId="26">
    <w:nsid w:val="9DAF632"/>
    <w:multiLevelType w:val="hybridMultilevel"/>
    <w:lvl w:ilvl="0">
      <w:lvlJc w:val="left"/>
      <w:lvlText w:val="(%1)"/>
      <w:numFmt w:val="decimal"/>
      <w:start w:val="1"/>
    </w:lvl>
  </w:abstractNum>
  <w:abstractNum w:abstractNumId="27">
    <w:nsid w:val="53299938"/>
    <w:multiLevelType w:val="hybridMultilevel"/>
    <w:lvl w:ilvl="0">
      <w:lvlJc w:val="left"/>
      <w:lvlText w:val="(%1)"/>
      <w:numFmt w:val="decimal"/>
      <w:start w:val="2"/>
    </w:lvl>
  </w:abstractNum>
  <w:abstractNum w:abstractNumId="28">
    <w:nsid w:val="1FBFE8E0"/>
    <w:multiLevelType w:val="hybridMultilevel"/>
    <w:lvl w:ilvl="0">
      <w:lvlJc w:val="left"/>
      <w:lvlText w:val="(%1)"/>
      <w:numFmt w:val="decimal"/>
      <w:start w:val="1"/>
    </w:lvl>
  </w:abstractNum>
  <w:abstractNum w:abstractNumId="29">
    <w:nsid w:val="5092CA79"/>
    <w:multiLevelType w:val="hybridMultilevel"/>
    <w:lvl w:ilvl="0">
      <w:lvlJc w:val="left"/>
      <w:lvlText w:val="(%1)"/>
      <w:numFmt w:val="decimal"/>
      <w:start w:val="2"/>
    </w:lvl>
  </w:abstractNum>
  <w:abstractNum w:abstractNumId="30">
    <w:nsid w:val="1D545C4D"/>
    <w:multiLevelType w:val="hybridMultilevel"/>
    <w:lvl w:ilvl="0">
      <w:lvlJc w:val="left"/>
      <w:lvlText w:val="(%1)"/>
      <w:numFmt w:val="decimal"/>
      <w:start w:val="1"/>
    </w:lvl>
  </w:abstractNum>
  <w:abstractNum w:abstractNumId="31">
    <w:nsid w:val="59ADEA3D"/>
    <w:multiLevelType w:val="hybridMultilevel"/>
    <w:lvl w:ilvl="0">
      <w:lvlJc w:val="left"/>
      <w:lvlText w:val="(%1)"/>
      <w:numFmt w:val="decimal"/>
      <w:start w:val="1"/>
    </w:lvl>
  </w:abstractNum>
  <w:abstractNum w:abstractNumId="32">
    <w:nsid w:val="288F1A34"/>
    <w:multiLevelType w:val="hybridMultilevel"/>
    <w:lvl w:ilvl="0">
      <w:lvlJc w:val="left"/>
      <w:lvlText w:val="(%1)"/>
      <w:numFmt w:val="decimal"/>
      <w:start w:val="1"/>
    </w:lvl>
    <w:lvl w:ilvl="1">
      <w:lvlJc w:val="left"/>
      <w:lvlText w:val="(%2)"/>
      <w:numFmt w:val="lowerLetter"/>
      <w:start w:val="1"/>
    </w:lvl>
  </w:abstractNum>
  <w:abstractNum w:abstractNumId="33">
    <w:nsid w:val="2A155DBC"/>
    <w:multiLevelType w:val="hybridMultilevel"/>
    <w:lvl w:ilvl="0">
      <w:lvlJc w:val="left"/>
      <w:lvlText w:val="(%1)"/>
      <w:numFmt w:val="lowerLetter"/>
      <w:start w:val="2"/>
    </w:lvl>
  </w:abstractNum>
  <w:abstractNum w:abstractNumId="34">
    <w:nsid w:val="1D9F6E5F"/>
    <w:multiLevelType w:val="hybridMultilevel"/>
    <w:lvl w:ilvl="0">
      <w:lvlJc w:val="left"/>
      <w:lvlText w:val="(%1)"/>
      <w:numFmt w:val="decimal"/>
      <w:start w:val="1"/>
    </w:lvl>
  </w:abstractNum>
  <w:abstractNum w:abstractNumId="35">
    <w:nsid w:val="97E1B4E"/>
    <w:multiLevelType w:val="hybridMultilevel"/>
    <w:lvl w:ilvl="0">
      <w:lvlJc w:val="left"/>
      <w:lvlText w:val="(%1)"/>
      <w:numFmt w:val="decimal"/>
      <w:start w:val="1"/>
    </w:lvl>
  </w:abstractNum>
  <w:abstractNum w:abstractNumId="36">
    <w:nsid w:val="51088277"/>
    <w:multiLevelType w:val="hybridMultilevel"/>
    <w:lvl w:ilvl="0">
      <w:lvlJc w:val="left"/>
      <w:lvlText w:val="(%1)"/>
      <w:numFmt w:val="decimal"/>
      <w:start w:val="1"/>
    </w:lvl>
  </w:abstractNum>
  <w:abstractNum w:abstractNumId="37">
    <w:nsid w:val="1CA0C5FA"/>
    <w:multiLevelType w:val="hybridMultilevel"/>
    <w:lvl w:ilvl="0">
      <w:lvlJc w:val="left"/>
      <w:lvlText w:val="(%1)"/>
      <w:numFmt w:val="decimal"/>
      <w:start w:val="7"/>
    </w:lvl>
  </w:abstractNum>
  <w:abstractNum w:abstractNumId="38">
    <w:nsid w:val="53584BCB"/>
    <w:multiLevelType w:val="hybridMultilevel"/>
    <w:lvl w:ilvl="0">
      <w:lvlJc w:val="left"/>
      <w:lvlText w:val="(%1)"/>
      <w:numFmt w:val="decimal"/>
      <w:start w:val="1"/>
    </w:lvl>
  </w:abstractNum>
  <w:abstractNum w:abstractNumId="39">
    <w:nsid w:val="415E286C"/>
    <w:multiLevelType w:val="hybridMultilevel"/>
    <w:lvl w:ilvl="0">
      <w:lvlJc w:val="left"/>
      <w:lvlText w:val="(%1)"/>
      <w:numFmt w:val="lowerRoman"/>
      <w:start w:val="4"/>
    </w:lvl>
  </w:abstractNum>
  <w:abstractNum w:abstractNumId="40">
    <w:nsid w:val="7C58FD05"/>
    <w:multiLevelType w:val="hybridMultilevel"/>
    <w:lvl w:ilvl="0">
      <w:lvlJc w:val="left"/>
      <w:lvlText w:val="(%1)"/>
      <w:numFmt w:val="decimal"/>
      <w:start w:val="1"/>
    </w:lvl>
  </w:abstractNum>
  <w:abstractNum w:abstractNumId="41">
    <w:nsid w:val="23D86AAC"/>
    <w:multiLevelType w:val="hybridMultilevel"/>
    <w:lvl w:ilvl="0">
      <w:lvlJc w:val="left"/>
      <w:lvlText w:val="(%1)"/>
      <w:numFmt w:val="decimal"/>
      <w:start w:val="1"/>
    </w:lvl>
  </w:abstractNum>
  <w:abstractNum w:abstractNumId="42">
    <w:nsid w:val="45E6D486"/>
    <w:multiLevelType w:val="hybridMultilevel"/>
    <w:lvl w:ilvl="0">
      <w:lvlJc w:val="left"/>
      <w:lvlText w:val="(%1)"/>
      <w:numFmt w:val="decimal"/>
      <w:start w:val="3"/>
    </w:lvl>
  </w:abstractNum>
  <w:abstractNum w:abstractNumId="43">
    <w:nsid w:val="5C10FE21"/>
    <w:multiLevelType w:val="hybridMultilevel"/>
    <w:lvl w:ilvl="0">
      <w:lvlJc w:val="left"/>
      <w:lvlText w:val="(%1)"/>
      <w:numFmt w:val="lowerLetter"/>
      <w:start w:val="1"/>
    </w:lvl>
  </w:abstractNum>
  <w:abstractNum w:abstractNumId="44">
    <w:nsid w:val="E7FFA2B"/>
    <w:multiLevelType w:val="hybridMultilevel"/>
    <w:lvl w:ilvl="0">
      <w:lvlJc w:val="left"/>
      <w:lvlText w:val="(%1)"/>
      <w:numFmt w:val="lowerLetter"/>
      <w:start w:val="2"/>
    </w:lvl>
  </w:abstractNum>
  <w:abstractNum w:abstractNumId="45">
    <w:nsid w:val="3C5991AA"/>
    <w:multiLevelType w:val="hybridMultilevel"/>
    <w:lvl w:ilvl="0">
      <w:lvlJc w:val="left"/>
      <w:lvlText w:val="(%1)"/>
      <w:numFmt w:val="lowerLetter"/>
      <w:start w:val="3"/>
    </w:lvl>
    <w:lvl w:ilvl="1">
      <w:lvlJc w:val="left"/>
      <w:lvlText w:val="(%2)"/>
      <w:numFmt w:val="decimal"/>
      <w:start w:val="1"/>
    </w:lvl>
  </w:abstractNum>
  <w:abstractNum w:abstractNumId="46">
    <w:nsid w:val="4BD8591A"/>
    <w:multiLevelType w:val="hybridMultilevel"/>
    <w:lvl w:ilvl="0">
      <w:lvlJc w:val="left"/>
      <w:lvlText w:val="(%1)"/>
      <w:numFmt w:val="lowerLetter"/>
      <w:start w:val="4"/>
    </w:lvl>
  </w:abstractNum>
  <w:abstractNum w:abstractNumId="47">
    <w:nsid w:val="78DF6A55"/>
    <w:multiLevelType w:val="hybridMultilevel"/>
    <w:lvl w:ilvl="0">
      <w:lvlJc w:val="left"/>
      <w:lvlText w:val="(%1)"/>
      <w:numFmt w:val="lowerLetter"/>
      <w:start w:val="1"/>
    </w:lvl>
    <w:lvl w:ilvl="1">
      <w:lvlJc w:val="left"/>
      <w:lvlText w:val="(%2)"/>
      <w:numFmt w:val="decimal"/>
      <w:start w:val="1"/>
    </w:lvl>
  </w:abstractNum>
  <w:abstractNum w:abstractNumId="48">
    <w:nsid w:val="39B7AAA2"/>
    <w:multiLevelType w:val="hybridMultilevel"/>
    <w:lvl w:ilvl="0">
      <w:lvlJc w:val="left"/>
      <w:lvlText w:val="(%1)"/>
      <w:numFmt w:val="lowerLetter"/>
      <w:start w:val="2"/>
    </w:lvl>
    <w:lvl w:ilvl="1">
      <w:lvlJc w:val="left"/>
      <w:lvlText w:val="(%2)"/>
      <w:numFmt w:val="decimal"/>
      <w:start w:val="1"/>
    </w:lvl>
  </w:abstractNum>
  <w:abstractNum w:abstractNumId="49">
    <w:nsid w:val="2B0D8DBE"/>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50">
    <w:nsid w:val="6C80EC70"/>
    <w:multiLevelType w:val="hybridMultilevel"/>
    <w:lvl w:ilvl="0">
      <w:lvlJc w:val="left"/>
      <w:lvlText w:val="(%1)"/>
      <w:numFmt w:val="decimal"/>
      <w:start w:val="3"/>
    </w:lvl>
    <w:lvl w:ilvl="1">
      <w:lvlJc w:val="left"/>
      <w:lvlText w:val="(%2)"/>
      <w:numFmt w:val="upperLetter"/>
      <w:start w:val="1"/>
    </w:lvl>
  </w:abstractNum>
  <w:abstractNum w:abstractNumId="51">
    <w:nsid w:val="379E21B5"/>
    <w:multiLevelType w:val="hybridMultilevel"/>
    <w:lvl w:ilvl="0">
      <w:lvlJc w:val="left"/>
      <w:lvlText w:val="%1"/>
      <w:numFmt w:val="decimal"/>
      <w:start w:val="1"/>
    </w:lvl>
    <w:lvl w:ilvl="1">
      <w:lvlJc w:val="left"/>
      <w:lvlText w:val="(%2)"/>
      <w:numFmt w:val="upperLetter"/>
      <w:start w:val="3"/>
    </w:lvl>
  </w:abstractNum>
  <w:abstractNum w:abstractNumId="52">
    <w:nsid w:val="69E373"/>
    <w:multiLevelType w:val="hybridMultilevel"/>
    <w:lvl w:ilvl="0">
      <w:lvlJc w:val="left"/>
      <w:lvlText w:val="(%1)"/>
      <w:numFmt w:val="decimal"/>
      <w:start w:val="4"/>
    </w:lvl>
    <w:lvl w:ilvl="1">
      <w:lvlJc w:val="left"/>
      <w:lvlText w:val="(%2)"/>
      <w:numFmt w:val="upperLetter"/>
      <w:start w:val="1"/>
    </w:lvl>
  </w:abstractNum>
  <w:abstractNum w:abstractNumId="53">
    <w:nsid w:val="2C27173B"/>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4">
    <w:nsid w:val="4C9B0904"/>
    <w:multiLevelType w:val="hybridMultilevel"/>
    <w:lvl w:ilvl="0">
      <w:lvlJc w:val="left"/>
      <w:lvlText w:val="%1"/>
      <w:numFmt w:val="decimal"/>
      <w:start w:val="1"/>
    </w:lvl>
    <w:lvl w:ilvl="1">
      <w:lvlJc w:val="left"/>
      <w:lvlText w:val="(%2)"/>
      <w:numFmt w:val="upperLetter"/>
      <w:start w:val="2"/>
    </w:lvl>
  </w:abstractNum>
  <w:abstractNum w:abstractNumId="55">
    <w:nsid w:val="6AA7B75C"/>
    <w:multiLevelType w:val="hybridMultilevel"/>
    <w:lvl w:ilvl="0">
      <w:lvlJc w:val="left"/>
      <w:lvlText w:val="(%1)"/>
      <w:numFmt w:val="decimal"/>
      <w:start w:val="3"/>
    </w:lvl>
    <w:lvl w:ilvl="1">
      <w:lvlJc w:val="left"/>
      <w:lvlText w:val="(%2)"/>
      <w:numFmt w:val="upperLetter"/>
      <w:start w:val="6"/>
    </w:lvl>
  </w:abstractNum>
  <w:abstractNum w:abstractNumId="56">
    <w:nsid w:val="1DF029D3"/>
    <w:multiLevelType w:val="hybridMultilevel"/>
    <w:lvl w:ilvl="0">
      <w:lvlJc w:val="left"/>
      <w:lvlText w:val="(%1)"/>
      <w:numFmt w:val="decimal"/>
      <w:start w:val="2"/>
    </w:lvl>
    <w:lvl w:ilvl="1">
      <w:lvlJc w:val="left"/>
      <w:lvlText w:val="(%2)"/>
      <w:numFmt w:val="lowerRoman"/>
      <w:start w:val="1"/>
    </w:lvl>
  </w:abstractNum>
  <w:abstractNum w:abstractNumId="57">
    <w:nsid w:val="5675FF36"/>
    <w:multiLevelType w:val="hybridMultilevel"/>
    <w:lvl w:ilvl="0">
      <w:lvlJc w:val="left"/>
      <w:lvlText w:val="(%1)"/>
      <w:numFmt w:val="lowerRoman"/>
      <w:start w:val="2"/>
    </w:lvl>
  </w:abstractNum>
  <w:abstractNum w:abstractNumId="58">
    <w:nsid w:val="3DD15094"/>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upperLetter"/>
      <w:start w:val="1"/>
    </w:lvl>
  </w:abstractNum>
  <w:abstractNum w:abstractNumId="59">
    <w:nsid w:val="3DB012B3"/>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upperLetter"/>
      <w:start w:val="1"/>
    </w:lvl>
  </w:abstractNum>
  <w:abstractNum w:abstractNumId="60">
    <w:nsid w:val="2708C9AF"/>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61">
    <w:nsid w:val="5B25ACE2"/>
    <w:multiLevelType w:val="hybridMultilevel"/>
    <w:lvl w:ilvl="0">
      <w:lvlJc w:val="left"/>
      <w:lvlText w:val="(%1)"/>
      <w:numFmt w:val="upperLetter"/>
      <w:start w:val="5"/>
    </w:lvl>
  </w:abstractNum>
  <w:abstractNum w:abstractNumId="62">
    <w:nsid w:val="175DFCF0"/>
    <w:multiLevelType w:val="hybridMultilevel"/>
    <w:lvl w:ilvl="0">
      <w:lvlJc w:val="left"/>
      <w:lvlText w:val="(%1)"/>
      <w:numFmt w:val="decimal"/>
      <w:start w:val="2"/>
    </w:lvl>
    <w:lvl w:ilvl="1">
      <w:lvlJc w:val="left"/>
      <w:lvlText w:val="(%2)"/>
      <w:numFmt w:val="upperLetter"/>
      <w:start w:val="1"/>
    </w:lvl>
  </w:abstractNum>
  <w:abstractNum w:abstractNumId="63">
    <w:nsid w:val="4F97E3E4"/>
    <w:multiLevelType w:val="hybridMultilevel"/>
    <w:lvl w:ilvl="0">
      <w:lvlJc w:val="left"/>
      <w:lvlText w:val="(%1)"/>
      <w:numFmt w:val="decimal"/>
      <w:start w:val="3"/>
    </w:lvl>
  </w:abstractNum>
  <w:abstractNum w:abstractNumId="64">
    <w:nsid w:val="53B0A9E"/>
    <w:multiLevelType w:val="hybridMultilevel"/>
    <w:lvl w:ilvl="0">
      <w:lvlJc w:val="left"/>
      <w:lvlText w:val="(%1)"/>
      <w:numFmt w:val="decimal"/>
      <w:start w:val="2"/>
    </w:lvl>
  </w:abstractNum>
  <w:abstractNum w:abstractNumId="65">
    <w:nsid w:val="34FD6B4F"/>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66">
    <w:nsid w:val="5915FF32"/>
    <w:multiLevelType w:val="hybridMultilevel"/>
    <w:lvl w:ilvl="0">
      <w:lvlJc w:val="left"/>
      <w:lvlText w:val="(%1)"/>
      <w:numFmt w:val="decimal"/>
      <w:start w:val="3"/>
    </w:lvl>
  </w:abstractNum>
  <w:abstractNum w:abstractNumId="67">
    <w:nsid w:val="56438D15"/>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68">
    <w:nsid w:val="519E3149"/>
    <w:multiLevelType w:val="hybridMultilevel"/>
    <w:lvl w:ilvl="0">
      <w:lvlJc w:val="left"/>
      <w:lvlText w:val="%1"/>
      <w:numFmt w:val="decimal"/>
      <w:start w:val="1"/>
    </w:lvl>
    <w:lvl w:ilvl="1">
      <w:lvlJc w:val="left"/>
      <w:lvlText w:val="(%2)"/>
      <w:numFmt w:val="upperLetter"/>
      <w:start w:val="2"/>
    </w:lvl>
  </w:abstractNum>
  <w:abstractNum w:abstractNumId="69">
    <w:nsid w:val="2C6E4AFD"/>
    <w:multiLevelType w:val="hybridMultilevel"/>
    <w:lvl w:ilvl="0">
      <w:lvlJc w:val="left"/>
      <w:lvlText w:val="(%1)"/>
      <w:numFmt w:val="decimal"/>
      <w:start w:val="2"/>
    </w:lvl>
    <w:lvl w:ilvl="1">
      <w:lvlJc w:val="left"/>
      <w:lvlText w:val="%2"/>
      <w:numFmt w:val="upperLetter"/>
      <w:start w:val="1"/>
    </w:lvl>
  </w:abstractNum>
  <w:abstractNum w:abstractNumId="70">
    <w:nsid w:val="17A1B582"/>
    <w:multiLevelType w:val="hybridMultilevel"/>
    <w:lvl w:ilvl="0">
      <w:lvlJc w:val="left"/>
      <w:lvlText w:val="(%1)"/>
      <w:numFmt w:val="decimal"/>
      <w:start w:val="3"/>
    </w:lvl>
  </w:abstractNum>
  <w:abstractNum w:abstractNumId="71">
    <w:nsid w:val="4DF72E4E"/>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72">
    <w:nsid w:val="5046B5A9"/>
    <w:multiLevelType w:val="hybridMultilevel"/>
    <w:lvl w:ilvl="0">
      <w:lvlJc w:val="left"/>
      <w:lvlText w:val="%1"/>
      <w:numFmt w:val="decimal"/>
      <w:start w:val="1"/>
    </w:lvl>
    <w:lvl w:ilvl="1">
      <w:lvlJc w:val="left"/>
      <w:lvlText w:val="(%2)"/>
      <w:numFmt w:val="upperLetter"/>
      <w:start w:val="2"/>
    </w:lvl>
  </w:abstractNum>
  <w:abstractNum w:abstractNumId="73">
    <w:nsid w:val="5D888A08"/>
    <w:multiLevelType w:val="hybridMultilevel"/>
    <w:lvl w:ilvl="0">
      <w:lvlJc w:val="left"/>
      <w:lvlText w:val="(%1)"/>
      <w:numFmt w:val="decimal"/>
      <w:start w:val="6"/>
    </w:lvl>
    <w:lvl w:ilvl="1">
      <w:lvlJc w:val="left"/>
      <w:lvlText w:val="%2"/>
      <w:numFmt w:val="upperLetter"/>
      <w:start w:val="1"/>
    </w:lvl>
  </w:abstractNum>
  <w:abstractNum w:abstractNumId="74">
    <w:nsid w:val="2A082C70"/>
    <w:multiLevelType w:val="hybridMultilevel"/>
    <w:lvl w:ilvl="0">
      <w:lvlJc w:val="left"/>
      <w:lvlText w:val="(%1)"/>
      <w:numFmt w:val="lowerLetter"/>
      <w:start w:val="1"/>
    </w:lvl>
  </w:abstractNum>
  <w:abstractNum w:abstractNumId="75">
    <w:nsid w:val="5EC6AFD4"/>
    <w:multiLevelType w:val="hybridMultilevel"/>
    <w:lvl w:ilvl="0">
      <w:lvlJc w:val="left"/>
      <w:lvlText w:val="(%1)"/>
      <w:numFmt w:val="lowerLetter"/>
      <w:start w:val="2"/>
    </w:lvl>
  </w:abstractNum>
  <w:abstractNum w:abstractNumId="76">
    <w:nsid w:val="19E21BB2"/>
    <w:multiLevelType w:val="hybridMultilevel"/>
    <w:lvl w:ilvl="0">
      <w:lvlJc w:val="left"/>
      <w:lvlText w:val="(%1)"/>
      <w:numFmt w:val="lowerLetter"/>
      <w:start w:val="3"/>
    </w:lvl>
  </w:abstractNum>
  <w:abstractNum w:abstractNumId="77">
    <w:nsid w:val="75E0858A"/>
    <w:multiLevelType w:val="hybridMultilevel"/>
    <w:lvl w:ilvl="0">
      <w:lvlJc w:val="left"/>
      <w:lvlText w:val="(%1)"/>
      <w:numFmt w:val="lowerLetter"/>
      <w:start w:val="1"/>
    </w:lvl>
  </w:abstractNum>
  <w:abstractNum w:abstractNumId="78">
    <w:nsid w:val="57A61A29"/>
    <w:multiLevelType w:val="hybridMultilevel"/>
    <w:lvl w:ilvl="0">
      <w:lvlJc w:val="left"/>
      <w:lvlText w:val="(%1)"/>
      <w:numFmt w:val="lowerLetter"/>
      <w:start w:val="1"/>
    </w:lvl>
  </w:abstractNum>
  <w:abstractNum w:abstractNumId="79">
    <w:nsid w:val="5399C654"/>
    <w:multiLevelType w:val="hybridMultilevel"/>
    <w:lvl w:ilvl="0">
      <w:lvlJc w:val="left"/>
      <w:lvlText w:val="(%1)"/>
      <w:numFmt w:val="lowerLetter"/>
      <w:start w:val="1"/>
    </w:lvl>
  </w:abstractNum>
  <w:abstractNum w:abstractNumId="80">
    <w:nsid w:val="20EE1348"/>
    <w:multiLevelType w:val="hybridMultilevel"/>
    <w:lvl w:ilvl="0">
      <w:lvlJc w:val="left"/>
      <w:lvlText w:val="(%1)"/>
      <w:numFmt w:val="lowerLetter"/>
      <w:start w:val="7"/>
    </w:lvl>
  </w:abstractNum>
  <w:abstractNum w:abstractNumId="81">
    <w:nsid w:val="4427069A"/>
    <w:multiLevelType w:val="hybridMultilevel"/>
    <w:lvl w:ilvl="0">
      <w:lvlJc w:val="left"/>
      <w:lvlText w:val="(%1)"/>
      <w:numFmt w:val="lowerLetter"/>
      <w:start w:val="1"/>
    </w:lvl>
    <w:lvl w:ilvl="1">
      <w:lvlJc w:val="left"/>
      <w:lvlText w:val="(%2)"/>
      <w:numFmt w:val="decimal"/>
      <w:start w:val="1"/>
    </w:lvl>
  </w:abstractNum>
  <w:abstractNum w:abstractNumId="82">
    <w:nsid w:val="B37E80A"/>
    <w:multiLevelType w:val="hybridMultilevel"/>
    <w:lvl w:ilvl="0">
      <w:lvlJc w:val="left"/>
      <w:lvlText w:val="(%1)"/>
      <w:numFmt w:val="lowerLetter"/>
      <w:start w:val="2"/>
    </w:lvl>
  </w:abstractNum>
  <w:abstractNum w:abstractNumId="83">
    <w:nsid w:val="2157F6BC"/>
    <w:multiLevelType w:val="hybridMultilevel"/>
    <w:lvl w:ilvl="0">
      <w:lvlJc w:val="left"/>
      <w:lvlText w:val="(%1)"/>
      <w:numFmt w:val="lowerLetter"/>
      <w:start w:val="1"/>
    </w:lvl>
  </w:abstractNum>
  <w:abstractNum w:abstractNumId="84">
    <w:nsid w:val="704E1DD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85">
    <w:nsid w:val="57D2F10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86">
    <w:nsid w:val="BFFAE18"/>
    <w:multiLevelType w:val="hybridMultilevel"/>
    <w:lvl w:ilvl="0">
      <w:lvlJc w:val="left"/>
      <w:lvlText w:val="(%1)"/>
      <w:numFmt w:val="lowerLetter"/>
      <w:start w:val="1"/>
    </w:lvl>
  </w:abstractNum>
  <w:abstractNum w:abstractNumId="87">
    <w:nsid w:val="E3E47A8"/>
    <w:multiLevelType w:val="hybridMultilevel"/>
    <w:lvl w:ilvl="0">
      <w:lvlJc w:val="left"/>
      <w:lvlText w:val="(%1)"/>
      <w:numFmt w:val="decimal"/>
      <w:start w:val="1"/>
    </w:lvl>
  </w:abstractNum>
  <w:abstractNum w:abstractNumId="88">
    <w:nsid w:val="2E48F044"/>
    <w:multiLevelType w:val="hybridMultilevel"/>
    <w:lvl w:ilvl="0">
      <w:lvlJc w:val="left"/>
      <w:lvlText w:val="(%1)"/>
      <w:numFmt w:val="lowerLetter"/>
      <w:start w:val="1"/>
    </w:lvl>
  </w:abstractNum>
  <w:abstractNum w:abstractNumId="89">
    <w:nsid w:val="49D0FEAC"/>
    <w:multiLevelType w:val="hybridMultilevel"/>
    <w:lvl w:ilvl="0">
      <w:lvlJc w:val="left"/>
      <w:lvlText w:val="(%1)"/>
      <w:numFmt w:val="lowerLetter"/>
      <w:start w:val="2"/>
    </w:lvl>
  </w:abstractNum>
  <w:abstractNum w:abstractNumId="90">
    <w:nsid w:val="4BEE5A5B"/>
    <w:multiLevelType w:val="hybridMultilevel"/>
    <w:lvl w:ilvl="0">
      <w:lvlJc w:val="left"/>
      <w:lvlText w:val="(%1)"/>
      <w:numFmt w:val="decimal"/>
      <w:start w:val="2"/>
    </w:lvl>
  </w:abstractNum>
  <w:abstractNum w:abstractNumId="91">
    <w:nsid w:val="5551B9F3"/>
    <w:multiLevelType w:val="hybridMultilevel"/>
    <w:lvl w:ilvl="0">
      <w:lvlJc w:val="left"/>
      <w:lvlText w:val="(%1)"/>
      <w:numFmt w:val="lowerLetter"/>
      <w:start w:val="1"/>
    </w:lvl>
  </w:abstractNum>
  <w:abstractNum w:abstractNumId="92">
    <w:nsid w:val="24F6AB8E"/>
    <w:multiLevelType w:val="hybridMultilevel"/>
    <w:lvl w:ilvl="0">
      <w:lvlJc w:val="left"/>
      <w:lvlText w:val="(%1)"/>
      <w:numFmt w:val="lowerLetter"/>
      <w:start w:val="4"/>
    </w:lvl>
  </w:abstractNum>
  <w:abstractNum w:abstractNumId="93">
    <w:nsid w:val="634C574C"/>
    <w:multiLevelType w:val="hybridMultilevel"/>
    <w:lvl w:ilvl="0">
      <w:lvlJc w:val="left"/>
      <w:lvlText w:val="(%1)"/>
      <w:numFmt w:val="decimal"/>
      <w:start w:val="3"/>
    </w:lvl>
  </w:abstractNum>
  <w:abstractNum w:abstractNumId="94">
    <w:nsid w:val="24E99DD7"/>
    <w:multiLevelType w:val="hybridMultilevel"/>
    <w:lvl w:ilvl="0">
      <w:lvlJc w:val="left"/>
      <w:lvlText w:val="(%1)"/>
      <w:numFmt w:val="lowerLetter"/>
      <w:start w:val="1"/>
    </w:lvl>
  </w:abstractNum>
  <w:abstractNum w:abstractNumId="95">
    <w:nsid w:val="2A31B62D"/>
    <w:multiLevelType w:val="hybridMultilevel"/>
    <w:lvl w:ilvl="0">
      <w:lvlJc w:val="left"/>
      <w:lvlText w:val="(%1)"/>
      <w:numFmt w:val="lowerLetter"/>
      <w:start w:val="3"/>
    </w:lvl>
  </w:abstractNum>
  <w:abstractNum w:abstractNumId="96">
    <w:nsid w:val="1849C29B"/>
    <w:multiLevelType w:val="hybridMultilevel"/>
    <w:lvl w:ilvl="0">
      <w:lvlJc w:val="left"/>
      <w:lvlText w:val="(%1)"/>
      <w:numFmt w:val="lowerLetter"/>
      <w:start w:val="1"/>
    </w:lvl>
  </w:abstractNum>
  <w:abstractNum w:abstractNumId="97">
    <w:nsid w:val="7DFF9D09"/>
    <w:multiLevelType w:val="hybridMultilevel"/>
    <w:lvl w:ilvl="0">
      <w:lvlJc w:val="left"/>
      <w:lvlText w:val="(%1)"/>
      <w:numFmt w:val="lowerLetter"/>
      <w:start w:val="4"/>
    </w:lvl>
  </w:abstractNum>
  <w:abstractNum w:abstractNumId="98">
    <w:nsid w:val="754342"/>
    <w:multiLevelType w:val="hybridMultilevel"/>
    <w:lvl w:ilvl="0">
      <w:lvlJc w:val="left"/>
      <w:lvlText w:val="(%1)"/>
      <w:numFmt w:val="lowerLetter"/>
      <w:start w:val="15"/>
    </w:lvl>
  </w:abstractNum>
  <w:abstractNum w:abstractNumId="99">
    <w:nsid w:val="69E7F3E5"/>
    <w:multiLevelType w:val="hybridMultilevel"/>
    <w:lvl w:ilvl="0">
      <w:lvlJc w:val="left"/>
      <w:lvlText w:val="(%1)"/>
      <w:numFmt w:val="lowerLetter"/>
      <w:start w:val="1"/>
    </w:lvl>
  </w:abstractNum>
  <w:abstractNum w:abstractNumId="100">
    <w:nsid w:val="2A6DE806"/>
    <w:multiLevelType w:val="hybridMultilevel"/>
    <w:lvl w:ilvl="0">
      <w:lvlJc w:val="left"/>
      <w:lvlText w:val="(%1)"/>
      <w:numFmt w:val="lowerLetter"/>
      <w:start w:val="1"/>
    </w:lvl>
  </w:abstractNum>
  <w:abstractNum w:abstractNumId="101">
    <w:nsid w:val="1816F8C4"/>
    <w:multiLevelType w:val="hybridMultilevel"/>
    <w:lvl w:ilvl="0">
      <w:lvlJc w:val="left"/>
      <w:lvlText w:val="(%1)"/>
      <w:numFmt w:val="lowerLetter"/>
      <w:start w:val="1"/>
    </w:lvl>
    <w:lvl w:ilvl="1">
      <w:lvlJc w:val="left"/>
      <w:lvlText w:val="(%2)"/>
      <w:numFmt w:val="decimal"/>
      <w:start w:val="1"/>
    </w:lvl>
  </w:abstractNum>
  <w:abstractNum w:abstractNumId="102">
    <w:nsid w:val="37DF2233"/>
    <w:multiLevelType w:val="hybridMultilevel"/>
    <w:lvl w:ilvl="0">
      <w:lvlJc w:val="left"/>
      <w:lvlText w:val="(%1)"/>
      <w:numFmt w:val="lowerLetter"/>
      <w:start w:val="2"/>
    </w:lvl>
    <w:lvl w:ilvl="1">
      <w:lvlJc w:val="left"/>
      <w:lvlText w:val="(%2)"/>
      <w:numFmt w:val="decimal"/>
      <w:start w:val="1"/>
    </w:lvl>
  </w:abstractNum>
  <w:abstractNum w:abstractNumId="103">
    <w:nsid w:val="7AB49DAF"/>
    <w:multiLevelType w:val="hybridMultilevel"/>
    <w:lvl w:ilvl="0">
      <w:lvlJc w:val="left"/>
      <w:lvlText w:val="(%1)"/>
      <w:numFmt w:val="lowerLetter"/>
      <w:start w:val="3"/>
    </w:lvl>
  </w:abstractNum>
  <w:abstractNum w:abstractNumId="104">
    <w:nsid w:val="759F82CD"/>
    <w:multiLevelType w:val="hybridMultilevel"/>
    <w:lvl w:ilvl="0">
      <w:lvlJc w:val="left"/>
      <w:lvlText w:val="(%1)"/>
      <w:numFmt w:val="lowerLetter"/>
      <w:start w:val="1"/>
    </w:lvl>
  </w:abstractNum>
  <w:abstractNum w:abstractNumId="105">
    <w:nsid w:val="61E74EA3"/>
    <w:multiLevelType w:val="hybridMultilevel"/>
    <w:lvl w:ilvl="0">
      <w:lvlJc w:val="left"/>
      <w:lvlText w:val="(%1)"/>
      <w:numFmt w:val="lowerLetter"/>
      <w:start w:val="1"/>
    </w:lvl>
    <w:lvl w:ilvl="1">
      <w:lvlJc w:val="left"/>
      <w:lvlText w:val="(%2)"/>
      <w:numFmt w:val="decimal"/>
      <w:start w:val="1"/>
    </w:lvl>
  </w:abstractNum>
  <w:abstractNum w:abstractNumId="106">
    <w:nsid w:val="597B4D84"/>
    <w:multiLevelType w:val="hybridMultilevel"/>
    <w:lvl w:ilvl="0">
      <w:lvlJc w:val="left"/>
      <w:lvlText w:val="(%1)"/>
      <w:numFmt w:val="lowerLetter"/>
      <w:start w:val="8"/>
    </w:lvl>
    <w:lvl w:ilvl="1">
      <w:lvlJc w:val="left"/>
      <w:lvlText w:val="(%2)"/>
      <w:numFmt w:val="decimal"/>
      <w:start w:val="1"/>
    </w:lvl>
  </w:abstractNum>
  <w:abstractNum w:abstractNumId="107">
    <w:nsid w:val="F819E7F"/>
    <w:multiLevelType w:val="hybridMultilevel"/>
    <w:lvl w:ilvl="0">
      <w:lvlJc w:val="left"/>
      <w:lvlText w:val="(%1)"/>
      <w:numFmt w:val="lowerLetter"/>
      <w:start w:val="1"/>
    </w:lvl>
  </w:abstractNum>
  <w:abstractNum w:abstractNumId="108">
    <w:nsid w:val="57C7D42D"/>
    <w:multiLevelType w:val="hybridMultilevel"/>
    <w:lvl w:ilvl="0">
      <w:lvlJc w:val="left"/>
      <w:lvlText w:val="(%1)"/>
      <w:numFmt w:val="lowerLetter"/>
      <w:start w:val="1"/>
    </w:lvl>
    <w:lvl w:ilvl="1">
      <w:lvlJc w:val="left"/>
      <w:lvlText w:val="(%2)"/>
      <w:numFmt w:val="decimal"/>
      <w:start w:val="1"/>
    </w:lvl>
  </w:abstractNum>
  <w:abstractNum w:abstractNumId="109">
    <w:nsid w:val="312167AD"/>
    <w:multiLevelType w:val="hybridMultilevel"/>
    <w:lvl w:ilvl="0">
      <w:lvlJc w:val="left"/>
      <w:lvlText w:val="(%1)"/>
      <w:numFmt w:val="lowerLetter"/>
      <w:start w:val="3"/>
    </w:lvl>
    <w:lvl w:ilvl="1">
      <w:lvlJc w:val="left"/>
      <w:lvlText w:val="(%2)"/>
      <w:numFmt w:val="decimal"/>
      <w:start w:val="1"/>
    </w:lvl>
  </w:abstractNum>
  <w:abstractNum w:abstractNumId="110">
    <w:nsid w:val="631B64D4"/>
    <w:multiLevelType w:val="hybridMultilevel"/>
    <w:lvl w:ilvl="0">
      <w:lvlJc w:val="left"/>
      <w:lvlText w:val="(%1)"/>
      <w:numFmt w:val="lowerLetter"/>
      <w:start w:val="1"/>
    </w:lvl>
  </w:abstractNum>
  <w:abstractNum w:abstractNumId="111">
    <w:nsid w:val="78B5E776"/>
    <w:multiLevelType w:val="hybridMultilevel"/>
    <w:lvl w:ilvl="0">
      <w:lvlJc w:val="left"/>
      <w:lvlText w:val="(%1)"/>
      <w:numFmt w:val="lowerLetter"/>
      <w:start w:val="7"/>
    </w:lvl>
  </w:abstractNum>
  <w:abstractNum w:abstractNumId="112">
    <w:nsid w:val="75486E47"/>
    <w:multiLevelType w:val="hybridMultilevel"/>
    <w:lvl w:ilvl="0">
      <w:lvlJc w:val="left"/>
      <w:lvlText w:val="(%1)"/>
      <w:numFmt w:val="lowerLetter"/>
      <w:start w:val="1"/>
    </w:lvl>
  </w:abstractNum>
  <w:abstractNum w:abstractNumId="113">
    <w:nsid w:val="6E534CDE"/>
    <w:multiLevelType w:val="hybridMultilevel"/>
    <w:lvl w:ilvl="0">
      <w:lvlJc w:val="left"/>
      <w:lvlText w:val="(%1)"/>
      <w:numFmt w:val="lowerLetter"/>
      <w:start w:val="1"/>
    </w:lvl>
    <w:lvl w:ilvl="1">
      <w:lvlJc w:val="left"/>
      <w:lvlText w:val="(%2)"/>
      <w:numFmt w:val="decimal"/>
      <w:start w:val="1"/>
    </w:lvl>
  </w:abstractNum>
  <w:abstractNum w:abstractNumId="114">
    <w:nsid w:val="1A0DDE32"/>
    <w:multiLevelType w:val="hybridMultilevel"/>
    <w:lvl w:ilvl="0">
      <w:lvlJc w:val="left"/>
      <w:lvlText w:val="(%1)"/>
      <w:numFmt w:val="lowerLetter"/>
      <w:start w:val="1"/>
    </w:lvl>
  </w:abstractNum>
  <w:abstractNum w:abstractNumId="115">
    <w:nsid w:val="65968C1C"/>
    <w:multiLevelType w:val="hybridMultilevel"/>
    <w:lvl w:ilvl="0">
      <w:lvlJc w:val="left"/>
      <w:lvlText w:val="(%1)"/>
      <w:numFmt w:val="lowerLetter"/>
      <w:start w:val="1"/>
    </w:lvl>
  </w:abstractNum>
  <w:abstractNum w:abstractNumId="116">
    <w:nsid w:val="46263DEC"/>
    <w:multiLevelType w:val="hybridMultilevel"/>
    <w:lvl w:ilvl="0">
      <w:lvlJc w:val="left"/>
      <w:lvlText w:val="(%1)"/>
      <w:numFmt w:val="lowerLetter"/>
      <w:start w:val="3"/>
    </w:lvl>
  </w:abstractNum>
  <w:abstractNum w:abstractNumId="117">
    <w:nsid w:val="260D8C4A"/>
    <w:multiLevelType w:val="hybridMultilevel"/>
    <w:lvl w:ilvl="0">
      <w:lvlJc w:val="left"/>
      <w:lvlText w:val="(%1)"/>
      <w:numFmt w:val="lowerLetter"/>
      <w:start w:val="1"/>
    </w:lvl>
  </w:abstractNum>
  <w:abstractNum w:abstractNumId="118">
    <w:nsid w:val="73D4D3C4"/>
    <w:multiLevelType w:val="hybridMultilevel"/>
    <w:lvl w:ilvl="0">
      <w:lvlJc w:val="left"/>
      <w:lvlText w:val="(%1)"/>
      <w:numFmt w:val="lowerLetter"/>
      <w:start w:val="3"/>
    </w:lvl>
  </w:abstractNum>
  <w:abstractNum w:abstractNumId="119">
    <w:nsid w:val="746F2E30"/>
    <w:multiLevelType w:val="hybridMultilevel"/>
    <w:lvl w:ilvl="0">
      <w:lvlJc w:val="left"/>
      <w:lvlText w:val="(%1)"/>
      <w:numFmt w:val="lowerLetter"/>
      <w:start w:val="1"/>
    </w:lvl>
  </w:abstractNum>
  <w:abstractNum w:abstractNumId="120">
    <w:nsid w:val="6FDE8AF6"/>
    <w:multiLevelType w:val="hybridMultilevel"/>
    <w:lvl w:ilvl="0">
      <w:lvlJc w:val="left"/>
      <w:lvlText w:val="(%1)"/>
      <w:numFmt w:val="lowerLetter"/>
      <w:start w:val="4"/>
    </w:lvl>
  </w:abstractNum>
  <w:abstractNum w:abstractNumId="121">
    <w:nsid w:val="3FC32E20"/>
    <w:multiLevelType w:val="hybridMultilevel"/>
    <w:lvl w:ilvl="0">
      <w:lvlJc w:val="left"/>
      <w:lvlText w:val="(%1)"/>
      <w:numFmt w:val="lowerLetter"/>
      <w:start w:val="1"/>
    </w:lvl>
  </w:abstractNum>
  <w:abstractNum w:abstractNumId="122">
    <w:nsid w:val="49C0E823"/>
    <w:multiLevelType w:val="hybridMultilevel"/>
    <w:lvl w:ilvl="0">
      <w:lvlJc w:val="left"/>
      <w:lvlText w:val="(%1)"/>
      <w:numFmt w:val="lowerLetter"/>
      <w:start w:val="8"/>
    </w:lvl>
  </w:abstractNum>
  <w:abstractNum w:abstractNumId="123">
    <w:nsid w:val="14D53685"/>
    <w:multiLevelType w:val="hybridMultilevel"/>
    <w:lvl w:ilvl="0">
      <w:lvlJc w:val="left"/>
      <w:lvlText w:val="(%1)"/>
      <w:numFmt w:val="lowerLetter"/>
      <w:start w:val="1"/>
    </w:lvl>
    <w:lvl w:ilvl="1">
      <w:lvlJc w:val="left"/>
      <w:lvlText w:val="(%2)"/>
      <w:numFmt w:val="decimal"/>
      <w:start w:val="1"/>
    </w:lvl>
  </w:abstractNum>
  <w:abstractNum w:abstractNumId="124">
    <w:nsid w:val="230F856C"/>
    <w:multiLevelType w:val="hybridMultilevel"/>
    <w:lvl w:ilvl="0">
      <w:lvlJc w:val="left"/>
      <w:lvlText w:val="(%1)"/>
      <w:numFmt w:val="lowerLetter"/>
      <w:start w:val="2"/>
    </w:lvl>
  </w:abstractNum>
  <w:abstractNum w:abstractNumId="125">
    <w:nsid w:val="6EAA85FB"/>
    <w:multiLevelType w:val="hybridMultilevel"/>
    <w:lvl w:ilvl="0">
      <w:lvlJc w:val="left"/>
      <w:lvlText w:val="(%1)"/>
      <w:numFmt w:val="lowerLetter"/>
      <w:start w:val="1"/>
    </w:lvl>
    <w:lvl w:ilvl="1">
      <w:lvlJc w:val="left"/>
      <w:lvlText w:val="(%2)"/>
      <w:numFmt w:val="decimal"/>
      <w:start w:val="1"/>
    </w:lvl>
  </w:abstractNum>
  <w:abstractNum w:abstractNumId="126">
    <w:nsid w:val="3F06ECB2"/>
    <w:multiLevelType w:val="hybridMultilevel"/>
    <w:lvl w:ilvl="0">
      <w:lvlJc w:val="left"/>
      <w:lvlText w:val="%1"/>
      <w:numFmt w:val="lowerLetter"/>
      <w:start w:val="1"/>
    </w:lvl>
    <w:lvl w:ilvl="1">
      <w:lvlJc w:val="left"/>
      <w:lvlText w:val="(%2)"/>
      <w:numFmt w:val="decimal"/>
      <w:start w:val="2"/>
    </w:lvl>
  </w:abstractNum>
  <w:abstractNum w:abstractNumId="127">
    <w:nsid w:val="3B594807"/>
    <w:multiLevelType w:val="hybridMultilevel"/>
    <w:lvl w:ilvl="0">
      <w:lvlJc w:val="left"/>
      <w:lvlText w:val="(%1)"/>
      <w:numFmt w:val="lowerLetter"/>
      <w:start w:val="2"/>
    </w:lvl>
    <w:lvl w:ilvl="1">
      <w:lvlJc w:val="left"/>
      <w:lvlText w:val="%2"/>
      <w:numFmt w:val="decimal"/>
      <w:start w:val="1"/>
    </w:lvl>
  </w:abstractNum>
  <w:abstractNum w:abstractNumId="128">
    <w:nsid w:val="6CAA2304"/>
    <w:multiLevelType w:val="hybridMultilevel"/>
    <w:lvl w:ilvl="0">
      <w:lvlJc w:val="left"/>
      <w:lvlText w:val="(%1)"/>
      <w:numFmt w:val="lowerLetter"/>
      <w:start w:val="1"/>
    </w:lvl>
  </w:abstractNum>
  <w:abstractNum w:abstractNumId="129">
    <w:nsid w:val="3F7C2FF4"/>
    <w:multiLevelType w:val="hybridMultilevel"/>
    <w:lvl w:ilvl="0">
      <w:lvlJc w:val="left"/>
      <w:lvlText w:val="(%1)"/>
      <w:numFmt w:val="lowerLetter"/>
      <w:start w:val="1"/>
    </w:lvl>
    <w:lvl w:ilvl="1">
      <w:lvlJc w:val="left"/>
      <w:lvlText w:val="(%2)"/>
      <w:numFmt w:val="decimal"/>
      <w:start w:val="1"/>
    </w:lvl>
  </w:abstractNum>
  <w:abstractNum w:abstractNumId="130">
    <w:nsid w:val="25413BEC"/>
    <w:multiLevelType w:val="hybridMultilevel"/>
    <w:lvl w:ilvl="0">
      <w:lvlJc w:val="left"/>
      <w:lvlText w:val="(%1)"/>
      <w:numFmt w:val="lowerLetter"/>
      <w:start w:val="1"/>
    </w:lvl>
  </w:abstractNum>
  <w:abstractNum w:abstractNumId="131">
    <w:nsid w:val="17180B0B"/>
    <w:multiLevelType w:val="hybridMultilevel"/>
    <w:lvl w:ilvl="0">
      <w:lvlJc w:val="left"/>
      <w:lvlText w:val="(%1)"/>
      <w:numFmt w:val="lowerRoman"/>
      <w:start w:val="11"/>
    </w:lvl>
    <w:lvl w:ilvl="1">
      <w:lvlJc w:val="left"/>
      <w:lvlText w:val="(%2)"/>
      <w:numFmt w:val="lowerLetter"/>
      <w:start w:val="3"/>
    </w:lvl>
  </w:abstractNum>
  <w:abstractNum w:abstractNumId="132">
    <w:nsid w:val="579328B9"/>
    <w:multiLevelType w:val="hybridMultilevel"/>
    <w:lvl w:ilvl="0">
      <w:lvlJc w:val="left"/>
      <w:lvlText w:val="(%1)"/>
      <w:numFmt w:val="lowerLetter"/>
      <w:start w:val="1"/>
    </w:lvl>
  </w:abstractNum>
  <w:abstractNum w:abstractNumId="133">
    <w:nsid w:val="5D205E20"/>
    <w:multiLevelType w:val="hybridMultilevel"/>
    <w:lvl w:ilvl="0">
      <w:lvlJc w:val="left"/>
      <w:lvlText w:val="(%1)"/>
      <w:numFmt w:val="lowerLetter"/>
      <w:start w:val="1"/>
    </w:lvl>
  </w:abstractNum>
  <w:abstractNum w:abstractNumId="134">
    <w:nsid w:val="11CCA8BA"/>
    <w:multiLevelType w:val="hybridMultilevel"/>
    <w:lvl w:ilvl="0">
      <w:lvlJc w:val="left"/>
      <w:lvlText w:val="(%1)"/>
      <w:numFmt w:val="decimal"/>
      <w:start w:val="1"/>
    </w:lvl>
  </w:abstractNum>
  <w:abstractNum w:abstractNumId="135">
    <w:nsid w:val="4D32AB86"/>
    <w:multiLevelType w:val="hybridMultilevel"/>
    <w:lvl w:ilvl="0">
      <w:lvlJc w:val="left"/>
      <w:lvlText w:val="(%1)"/>
      <w:numFmt w:val="decimal"/>
      <w:start w:val="3"/>
    </w:lvl>
    <w:lvl w:ilvl="1">
      <w:lvlJc w:val="left"/>
      <w:lvlText w:val="(%2)"/>
      <w:numFmt w:val="lowerLetter"/>
      <w:start w:val="1"/>
    </w:lvl>
  </w:abstractNum>
  <w:abstractNum w:abstractNumId="136">
    <w:nsid w:val="3F07ACC3"/>
    <w:multiLevelType w:val="hybridMultilevel"/>
    <w:lvl w:ilvl="0">
      <w:lvlJc w:val="left"/>
      <w:lvlText w:val="(%1)"/>
      <w:numFmt w:val="lowerLetter"/>
      <w:start w:val="2"/>
    </w:lvl>
  </w:abstractNum>
  <w:abstractNum w:abstractNumId="137">
    <w:nsid w:val="6B47F63E"/>
    <w:multiLevelType w:val="hybridMultilevel"/>
    <w:lvl w:ilvl="0">
      <w:lvlJc w:val="left"/>
      <w:lvlText w:val="(%1)"/>
      <w:numFmt w:val="decimal"/>
      <w:start w:val="6"/>
    </w:lvl>
  </w:abstractNum>
  <w:abstractNum w:abstractNumId="138">
    <w:nsid w:val="5CB44A05"/>
    <w:multiLevelType w:val="hybridMultilevel"/>
    <w:lvl w:ilvl="0">
      <w:lvlJc w:val="left"/>
      <w:lvlText w:val="(%1)"/>
      <w:numFmt w:val="decimal"/>
      <w:start w:val="8"/>
    </w:lvl>
    <w:lvl w:ilvl="1">
      <w:lvlJc w:val="left"/>
      <w:lvlText w:val="(%2)"/>
      <w:numFmt w:val="lowerLetter"/>
      <w:start w:val="1"/>
    </w:lvl>
  </w:abstractNum>
  <w:abstractNum w:abstractNumId="139">
    <w:nsid w:val="16CF80F1"/>
    <w:multiLevelType w:val="hybridMultilevel"/>
    <w:lvl w:ilvl="0">
      <w:lvlJc w:val="left"/>
      <w:lvlText w:val="%1"/>
      <w:numFmt w:val="decimal"/>
      <w:start w:val="1"/>
    </w:lvl>
    <w:lvl w:ilvl="1">
      <w:lvlJc w:val="left"/>
      <w:lvlText w:val="(%2)"/>
      <w:numFmt w:val="lowerLetter"/>
      <w:start w:val="3"/>
    </w:lvl>
  </w:abstractNum>
  <w:abstractNum w:abstractNumId="140">
    <w:nsid w:val="1C695DEC"/>
    <w:multiLevelType w:val="hybridMultilevel"/>
    <w:lvl w:ilvl="0">
      <w:lvlJc w:val="left"/>
      <w:lvlText w:val="(%1)"/>
      <w:numFmt w:val="decimal"/>
      <w:start w:val="13"/>
    </w:lvl>
    <w:lvl w:ilvl="1">
      <w:lvlJc w:val="left"/>
      <w:lvlText w:val="%2"/>
      <w:numFmt w:val="lowerLetter"/>
      <w:start w:val="1"/>
    </w:lvl>
  </w:abstractNum>
  <w:abstractNum w:abstractNumId="141">
    <w:nsid w:val="3FCFAED9"/>
    <w:multiLevelType w:val="hybridMultilevel"/>
    <w:lvl w:ilvl="0">
      <w:lvlJc w:val="left"/>
      <w:lvlText w:val="(%1)"/>
      <w:numFmt w:val="lowerLetter"/>
      <w:start w:val="2"/>
    </w:lvl>
    <w:lvl w:ilvl="1">
      <w:lvlJc w:val="left"/>
      <w:lvlText w:val="(%2)"/>
      <w:numFmt w:val="decimal"/>
      <w:start w:val="14"/>
    </w:lvl>
  </w:abstractNum>
  <w:abstractNum w:abstractNumId="142">
    <w:nsid w:val="F856867"/>
    <w:multiLevelType w:val="hybridMultilevel"/>
    <w:lvl w:ilvl="0">
      <w:lvlJc w:val="left"/>
      <w:lvlText w:val="(%1)"/>
      <w:numFmt w:val="decimal"/>
      <w:start w:val="19"/>
    </w:lvl>
  </w:abstractNum>
  <w:abstractNum w:abstractNumId="143">
    <w:nsid w:val="11B1CC33"/>
    <w:multiLevelType w:val="hybridMultilevel"/>
    <w:lvl w:ilvl="0">
      <w:lvlJc w:val="left"/>
      <w:lvlText w:val="*"/>
      <w:numFmt w:val="bullet"/>
      <w:start w:val="1"/>
    </w:lvl>
  </w:abstractNum>
  <w:abstractNum w:abstractNumId="144">
    <w:nsid w:val="2E22FBB7"/>
    <w:multiLevelType w:val="hybridMultilevel"/>
    <w:lvl w:ilvl="0">
      <w:lvlJc w:val="left"/>
      <w:lvlText w:val="*"/>
      <w:numFmt w:val="bullet"/>
      <w:start w:val="1"/>
    </w:lvl>
  </w:abstractNum>
  <w:abstractNum w:abstractNumId="145">
    <w:nsid w:val="29934699"/>
    <w:multiLevelType w:val="hybridMultilevel"/>
    <w:lvl w:ilvl="0">
      <w:lvlJc w:val="left"/>
      <w:lvlText w:val="*"/>
      <w:numFmt w:val="bullet"/>
      <w:start w:val="1"/>
    </w:lvl>
  </w:abstractNum>
  <w:abstractNum w:abstractNumId="146">
    <w:nsid w:val="77485850"/>
    <w:multiLevelType w:val="hybridMultilevel"/>
    <w:lvl w:ilvl="0">
      <w:lvlJc w:val="left"/>
      <w:lvlText w:val="(%1)"/>
      <w:numFmt w:val="decimal"/>
      <w:start w:val="1"/>
    </w:lvl>
  </w:abstractNum>
  <w:abstractNum w:abstractNumId="147">
    <w:nsid w:val="744939A3"/>
    <w:multiLevelType w:val="hybridMultilevel"/>
    <w:lvl w:ilvl="0">
      <w:lvlJc w:val="left"/>
      <w:lvlText w:val="(%1)"/>
      <w:numFmt w:val="decimal"/>
      <w:start w:val="4"/>
    </w:lvl>
    <w:lvl w:ilvl="1">
      <w:lvlJc w:val="left"/>
      <w:lvlText w:val="(%2)"/>
      <w:numFmt w:val="lowerLetter"/>
      <w:start w:val="1"/>
    </w:lvl>
  </w:abstractNum>
  <w:abstractNum w:abstractNumId="148">
    <w:nsid w:val="4FA0D2E3"/>
    <w:multiLevelType w:val="hybridMultilevel"/>
    <w:lvl w:ilvl="0">
      <w:lvlJc w:val="left"/>
      <w:lvlText w:val="(%1)"/>
      <w:numFmt w:val="lowerLetter"/>
      <w:start w:val="2"/>
    </w:lvl>
  </w:abstractNum>
  <w:abstractNum w:abstractNumId="149">
    <w:nsid w:val="6B1D2C14"/>
    <w:multiLevelType w:val="hybridMultilevel"/>
    <w:lvl w:ilvl="0">
      <w:lvlJc w:val="left"/>
      <w:lvlText w:val="(%1)"/>
      <w:numFmt w:val="decimal"/>
      <w:start w:val="6"/>
    </w:lvl>
  </w:abstractNum>
  <w:abstractNum w:abstractNumId="150">
    <w:nsid w:val="68B867D3"/>
    <w:multiLevelType w:val="hybridMultilevel"/>
    <w:lvl w:ilvl="0">
      <w:lvlJc w:val="left"/>
      <w:lvlText w:val="(%1)"/>
      <w:numFmt w:val="decimal"/>
      <w:start w:val="7"/>
    </w:lvl>
  </w:abstractNum>
  <w:abstractNum w:abstractNumId="151">
    <w:nsid w:val="3F7F5DD9"/>
    <w:multiLevelType w:val="hybridMultilevel"/>
    <w:lvl w:ilvl="0">
      <w:lvlJc w:val="left"/>
      <w:lvlText w:val="(%1)"/>
      <w:numFmt w:val="decimal"/>
      <w:start w:val="8"/>
    </w:lvl>
  </w:abstractNum>
  <w:abstractNum w:abstractNumId="152">
    <w:nsid w:val="2AE05A34"/>
    <w:multiLevelType w:val="hybridMultilevel"/>
    <w:lvl w:ilvl="0">
      <w:lvlJc w:val="left"/>
      <w:lvlText w:val="(%1)"/>
      <w:numFmt w:val="decimal"/>
      <w:start w:val="9"/>
    </w:lvl>
  </w:abstractNum>
  <w:abstractNum w:abstractNumId="153">
    <w:nsid w:val="32794FF7"/>
    <w:multiLevelType w:val="hybridMultilevel"/>
    <w:lvl w:ilvl="0">
      <w:lvlJc w:val="left"/>
      <w:lvlText w:val="(%1)"/>
      <w:numFmt w:val="decimal"/>
      <w:start w:val="11"/>
    </w:lvl>
    <w:lvl w:ilvl="1">
      <w:lvlJc w:val="left"/>
      <w:lvlText w:val="(%2)"/>
      <w:numFmt w:val="lowerLetter"/>
      <w:start w:val="1"/>
    </w:lvl>
  </w:abstractNum>
  <w:abstractNum w:abstractNumId="154">
    <w:nsid w:val="5454945E"/>
    <w:multiLevelType w:val="hybridMultilevel"/>
    <w:lvl w:ilvl="0">
      <w:lvlJc w:val="left"/>
      <w:lvlText w:val="%1"/>
      <w:numFmt w:val="decimal"/>
      <w:start w:val="1"/>
    </w:lvl>
    <w:lvl w:ilvl="1">
      <w:lvlJc w:val="left"/>
      <w:lvlText w:val="(%2)"/>
      <w:numFmt w:val="lowerLetter"/>
      <w:start w:val="3"/>
    </w:lvl>
  </w:abstractNum>
  <w:abstractNum w:abstractNumId="155">
    <w:nsid w:val="4DEFDFA0"/>
    <w:multiLevelType w:val="hybridMultilevel"/>
    <w:lvl w:ilvl="0">
      <w:lvlJc w:val="left"/>
      <w:lvlText w:val="(%1)"/>
      <w:numFmt w:val="decimal"/>
      <w:start w:val="13"/>
    </w:lvl>
    <w:lvl w:ilvl="1">
      <w:lvlJc w:val="left"/>
      <w:lvlText w:val="%2"/>
      <w:numFmt w:val="lowerLetter"/>
      <w:start w:val="1"/>
    </w:lvl>
  </w:abstractNum>
  <w:abstractNum w:abstractNumId="156">
    <w:nsid w:val="2123D5F2"/>
    <w:multiLevelType w:val="hybridMultilevel"/>
    <w:lvl w:ilvl="0">
      <w:lvlJc w:val="left"/>
      <w:lvlText w:val="(%1)"/>
      <w:numFmt w:val="lowerLetter"/>
      <w:start w:val="2"/>
    </w:lvl>
    <w:lvl w:ilvl="1">
      <w:lvlJc w:val="left"/>
      <w:lvlText w:val="(%2)"/>
      <w:numFmt w:val="decimal"/>
      <w:start w:val="14"/>
    </w:lvl>
  </w:abstractNum>
  <w:abstractNum w:abstractNumId="157">
    <w:nsid w:val="135B8110"/>
    <w:multiLevelType w:val="hybridMultilevel"/>
    <w:lvl w:ilvl="0">
      <w:lvlJc w:val="left"/>
      <w:lvlText w:val="(%1)"/>
      <w:numFmt w:val="decimal"/>
      <w:start w:val="19"/>
    </w:lvl>
  </w:abstractNum>
  <w:abstractNum w:abstractNumId="158">
    <w:nsid w:val="94927A8"/>
    <w:multiLevelType w:val="hybridMultilevel"/>
    <w:lvl w:ilvl="0">
      <w:lvlJc w:val="left"/>
      <w:lvlText w:val="*"/>
      <w:numFmt w:val="bullet"/>
      <w:start w:val="1"/>
    </w:lvl>
  </w:abstractNum>
  <w:abstractNum w:abstractNumId="159">
    <w:nsid w:val="DCDF8F6"/>
    <w:multiLevelType w:val="hybridMultilevel"/>
    <w:lvl w:ilvl="0">
      <w:lvlJc w:val="left"/>
      <w:lvlText w:val="*"/>
      <w:numFmt w:val="bullet"/>
      <w:start w:val="1"/>
    </w:lvl>
  </w:abstractNum>
  <w:abstractNum w:abstractNumId="160">
    <w:nsid w:val="52D7B105"/>
    <w:multiLevelType w:val="hybridMultilevel"/>
    <w:lvl w:ilvl="0">
      <w:lvlJc w:val="left"/>
      <w:lvlText w:val="*"/>
      <w:numFmt w:val="bullet"/>
      <w:start w:val="1"/>
    </w:lvl>
  </w:abstractNum>
  <w:abstractNum w:abstractNumId="161">
    <w:nsid w:val="2E8A6394"/>
    <w:multiLevelType w:val="hybridMultilevel"/>
    <w:lvl w:ilvl="0">
      <w:lvlJc w:val="left"/>
      <w:lvlText w:val="%1."/>
      <w:numFmt w:val="decimal"/>
      <w:start w:val="1"/>
    </w:lvl>
  </w:abstractNum>
  <w:abstractNum w:abstractNumId="162">
    <w:nsid w:val="24E60401"/>
    <w:multiLevelType w:val="hybridMultilevel"/>
    <w:lvl w:ilvl="0">
      <w:lvlJc w:val="left"/>
      <w:lvlText w:val="%1."/>
      <w:numFmt w:val="decimal"/>
      <w:start w:val="3"/>
    </w:lvl>
    <w:lvl w:ilvl="1">
      <w:lvlJc w:val="left"/>
      <w:lvlText w:val="(%2)"/>
      <w:numFmt w:val="lowerLetter"/>
      <w:start w:val="1"/>
    </w:lvl>
  </w:abstractNum>
  <w:abstractNum w:abstractNumId="163">
    <w:nsid w:val="2A6AD9BE"/>
    <w:multiLevelType w:val="hybridMultilevel"/>
    <w:lvl w:ilvl="0">
      <w:lvlJc w:val="left"/>
      <w:lvlText w:val="%1"/>
      <w:numFmt w:val="decimal"/>
      <w:start w:val="1"/>
    </w:lvl>
    <w:lvl w:ilvl="1">
      <w:lvlJc w:val="left"/>
      <w:lvlText w:val="(%2)"/>
      <w:numFmt w:val="lowerLetter"/>
      <w:start w:val="2"/>
    </w:lvl>
  </w:abstractNum>
  <w:abstractNum w:abstractNumId="164">
    <w:nsid w:val="BAAC1B4"/>
    <w:multiLevelType w:val="hybridMultilevel"/>
    <w:lvl w:ilvl="0">
      <w:lvlJc w:val="left"/>
      <w:lvlText w:val="%1."/>
      <w:numFmt w:val="decimal"/>
      <w:start w:val="4"/>
    </w:lvl>
    <w:lvl w:ilvl="1">
      <w:lvlJc w:val="left"/>
      <w:lvlText w:val="(%2)"/>
      <w:numFmt w:val="lowerLetter"/>
      <w:start w:val="1"/>
    </w:lvl>
  </w:abstractNum>
  <w:abstractNum w:abstractNumId="165">
    <w:nsid w:val="36B2ACBC"/>
    <w:multiLevelType w:val="hybridMultilevel"/>
    <w:lvl w:ilvl="0">
      <w:lvlJc w:val="left"/>
      <w:lvlText w:val="(%1)"/>
      <w:numFmt w:val="lowerLetter"/>
      <w:start w:val="2"/>
    </w:lvl>
  </w:abstractNum>
  <w:abstractNum w:abstractNumId="166">
    <w:nsid w:val="779D85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7">
    <w:nsid w:val="4AB26E7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8">
    <w:nsid w:val="21FAA2FA"/>
    <w:multiLevelType w:val="hybridMultilevel"/>
    <w:lvl w:ilvl="0">
      <w:lvlJc w:val="left"/>
      <w:lvlText w:val="(%1)"/>
      <w:numFmt w:val="lowerLetter"/>
      <w:start w:val="1"/>
    </w:lvl>
    <w:lvl w:ilvl="1">
      <w:lvlJc w:val="left"/>
      <w:lvlText w:val="(%2)"/>
      <w:numFmt w:val="lowerRoman"/>
      <w:start w:val="1"/>
    </w:lvl>
  </w:abstractNum>
  <w:abstractNum w:abstractNumId="169">
    <w:nsid w:val="5451CF49"/>
    <w:multiLevelType w:val="hybridMultilevel"/>
    <w:lvl w:ilvl="0">
      <w:lvlJc w:val="left"/>
      <w:lvlText w:val="%1."/>
      <w:numFmt w:val="decimal"/>
      <w:start w:val="1"/>
    </w:lvl>
  </w:abstractNum>
  <w:abstractNum w:abstractNumId="170">
    <w:nsid w:val="6181EF69"/>
    <w:multiLevelType w:val="hybridMultilevel"/>
    <w:lvl w:ilvl="0">
      <w:lvlJc w:val="left"/>
      <w:lvlText w:val="(%1)"/>
      <w:numFmt w:val="lowerLetter"/>
      <w:start w:val="1"/>
    </w:lvl>
  </w:abstractNum>
  <w:abstractNum w:abstractNumId="171">
    <w:nsid w:val="3E6400E6"/>
    <w:multiLevelType w:val="hybridMultilevel"/>
    <w:lvl w:ilvl="0">
      <w:lvlJc w:val="left"/>
      <w:lvlText w:val="(%1)"/>
      <w:numFmt w:val="lowerLetter"/>
      <w:start w:val="3"/>
    </w:lvl>
  </w:abstractNum>
  <w:abstractNum w:abstractNumId="172">
    <w:nsid w:val="14217E23"/>
    <w:multiLevelType w:val="hybridMultilevel"/>
    <w:lvl w:ilvl="0">
      <w:lvlJc w:val="left"/>
      <w:lvlText w:val="%1."/>
      <w:numFmt w:val="decimal"/>
      <w:start w:val="2"/>
    </w:lvl>
  </w:abstractNum>
  <w:abstractNum w:abstractNumId="173">
    <w:nsid w:val="710757D0"/>
    <w:multiLevelType w:val="hybridMultilevel"/>
    <w:lvl w:ilvl="0">
      <w:lvlJc w:val="left"/>
      <w:lvlText w:val="(%1)"/>
      <w:numFmt w:val="lowerLetter"/>
      <w:start w:val="1"/>
    </w:lvl>
  </w:abstractNum>
  <w:abstractNum w:abstractNumId="174">
    <w:nsid w:val="5015CD1A"/>
    <w:multiLevelType w:val="hybridMultilevel"/>
    <w:lvl w:ilvl="0">
      <w:lvlJc w:val="left"/>
      <w:lvlText w:val="(%1)"/>
      <w:numFmt w:val="lowerLetter"/>
      <w:start w:val="1"/>
    </w:lvl>
  </w:abstractNum>
  <w:abstractNum w:abstractNumId="175">
    <w:nsid w:val="424479DA"/>
    <w:multiLevelType w:val="hybridMultilevel"/>
    <w:lvl w:ilvl="0">
      <w:lvlJc w:val="left"/>
      <w:lvlText w:val="%1."/>
      <w:numFmt w:val="decimal"/>
      <w:start w:val="1"/>
    </w:lvl>
  </w:abstractNum>
  <w:abstractNum w:abstractNumId="176">
    <w:nsid w:val="1A9A9E69"/>
    <w:multiLevelType w:val="hybridMultilevel"/>
    <w:lvl w:ilvl="0">
      <w:lvlJc w:val="left"/>
      <w:lvlText w:val="%1."/>
      <w:numFmt w:val="decimal"/>
      <w:start w:val="3"/>
    </w:lvl>
  </w:abstractNum>
  <w:abstractNum w:abstractNumId="177">
    <w:nsid w:val="475E256A"/>
    <w:multiLevelType w:val="hybridMultilevel"/>
    <w:lvl w:ilvl="0">
      <w:lvlJc w:val="left"/>
      <w:lvlText w:val="(%1)"/>
      <w:numFmt w:val="lowerLetter"/>
      <w:start w:val="1"/>
    </w:lvl>
  </w:abstractNum>
  <w:abstractNum w:abstractNumId="178">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9">
    <w:nsid w:val="6A3B714C"/>
    <w:multiLevelType w:val="hybridMultilevel"/>
    <w:lvl w:ilvl="0">
      <w:lvlJc w:val="left"/>
      <w:lvlText w:val="(%1)"/>
      <w:numFmt w:val="lowerLetter"/>
      <w:start w:val="2"/>
    </w:lvl>
  </w:abstractNum>
  <w:abstractNum w:abstractNumId="180">
    <w:nsid w:val="327B517E"/>
    <w:multiLevelType w:val="hybridMultilevel"/>
    <w:lvl w:ilvl="0">
      <w:lvlJc w:val="left"/>
      <w:lvlText w:val="%1."/>
      <w:numFmt w:val="decimal"/>
      <w:start w:val="3"/>
    </w:lvl>
    <w:lvl w:ilvl="1">
      <w:lvlJc w:val="left"/>
      <w:lvlText w:val="(%2)"/>
      <w:numFmt w:val="lowerLetter"/>
      <w:start w:val="1"/>
    </w:lvl>
  </w:abstractNum>
  <w:abstractNum w:abstractNumId="181">
    <w:nsid w:val="1F461B51"/>
    <w:multiLevelType w:val="hybridMultilevel"/>
    <w:lvl w:ilvl="0">
      <w:lvlJc w:val="left"/>
      <w:lvlText w:val="%1."/>
      <w:numFmt w:val="decimal"/>
      <w:start w:val="6"/>
    </w:lvl>
  </w:abstractNum>
  <w:abstractNum w:abstractNumId="182">
    <w:nsid w:val="29BACF25"/>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2023-02-16T15:27:40Z</dcterms:created>
  <dcterms:modified xsi:type="dcterms:W3CDTF">2023-02-16T15:27:40Z</dcterms:modified>
</cp:coreProperties>
</file>