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2809240</wp:posOffset>
            </wp:positionH>
            <wp:positionV relativeFrom="paragraph">
              <wp:posOffset>150495</wp:posOffset>
            </wp:positionV>
            <wp:extent cx="164655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46555" cy="17145"/>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FORM 8-K</w:t>
      </w:r>
    </w:p>
    <w:p>
      <w:pPr>
        <w:spacing w:after="0" w:line="23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 of the</w:t>
      </w:r>
    </w:p>
    <w:p>
      <w:pPr>
        <w:jc w:val="center"/>
        <w:ind w:right="-119"/>
        <w:spacing w:after="0"/>
        <w:rPr>
          <w:sz w:val="20"/>
          <w:szCs w:val="20"/>
          <w:color w:val="auto"/>
        </w:rPr>
      </w:pPr>
      <w:r>
        <w:rPr>
          <w:rFonts w:ascii="Arial" w:cs="Arial" w:eastAsia="Arial" w:hAnsi="Arial"/>
          <w:sz w:val="22"/>
          <w:szCs w:val="22"/>
          <w:b w:val="1"/>
          <w:bCs w:val="1"/>
          <w:color w:val="auto"/>
        </w:rPr>
        <w:t>Securities Exchange Act of 1934</w:t>
      </w:r>
    </w:p>
    <w:p>
      <w:pPr>
        <w:spacing w:after="0" w:line="215" w:lineRule="exact"/>
        <w:rPr>
          <w:sz w:val="24"/>
          <w:szCs w:val="24"/>
          <w:color w:val="auto"/>
        </w:rPr>
      </w:pPr>
    </w:p>
    <w:p>
      <w:pPr>
        <w:jc w:val="center"/>
        <w:ind w:right="-119"/>
        <w:spacing w:after="0"/>
        <w:rPr>
          <w:sz w:val="20"/>
          <w:szCs w:val="20"/>
          <w:color w:val="auto"/>
        </w:rPr>
      </w:pPr>
      <w:r>
        <w:rPr>
          <w:rFonts w:ascii="Arial" w:cs="Arial" w:eastAsia="Arial" w:hAnsi="Arial"/>
          <w:sz w:val="19"/>
          <w:szCs w:val="19"/>
          <w:color w:val="auto"/>
        </w:rPr>
        <w:t>Date of Report (Date of earliest event reported): February 18, 2012</w:t>
      </w:r>
    </w:p>
    <w:p>
      <w:pPr>
        <w:spacing w:after="0" w:line="26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WYNN RESORTS, LIMITED</w:t>
      </w:r>
    </w:p>
    <w:p>
      <w:pPr>
        <w:spacing w:after="0" w:line="22" w:lineRule="exact"/>
        <w:rPr>
          <w:sz w:val="24"/>
          <w:szCs w:val="24"/>
          <w:color w:val="auto"/>
        </w:rPr>
      </w:pPr>
    </w:p>
    <w:p>
      <w:pPr>
        <w:jc w:val="center"/>
        <w:ind w:right="-119"/>
        <w:spacing w:after="0"/>
        <w:rPr>
          <w:sz w:val="20"/>
          <w:szCs w:val="20"/>
          <w:color w:val="auto"/>
        </w:rPr>
      </w:pPr>
      <w:r>
        <w:rPr>
          <w:rFonts w:ascii="Arial" w:cs="Arial" w:eastAsia="Arial" w:hAnsi="Arial"/>
          <w:sz w:val="16"/>
          <w:szCs w:val="16"/>
          <w:color w:val="auto"/>
        </w:rPr>
        <w:t>(Exact name of registrant as specified in its charter)</w:t>
      </w:r>
    </w:p>
    <w:p>
      <w:pPr>
        <w:sectPr>
          <w:pgSz w:w="11900" w:h="16838" w:orient="portrait"/>
          <w:cols w:equalWidth="0" w:num="1">
            <w:col w:w="11320"/>
          </w:cols>
          <w:pgMar w:left="240" w:top="679" w:right="339" w:bottom="1440" w:gutter="0" w:footer="0" w:header="0"/>
        </w:sectPr>
      </w:pPr>
    </w:p>
    <w:p>
      <w:pPr>
        <w:spacing w:after="0" w:line="95" w:lineRule="exact"/>
        <w:rPr>
          <w:sz w:val="24"/>
          <w:szCs w:val="24"/>
          <w:color w:val="auto"/>
        </w:rPr>
      </w:pPr>
    </w:p>
    <w:p>
      <w:pPr>
        <w:jc w:val="center"/>
        <w:ind w:left="800"/>
        <w:spacing w:after="0"/>
        <w:rPr>
          <w:sz w:val="20"/>
          <w:szCs w:val="20"/>
          <w:color w:val="auto"/>
        </w:rPr>
      </w:pPr>
      <w:r>
        <w:rPr>
          <w:rFonts w:ascii="Arial" w:cs="Arial" w:eastAsia="Arial" w:hAnsi="Arial"/>
          <w:sz w:val="19"/>
          <w:szCs w:val="19"/>
          <w:b w:val="1"/>
          <w:bCs w:val="1"/>
          <w:color w:val="auto"/>
        </w:rPr>
        <w:t>Nevada</w:t>
      </w:r>
    </w:p>
    <w:p>
      <w:pPr>
        <w:spacing w:after="0" w:line="20" w:lineRule="exact"/>
        <w:rPr>
          <w:sz w:val="24"/>
          <w:szCs w:val="24"/>
          <w:color w:val="auto"/>
        </w:rPr>
      </w:pPr>
      <w:r>
        <w:rPr>
          <w:sz w:val="24"/>
          <w:szCs w:val="24"/>
          <w:color w:val="auto"/>
        </w:rPr>
        <w:br w:type="column"/>
      </w:r>
    </w:p>
    <w:p>
      <w:pPr>
        <w:spacing w:after="0" w:line="75" w:lineRule="exact"/>
        <w:rPr>
          <w:sz w:val="24"/>
          <w:szCs w:val="24"/>
          <w:color w:val="auto"/>
        </w:rPr>
      </w:pPr>
    </w:p>
    <w:p>
      <w:pPr>
        <w:spacing w:after="0"/>
        <w:rPr>
          <w:sz w:val="20"/>
          <w:szCs w:val="20"/>
          <w:color w:val="auto"/>
        </w:rPr>
      </w:pPr>
      <w:r>
        <w:rPr>
          <w:rFonts w:ascii="Arial" w:cs="Arial" w:eastAsia="Arial" w:hAnsi="Arial"/>
          <w:sz w:val="19"/>
          <w:szCs w:val="19"/>
          <w:b w:val="1"/>
          <w:bCs w:val="1"/>
          <w:color w:val="auto"/>
        </w:rPr>
        <w:t>000-50028</w:t>
      </w:r>
    </w:p>
    <w:p>
      <w:pPr>
        <w:spacing w:after="0" w:line="20" w:lineRule="exact"/>
        <w:rPr>
          <w:sz w:val="24"/>
          <w:szCs w:val="24"/>
          <w:color w:val="auto"/>
        </w:rPr>
      </w:pPr>
      <w:r>
        <w:rPr>
          <w:sz w:val="24"/>
          <w:szCs w:val="24"/>
          <w:color w:val="auto"/>
        </w:rPr>
        <w:br w:type="column"/>
      </w:r>
    </w:p>
    <w:p>
      <w:pPr>
        <w:spacing w:after="0" w:line="75" w:lineRule="exact"/>
        <w:rPr>
          <w:sz w:val="24"/>
          <w:szCs w:val="24"/>
          <w:color w:val="auto"/>
        </w:rPr>
      </w:pPr>
    </w:p>
    <w:p>
      <w:pPr>
        <w:jc w:val="center"/>
        <w:ind w:right="2000"/>
        <w:spacing w:after="0"/>
        <w:rPr>
          <w:sz w:val="20"/>
          <w:szCs w:val="20"/>
          <w:color w:val="auto"/>
        </w:rPr>
      </w:pPr>
      <w:r>
        <w:rPr>
          <w:rFonts w:ascii="Arial" w:cs="Arial" w:eastAsia="Arial" w:hAnsi="Arial"/>
          <w:sz w:val="19"/>
          <w:szCs w:val="19"/>
          <w:b w:val="1"/>
          <w:bCs w:val="1"/>
          <w:color w:val="auto"/>
        </w:rPr>
        <w:t>46-0484987</w:t>
      </w:r>
    </w:p>
    <w:p>
      <w:pPr>
        <w:spacing w:after="0" w:line="62" w:lineRule="exact"/>
        <w:rPr>
          <w:sz w:val="24"/>
          <w:szCs w:val="24"/>
          <w:color w:val="auto"/>
        </w:rPr>
      </w:pPr>
    </w:p>
    <w:p>
      <w:pPr>
        <w:sectPr>
          <w:pgSz w:w="11900" w:h="16838" w:orient="portrait"/>
          <w:cols w:equalWidth="0" w:num="3">
            <w:col w:w="4580" w:space="720"/>
            <w:col w:w="2260" w:space="720"/>
            <w:col w:w="3040"/>
          </w:cols>
          <w:pgMar w:left="240" w:top="679" w:right="339" w:bottom="1440" w:gutter="0" w:footer="0" w:header="0"/>
          <w:type w:val="continuous"/>
        </w:sectPr>
      </w:pPr>
    </w:p>
    <w:p>
      <w:pPr>
        <w:jc w:val="center"/>
        <w:ind w:left="1220"/>
        <w:spacing w:after="0"/>
        <w:rPr>
          <w:sz w:val="20"/>
          <w:szCs w:val="20"/>
          <w:color w:val="auto"/>
        </w:rPr>
      </w:pPr>
      <w:r>
        <w:rPr>
          <w:rFonts w:ascii="Arial" w:cs="Arial" w:eastAsia="Arial" w:hAnsi="Arial"/>
          <w:sz w:val="14"/>
          <w:szCs w:val="14"/>
          <w:color w:val="auto"/>
        </w:rPr>
        <w:t>(State or other jurisdiction</w:t>
      </w:r>
    </w:p>
    <w:p>
      <w:pPr>
        <w:spacing w:after="0" w:line="26" w:lineRule="exact"/>
        <w:rPr>
          <w:sz w:val="24"/>
          <w:szCs w:val="24"/>
          <w:color w:val="auto"/>
        </w:rPr>
      </w:pPr>
    </w:p>
    <w:p>
      <w:pPr>
        <w:jc w:val="center"/>
        <w:ind w:left="1220"/>
        <w:spacing w:after="0"/>
        <w:rPr>
          <w:sz w:val="20"/>
          <w:szCs w:val="20"/>
          <w:color w:val="auto"/>
        </w:rPr>
      </w:pPr>
      <w:r>
        <w:rPr>
          <w:rFonts w:ascii="Arial" w:cs="Arial" w:eastAsia="Arial" w:hAnsi="Arial"/>
          <w:sz w:val="16"/>
          <w:szCs w:val="16"/>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(Commission 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5"/>
          <w:szCs w:val="15"/>
          <w:color w:val="auto"/>
        </w:rPr>
        <w:t>(I.R.S. Employer</w:t>
      </w:r>
    </w:p>
    <w:p>
      <w:pPr>
        <w:spacing w:after="0" w:line="14" w:lineRule="exact"/>
        <w:rPr>
          <w:sz w:val="24"/>
          <w:szCs w:val="24"/>
          <w:color w:val="auto"/>
        </w:rPr>
      </w:pPr>
    </w:p>
    <w:p>
      <w:pPr>
        <w:spacing w:after="0"/>
        <w:rPr>
          <w:sz w:val="20"/>
          <w:szCs w:val="20"/>
          <w:color w:val="auto"/>
        </w:rPr>
      </w:pPr>
      <w:r>
        <w:rPr>
          <w:rFonts w:ascii="Arial" w:cs="Arial" w:eastAsia="Arial" w:hAnsi="Arial"/>
          <w:sz w:val="15"/>
          <w:szCs w:val="15"/>
          <w:color w:val="auto"/>
        </w:rPr>
        <w:t>Identification No.)</w:t>
      </w:r>
    </w:p>
    <w:p>
      <w:pPr>
        <w:spacing w:after="0" w:line="211" w:lineRule="exact"/>
        <w:rPr>
          <w:sz w:val="24"/>
          <w:szCs w:val="24"/>
          <w:color w:val="auto"/>
        </w:rPr>
      </w:pPr>
    </w:p>
    <w:p>
      <w:pPr>
        <w:sectPr>
          <w:pgSz w:w="11900" w:h="16838" w:orient="portrait"/>
          <w:cols w:equalWidth="0" w:num="3">
            <w:col w:w="4160" w:space="720"/>
            <w:col w:w="2600" w:space="720"/>
            <w:col w:w="3120"/>
          </w:cols>
          <w:pgMar w:left="240" w:top="679" w:right="339" w:bottom="1440" w:gutter="0" w:footer="0" w:header="0"/>
          <w:type w:val="continuous"/>
        </w:sectPr>
      </w:pPr>
    </w:p>
    <w:p>
      <w:pPr>
        <w:spacing w:after="0" w:line="391" w:lineRule="exact"/>
        <w:rPr>
          <w:sz w:val="24"/>
          <w:szCs w:val="24"/>
          <w:color w:val="auto"/>
        </w:rPr>
      </w:pPr>
    </w:p>
    <w:p>
      <w:pPr>
        <w:jc w:val="center"/>
        <w:ind w:left="400"/>
        <w:spacing w:after="0"/>
        <w:rPr>
          <w:sz w:val="20"/>
          <w:szCs w:val="20"/>
          <w:color w:val="auto"/>
        </w:rPr>
      </w:pPr>
      <w:r>
        <w:rPr>
          <w:rFonts w:ascii="Arial" w:cs="Arial" w:eastAsia="Arial" w:hAnsi="Arial"/>
          <w:sz w:val="19"/>
          <w:szCs w:val="19"/>
          <w:b w:val="1"/>
          <w:bCs w:val="1"/>
          <w:color w:val="auto"/>
        </w:rPr>
        <w:t>3131 Las Vegas Boulevard South</w:t>
      </w:r>
    </w:p>
    <w:p>
      <w:pPr>
        <w:spacing w:after="0" w:line="49" w:lineRule="exact"/>
        <w:rPr>
          <w:sz w:val="24"/>
          <w:szCs w:val="24"/>
          <w:color w:val="auto"/>
        </w:rPr>
      </w:pPr>
    </w:p>
    <w:p>
      <w:pPr>
        <w:jc w:val="center"/>
        <w:ind w:left="400"/>
        <w:spacing w:after="0"/>
        <w:rPr>
          <w:sz w:val="20"/>
          <w:szCs w:val="20"/>
          <w:color w:val="auto"/>
        </w:rPr>
      </w:pPr>
      <w:r>
        <w:rPr>
          <w:rFonts w:ascii="Arial" w:cs="Arial" w:eastAsia="Arial" w:hAnsi="Arial"/>
          <w:sz w:val="22"/>
          <w:szCs w:val="22"/>
          <w:b w:val="1"/>
          <w:bCs w:val="1"/>
          <w:color w:val="auto"/>
        </w:rPr>
        <w:t>Las Vegas, Nevada</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4" w:lineRule="exact"/>
        <w:rPr>
          <w:sz w:val="24"/>
          <w:szCs w:val="24"/>
          <w:color w:val="auto"/>
        </w:rPr>
      </w:pPr>
    </w:p>
    <w:p>
      <w:pPr>
        <w:spacing w:after="0"/>
        <w:rPr>
          <w:sz w:val="20"/>
          <w:szCs w:val="20"/>
          <w:color w:val="auto"/>
        </w:rPr>
      </w:pPr>
      <w:r>
        <w:rPr>
          <w:rFonts w:ascii="Arial" w:cs="Arial" w:eastAsia="Arial" w:hAnsi="Arial"/>
          <w:sz w:val="19"/>
          <w:szCs w:val="19"/>
          <w:b w:val="1"/>
          <w:bCs w:val="1"/>
          <w:color w:val="auto"/>
        </w:rPr>
        <w:t>89109</w:t>
      </w:r>
    </w:p>
    <w:p>
      <w:pPr>
        <w:spacing w:after="0" w:line="82" w:lineRule="exact"/>
        <w:rPr>
          <w:sz w:val="24"/>
          <w:szCs w:val="24"/>
          <w:color w:val="auto"/>
        </w:rPr>
      </w:pPr>
    </w:p>
    <w:p>
      <w:pPr>
        <w:sectPr>
          <w:pgSz w:w="11900" w:h="16838" w:orient="portrait"/>
          <w:cols w:equalWidth="0" w:num="2">
            <w:col w:w="7760" w:space="720"/>
            <w:col w:w="2840"/>
          </w:cols>
          <w:pgMar w:left="240" w:top="679" w:right="339" w:bottom="1440" w:gutter="0" w:footer="0" w:header="0"/>
          <w:type w:val="continuous"/>
        </w:sectPr>
      </w:pPr>
    </w:p>
    <w:p>
      <w:pPr>
        <w:jc w:val="center"/>
        <w:ind w:left="480"/>
        <w:spacing w:after="0"/>
        <w:rPr>
          <w:sz w:val="20"/>
          <w:szCs w:val="20"/>
          <w:color w:val="auto"/>
        </w:rPr>
      </w:pPr>
      <w:r>
        <w:rPr>
          <w:rFonts w:ascii="Arial" w:cs="Arial" w:eastAsia="Arial" w:hAnsi="Arial"/>
          <w:sz w:val="14"/>
          <w:szCs w:val="14"/>
          <w:color w:val="auto"/>
        </w:rPr>
        <w:t>(Address of principal executive offices of the registrant)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(Zip Code)</w:t>
      </w:r>
    </w:p>
    <w:p>
      <w:pPr>
        <w:spacing w:after="0" w:line="200" w:lineRule="exact"/>
        <w:rPr>
          <w:sz w:val="24"/>
          <w:szCs w:val="24"/>
          <w:color w:val="auto"/>
        </w:rPr>
      </w:pPr>
    </w:p>
    <w:p>
      <w:pPr>
        <w:sectPr>
          <w:pgSz w:w="11900" w:h="16838" w:orient="portrait"/>
          <w:cols w:equalWidth="0" w:num="2">
            <w:col w:w="7680" w:space="720"/>
            <w:col w:w="2920"/>
          </w:cols>
          <w:pgMar w:left="240" w:top="679" w:right="339" w:bottom="1440" w:gutter="0" w:footer="0" w:header="0"/>
          <w:type w:val="continuous"/>
        </w:sectPr>
      </w:pPr>
    </w:p>
    <w:p>
      <w:pPr>
        <w:spacing w:after="0" w:line="24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(702) 770-7555</w:t>
      </w:r>
    </w:p>
    <w:p>
      <w:pPr>
        <w:spacing w:after="0" w:line="62"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(Registrant’s telephone number, including area code)</w:t>
      </w:r>
    </w:p>
    <w:p>
      <w:pPr>
        <w:sectPr>
          <w:pgSz w:w="11900" w:h="16838" w:orient="portrait"/>
          <w:cols w:equalWidth="0" w:num="1">
            <w:col w:w="11320"/>
          </w:cols>
          <w:pgMar w:left="240" w:top="679" w:right="339" w:bottom="1440" w:gutter="0" w:footer="0" w:header="0"/>
          <w:type w:val="continuous"/>
        </w:sectPr>
      </w:pPr>
    </w:p>
    <w:p>
      <w:pPr>
        <w:spacing w:after="0" w:line="200" w:lineRule="exact"/>
        <w:rPr>
          <w:sz w:val="24"/>
          <w:szCs w:val="24"/>
          <w:color w:val="auto"/>
        </w:rPr>
      </w:pPr>
    </w:p>
    <w:p>
      <w:pPr>
        <w:spacing w:after="0" w:line="21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Not Applicable</w:t>
      </w:r>
    </w:p>
    <w:p>
      <w:pPr>
        <w:spacing w:after="0" w:line="62" w:lineRule="exact"/>
        <w:rPr>
          <w:sz w:val="24"/>
          <w:szCs w:val="24"/>
          <w:color w:val="auto"/>
        </w:rPr>
      </w:pPr>
    </w:p>
    <w:p>
      <w:pPr>
        <w:jc w:val="center"/>
        <w:ind w:right="-39"/>
        <w:spacing w:after="0"/>
        <w:rPr>
          <w:sz w:val="20"/>
          <w:szCs w:val="20"/>
          <w:color w:val="auto"/>
        </w:rPr>
      </w:pPr>
      <w:r>
        <w:rPr>
          <w:rFonts w:ascii="Arial" w:cs="Arial" w:eastAsia="Arial" w:hAnsi="Arial"/>
          <w:sz w:val="16"/>
          <w:szCs w:val="16"/>
          <w:color w:val="auto"/>
        </w:rPr>
        <w:t>(Former name or former address, if changed since last report)</w:t>
      </w:r>
    </w:p>
    <w:p>
      <w:pPr>
        <w:spacing w:after="0" w:line="200" w:lineRule="exact"/>
        <w:rPr>
          <w:sz w:val="24"/>
          <w:szCs w:val="24"/>
          <w:color w:val="auto"/>
        </w:rPr>
      </w:pPr>
    </w:p>
    <w:p>
      <w:pPr>
        <w:spacing w:after="0" w:line="392" w:lineRule="exact"/>
        <w:rPr>
          <w:sz w:val="24"/>
          <w:szCs w:val="24"/>
          <w:color w:val="auto"/>
        </w:rPr>
      </w:pPr>
    </w:p>
    <w:p>
      <w:pPr>
        <w:spacing w:after="0" w:line="260" w:lineRule="auto"/>
        <w:rPr>
          <w:sz w:val="20"/>
          <w:szCs w:val="20"/>
          <w:color w:val="auto"/>
        </w:rPr>
      </w:pPr>
      <w:r>
        <w:rPr>
          <w:rFonts w:ascii="Arial" w:cs="Arial" w:eastAsia="Arial" w:hAnsi="Arial"/>
          <w:sz w:val="20"/>
          <w:szCs w:val="20"/>
          <w:color w:val="auto"/>
        </w:rPr>
        <w:t>Check the appropriate box below if the Form 8-K filing is intended to simultaneously satisfy the filing obligation of the registrant under any of the following provisions:</w:t>
      </w:r>
    </w:p>
    <w:p>
      <w:pPr>
        <w:spacing w:after="0" w:line="177" w:lineRule="exact"/>
        <w:rPr>
          <w:sz w:val="24"/>
          <w:szCs w:val="24"/>
          <w:color w:val="auto"/>
        </w:rPr>
      </w:pPr>
    </w:p>
    <w:p>
      <w:pPr>
        <w:ind w:left="920" w:hanging="815"/>
        <w:spacing w:after="0"/>
        <w:tabs>
          <w:tab w:leader="none" w:pos="920" w:val="left"/>
        </w:tabs>
        <w:numPr>
          <w:ilvl w:val="0"/>
          <w:numId w:val="1"/>
        </w:numPr>
        <w:rPr>
          <w:rFonts w:ascii="Arial" w:cs="Arial" w:eastAsia="Arial" w:hAnsi="Arial"/>
          <w:sz w:val="20"/>
          <w:szCs w:val="20"/>
          <w:color w:val="auto"/>
        </w:rPr>
      </w:pPr>
      <w:r>
        <w:rPr>
          <w:rFonts w:ascii="Arial" w:cs="Arial" w:eastAsia="Arial" w:hAnsi="Arial"/>
          <w:sz w:val="20"/>
          <w:szCs w:val="20"/>
          <w:color w:val="auto"/>
        </w:rPr>
        <w:t>Written communications pursuant to Rule 425 under the Securities Act (17 CFR 230.425)</w:t>
      </w:r>
    </w:p>
    <w:p>
      <w:pPr>
        <w:spacing w:after="0" w:line="364" w:lineRule="exact"/>
        <w:rPr>
          <w:rFonts w:ascii="Arial" w:cs="Arial" w:eastAsia="Arial" w:hAnsi="Arial"/>
          <w:sz w:val="20"/>
          <w:szCs w:val="20"/>
          <w:color w:val="auto"/>
        </w:rPr>
      </w:pPr>
    </w:p>
    <w:p>
      <w:pPr>
        <w:ind w:left="920" w:hanging="815"/>
        <w:spacing w:after="0"/>
        <w:tabs>
          <w:tab w:leader="none" w:pos="920" w:val="left"/>
        </w:tabs>
        <w:numPr>
          <w:ilvl w:val="0"/>
          <w:numId w:val="1"/>
        </w:numPr>
        <w:rPr>
          <w:rFonts w:ascii="Arial" w:cs="Arial" w:eastAsia="Arial" w:hAnsi="Arial"/>
          <w:sz w:val="20"/>
          <w:szCs w:val="20"/>
          <w:color w:val="auto"/>
        </w:rPr>
      </w:pPr>
      <w:r>
        <w:rPr>
          <w:rFonts w:ascii="Arial" w:cs="Arial" w:eastAsia="Arial" w:hAnsi="Arial"/>
          <w:sz w:val="20"/>
          <w:szCs w:val="20"/>
          <w:color w:val="auto"/>
        </w:rPr>
        <w:t>Soliciting material pursuant to Rule 14a-12 under the Exchange Act (17 CFR 240.14a-12)</w:t>
      </w:r>
    </w:p>
    <w:p>
      <w:pPr>
        <w:spacing w:after="0" w:line="364" w:lineRule="exact"/>
        <w:rPr>
          <w:rFonts w:ascii="Arial" w:cs="Arial" w:eastAsia="Arial" w:hAnsi="Arial"/>
          <w:sz w:val="20"/>
          <w:szCs w:val="20"/>
          <w:color w:val="auto"/>
        </w:rPr>
      </w:pPr>
    </w:p>
    <w:p>
      <w:pPr>
        <w:ind w:left="920" w:hanging="815"/>
        <w:spacing w:after="0"/>
        <w:tabs>
          <w:tab w:leader="none" w:pos="920" w:val="left"/>
        </w:tabs>
        <w:numPr>
          <w:ilvl w:val="0"/>
          <w:numId w:val="1"/>
        </w:numPr>
        <w:rPr>
          <w:rFonts w:ascii="Arial" w:cs="Arial" w:eastAsia="Arial" w:hAnsi="Arial"/>
          <w:sz w:val="20"/>
          <w:szCs w:val="20"/>
          <w:color w:val="auto"/>
        </w:rPr>
      </w:pPr>
      <w:r>
        <w:rPr>
          <w:rFonts w:ascii="Arial" w:cs="Arial" w:eastAsia="Arial" w:hAnsi="Arial"/>
          <w:sz w:val="20"/>
          <w:szCs w:val="20"/>
          <w:color w:val="auto"/>
        </w:rPr>
        <w:t>Pre-commencement communications pursuant to Rule 14d-2(b) under the Exchange Act (17 CFR 240.14d-2(b))</w:t>
      </w:r>
    </w:p>
    <w:p>
      <w:pPr>
        <w:spacing w:after="0" w:line="364" w:lineRule="exact"/>
        <w:rPr>
          <w:rFonts w:ascii="Arial" w:cs="Arial" w:eastAsia="Arial" w:hAnsi="Arial"/>
          <w:sz w:val="20"/>
          <w:szCs w:val="20"/>
          <w:color w:val="auto"/>
        </w:rPr>
      </w:pPr>
    </w:p>
    <w:p>
      <w:pPr>
        <w:ind w:left="920" w:hanging="815"/>
        <w:spacing w:after="0"/>
        <w:tabs>
          <w:tab w:leader="none" w:pos="920" w:val="left"/>
        </w:tabs>
        <w:numPr>
          <w:ilvl w:val="0"/>
          <w:numId w:val="1"/>
        </w:numPr>
        <w:rPr>
          <w:rFonts w:ascii="Arial" w:cs="Arial" w:eastAsia="Arial" w:hAnsi="Arial"/>
          <w:sz w:val="20"/>
          <w:szCs w:val="20"/>
          <w:color w:val="auto"/>
        </w:rPr>
      </w:pPr>
      <w:r>
        <w:rPr>
          <w:rFonts w:ascii="Arial" w:cs="Arial" w:eastAsia="Arial" w:hAnsi="Arial"/>
          <w:sz w:val="20"/>
          <w:szCs w:val="20"/>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754380</wp:posOffset>
            </wp:positionV>
            <wp:extent cx="726757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20"/>
          </w:cols>
          <w:pgMar w:left="240" w:top="679" w:right="339" w:bottom="1440" w:gutter="0" w:footer="0" w:header="0"/>
          <w:type w:val="continuous"/>
        </w:sectPr>
      </w:pPr>
    </w:p>
    <w:bookmarkStart w:id="1" w:name="page2"/>
    <w:bookmarkEnd w:id="1"/>
    <w:p>
      <w:pPr>
        <w:spacing w:after="0"/>
        <w:tabs>
          <w:tab w:leader="none" w:pos="1180" w:val="left"/>
        </w:tabs>
        <w:rPr>
          <w:sz w:val="20"/>
          <w:szCs w:val="20"/>
          <w:color w:val="auto"/>
        </w:rPr>
      </w:pPr>
      <w:r>
        <w:rPr>
          <w:rFonts w:ascii="Arial" w:cs="Arial" w:eastAsia="Arial" w:hAnsi="Arial"/>
          <w:sz w:val="20"/>
          <w:szCs w:val="20"/>
          <w:b w:val="1"/>
          <w:bCs w:val="1"/>
          <w:color w:val="auto"/>
        </w:rPr>
        <w:t>Item 8.01.</w:t>
      </w:r>
      <w:r>
        <w:rPr>
          <w:sz w:val="20"/>
          <w:szCs w:val="20"/>
          <w:color w:val="auto"/>
        </w:rPr>
        <w:tab/>
      </w:r>
      <w:r>
        <w:rPr>
          <w:rFonts w:ascii="Arial" w:cs="Arial" w:eastAsia="Arial" w:hAnsi="Arial"/>
          <w:sz w:val="18"/>
          <w:szCs w:val="18"/>
          <w:b w:val="1"/>
          <w:bCs w:val="1"/>
          <w:color w:val="auto"/>
        </w:rPr>
        <w:t>Other Events.</w:t>
      </w:r>
    </w:p>
    <w:p>
      <w:pPr>
        <w:spacing w:after="0" w:line="222" w:lineRule="exact"/>
        <w:rPr>
          <w:sz w:val="20"/>
          <w:szCs w:val="20"/>
          <w:color w:val="auto"/>
        </w:rPr>
      </w:pPr>
    </w:p>
    <w:p>
      <w:pPr>
        <w:spacing w:after="0" w:line="250" w:lineRule="auto"/>
        <w:rPr>
          <w:sz w:val="20"/>
          <w:szCs w:val="20"/>
          <w:color w:val="auto"/>
        </w:rPr>
      </w:pPr>
      <w:r>
        <w:rPr>
          <w:rFonts w:ascii="Arial" w:cs="Arial" w:eastAsia="Arial" w:hAnsi="Arial"/>
          <w:sz w:val="20"/>
          <w:szCs w:val="20"/>
          <w:color w:val="auto"/>
        </w:rPr>
        <w:t>On February 24, 2012, Wynn Macau, Limited issued a press release announcing that its board of directors had removed Mr. Kazuo Okada from the board. Wynn Macau, Limited is a majority owned subsidiary of Wynn Resorts, Limited (the “Company”). A copy of the press release is filed as Exhibit 99.1 to this Current Report on Form 8-K and incorporated herein by reference.</w:t>
      </w:r>
    </w:p>
    <w:p>
      <w:pPr>
        <w:spacing w:after="0" w:line="186" w:lineRule="exact"/>
        <w:rPr>
          <w:sz w:val="20"/>
          <w:szCs w:val="20"/>
          <w:color w:val="auto"/>
        </w:rPr>
      </w:pPr>
    </w:p>
    <w:p>
      <w:pPr>
        <w:ind w:right="320"/>
        <w:spacing w:after="0" w:line="260" w:lineRule="auto"/>
        <w:rPr>
          <w:sz w:val="20"/>
          <w:szCs w:val="20"/>
          <w:color w:val="auto"/>
        </w:rPr>
      </w:pPr>
      <w:r>
        <w:rPr>
          <w:rFonts w:ascii="Arial" w:cs="Arial" w:eastAsia="Arial" w:hAnsi="Arial"/>
          <w:sz w:val="20"/>
          <w:szCs w:val="20"/>
          <w:color w:val="auto"/>
        </w:rPr>
        <w:t>Mr. Okada also was removed from the board of directors of Wynn Las Vegas Capital Corp., a wholly owned subsidiary of the Company, on February 18, 2012.</w:t>
      </w:r>
    </w:p>
    <w:p>
      <w:pPr>
        <w:spacing w:after="0" w:line="171" w:lineRule="exact"/>
        <w:rPr>
          <w:sz w:val="20"/>
          <w:szCs w:val="20"/>
          <w:color w:val="auto"/>
        </w:rPr>
      </w:pPr>
    </w:p>
    <w:p>
      <w:pPr>
        <w:spacing w:after="0"/>
        <w:tabs>
          <w:tab w:leader="none" w:pos="1180" w:val="left"/>
        </w:tabs>
        <w:rPr>
          <w:sz w:val="20"/>
          <w:szCs w:val="20"/>
          <w:color w:val="auto"/>
        </w:rPr>
      </w:pPr>
      <w:r>
        <w:rPr>
          <w:rFonts w:ascii="Arial" w:cs="Arial" w:eastAsia="Arial" w:hAnsi="Arial"/>
          <w:sz w:val="20"/>
          <w:szCs w:val="20"/>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2" w:lineRule="exact"/>
        <w:rPr>
          <w:sz w:val="20"/>
          <w:szCs w:val="20"/>
          <w:color w:val="auto"/>
        </w:rPr>
      </w:pPr>
    </w:p>
    <w:p>
      <w:pPr>
        <w:ind w:left="1740" w:hanging="1030"/>
        <w:spacing w:after="0"/>
        <w:tabs>
          <w:tab w:leader="none" w:pos="1740" w:val="left"/>
        </w:tabs>
        <w:numPr>
          <w:ilvl w:val="0"/>
          <w:numId w:val="2"/>
        </w:numPr>
        <w:rPr>
          <w:rFonts w:ascii="Arial" w:cs="Arial" w:eastAsia="Arial" w:hAnsi="Arial"/>
          <w:sz w:val="20"/>
          <w:szCs w:val="20"/>
          <w:color w:val="auto"/>
        </w:rPr>
      </w:pPr>
      <w:r>
        <w:rPr>
          <w:rFonts w:ascii="Arial" w:cs="Arial" w:eastAsia="Arial" w:hAnsi="Arial"/>
          <w:sz w:val="20"/>
          <w:szCs w:val="20"/>
          <w:color w:val="auto"/>
        </w:rPr>
        <w:t>Exhibits:</w:t>
      </w:r>
    </w:p>
    <w:p>
      <w:pPr>
        <w:spacing w:after="0" w:line="216" w:lineRule="exact"/>
        <w:rPr>
          <w:sz w:val="20"/>
          <w:szCs w:val="20"/>
          <w:color w:val="auto"/>
        </w:rPr>
      </w:pPr>
    </w:p>
    <w:p>
      <w:pPr>
        <w:ind w:left="500"/>
        <w:spacing w:after="0"/>
        <w:rPr>
          <w:sz w:val="20"/>
          <w:szCs w:val="20"/>
          <w:color w:val="auto"/>
        </w:rPr>
      </w:pPr>
      <w:r>
        <w:rPr>
          <w:rFonts w:ascii="Arial" w:cs="Arial" w:eastAsia="Arial" w:hAnsi="Arial"/>
          <w:sz w:val="20"/>
          <w:szCs w:val="20"/>
          <w:u w:val="single" w:color="auto"/>
          <w:color w:val="auto"/>
        </w:rPr>
        <w:t>Exhibit</w:t>
      </w:r>
    </w:p>
    <w:p>
      <w:pPr>
        <w:spacing w:after="0" w:line="16" w:lineRule="exact"/>
        <w:rPr>
          <w:sz w:val="20"/>
          <w:szCs w:val="20"/>
          <w:color w:val="auto"/>
        </w:rPr>
      </w:pPr>
    </w:p>
    <w:p>
      <w:pPr>
        <w:ind w:left="500"/>
        <w:spacing w:after="0"/>
        <w:tabs>
          <w:tab w:leader="none" w:pos="1720" w:val="left"/>
        </w:tabs>
        <w:rPr>
          <w:sz w:val="20"/>
          <w:szCs w:val="20"/>
          <w:color w:val="auto"/>
        </w:rPr>
      </w:pPr>
      <w:r>
        <w:rPr>
          <w:rFonts w:ascii="Arial" w:cs="Arial" w:eastAsia="Arial" w:hAnsi="Arial"/>
          <w:sz w:val="20"/>
          <w:szCs w:val="20"/>
          <w:u w:val="single" w:color="auto"/>
          <w:color w:val="auto"/>
        </w:rPr>
        <w:t>Number</w:t>
      </w:r>
      <w:r>
        <w:rPr>
          <w:sz w:val="20"/>
          <w:szCs w:val="20"/>
          <w:color w:val="auto"/>
        </w:rPr>
        <w:tab/>
      </w:r>
      <w:r>
        <w:rPr>
          <w:rFonts w:ascii="Arial" w:cs="Arial" w:eastAsia="Arial" w:hAnsi="Arial"/>
          <w:sz w:val="20"/>
          <w:szCs w:val="20"/>
          <w:u w:val="single" w:color="auto"/>
          <w:color w:val="auto"/>
        </w:rPr>
        <w:t>Description</w:t>
      </w:r>
    </w:p>
    <w:p>
      <w:pPr>
        <w:spacing w:after="0" w:line="200"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20"/>
          <w:szCs w:val="20"/>
          <w:color w:val="auto"/>
        </w:rPr>
        <w:t>99.1</w:t>
      </w:r>
      <w:r>
        <w:rPr>
          <w:sz w:val="20"/>
          <w:szCs w:val="20"/>
          <w:color w:val="auto"/>
        </w:rPr>
        <w:tab/>
      </w:r>
      <w:r>
        <w:rPr>
          <w:rFonts w:ascii="Arial" w:cs="Arial" w:eastAsia="Arial" w:hAnsi="Arial"/>
          <w:sz w:val="16"/>
          <w:szCs w:val="16"/>
          <w:color w:val="auto"/>
        </w:rPr>
        <w:t>Press Release, dated February 23, 2012, of Wynn Macau,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951865</wp:posOffset>
            </wp:positionV>
            <wp:extent cx="726757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60"/>
          </w:cols>
          <w:pgMar w:left="240" w:top="603" w:right="299" w:bottom="1440" w:gutter="0" w:footer="0" w:header="0"/>
        </w:sectPr>
      </w:pPr>
    </w:p>
    <w:bookmarkStart w:id="2" w:name="page3"/>
    <w:bookmarkEnd w:id="2"/>
    <w:p>
      <w:pPr>
        <w:jc w:val="center"/>
        <w:ind w:right="20"/>
        <w:spacing w:after="0"/>
        <w:rPr>
          <w:sz w:val="20"/>
          <w:szCs w:val="20"/>
          <w:color w:val="auto"/>
        </w:rPr>
      </w:pPr>
      <w:r>
        <w:rPr>
          <w:rFonts w:ascii="Arial" w:cs="Arial" w:eastAsia="Arial" w:hAnsi="Arial"/>
          <w:sz w:val="20"/>
          <w:szCs w:val="20"/>
          <w:b w:val="1"/>
          <w:bCs w:val="1"/>
          <w:color w:val="auto"/>
        </w:rPr>
        <w:t>SIGNATURES</w:t>
      </w:r>
    </w:p>
    <w:p>
      <w:pPr>
        <w:spacing w:after="0" w:line="46" w:lineRule="exact"/>
        <w:rPr>
          <w:sz w:val="20"/>
          <w:szCs w:val="20"/>
          <w:color w:val="auto"/>
        </w:rPr>
      </w:pPr>
    </w:p>
    <w:p>
      <w:pPr>
        <w:ind w:right="140"/>
        <w:spacing w:after="0" w:line="260"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hereunto duly authorized.</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auto"/>
        </w:rPr>
        <w:t>Dated: February 24, 2012</w:t>
      </w:r>
    </w:p>
    <w:p>
      <w:pPr>
        <w:spacing w:after="0" w:line="216" w:lineRule="exact"/>
        <w:rPr>
          <w:sz w:val="20"/>
          <w:szCs w:val="20"/>
          <w:color w:val="auto"/>
        </w:rPr>
      </w:pPr>
    </w:p>
    <w:p>
      <w:pPr>
        <w:ind w:left="3580"/>
        <w:spacing w:after="0"/>
        <w:rPr>
          <w:sz w:val="20"/>
          <w:szCs w:val="20"/>
          <w:color w:val="auto"/>
        </w:rPr>
      </w:pPr>
      <w:r>
        <w:rPr>
          <w:rFonts w:ascii="Arial" w:cs="Arial" w:eastAsia="Arial" w:hAnsi="Arial"/>
          <w:sz w:val="20"/>
          <w:szCs w:val="20"/>
          <w:color w:val="auto"/>
        </w:rPr>
        <w:t>WYNN RESORTS, LIMITED</w:t>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20" w:type="dxa"/>
            <w:vAlign w:val="bottom"/>
          </w:tcPr>
          <w:p>
            <w:pPr>
              <w:ind w:left="3580"/>
              <w:spacing w:after="0"/>
              <w:rPr>
                <w:sz w:val="20"/>
                <w:szCs w:val="20"/>
                <w:color w:val="auto"/>
              </w:rPr>
            </w:pPr>
            <w:r>
              <w:rPr>
                <w:rFonts w:ascii="Arial" w:cs="Arial" w:eastAsia="Arial" w:hAnsi="Arial"/>
                <w:sz w:val="20"/>
                <w:szCs w:val="20"/>
                <w:color w:val="auto"/>
              </w:rPr>
              <w:t>By:</w:t>
            </w:r>
          </w:p>
        </w:tc>
        <w:tc>
          <w:tcPr>
            <w:tcW w:w="180" w:type="dxa"/>
            <w:vAlign w:val="bottom"/>
          </w:tcPr>
          <w:p>
            <w:pPr>
              <w:spacing w:after="0"/>
              <w:rPr>
                <w:sz w:val="19"/>
                <w:szCs w:val="19"/>
                <w:color w:val="auto"/>
              </w:rPr>
            </w:pPr>
          </w:p>
        </w:tc>
        <w:tc>
          <w:tcPr>
            <w:tcW w:w="7240" w:type="dxa"/>
            <w:vAlign w:val="bottom"/>
            <w:gridSpan w:val="2"/>
          </w:tcPr>
          <w:p>
            <w:pPr>
              <w:spacing w:after="0"/>
              <w:rPr>
                <w:sz w:val="20"/>
                <w:szCs w:val="20"/>
                <w:color w:val="auto"/>
              </w:rPr>
            </w:pPr>
            <w:r>
              <w:rPr>
                <w:rFonts w:ascii="Arial" w:cs="Arial" w:eastAsia="Arial" w:hAnsi="Arial"/>
                <w:sz w:val="20"/>
                <w:szCs w:val="20"/>
                <w:color w:val="auto"/>
              </w:rPr>
              <w:t>/s/ Marc D. Schorr</w:t>
            </w:r>
          </w:p>
        </w:tc>
      </w:tr>
      <w:tr>
        <w:trPr>
          <w:trHeight w:val="206"/>
        </w:trPr>
        <w:tc>
          <w:tcPr>
            <w:tcW w:w="4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80" w:type="dxa"/>
            <w:vAlign w:val="bottom"/>
            <w:tcBorders>
              <w:top w:val="single" w:sz="8" w:color="auto"/>
            </w:tcBorders>
          </w:tcPr>
          <w:p>
            <w:pPr>
              <w:spacing w:after="0" w:line="207" w:lineRule="exact"/>
              <w:rPr>
                <w:sz w:val="20"/>
                <w:szCs w:val="20"/>
                <w:color w:val="auto"/>
              </w:rPr>
            </w:pPr>
            <w:r>
              <w:rPr>
                <w:rFonts w:ascii="Arial" w:cs="Arial" w:eastAsia="Arial" w:hAnsi="Arial"/>
                <w:sz w:val="20"/>
                <w:szCs w:val="20"/>
                <w:color w:val="auto"/>
              </w:rPr>
              <w:t>Marc D. Schorr</w:t>
            </w:r>
          </w:p>
        </w:tc>
        <w:tc>
          <w:tcPr>
            <w:tcW w:w="5260" w:type="dxa"/>
            <w:vAlign w:val="bottom"/>
          </w:tcPr>
          <w:p>
            <w:pPr>
              <w:spacing w:after="0"/>
              <w:rPr>
                <w:sz w:val="17"/>
                <w:szCs w:val="17"/>
                <w:color w:val="auto"/>
              </w:rPr>
            </w:pPr>
          </w:p>
        </w:tc>
      </w:tr>
      <w:tr>
        <w:trPr>
          <w:trHeight w:val="250"/>
        </w:trPr>
        <w:tc>
          <w:tcPr>
            <w:tcW w:w="4020" w:type="dxa"/>
            <w:vAlign w:val="bottom"/>
          </w:tcPr>
          <w:p>
            <w:pPr>
              <w:spacing w:after="0"/>
              <w:rPr>
                <w:sz w:val="21"/>
                <w:szCs w:val="21"/>
                <w:color w:val="auto"/>
              </w:rPr>
            </w:pPr>
          </w:p>
        </w:tc>
        <w:tc>
          <w:tcPr>
            <w:tcW w:w="7420" w:type="dxa"/>
            <w:vAlign w:val="bottom"/>
            <w:gridSpan w:val="3"/>
          </w:tcPr>
          <w:p>
            <w:pPr>
              <w:ind w:left="140"/>
              <w:spacing w:after="0"/>
              <w:rPr>
                <w:sz w:val="20"/>
                <w:szCs w:val="20"/>
                <w:color w:val="auto"/>
              </w:rPr>
            </w:pPr>
            <w:r>
              <w:rPr>
                <w:rFonts w:ascii="Arial" w:cs="Arial" w:eastAsia="Arial" w:hAnsi="Arial"/>
                <w:sz w:val="20"/>
                <w:szCs w:val="20"/>
                <w:color w:val="auto"/>
              </w:rPr>
              <w:t>Chief Operating Officer</w:t>
            </w:r>
          </w:p>
        </w:tc>
      </w:tr>
      <w:tr>
        <w:trPr>
          <w:trHeight w:val="1222"/>
        </w:trPr>
        <w:tc>
          <w:tcPr>
            <w:tcW w:w="402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1980" w:type="dxa"/>
            <w:vAlign w:val="bottom"/>
            <w:tcBorders>
              <w:bottom w:val="single" w:sz="8" w:color="808080"/>
            </w:tcBorders>
          </w:tcPr>
          <w:p>
            <w:pPr>
              <w:spacing w:after="0"/>
              <w:rPr>
                <w:sz w:val="24"/>
                <w:szCs w:val="24"/>
                <w:color w:val="auto"/>
              </w:rPr>
            </w:pPr>
          </w:p>
        </w:tc>
        <w:tc>
          <w:tcPr>
            <w:tcW w:w="52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576" w:right="21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35560</wp:posOffset>
            </wp:positionH>
            <wp:positionV relativeFrom="paragraph">
              <wp:posOffset>165735</wp:posOffset>
            </wp:positionV>
            <wp:extent cx="2710180" cy="12350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710180" cy="1235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60"/>
        <w:spacing w:after="0"/>
        <w:rPr>
          <w:sz w:val="20"/>
          <w:szCs w:val="20"/>
          <w:color w:val="auto"/>
        </w:rPr>
      </w:pPr>
      <w:r>
        <w:rPr>
          <w:rFonts w:ascii="Arial" w:cs="Arial" w:eastAsia="Arial" w:hAnsi="Arial"/>
          <w:sz w:val="20"/>
          <w:szCs w:val="20"/>
          <w:b w:val="1"/>
          <w:bCs w:val="1"/>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51435</wp:posOffset>
            </wp:positionV>
            <wp:extent cx="5385435"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385435" cy="26035"/>
                    </a:xfrm>
                    <a:prstGeom prst="rect">
                      <a:avLst/>
                    </a:prstGeom>
                    <a:noFill/>
                  </pic:spPr>
                </pic:pic>
              </a:graphicData>
            </a:graphic>
          </wp:anchor>
        </w:drawing>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 Immediate Release</w:t>
      </w:r>
    </w:p>
    <w:p>
      <w:pPr>
        <w:spacing w:after="0" w:line="246" w:lineRule="exact"/>
        <w:rPr>
          <w:sz w:val="20"/>
          <w:szCs w:val="20"/>
          <w:color w:val="auto"/>
        </w:rPr>
      </w:pPr>
    </w:p>
    <w:p>
      <w:pPr>
        <w:jc w:val="center"/>
        <w:ind w:right="-59"/>
        <w:spacing w:after="0"/>
        <w:rPr>
          <w:sz w:val="20"/>
          <w:szCs w:val="20"/>
          <w:color w:val="auto"/>
        </w:rPr>
      </w:pPr>
      <w:r>
        <w:rPr>
          <w:rFonts w:ascii="Arial" w:cs="Arial" w:eastAsia="Arial" w:hAnsi="Arial"/>
          <w:sz w:val="21"/>
          <w:szCs w:val="21"/>
          <w:b w:val="1"/>
          <w:bCs w:val="1"/>
          <w:color w:val="auto"/>
        </w:rPr>
        <w:t>WYNN MACAU LIMITED REMOVES KAZUO OKADA FROM BOARD OF DIRECTORS</w:t>
      </w:r>
    </w:p>
    <w:p>
      <w:pPr>
        <w:spacing w:after="0" w:line="265" w:lineRule="exact"/>
        <w:rPr>
          <w:sz w:val="20"/>
          <w:szCs w:val="20"/>
          <w:color w:val="auto"/>
        </w:rPr>
      </w:pPr>
    </w:p>
    <w:p>
      <w:pPr>
        <w:ind w:left="60"/>
        <w:spacing w:after="0" w:line="232" w:lineRule="auto"/>
        <w:rPr>
          <w:sz w:val="20"/>
          <w:szCs w:val="20"/>
          <w:color w:val="auto"/>
        </w:rPr>
      </w:pPr>
      <w:r>
        <w:rPr>
          <w:rFonts w:ascii="Arial" w:cs="Arial" w:eastAsia="Arial" w:hAnsi="Arial"/>
          <w:sz w:val="20"/>
          <w:szCs w:val="20"/>
          <w:color w:val="auto"/>
        </w:rPr>
        <w:t>Macau, February 24, 2012— Wynn Macau, Limited, a subsidiary of Wynn Resorts, Limited, today announced that its Board of Directors met today to review Mr. Kazuo Okada’s status as a Director of the Company. All of the other Directors voted unanimously to remove Mr. Okada from the Board and the removal is effective immediately.</w:t>
      </w:r>
    </w:p>
    <w:p>
      <w:pPr>
        <w:spacing w:after="0" w:line="224" w:lineRule="exact"/>
        <w:rPr>
          <w:sz w:val="20"/>
          <w:szCs w:val="20"/>
          <w:color w:val="auto"/>
        </w:rPr>
      </w:pPr>
    </w:p>
    <w:p>
      <w:pPr>
        <w:ind w:left="60"/>
        <w:spacing w:after="0"/>
        <w:rPr>
          <w:sz w:val="20"/>
          <w:szCs w:val="20"/>
          <w:color w:val="auto"/>
        </w:rPr>
      </w:pPr>
      <w:r>
        <w:rPr>
          <w:rFonts w:ascii="Arial" w:cs="Arial" w:eastAsia="Arial" w:hAnsi="Arial"/>
          <w:sz w:val="20"/>
          <w:szCs w:val="20"/>
          <w:color w:val="auto"/>
        </w:rPr>
        <w:t>The Board of Directors issued the following joint statement:</w:t>
      </w:r>
    </w:p>
    <w:p>
      <w:pPr>
        <w:spacing w:after="0" w:line="229" w:lineRule="exact"/>
        <w:rPr>
          <w:sz w:val="20"/>
          <w:szCs w:val="20"/>
          <w:color w:val="auto"/>
        </w:rPr>
      </w:pPr>
    </w:p>
    <w:p>
      <w:pPr>
        <w:ind w:left="60" w:right="160"/>
        <w:spacing w:after="0" w:line="225" w:lineRule="auto"/>
        <w:rPr>
          <w:sz w:val="20"/>
          <w:szCs w:val="20"/>
          <w:color w:val="auto"/>
        </w:rPr>
      </w:pPr>
      <w:r>
        <w:rPr>
          <w:rFonts w:ascii="Arial" w:cs="Arial" w:eastAsia="Arial" w:hAnsi="Arial"/>
          <w:sz w:val="20"/>
          <w:szCs w:val="20"/>
          <w:color w:val="auto"/>
        </w:rPr>
        <w:t>“The Board considered the information disclosed by Wynn Resorts, Limited concerning the independent report (as further described in the 20 February Announcement) commissioned by the Compliance Committee of Wynn Resorts, Limited. After due consideration of the independent report, taking into account the Company’s high ethical standards, the Board determined that it was obligated to remove Mr. Okada as a non-executive Director given the unacceptable conduct by Mr. Okada, his employees and associates detailed in the independent report. Accordingly, the Board resolved to remove Mr. Okada as a non-executive Director of the Company.”</w:t>
      </w:r>
    </w:p>
    <w:p>
      <w:pPr>
        <w:spacing w:after="0" w:line="3"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 ends -</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20"/>
          <w:szCs w:val="20"/>
          <w:u w:val="single" w:color="auto"/>
          <w:color w:val="auto"/>
        </w:rPr>
        <w:t>About Wynn Resorts</w:t>
      </w:r>
    </w:p>
    <w:p>
      <w:pPr>
        <w:spacing w:after="0" w:line="67" w:lineRule="exact"/>
        <w:rPr>
          <w:sz w:val="20"/>
          <w:szCs w:val="20"/>
          <w:color w:val="auto"/>
        </w:rPr>
      </w:pPr>
    </w:p>
    <w:p>
      <w:pPr>
        <w:ind w:left="60" w:right="440"/>
        <w:spacing w:after="0" w:line="236" w:lineRule="auto"/>
        <w:rPr>
          <w:sz w:val="20"/>
          <w:szCs w:val="20"/>
          <w:color w:val="auto"/>
        </w:rPr>
      </w:pPr>
      <w:r>
        <w:rPr>
          <w:rFonts w:ascii="Arial" w:cs="Arial" w:eastAsia="Arial" w:hAnsi="Arial"/>
          <w:sz w:val="20"/>
          <w:szCs w:val="20"/>
          <w:color w:val="auto"/>
        </w:rPr>
        <w:t>Wynn Resorts, Limited is traded on the Nasdaq Global Select Market under the ticker symbol WYNN and is part of the S&amp;P 500 and NASDAQ-100 Indexes.</w:t>
      </w:r>
    </w:p>
    <w:p>
      <w:pPr>
        <w:spacing w:after="0" w:line="61" w:lineRule="exact"/>
        <w:rPr>
          <w:sz w:val="20"/>
          <w:szCs w:val="20"/>
          <w:color w:val="auto"/>
        </w:rPr>
      </w:pPr>
    </w:p>
    <w:p>
      <w:pPr>
        <w:ind w:left="60" w:right="120"/>
        <w:spacing w:after="0" w:line="231" w:lineRule="auto"/>
        <w:rPr>
          <w:sz w:val="20"/>
          <w:szCs w:val="20"/>
          <w:color w:val="auto"/>
        </w:rPr>
      </w:pPr>
      <w:r>
        <w:rPr>
          <w:rFonts w:ascii="Arial" w:cs="Arial" w:eastAsia="Arial" w:hAnsi="Arial"/>
          <w:sz w:val="20"/>
          <w:szCs w:val="20"/>
          <w:color w:val="auto"/>
        </w:rPr>
        <w:t>Our Las Vegas operations (Wynn Las Vegas and Encore) feature two luxury hotel towers with a total of 4,750 spacious hotel rooms, suites and villas, an approximately 186,000 square feet of casino space, 35 food and beverage outlets featuring signature chefs, an on-site 18-hole golf course, meeting space, a Ferrari and Maserati dealership, approximately 97,000 square feet of retail space as well as two showrooms; four nightclubs and a beach club.</w:t>
      </w:r>
    </w:p>
    <w:p>
      <w:pPr>
        <w:spacing w:after="0" w:line="303" w:lineRule="exact"/>
        <w:rPr>
          <w:sz w:val="20"/>
          <w:szCs w:val="20"/>
          <w:color w:val="auto"/>
        </w:rPr>
      </w:pPr>
    </w:p>
    <w:p>
      <w:pPr>
        <w:ind w:left="60" w:right="100"/>
        <w:spacing w:after="0" w:line="231" w:lineRule="auto"/>
        <w:rPr>
          <w:sz w:val="20"/>
          <w:szCs w:val="20"/>
          <w:color w:val="auto"/>
        </w:rPr>
      </w:pPr>
      <w:r>
        <w:rPr>
          <w:rFonts w:ascii="Arial" w:cs="Arial" w:eastAsia="Arial" w:hAnsi="Arial"/>
          <w:sz w:val="20"/>
          <w:szCs w:val="20"/>
          <w:color w:val="auto"/>
        </w:rPr>
        <w:t>Our Macau resort is a resort destination casino located in the Macau Special Administrative Region of the People's Republic of China with two luxury hotel towers (Wynn Macau and Encore) with a total of 1,008 spacious rooms and suites, approximately 265,000 square feet of casino space, casual and fine dining in eight restaurants, approximately 54,200 square feet of retail space, recreation and leisure facilities, including two health clubs and spas, a pool.</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20"/>
          <w:szCs w:val="20"/>
          <w:b w:val="1"/>
          <w:bCs w:val="1"/>
          <w:color w:val="auto"/>
        </w:rPr>
        <w:t>For media enquiries, please contact:</w:t>
      </w:r>
    </w:p>
    <w:p>
      <w:pPr>
        <w:ind w:left="60"/>
        <w:spacing w:after="0" w:line="236" w:lineRule="auto"/>
        <w:rPr>
          <w:sz w:val="20"/>
          <w:szCs w:val="20"/>
          <w:color w:val="auto"/>
        </w:rPr>
      </w:pPr>
      <w:r>
        <w:rPr>
          <w:rFonts w:ascii="Arial" w:cs="Arial" w:eastAsia="Arial" w:hAnsi="Arial"/>
          <w:sz w:val="20"/>
          <w:szCs w:val="20"/>
          <w:color w:val="auto"/>
        </w:rPr>
        <w:t>Wynn Macau</w:t>
      </w:r>
    </w:p>
    <w:p>
      <w:pPr>
        <w:ind w:left="60"/>
        <w:spacing w:after="0"/>
        <w:rPr>
          <w:sz w:val="20"/>
          <w:szCs w:val="20"/>
          <w:color w:val="auto"/>
        </w:rPr>
      </w:pPr>
      <w:r>
        <w:rPr>
          <w:rFonts w:ascii="Arial" w:cs="Arial" w:eastAsia="Arial" w:hAnsi="Arial"/>
          <w:sz w:val="20"/>
          <w:szCs w:val="20"/>
          <w:color w:val="auto"/>
        </w:rPr>
        <w:t xml:space="preserve">Katharine Liu, Director – Communications Tel: (853) 8986 5521 / Email: </w:t>
      </w:r>
      <w:r>
        <w:rPr>
          <w:rFonts w:ascii="Arial" w:cs="Arial" w:eastAsia="Arial" w:hAnsi="Arial"/>
          <w:sz w:val="20"/>
          <w:szCs w:val="20"/>
          <w:u w:val="single" w:color="auto"/>
          <w:color w:val="auto"/>
        </w:rPr>
        <w:t>katharine.liu@wynnmacau.com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283210</wp:posOffset>
            </wp:positionV>
            <wp:extent cx="7267575"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1590"/>
                    </a:xfrm>
                    <a:prstGeom prst="rect">
                      <a:avLst/>
                    </a:prstGeom>
                    <a:noFill/>
                  </pic:spPr>
                </pic:pic>
              </a:graphicData>
            </a:graphic>
          </wp:anchor>
        </w:drawing>
        <w:drawing>
          <wp:anchor simplePos="0" relativeHeight="251657728" behindDoc="1" locked="0" layoutInCell="0" allowOverlap="1">
            <wp:simplePos x="0" y="0"/>
            <wp:positionH relativeFrom="column">
              <wp:posOffset>35560</wp:posOffset>
            </wp:positionH>
            <wp:positionV relativeFrom="paragraph">
              <wp:posOffset>-5715</wp:posOffset>
            </wp:positionV>
            <wp:extent cx="4288155" cy="2228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288155" cy="222885"/>
                    </a:xfrm>
                    <a:prstGeom prst="rect">
                      <a:avLst/>
                    </a:prstGeom>
                    <a:noFill/>
                  </pic:spPr>
                </pic:pic>
              </a:graphicData>
            </a:graphic>
          </wp:anchor>
        </w:drawing>
      </w:r>
    </w:p>
    <w:sectPr>
      <w:pgSz w:w="11900" w:h="16838" w:orient="portrait"/>
      <w:cols w:equalWidth="0" w:num="1">
        <w:col w:w="10820"/>
      </w:cols>
      <w:pgMar w:left="840" w:top="35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2019-12-09T15:50:47Z</dcterms:created>
  <dcterms:modified xsi:type="dcterms:W3CDTF">2019-12-09T15:50:47Z</dcterms:modified>
</cp:coreProperties>
</file>