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2172335</wp:posOffset>
            </wp:positionH>
            <wp:positionV relativeFrom="paragraph">
              <wp:posOffset>142240</wp:posOffset>
            </wp:positionV>
            <wp:extent cx="285115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1150" cy="6985"/>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2172335</wp:posOffset>
            </wp:positionH>
            <wp:positionV relativeFrom="paragraph">
              <wp:posOffset>53975</wp:posOffset>
            </wp:positionV>
            <wp:extent cx="28511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1150" cy="6985"/>
                    </a:xfrm>
                    <a:prstGeom prst="rect">
                      <a:avLst/>
                    </a:prstGeom>
                    <a:noFill/>
                  </pic:spPr>
                </pic:pic>
              </a:graphicData>
            </a:graphic>
          </wp:anchor>
        </w:drawing>
      </w: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2172335</wp:posOffset>
            </wp:positionH>
            <wp:positionV relativeFrom="paragraph">
              <wp:posOffset>69215</wp:posOffset>
            </wp:positionV>
            <wp:extent cx="28511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1150" cy="698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WYNN RESORTS, LIMITED</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960" w:type="dxa"/>
            <w:vAlign w:val="bottom"/>
          </w:tcPr>
          <w:p>
            <w:pPr>
              <w:spacing w:after="0"/>
              <w:rPr>
                <w:sz w:val="16"/>
                <w:szCs w:val="16"/>
                <w:color w:val="auto"/>
              </w:rPr>
            </w:pPr>
          </w:p>
        </w:tc>
        <w:tc>
          <w:tcPr>
            <w:tcW w:w="3020" w:type="dxa"/>
            <w:vAlign w:val="bottom"/>
            <w:gridSpan w:val="3"/>
          </w:tcPr>
          <w:p>
            <w:pPr>
              <w:jc w:val="center"/>
              <w:ind w:right="1300"/>
              <w:spacing w:after="0"/>
              <w:rPr>
                <w:sz w:val="20"/>
                <w:szCs w:val="20"/>
                <w:color w:val="auto"/>
              </w:rPr>
            </w:pPr>
            <w:r>
              <w:rPr>
                <w:rFonts w:ascii="Times New Roman" w:cs="Times New Roman" w:eastAsia="Times New Roman" w:hAnsi="Times New Roman"/>
                <w:sz w:val="15"/>
                <w:szCs w:val="15"/>
                <w:b w:val="1"/>
                <w:bCs w:val="1"/>
                <w:color w:val="auto"/>
                <w:w w:val="99"/>
              </w:rPr>
              <w:t>Nevada</w:t>
            </w:r>
          </w:p>
        </w:tc>
        <w:tc>
          <w:tcPr>
            <w:tcW w:w="3340" w:type="dxa"/>
            <w:vAlign w:val="bottom"/>
            <w:gridSpan w:val="2"/>
          </w:tcPr>
          <w:p>
            <w:pPr>
              <w:ind w:left="1220"/>
              <w:spacing w:after="0"/>
              <w:rPr>
                <w:sz w:val="20"/>
                <w:szCs w:val="20"/>
                <w:color w:val="auto"/>
              </w:rPr>
            </w:pPr>
            <w:r>
              <w:rPr>
                <w:rFonts w:ascii="Times New Roman" w:cs="Times New Roman" w:eastAsia="Times New Roman" w:hAnsi="Times New Roman"/>
                <w:sz w:val="15"/>
                <w:szCs w:val="15"/>
                <w:b w:val="1"/>
                <w:bCs w:val="1"/>
                <w:color w:val="auto"/>
              </w:rPr>
              <w:t>000-50028</w:t>
            </w:r>
          </w:p>
        </w:tc>
        <w:tc>
          <w:tcPr>
            <w:tcW w:w="2740" w:type="dxa"/>
            <w:vAlign w:val="bottom"/>
            <w:gridSpan w:val="2"/>
          </w:tcPr>
          <w:p>
            <w:pPr>
              <w:jc w:val="right"/>
              <w:ind w:right="301"/>
              <w:spacing w:after="0"/>
              <w:rPr>
                <w:sz w:val="20"/>
                <w:szCs w:val="20"/>
                <w:color w:val="auto"/>
              </w:rPr>
            </w:pPr>
            <w:r>
              <w:rPr>
                <w:rFonts w:ascii="Times New Roman" w:cs="Times New Roman" w:eastAsia="Times New Roman" w:hAnsi="Times New Roman"/>
                <w:sz w:val="15"/>
                <w:szCs w:val="15"/>
                <w:b w:val="1"/>
                <w:bCs w:val="1"/>
                <w:color w:val="auto"/>
              </w:rPr>
              <w:t>46-0484987</w:t>
            </w:r>
          </w:p>
        </w:tc>
        <w:tc>
          <w:tcPr>
            <w:tcW w:w="1220" w:type="dxa"/>
            <w:vAlign w:val="bottom"/>
          </w:tcPr>
          <w:p>
            <w:pPr>
              <w:spacing w:after="0"/>
              <w:rPr>
                <w:sz w:val="16"/>
                <w:szCs w:val="16"/>
                <w:color w:val="auto"/>
              </w:rPr>
            </w:pPr>
          </w:p>
        </w:tc>
      </w:tr>
      <w:tr>
        <w:trPr>
          <w:trHeight w:val="122"/>
        </w:trPr>
        <w:tc>
          <w:tcPr>
            <w:tcW w:w="960" w:type="dxa"/>
            <w:vAlign w:val="bottom"/>
          </w:tcPr>
          <w:p>
            <w:pPr>
              <w:spacing w:after="0"/>
              <w:rPr>
                <w:sz w:val="10"/>
                <w:szCs w:val="10"/>
                <w:color w:val="auto"/>
              </w:rPr>
            </w:pPr>
          </w:p>
        </w:tc>
        <w:tc>
          <w:tcPr>
            <w:tcW w:w="3020" w:type="dxa"/>
            <w:vAlign w:val="bottom"/>
            <w:gridSpan w:val="3"/>
          </w:tcPr>
          <w:p>
            <w:pPr>
              <w:jc w:val="center"/>
              <w:ind w:right="1300"/>
              <w:spacing w:after="0" w:line="122" w:lineRule="exact"/>
              <w:rPr>
                <w:sz w:val="20"/>
                <w:szCs w:val="20"/>
                <w:color w:val="auto"/>
              </w:rPr>
            </w:pPr>
            <w:r>
              <w:rPr>
                <w:rFonts w:ascii="Times New Roman" w:cs="Times New Roman" w:eastAsia="Times New Roman" w:hAnsi="Times New Roman"/>
                <w:sz w:val="12"/>
                <w:szCs w:val="12"/>
                <w:b w:val="1"/>
                <w:bCs w:val="1"/>
                <w:color w:val="auto"/>
                <w:w w:val="99"/>
              </w:rPr>
              <w:t>(State or other jurisdiction</w:t>
            </w:r>
          </w:p>
        </w:tc>
        <w:tc>
          <w:tcPr>
            <w:tcW w:w="1180" w:type="dxa"/>
            <w:vAlign w:val="bottom"/>
          </w:tcPr>
          <w:p>
            <w:pPr>
              <w:spacing w:after="0"/>
              <w:rPr>
                <w:sz w:val="10"/>
                <w:szCs w:val="10"/>
                <w:color w:val="auto"/>
              </w:rPr>
            </w:pPr>
          </w:p>
        </w:tc>
        <w:tc>
          <w:tcPr>
            <w:tcW w:w="2160" w:type="dxa"/>
            <w:vAlign w:val="bottom"/>
          </w:tcPr>
          <w:p>
            <w:pPr>
              <w:ind w:left="40"/>
              <w:spacing w:after="0" w:line="122" w:lineRule="exact"/>
              <w:rPr>
                <w:sz w:val="20"/>
                <w:szCs w:val="20"/>
                <w:color w:val="auto"/>
              </w:rPr>
            </w:pPr>
            <w:r>
              <w:rPr>
                <w:rFonts w:ascii="Times New Roman" w:cs="Times New Roman" w:eastAsia="Times New Roman" w:hAnsi="Times New Roman"/>
                <w:sz w:val="12"/>
                <w:szCs w:val="12"/>
                <w:b w:val="1"/>
                <w:bCs w:val="1"/>
                <w:color w:val="auto"/>
              </w:rPr>
              <w:t>(Commission</w:t>
            </w:r>
          </w:p>
        </w:tc>
        <w:tc>
          <w:tcPr>
            <w:tcW w:w="560" w:type="dxa"/>
            <w:vAlign w:val="bottom"/>
          </w:tcPr>
          <w:p>
            <w:pPr>
              <w:spacing w:after="0"/>
              <w:rPr>
                <w:sz w:val="10"/>
                <w:szCs w:val="10"/>
                <w:color w:val="auto"/>
              </w:rPr>
            </w:pPr>
          </w:p>
        </w:tc>
        <w:tc>
          <w:tcPr>
            <w:tcW w:w="2180" w:type="dxa"/>
            <w:vAlign w:val="bottom"/>
          </w:tcPr>
          <w:p>
            <w:pPr>
              <w:jc w:val="center"/>
              <w:ind w:left="701"/>
              <w:spacing w:after="0" w:line="122" w:lineRule="exact"/>
              <w:rPr>
                <w:sz w:val="20"/>
                <w:szCs w:val="20"/>
                <w:color w:val="auto"/>
              </w:rPr>
            </w:pPr>
            <w:r>
              <w:rPr>
                <w:rFonts w:ascii="Times New Roman" w:cs="Times New Roman" w:eastAsia="Times New Roman" w:hAnsi="Times New Roman"/>
                <w:sz w:val="12"/>
                <w:szCs w:val="12"/>
                <w:b w:val="1"/>
                <w:bCs w:val="1"/>
                <w:color w:val="auto"/>
                <w:w w:val="99"/>
              </w:rPr>
              <w:t>(I.R.S. Employer</w:t>
            </w:r>
          </w:p>
        </w:tc>
        <w:tc>
          <w:tcPr>
            <w:tcW w:w="1220" w:type="dxa"/>
            <w:vAlign w:val="bottom"/>
          </w:tcPr>
          <w:p>
            <w:pPr>
              <w:spacing w:after="0"/>
              <w:rPr>
                <w:sz w:val="10"/>
                <w:szCs w:val="10"/>
                <w:color w:val="auto"/>
              </w:rPr>
            </w:pPr>
          </w:p>
        </w:tc>
      </w:tr>
      <w:tr>
        <w:trPr>
          <w:trHeight w:val="156"/>
        </w:trPr>
        <w:tc>
          <w:tcPr>
            <w:tcW w:w="960" w:type="dxa"/>
            <w:vAlign w:val="bottom"/>
          </w:tcPr>
          <w:p>
            <w:pPr>
              <w:spacing w:after="0"/>
              <w:rPr>
                <w:sz w:val="13"/>
                <w:szCs w:val="13"/>
                <w:color w:val="auto"/>
              </w:rPr>
            </w:pPr>
          </w:p>
        </w:tc>
        <w:tc>
          <w:tcPr>
            <w:tcW w:w="3020" w:type="dxa"/>
            <w:vAlign w:val="bottom"/>
            <w:gridSpan w:val="3"/>
          </w:tcPr>
          <w:p>
            <w:pPr>
              <w:jc w:val="center"/>
              <w:ind w:right="1300"/>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1180" w:type="dxa"/>
            <w:vAlign w:val="bottom"/>
          </w:tcPr>
          <w:p>
            <w:pPr>
              <w:spacing w:after="0"/>
              <w:rPr>
                <w:sz w:val="13"/>
                <w:szCs w:val="13"/>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560" w:type="dxa"/>
            <w:vAlign w:val="bottom"/>
          </w:tcPr>
          <w:p>
            <w:pPr>
              <w:spacing w:after="0"/>
              <w:rPr>
                <w:sz w:val="13"/>
                <w:szCs w:val="13"/>
                <w:color w:val="auto"/>
              </w:rPr>
            </w:pPr>
          </w:p>
        </w:tc>
        <w:tc>
          <w:tcPr>
            <w:tcW w:w="2180" w:type="dxa"/>
            <w:vAlign w:val="bottom"/>
          </w:tcPr>
          <w:p>
            <w:pPr>
              <w:jc w:val="center"/>
              <w:ind w:left="701"/>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c>
          <w:tcPr>
            <w:tcW w:w="1220" w:type="dxa"/>
            <w:vAlign w:val="bottom"/>
          </w:tcPr>
          <w:p>
            <w:pPr>
              <w:spacing w:after="0"/>
              <w:rPr>
                <w:sz w:val="13"/>
                <w:szCs w:val="13"/>
                <w:color w:val="auto"/>
              </w:rPr>
            </w:pPr>
          </w:p>
        </w:tc>
      </w:tr>
      <w:tr>
        <w:trPr>
          <w:trHeight w:val="190"/>
        </w:trPr>
        <w:tc>
          <w:tcPr>
            <w:tcW w:w="3980" w:type="dxa"/>
            <w:vAlign w:val="bottom"/>
            <w:gridSpan w:val="4"/>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8"/>
              </w:rPr>
              <w:t>3131 Las Vegas Boulevard South</w:t>
            </w:r>
          </w:p>
        </w:tc>
        <w:tc>
          <w:tcPr>
            <w:tcW w:w="11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960" w:type="dxa"/>
            <w:vAlign w:val="bottom"/>
          </w:tcPr>
          <w:p>
            <w:pPr>
              <w:spacing w:after="0"/>
              <w:rPr>
                <w:sz w:val="16"/>
                <w:szCs w:val="16"/>
                <w:color w:val="auto"/>
              </w:rPr>
            </w:pPr>
          </w:p>
        </w:tc>
        <w:tc>
          <w:tcPr>
            <w:tcW w:w="3020" w:type="dxa"/>
            <w:vAlign w:val="bottom"/>
            <w:gridSpan w:val="3"/>
          </w:tcPr>
          <w:p>
            <w:pPr>
              <w:jc w:val="center"/>
              <w:ind w:right="1500"/>
              <w:spacing w:after="0"/>
              <w:rPr>
                <w:sz w:val="20"/>
                <w:szCs w:val="20"/>
                <w:color w:val="auto"/>
              </w:rPr>
            </w:pPr>
            <w:r>
              <w:rPr>
                <w:rFonts w:ascii="Times New Roman" w:cs="Times New Roman" w:eastAsia="Times New Roman" w:hAnsi="Times New Roman"/>
                <w:sz w:val="15"/>
                <w:szCs w:val="15"/>
                <w:b w:val="1"/>
                <w:bCs w:val="1"/>
                <w:color w:val="auto"/>
                <w:w w:val="95"/>
              </w:rPr>
              <w:t>Las Vegas, Nevada</w:t>
            </w:r>
          </w:p>
        </w:tc>
        <w:tc>
          <w:tcPr>
            <w:tcW w:w="11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740" w:type="dxa"/>
            <w:vAlign w:val="bottom"/>
            <w:gridSpan w:val="2"/>
          </w:tcPr>
          <w:p>
            <w:pPr>
              <w:jc w:val="right"/>
              <w:ind w:right="461"/>
              <w:spacing w:after="0"/>
              <w:rPr>
                <w:sz w:val="20"/>
                <w:szCs w:val="20"/>
                <w:color w:val="auto"/>
              </w:rPr>
            </w:pPr>
            <w:r>
              <w:rPr>
                <w:rFonts w:ascii="Times New Roman" w:cs="Times New Roman" w:eastAsia="Times New Roman" w:hAnsi="Times New Roman"/>
                <w:sz w:val="15"/>
                <w:szCs w:val="15"/>
                <w:b w:val="1"/>
                <w:bCs w:val="1"/>
                <w:color w:val="auto"/>
              </w:rPr>
              <w:t>89109</w:t>
            </w:r>
          </w:p>
        </w:tc>
        <w:tc>
          <w:tcPr>
            <w:tcW w:w="1220" w:type="dxa"/>
            <w:vAlign w:val="bottom"/>
          </w:tcPr>
          <w:p>
            <w:pPr>
              <w:spacing w:after="0"/>
              <w:rPr>
                <w:sz w:val="16"/>
                <w:szCs w:val="16"/>
                <w:color w:val="auto"/>
              </w:rPr>
            </w:pPr>
          </w:p>
        </w:tc>
      </w:tr>
      <w:tr>
        <w:trPr>
          <w:trHeight w:val="156"/>
        </w:trPr>
        <w:tc>
          <w:tcPr>
            <w:tcW w:w="3980" w:type="dxa"/>
            <w:vAlign w:val="bottom"/>
            <w:gridSpan w:val="4"/>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11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180" w:type="dxa"/>
            <w:vAlign w:val="bottom"/>
          </w:tcPr>
          <w:p>
            <w:pPr>
              <w:jc w:val="center"/>
              <w:ind w:left="701"/>
              <w:spacing w:after="0"/>
              <w:rPr>
                <w:sz w:val="20"/>
                <w:szCs w:val="20"/>
                <w:color w:val="auto"/>
              </w:rPr>
            </w:pPr>
            <w:r>
              <w:rPr>
                <w:rFonts w:ascii="Times New Roman" w:cs="Times New Roman" w:eastAsia="Times New Roman" w:hAnsi="Times New Roman"/>
                <w:sz w:val="12"/>
                <w:szCs w:val="12"/>
                <w:b w:val="1"/>
                <w:bCs w:val="1"/>
                <w:color w:val="auto"/>
                <w:w w:val="96"/>
              </w:rPr>
              <w:t>(Zip Code)</w:t>
            </w:r>
          </w:p>
        </w:tc>
        <w:tc>
          <w:tcPr>
            <w:tcW w:w="1220" w:type="dxa"/>
            <w:vAlign w:val="bottom"/>
          </w:tcPr>
          <w:p>
            <w:pPr>
              <w:spacing w:after="0"/>
              <w:rPr>
                <w:sz w:val="13"/>
                <w:szCs w:val="13"/>
                <w:color w:val="auto"/>
              </w:rPr>
            </w:pPr>
          </w:p>
        </w:tc>
      </w:tr>
      <w:tr>
        <w:trPr>
          <w:trHeight w:val="567"/>
        </w:trPr>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40" w:type="dxa"/>
            <w:vAlign w:val="bottom"/>
            <w:gridSpan w:val="2"/>
          </w:tcPr>
          <w:p>
            <w:pPr>
              <w:ind w:left="1200"/>
              <w:spacing w:after="0"/>
              <w:rPr>
                <w:sz w:val="20"/>
                <w:szCs w:val="20"/>
                <w:color w:val="auto"/>
              </w:rPr>
            </w:pPr>
            <w:r>
              <w:rPr>
                <w:rFonts w:ascii="Times New Roman" w:cs="Times New Roman" w:eastAsia="Times New Roman" w:hAnsi="Times New Roman"/>
                <w:sz w:val="15"/>
                <w:szCs w:val="15"/>
                <w:b w:val="1"/>
                <w:bCs w:val="1"/>
                <w:color w:val="auto"/>
              </w:rPr>
              <w:t>(702) 770-7555</w:t>
            </w:r>
          </w:p>
        </w:tc>
        <w:tc>
          <w:tcPr>
            <w:tcW w:w="5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56"/>
        </w:trPr>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3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(Registrant’s telephone number, including area code)</w:t>
            </w:r>
          </w:p>
        </w:tc>
        <w:tc>
          <w:tcPr>
            <w:tcW w:w="5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345"/>
        </w:trPr>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60" w:type="dxa"/>
            <w:vAlign w:val="bottom"/>
          </w:tcPr>
          <w:p>
            <w:pPr>
              <w:jc w:val="center"/>
              <w:ind w:right="1136"/>
              <w:spacing w:after="0"/>
              <w:rPr>
                <w:sz w:val="20"/>
                <w:szCs w:val="20"/>
                <w:color w:val="auto"/>
              </w:rPr>
            </w:pPr>
            <w:r>
              <w:rPr>
                <w:rFonts w:ascii="Times New Roman" w:cs="Times New Roman" w:eastAsia="Times New Roman" w:hAnsi="Times New Roman"/>
                <w:sz w:val="15"/>
                <w:szCs w:val="15"/>
                <w:b w:val="1"/>
                <w:bCs w:val="1"/>
                <w:color w:val="auto"/>
                <w:w w:val="99"/>
              </w:rPr>
              <w:t>Not Applicable</w:t>
            </w:r>
          </w:p>
        </w:tc>
        <w:tc>
          <w:tcPr>
            <w:tcW w:w="5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56"/>
        </w:trPr>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3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(Former name or former address, if changed since last report)</w:t>
            </w:r>
          </w:p>
        </w:tc>
        <w:tc>
          <w:tcPr>
            <w:tcW w:w="5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31"/>
        </w:trPr>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469"/>
        </w:trPr>
        <w:tc>
          <w:tcPr>
            <w:tcW w:w="3980" w:type="dxa"/>
            <w:vAlign w:val="bottom"/>
            <w:gridSpan w:val="4"/>
          </w:tcPr>
          <w:p>
            <w:pPr>
              <w:jc w:val="center"/>
              <w:ind w:right="560"/>
              <w:spacing w:after="0"/>
              <w:rPr>
                <w:sz w:val="20"/>
                <w:szCs w:val="20"/>
                <w:color w:val="auto"/>
              </w:rPr>
            </w:pPr>
            <w:r>
              <w:rPr>
                <w:rFonts w:ascii="Times New Roman" w:cs="Times New Roman" w:eastAsia="Times New Roman" w:hAnsi="Times New Roman"/>
                <w:sz w:val="15"/>
                <w:szCs w:val="15"/>
                <w:color w:val="auto"/>
                <w:w w:val="98"/>
              </w:rPr>
              <w:t>Securities registered pursuant to Section 12(b) of the Act:</w:t>
            </w:r>
          </w:p>
        </w:tc>
        <w:tc>
          <w:tcPr>
            <w:tcW w:w="11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8"/>
        </w:trPr>
        <w:tc>
          <w:tcPr>
            <w:tcW w:w="9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Title of each class</w:t>
            </w:r>
          </w:p>
        </w:tc>
        <w:tc>
          <w:tcPr>
            <w:tcW w:w="1900" w:type="dxa"/>
            <w:vAlign w:val="bottom"/>
            <w:gridSpan w:val="2"/>
          </w:tcPr>
          <w:p>
            <w:pPr>
              <w:spacing w:after="0"/>
              <w:rPr>
                <w:sz w:val="15"/>
                <w:szCs w:val="15"/>
                <w:color w:val="auto"/>
              </w:rPr>
            </w:pPr>
          </w:p>
        </w:tc>
        <w:tc>
          <w:tcPr>
            <w:tcW w:w="3340" w:type="dxa"/>
            <w:vAlign w:val="bottom"/>
            <w:gridSpan w:val="2"/>
          </w:tcPr>
          <w:p>
            <w:pPr>
              <w:jc w:val="center"/>
              <w:ind w:right="2096"/>
              <w:spacing w:after="0"/>
              <w:rPr>
                <w:sz w:val="20"/>
                <w:szCs w:val="20"/>
                <w:color w:val="auto"/>
              </w:rPr>
            </w:pPr>
            <w:r>
              <w:rPr>
                <w:rFonts w:ascii="Times New Roman" w:cs="Times New Roman" w:eastAsia="Times New Roman" w:hAnsi="Times New Roman"/>
                <w:sz w:val="15"/>
                <w:szCs w:val="15"/>
                <w:b w:val="1"/>
                <w:bCs w:val="1"/>
                <w:color w:val="auto"/>
                <w:w w:val="97"/>
              </w:rPr>
              <w:t>Trading Symbol(s)</w:t>
            </w:r>
          </w:p>
        </w:tc>
        <w:tc>
          <w:tcPr>
            <w:tcW w:w="27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Name of each exchange on which registered</w:t>
            </w:r>
          </w:p>
        </w:tc>
        <w:tc>
          <w:tcPr>
            <w:tcW w:w="122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740" w:type="dxa"/>
            <w:vAlign w:val="bottom"/>
            <w:gridSpan w:val="2"/>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2"/>
        </w:trPr>
        <w:tc>
          <w:tcPr>
            <w:tcW w:w="3980" w:type="dxa"/>
            <w:vAlign w:val="bottom"/>
            <w:gridSpan w:val="4"/>
          </w:tcPr>
          <w:p>
            <w:pPr>
              <w:jc w:val="center"/>
              <w:ind w:right="940"/>
              <w:spacing w:after="0"/>
              <w:rPr>
                <w:sz w:val="20"/>
                <w:szCs w:val="20"/>
                <w:color w:val="auto"/>
              </w:rPr>
            </w:pPr>
            <w:r>
              <w:rPr>
                <w:rFonts w:ascii="Times New Roman" w:cs="Times New Roman" w:eastAsia="Times New Roman" w:hAnsi="Times New Roman"/>
                <w:sz w:val="15"/>
                <w:szCs w:val="15"/>
                <w:color w:val="auto"/>
                <w:w w:val="98"/>
              </w:rPr>
              <w:t>Common stock, par value $0.01</w:t>
            </w:r>
          </w:p>
        </w:tc>
        <w:tc>
          <w:tcPr>
            <w:tcW w:w="3340" w:type="dxa"/>
            <w:vAlign w:val="bottom"/>
            <w:gridSpan w:val="2"/>
          </w:tcPr>
          <w:p>
            <w:pPr>
              <w:jc w:val="center"/>
              <w:ind w:right="2096"/>
              <w:spacing w:after="0"/>
              <w:rPr>
                <w:sz w:val="20"/>
                <w:szCs w:val="20"/>
                <w:color w:val="auto"/>
              </w:rPr>
            </w:pPr>
            <w:r>
              <w:rPr>
                <w:rFonts w:ascii="Times New Roman" w:cs="Times New Roman" w:eastAsia="Times New Roman" w:hAnsi="Times New Roman"/>
                <w:sz w:val="15"/>
                <w:szCs w:val="15"/>
                <w:color w:val="auto"/>
                <w:w w:val="98"/>
              </w:rPr>
              <w:t>WYNN</w:t>
            </w:r>
          </w:p>
        </w:tc>
        <w:tc>
          <w:tcPr>
            <w:tcW w:w="274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w w:val="98"/>
              </w:rPr>
              <w:t>Nasdaq Global Select Market</w:t>
            </w:r>
          </w:p>
        </w:tc>
        <w:tc>
          <w:tcPr>
            <w:tcW w:w="1220" w:type="dxa"/>
            <w:vAlign w:val="bottom"/>
          </w:tcPr>
          <w:p>
            <w:pPr>
              <w:spacing w:after="0"/>
              <w:rPr>
                <w:sz w:val="17"/>
                <w:szCs w:val="17"/>
                <w:color w:val="auto"/>
              </w:rPr>
            </w:pPr>
          </w:p>
        </w:tc>
      </w:tr>
      <w:tr>
        <w:trPr>
          <w:trHeight w:val="169"/>
        </w:trPr>
        <w:tc>
          <w:tcPr>
            <w:tcW w:w="9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bl>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20" w:lineRule="exact"/>
        <w:rPr>
          <w:sz w:val="24"/>
          <w:szCs w:val="24"/>
          <w:color w:val="auto"/>
        </w:rPr>
      </w:pPr>
    </w:p>
    <w:p>
      <w:pPr>
        <w:ind w:left="300" w:hanging="291"/>
        <w:spacing w:after="0"/>
        <w:tabs>
          <w:tab w:leader="none" w:pos="3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18" w:lineRule="exact"/>
        <w:rPr>
          <w:rFonts w:ascii="MS PGothic" w:cs="MS PGothic" w:eastAsia="MS PGothic" w:hAnsi="MS PGothic"/>
          <w:sz w:val="15"/>
          <w:szCs w:val="15"/>
          <w:color w:val="auto"/>
        </w:rPr>
      </w:pPr>
    </w:p>
    <w:p>
      <w:pPr>
        <w:ind w:left="300" w:hanging="291"/>
        <w:spacing w:after="0"/>
        <w:tabs>
          <w:tab w:leader="none" w:pos="3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16" w:lineRule="exact"/>
        <w:rPr>
          <w:rFonts w:ascii="MS PGothic" w:cs="MS PGothic" w:eastAsia="MS PGothic" w:hAnsi="MS PGothic"/>
          <w:sz w:val="15"/>
          <w:szCs w:val="15"/>
          <w:color w:val="auto"/>
        </w:rPr>
      </w:pPr>
    </w:p>
    <w:p>
      <w:pPr>
        <w:ind w:left="300" w:hanging="291"/>
        <w:spacing w:after="0"/>
        <w:tabs>
          <w:tab w:leader="none" w:pos="3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6" w:lineRule="exact"/>
        <w:rPr>
          <w:rFonts w:ascii="MS PGothic" w:cs="MS PGothic" w:eastAsia="MS PGothic" w:hAnsi="MS PGothic"/>
          <w:sz w:val="15"/>
          <w:szCs w:val="15"/>
          <w:color w:val="auto"/>
        </w:rPr>
      </w:pPr>
    </w:p>
    <w:p>
      <w:pPr>
        <w:ind w:left="300" w:hanging="291"/>
        <w:spacing w:after="0"/>
        <w:tabs>
          <w:tab w:leader="none" w:pos="3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5" w:lineRule="exact"/>
        <w:rPr>
          <w:sz w:val="24"/>
          <w:szCs w:val="24"/>
          <w:color w:val="auto"/>
        </w:rPr>
      </w:pPr>
    </w:p>
    <w:p>
      <w:pPr>
        <w:spacing w:after="0" w:line="246"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29" w:lineRule="exact"/>
        <w:rPr>
          <w:sz w:val="24"/>
          <w:szCs w:val="24"/>
          <w:color w:val="auto"/>
        </w:rPr>
      </w:pPr>
    </w:p>
    <w:p>
      <w:pPr>
        <w:spacing w:after="0" w:line="18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558800</wp:posOffset>
            </wp:positionV>
            <wp:extent cx="7181850"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1850" cy="39370"/>
                    </a:xfrm>
                    <a:prstGeom prst="rect">
                      <a:avLst/>
                    </a:prstGeom>
                    <a:noFill/>
                  </pic:spPr>
                </pic:pic>
              </a:graphicData>
            </a:graphic>
          </wp:anchor>
        </w:drawing>
      </w:r>
    </w:p>
    <w:p>
      <w:pPr>
        <w:sectPr>
          <w:pgSz w:w="11900" w:h="16838" w:orient="portrait"/>
          <w:cols w:equalWidth="0" w:num="1">
            <w:col w:w="11280"/>
          </w:cols>
          <w:pgMar w:left="300" w:top="888" w:right="319" w:bottom="1440" w:gutter="0" w:footer="0" w:header="0"/>
        </w:sectPr>
      </w:pPr>
    </w:p>
    <w:bookmarkStart w:id="1" w:name="page2"/>
    <w:bookmarkEnd w:id="1"/>
    <w:p>
      <w:pPr>
        <w:ind w:left="20"/>
        <w:spacing w:after="0"/>
        <w:tabs>
          <w:tab w:leader="none" w:pos="1340" w:val="left"/>
        </w:tabs>
        <w:rPr>
          <w:sz w:val="20"/>
          <w:szCs w:val="20"/>
          <w:color w:val="auto"/>
        </w:rPr>
      </w:pPr>
      <w:r>
        <w:rPr>
          <w:rFonts w:ascii="Times New Roman" w:cs="Times New Roman" w:eastAsia="Times New Roman" w:hAnsi="Times New Roman"/>
          <w:sz w:val="15"/>
          <w:szCs w:val="15"/>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287" w:lineRule="exact"/>
        <w:rPr>
          <w:sz w:val="20"/>
          <w:szCs w:val="20"/>
          <w:color w:val="auto"/>
        </w:rPr>
      </w:pPr>
    </w:p>
    <w:p>
      <w:pPr>
        <w:jc w:val="both"/>
        <w:ind w:firstLine="333"/>
        <w:spacing w:after="0" w:line="254" w:lineRule="auto"/>
        <w:rPr>
          <w:sz w:val="20"/>
          <w:szCs w:val="20"/>
          <w:color w:val="auto"/>
        </w:rPr>
      </w:pPr>
      <w:r>
        <w:rPr>
          <w:rFonts w:ascii="Times New Roman" w:cs="Times New Roman" w:eastAsia="Times New Roman" w:hAnsi="Times New Roman"/>
          <w:sz w:val="15"/>
          <w:szCs w:val="15"/>
          <w:color w:val="auto"/>
        </w:rPr>
        <w:t>On September 4, 2025, Wynn Macau, Limited ("WML"), an indirect subsidiary of Wynn Resorts, Limited (the "Registrant") with its ordinary shares of common stock listed on The Stock Exchange of Hong Kong Limited (the "HKSE"), filed with the HKSE its interim report in respect of the six months ended June 30, 2025 (the "Interim Report"). The Registrant owns approximately 72% of WML's ordinary shares of common stock. The Interim Report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Item 9.01</w:t>
            </w:r>
          </w:p>
        </w:tc>
        <w:tc>
          <w:tcPr>
            <w:tcW w:w="99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Financial Statements and Exhibits.</w:t>
            </w:r>
          </w:p>
        </w:tc>
      </w:tr>
      <w:tr>
        <w:trPr>
          <w:trHeight w:val="356"/>
        </w:trPr>
        <w:tc>
          <w:tcPr>
            <w:tcW w:w="20" w:type="dxa"/>
            <w:vAlign w:val="bottom"/>
          </w:tcPr>
          <w:p>
            <w:pPr>
              <w:spacing w:after="0"/>
              <w:rPr>
                <w:sz w:val="24"/>
                <w:szCs w:val="24"/>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(d) Exhibits.</w:t>
            </w:r>
          </w:p>
        </w:tc>
        <w:tc>
          <w:tcPr>
            <w:tcW w:w="5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145"/>
        </w:trPr>
        <w:tc>
          <w:tcPr>
            <w:tcW w:w="20" w:type="dxa"/>
            <w:vAlign w:val="bottom"/>
          </w:tcPr>
          <w:p>
            <w:pPr>
              <w:spacing w:after="0"/>
              <w:rPr>
                <w:sz w:val="12"/>
                <w:szCs w:val="12"/>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99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5"/>
                <w:szCs w:val="15"/>
                <w:color w:val="auto"/>
              </w:rPr>
              <w:t>99.1</w:t>
            </w:r>
          </w:p>
        </w:tc>
        <w:tc>
          <w:tcPr>
            <w:tcW w:w="760" w:type="dxa"/>
            <w:vAlign w:val="bottom"/>
          </w:tcPr>
          <w:p>
            <w:pPr>
              <w:spacing w:after="0"/>
              <w:rPr>
                <w:sz w:val="19"/>
                <w:szCs w:val="19"/>
                <w:color w:val="auto"/>
              </w:rPr>
            </w:pPr>
          </w:p>
        </w:tc>
        <w:tc>
          <w:tcPr>
            <w:tcW w:w="53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5"/>
                <w:szCs w:val="15"/>
                <w:color w:val="0000FF"/>
                <w:w w:val="98"/>
              </w:rPr>
              <w:t>Interim Report of Wynn Macau, Limited in respect of the six months ended June 30, 2025</w:t>
            </w:r>
          </w:p>
        </w:tc>
        <w:tc>
          <w:tcPr>
            <w:tcW w:w="4580" w:type="dxa"/>
            <w:vAlign w:val="bottom"/>
          </w:tcPr>
          <w:p>
            <w:pPr>
              <w:spacing w:after="0"/>
              <w:rPr>
                <w:sz w:val="19"/>
                <w:szCs w:val="19"/>
                <w:color w:val="auto"/>
              </w:rPr>
            </w:pPr>
          </w:p>
        </w:tc>
      </w:tr>
      <w:tr>
        <w:trPr>
          <w:trHeight w:val="202"/>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104</w:t>
            </w:r>
          </w:p>
        </w:tc>
        <w:tc>
          <w:tcPr>
            <w:tcW w:w="760" w:type="dxa"/>
            <w:vAlign w:val="bottom"/>
          </w:tcPr>
          <w:p>
            <w:pPr>
              <w:spacing w:after="0"/>
              <w:rPr>
                <w:sz w:val="17"/>
                <w:szCs w:val="17"/>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Cover Page Interactive Data File - the cover page XBRL tags are embedded within the Inline XBRL document</w:t>
            </w:r>
          </w:p>
        </w:tc>
      </w:tr>
      <w:tr>
        <w:trPr>
          <w:trHeight w:val="1003"/>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7142480</wp:posOffset>
            </wp:positionH>
            <wp:positionV relativeFrom="paragraph">
              <wp:posOffset>-26035</wp:posOffset>
            </wp:positionV>
            <wp:extent cx="32385"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bookmarkStart w:id="2" w:name="page3"/>
    <w:bookmarkEnd w:id="2"/>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WYNN RESORTS, LIMITED</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Dated: September 4, 2025</w:t>
            </w:r>
          </w:p>
        </w:tc>
        <w:tc>
          <w:tcPr>
            <w:tcW w:w="3060" w:type="dxa"/>
            <w:vAlign w:val="bottom"/>
          </w:tcPr>
          <w:p>
            <w:pPr>
              <w:ind w:left="2440"/>
              <w:spacing w:after="0"/>
              <w:rPr>
                <w:sz w:val="20"/>
                <w:szCs w:val="20"/>
                <w:color w:val="auto"/>
              </w:rPr>
            </w:pPr>
            <w:r>
              <w:rPr>
                <w:rFonts w:ascii="Times New Roman" w:cs="Times New Roman" w:eastAsia="Times New Roman" w:hAnsi="Times New Roman"/>
                <w:sz w:val="15"/>
                <w:szCs w:val="15"/>
                <w:color w:val="auto"/>
              </w:rPr>
              <w:t>By:</w:t>
            </w:r>
          </w:p>
        </w:tc>
        <w:tc>
          <w:tcPr>
            <w:tcW w:w="3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/s/ Julie Cameron-Doe</w:t>
            </w:r>
          </w:p>
        </w:tc>
      </w:tr>
      <w:tr>
        <w:trPr>
          <w:trHeight w:val="177"/>
        </w:trPr>
        <w:tc>
          <w:tcPr>
            <w:tcW w:w="40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Julie Cameron-Doe</w:t>
            </w:r>
          </w:p>
        </w:tc>
      </w:tr>
      <w:tr>
        <w:trPr>
          <w:trHeight w:val="192"/>
        </w:trPr>
        <w:tc>
          <w:tcPr>
            <w:tcW w:w="40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Chief Financial Officer</w:t>
            </w:r>
          </w:p>
        </w:tc>
      </w:tr>
    </w:tbl>
    <w:p>
      <w:pPr>
        <w:sectPr>
          <w:pgSz w:w="11900" w:h="16838" w:orient="portrait"/>
          <w:cols w:equalWidth="0" w:num="1">
            <w:col w:w="10980"/>
          </w:cols>
          <w:pgMar w:left="680" w:top="754" w:right="2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314960</wp:posOffset>
            </wp:positionV>
            <wp:extent cx="7098030" cy="97707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637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9763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84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98030" cy="9784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77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98030" cy="977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306070</wp:posOffset>
            </wp:positionH>
            <wp:positionV relativeFrom="page">
              <wp:posOffset>441960</wp:posOffset>
            </wp:positionV>
            <wp:extent cx="7098030" cy="97707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98030" cy="977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2025-09-04T15:35:17Z</dcterms:created>
  <dcterms:modified xsi:type="dcterms:W3CDTF">2025-09-04T15:35:17Z</dcterms:modified>
</cp:coreProperties>
</file>