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0"/>
          <w:szCs w:val="20"/>
          <w:b w:val="1"/>
          <w:bCs w:val="1"/>
          <w:color w:val="auto"/>
        </w:rPr>
        <w:t>UNITED STATES</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SECURITIES AND EXCHANGE COMMISSION</w:t>
      </w:r>
    </w:p>
    <w:p>
      <w:pPr>
        <w:jc w:val="center"/>
        <w:ind w:right="-19"/>
        <w:spacing w:after="0"/>
        <w:rPr>
          <w:sz w:val="20"/>
          <w:szCs w:val="20"/>
          <w:color w:val="auto"/>
        </w:rPr>
      </w:pPr>
      <w:r>
        <w:rPr>
          <w:rFonts w:ascii="Arial" w:cs="Arial" w:eastAsia="Arial" w:hAnsi="Arial"/>
          <w:sz w:val="20"/>
          <w:szCs w:val="20"/>
          <w:b w:val="1"/>
          <w:bCs w:val="1"/>
          <w:color w:val="auto"/>
        </w:rPr>
        <w:t>Washington, D.C. 20549</w:t>
      </w:r>
    </w:p>
    <w:p>
      <w:pPr>
        <w:ind w:left="4720"/>
        <w:spacing w:after="0"/>
        <w:rPr>
          <w:sz w:val="20"/>
          <w:szCs w:val="20"/>
          <w:color w:val="auto"/>
        </w:rPr>
      </w:pPr>
      <w:r>
        <w:rPr>
          <w:rFonts w:ascii="Arial" w:cs="Arial" w:eastAsia="Arial" w:hAnsi="Arial"/>
          <w:sz w:val="20"/>
          <w:szCs w:val="20"/>
          <w:b w:val="1"/>
          <w:bCs w:val="1"/>
          <w:color w:val="auto"/>
        </w:rPr>
        <w:t>____________________</w:t>
      </w:r>
    </w:p>
    <w:p>
      <w:pPr>
        <w:spacing w:after="0" w:line="221"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FORM 8-K</w:t>
      </w:r>
    </w:p>
    <w:p>
      <w:pPr>
        <w:spacing w:after="0" w:line="243"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CURRENT REPORT</w:t>
      </w:r>
    </w:p>
    <w:p>
      <w:pPr>
        <w:spacing w:after="0" w:line="22" w:lineRule="exact"/>
        <w:rPr>
          <w:sz w:val="24"/>
          <w:szCs w:val="24"/>
          <w:color w:val="auto"/>
        </w:rPr>
      </w:pPr>
    </w:p>
    <w:p>
      <w:pPr>
        <w:ind w:left="4680"/>
        <w:spacing w:after="0"/>
        <w:rPr>
          <w:sz w:val="20"/>
          <w:szCs w:val="20"/>
          <w:color w:val="auto"/>
        </w:rPr>
      </w:pPr>
      <w:r>
        <w:rPr>
          <w:rFonts w:ascii="Arial" w:cs="Arial" w:eastAsia="Arial" w:hAnsi="Arial"/>
          <w:sz w:val="20"/>
          <w:szCs w:val="20"/>
          <w:b w:val="1"/>
          <w:bCs w:val="1"/>
          <w:color w:val="auto"/>
        </w:rPr>
        <w:t>_____________________</w:t>
      </w:r>
    </w:p>
    <w:p>
      <w:pPr>
        <w:spacing w:after="0" w:line="221"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PURSUANT TO SECTION 13 OR 15(d) OF THE</w:t>
      </w:r>
    </w:p>
    <w:p>
      <w:pPr>
        <w:spacing w:after="0" w:line="22"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SECURITIES EXCHANGE ACT OF 1934</w:t>
      </w:r>
    </w:p>
    <w:p>
      <w:pPr>
        <w:spacing w:after="0" w:line="227" w:lineRule="exact"/>
        <w:rPr>
          <w:sz w:val="24"/>
          <w:szCs w:val="24"/>
          <w:color w:val="auto"/>
        </w:rPr>
      </w:pPr>
    </w:p>
    <w:p>
      <w:pPr>
        <w:jc w:val="center"/>
        <w:ind w:right="-19"/>
        <w:spacing w:after="0"/>
        <w:rPr>
          <w:sz w:val="20"/>
          <w:szCs w:val="20"/>
          <w:color w:val="auto"/>
        </w:rPr>
      </w:pPr>
      <w:r>
        <w:rPr>
          <w:rFonts w:ascii="Arial" w:cs="Arial" w:eastAsia="Arial" w:hAnsi="Arial"/>
          <w:sz w:val="20"/>
          <w:szCs w:val="20"/>
          <w:color w:val="auto"/>
        </w:rPr>
        <w:t>Date of Report (Date of earliest event reported): October 19, 2011</w:t>
      </w:r>
    </w:p>
    <w:p>
      <w:pPr>
        <w:spacing w:after="0" w:line="237"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WYNN RESORTS, LIMITED</w:t>
      </w:r>
    </w:p>
    <w:p>
      <w:pPr>
        <w:spacing w:after="0" w:line="22" w:lineRule="exact"/>
        <w:rPr>
          <w:sz w:val="24"/>
          <w:szCs w:val="24"/>
          <w:color w:val="auto"/>
        </w:rPr>
      </w:pPr>
    </w:p>
    <w:p>
      <w:pPr>
        <w:jc w:val="center"/>
        <w:ind w:right="-19"/>
        <w:spacing w:after="0"/>
        <w:rPr>
          <w:sz w:val="20"/>
          <w:szCs w:val="20"/>
          <w:color w:val="auto"/>
        </w:rPr>
      </w:pPr>
      <w:r>
        <w:rPr>
          <w:rFonts w:ascii="Arial" w:cs="Arial" w:eastAsia="Arial" w:hAnsi="Arial"/>
          <w:sz w:val="20"/>
          <w:szCs w:val="20"/>
          <w:color w:val="auto"/>
        </w:rPr>
        <w:t>(Exact name of registrant as specified in its charter)</w:t>
      </w:r>
    </w:p>
    <w:p>
      <w:pPr>
        <w:spacing w:after="0" w:line="221" w:lineRule="exact"/>
        <w:rPr>
          <w:sz w:val="24"/>
          <w:szCs w:val="24"/>
          <w:color w:val="auto"/>
        </w:rPr>
      </w:pPr>
    </w:p>
    <w:tbl>
      <w:tblPr>
        <w:tblLayout w:type="fixed"/>
        <w:tblInd w:w="580" w:type="dxa"/>
        <w:tblCellMar>
          <w:top w:w="0" w:type="dxa"/>
          <w:left w:w="0" w:type="dxa"/>
          <w:bottom w:w="0" w:type="dxa"/>
          <w:right w:w="0" w:type="dxa"/>
        </w:tblCellMar>
      </w:tblPr>
      <w:tr>
        <w:trPr>
          <w:trHeight w:val="236"/>
        </w:trPr>
        <w:tc>
          <w:tcPr>
            <w:tcW w:w="3080" w:type="dxa"/>
            <w:vAlign w:val="bottom"/>
          </w:tcPr>
          <w:p>
            <w:pPr>
              <w:jc w:val="center"/>
              <w:ind w:right="341"/>
              <w:spacing w:after="0"/>
              <w:rPr>
                <w:sz w:val="20"/>
                <w:szCs w:val="20"/>
                <w:color w:val="auto"/>
              </w:rPr>
            </w:pPr>
            <w:r>
              <w:rPr>
                <w:rFonts w:ascii="Arial" w:cs="Arial" w:eastAsia="Arial" w:hAnsi="Arial"/>
                <w:sz w:val="20"/>
                <w:szCs w:val="20"/>
                <w:b w:val="1"/>
                <w:bCs w:val="1"/>
                <w:color w:val="auto"/>
                <w:w w:val="89"/>
              </w:rPr>
              <w:t>Nevada</w:t>
            </w:r>
          </w:p>
        </w:tc>
        <w:tc>
          <w:tcPr>
            <w:tcW w:w="4260" w:type="dxa"/>
            <w:vAlign w:val="bottom"/>
          </w:tcPr>
          <w:p>
            <w:pPr>
              <w:jc w:val="right"/>
              <w:ind w:right="1681"/>
              <w:spacing w:after="0"/>
              <w:rPr>
                <w:sz w:val="20"/>
                <w:szCs w:val="20"/>
                <w:color w:val="auto"/>
              </w:rPr>
            </w:pPr>
            <w:r>
              <w:rPr>
                <w:rFonts w:ascii="Arial" w:cs="Arial" w:eastAsia="Arial" w:hAnsi="Arial"/>
                <w:sz w:val="20"/>
                <w:szCs w:val="20"/>
                <w:b w:val="1"/>
                <w:bCs w:val="1"/>
                <w:color w:val="auto"/>
              </w:rPr>
              <w:t>000-50028</w:t>
            </w:r>
          </w:p>
        </w:tc>
        <w:tc>
          <w:tcPr>
            <w:tcW w:w="3040" w:type="dxa"/>
            <w:vAlign w:val="bottom"/>
          </w:tcPr>
          <w:p>
            <w:pPr>
              <w:jc w:val="center"/>
              <w:ind w:left="61"/>
              <w:spacing w:after="0"/>
              <w:rPr>
                <w:sz w:val="20"/>
                <w:szCs w:val="20"/>
                <w:color w:val="auto"/>
              </w:rPr>
            </w:pPr>
            <w:r>
              <w:rPr>
                <w:rFonts w:ascii="Arial" w:cs="Arial" w:eastAsia="Arial" w:hAnsi="Arial"/>
                <w:sz w:val="20"/>
                <w:szCs w:val="20"/>
                <w:b w:val="1"/>
                <w:bCs w:val="1"/>
                <w:color w:val="auto"/>
                <w:w w:val="89"/>
              </w:rPr>
              <w:t>46-0484987</w:t>
            </w:r>
          </w:p>
        </w:tc>
      </w:tr>
      <w:tr>
        <w:trPr>
          <w:trHeight w:val="230"/>
        </w:trPr>
        <w:tc>
          <w:tcPr>
            <w:tcW w:w="3080" w:type="dxa"/>
            <w:vAlign w:val="bottom"/>
          </w:tcPr>
          <w:p>
            <w:pPr>
              <w:jc w:val="center"/>
              <w:ind w:right="321"/>
              <w:spacing w:after="0"/>
              <w:rPr>
                <w:sz w:val="20"/>
                <w:szCs w:val="20"/>
                <w:color w:val="auto"/>
              </w:rPr>
            </w:pPr>
            <w:r>
              <w:rPr>
                <w:rFonts w:ascii="Arial" w:cs="Arial" w:eastAsia="Arial" w:hAnsi="Arial"/>
                <w:sz w:val="20"/>
                <w:szCs w:val="20"/>
                <w:color w:val="auto"/>
                <w:w w:val="91"/>
              </w:rPr>
              <w:t>(State or other jurisdiction of</w:t>
            </w:r>
          </w:p>
        </w:tc>
        <w:tc>
          <w:tcPr>
            <w:tcW w:w="4260" w:type="dxa"/>
            <w:vAlign w:val="bottom"/>
          </w:tcPr>
          <w:p>
            <w:pPr>
              <w:jc w:val="center"/>
              <w:ind w:right="61"/>
              <w:spacing w:after="0"/>
              <w:rPr>
                <w:sz w:val="20"/>
                <w:szCs w:val="20"/>
                <w:color w:val="auto"/>
              </w:rPr>
            </w:pPr>
            <w:r>
              <w:rPr>
                <w:rFonts w:ascii="Arial" w:cs="Arial" w:eastAsia="Arial" w:hAnsi="Arial"/>
                <w:sz w:val="20"/>
                <w:szCs w:val="20"/>
                <w:color w:val="auto"/>
                <w:w w:val="91"/>
              </w:rPr>
              <w:t>(Commission File Number)</w:t>
            </w:r>
          </w:p>
        </w:tc>
        <w:tc>
          <w:tcPr>
            <w:tcW w:w="3040" w:type="dxa"/>
            <w:vAlign w:val="bottom"/>
          </w:tcPr>
          <w:p>
            <w:pPr>
              <w:jc w:val="center"/>
              <w:ind w:left="61"/>
              <w:spacing w:after="0"/>
              <w:rPr>
                <w:sz w:val="20"/>
                <w:szCs w:val="20"/>
                <w:color w:val="auto"/>
              </w:rPr>
            </w:pPr>
            <w:r>
              <w:rPr>
                <w:rFonts w:ascii="Arial" w:cs="Arial" w:eastAsia="Arial" w:hAnsi="Arial"/>
                <w:sz w:val="20"/>
                <w:szCs w:val="20"/>
                <w:color w:val="auto"/>
                <w:w w:val="93"/>
              </w:rPr>
              <w:t>(I.R.S. Employer Identification No.)</w:t>
            </w:r>
          </w:p>
        </w:tc>
      </w:tr>
      <w:tr>
        <w:trPr>
          <w:trHeight w:val="250"/>
        </w:trPr>
        <w:tc>
          <w:tcPr>
            <w:tcW w:w="3080" w:type="dxa"/>
            <w:vAlign w:val="bottom"/>
          </w:tcPr>
          <w:p>
            <w:pPr>
              <w:jc w:val="center"/>
              <w:ind w:right="321"/>
              <w:spacing w:after="0"/>
              <w:rPr>
                <w:sz w:val="20"/>
                <w:szCs w:val="20"/>
                <w:color w:val="auto"/>
              </w:rPr>
            </w:pPr>
            <w:r>
              <w:rPr>
                <w:rFonts w:ascii="Arial" w:cs="Arial" w:eastAsia="Arial" w:hAnsi="Arial"/>
                <w:sz w:val="20"/>
                <w:szCs w:val="20"/>
                <w:color w:val="auto"/>
                <w:w w:val="93"/>
              </w:rPr>
              <w:t>incorporation)</w:t>
            </w:r>
          </w:p>
        </w:tc>
        <w:tc>
          <w:tcPr>
            <w:tcW w:w="4260" w:type="dxa"/>
            <w:vAlign w:val="bottom"/>
          </w:tcPr>
          <w:p>
            <w:pPr>
              <w:spacing w:after="0"/>
              <w:rPr>
                <w:sz w:val="21"/>
                <w:szCs w:val="21"/>
                <w:color w:val="auto"/>
              </w:rPr>
            </w:pPr>
          </w:p>
        </w:tc>
        <w:tc>
          <w:tcPr>
            <w:tcW w:w="3040" w:type="dxa"/>
            <w:vAlign w:val="bottom"/>
          </w:tcPr>
          <w:p>
            <w:pPr>
              <w:spacing w:after="0"/>
              <w:rPr>
                <w:sz w:val="21"/>
                <w:szCs w:val="21"/>
                <w:color w:val="auto"/>
              </w:rPr>
            </w:pPr>
          </w:p>
        </w:tc>
      </w:tr>
      <w:tr>
        <w:trPr>
          <w:trHeight w:val="695"/>
        </w:trPr>
        <w:tc>
          <w:tcPr>
            <w:tcW w:w="3080" w:type="dxa"/>
            <w:vAlign w:val="bottom"/>
          </w:tcPr>
          <w:p>
            <w:pPr>
              <w:spacing w:after="0"/>
              <w:rPr>
                <w:sz w:val="24"/>
                <w:szCs w:val="24"/>
                <w:color w:val="auto"/>
              </w:rPr>
            </w:pPr>
          </w:p>
        </w:tc>
        <w:tc>
          <w:tcPr>
            <w:tcW w:w="4260" w:type="dxa"/>
            <w:vAlign w:val="bottom"/>
          </w:tcPr>
          <w:p>
            <w:pPr>
              <w:jc w:val="center"/>
              <w:ind w:right="61"/>
              <w:spacing w:after="0"/>
              <w:rPr>
                <w:sz w:val="20"/>
                <w:szCs w:val="20"/>
                <w:color w:val="auto"/>
              </w:rPr>
            </w:pPr>
            <w:r>
              <w:rPr>
                <w:rFonts w:ascii="Arial" w:cs="Arial" w:eastAsia="Arial" w:hAnsi="Arial"/>
                <w:sz w:val="20"/>
                <w:szCs w:val="20"/>
                <w:b w:val="1"/>
                <w:bCs w:val="1"/>
                <w:color w:val="auto"/>
                <w:w w:val="99"/>
              </w:rPr>
              <w:t>WYNN LAS VEGAS, LLC</w:t>
            </w:r>
          </w:p>
        </w:tc>
        <w:tc>
          <w:tcPr>
            <w:tcW w:w="3040" w:type="dxa"/>
            <w:vAlign w:val="bottom"/>
          </w:tcPr>
          <w:p>
            <w:pPr>
              <w:spacing w:after="0"/>
              <w:rPr>
                <w:sz w:val="24"/>
                <w:szCs w:val="24"/>
                <w:color w:val="auto"/>
              </w:rPr>
            </w:pPr>
          </w:p>
        </w:tc>
      </w:tr>
      <w:tr>
        <w:trPr>
          <w:trHeight w:val="250"/>
        </w:trPr>
        <w:tc>
          <w:tcPr>
            <w:tcW w:w="3080" w:type="dxa"/>
            <w:vAlign w:val="bottom"/>
          </w:tcPr>
          <w:p>
            <w:pPr>
              <w:spacing w:after="0"/>
              <w:rPr>
                <w:sz w:val="21"/>
                <w:szCs w:val="21"/>
                <w:color w:val="auto"/>
              </w:rPr>
            </w:pPr>
          </w:p>
        </w:tc>
        <w:tc>
          <w:tcPr>
            <w:tcW w:w="4260" w:type="dxa"/>
            <w:vAlign w:val="bottom"/>
          </w:tcPr>
          <w:p>
            <w:pPr>
              <w:jc w:val="center"/>
              <w:ind w:right="61"/>
              <w:spacing w:after="0"/>
              <w:rPr>
                <w:sz w:val="20"/>
                <w:szCs w:val="20"/>
                <w:color w:val="auto"/>
              </w:rPr>
            </w:pPr>
            <w:r>
              <w:rPr>
                <w:rFonts w:ascii="Arial" w:cs="Arial" w:eastAsia="Arial" w:hAnsi="Arial"/>
                <w:sz w:val="20"/>
                <w:szCs w:val="20"/>
                <w:color w:val="auto"/>
                <w:w w:val="89"/>
              </w:rPr>
              <w:t>(Exact name of registrant as specified in its charter)</w:t>
            </w:r>
          </w:p>
        </w:tc>
        <w:tc>
          <w:tcPr>
            <w:tcW w:w="3040" w:type="dxa"/>
            <w:vAlign w:val="bottom"/>
          </w:tcPr>
          <w:p>
            <w:pPr>
              <w:spacing w:after="0"/>
              <w:rPr>
                <w:sz w:val="21"/>
                <w:szCs w:val="21"/>
                <w:color w:val="auto"/>
              </w:rPr>
            </w:pPr>
          </w:p>
        </w:tc>
      </w:tr>
      <w:tr>
        <w:trPr>
          <w:trHeight w:val="452"/>
        </w:trPr>
        <w:tc>
          <w:tcPr>
            <w:tcW w:w="3080" w:type="dxa"/>
            <w:vAlign w:val="bottom"/>
          </w:tcPr>
          <w:p>
            <w:pPr>
              <w:jc w:val="center"/>
              <w:ind w:right="341"/>
              <w:spacing w:after="0"/>
              <w:rPr>
                <w:sz w:val="20"/>
                <w:szCs w:val="20"/>
                <w:color w:val="auto"/>
              </w:rPr>
            </w:pPr>
            <w:r>
              <w:rPr>
                <w:rFonts w:ascii="Arial" w:cs="Arial" w:eastAsia="Arial" w:hAnsi="Arial"/>
                <w:sz w:val="20"/>
                <w:szCs w:val="20"/>
                <w:b w:val="1"/>
                <w:bCs w:val="1"/>
                <w:color w:val="auto"/>
                <w:w w:val="89"/>
              </w:rPr>
              <w:t>Nevada</w:t>
            </w:r>
          </w:p>
        </w:tc>
        <w:tc>
          <w:tcPr>
            <w:tcW w:w="4260" w:type="dxa"/>
            <w:vAlign w:val="bottom"/>
          </w:tcPr>
          <w:p>
            <w:pPr>
              <w:jc w:val="right"/>
              <w:ind w:right="1641"/>
              <w:spacing w:after="0"/>
              <w:rPr>
                <w:sz w:val="20"/>
                <w:szCs w:val="20"/>
                <w:color w:val="auto"/>
              </w:rPr>
            </w:pPr>
            <w:r>
              <w:rPr>
                <w:rFonts w:ascii="Arial" w:cs="Arial" w:eastAsia="Arial" w:hAnsi="Arial"/>
                <w:sz w:val="20"/>
                <w:szCs w:val="20"/>
                <w:b w:val="1"/>
                <w:bCs w:val="1"/>
                <w:color w:val="auto"/>
              </w:rPr>
              <w:t>333-100768</w:t>
            </w:r>
          </w:p>
        </w:tc>
        <w:tc>
          <w:tcPr>
            <w:tcW w:w="3040" w:type="dxa"/>
            <w:vAlign w:val="bottom"/>
          </w:tcPr>
          <w:p>
            <w:pPr>
              <w:jc w:val="center"/>
              <w:ind w:left="61"/>
              <w:spacing w:after="0"/>
              <w:rPr>
                <w:sz w:val="20"/>
                <w:szCs w:val="20"/>
                <w:color w:val="auto"/>
              </w:rPr>
            </w:pPr>
            <w:r>
              <w:rPr>
                <w:rFonts w:ascii="Arial" w:cs="Arial" w:eastAsia="Arial" w:hAnsi="Arial"/>
                <w:sz w:val="20"/>
                <w:szCs w:val="20"/>
                <w:b w:val="1"/>
                <w:bCs w:val="1"/>
                <w:color w:val="auto"/>
                <w:w w:val="89"/>
              </w:rPr>
              <w:t>88-0494875</w:t>
            </w:r>
          </w:p>
        </w:tc>
      </w:tr>
      <w:tr>
        <w:trPr>
          <w:trHeight w:val="230"/>
        </w:trPr>
        <w:tc>
          <w:tcPr>
            <w:tcW w:w="3080" w:type="dxa"/>
            <w:vAlign w:val="bottom"/>
          </w:tcPr>
          <w:p>
            <w:pPr>
              <w:jc w:val="center"/>
              <w:ind w:right="321"/>
              <w:spacing w:after="0"/>
              <w:rPr>
                <w:sz w:val="20"/>
                <w:szCs w:val="20"/>
                <w:color w:val="auto"/>
              </w:rPr>
            </w:pPr>
            <w:r>
              <w:rPr>
                <w:rFonts w:ascii="Arial" w:cs="Arial" w:eastAsia="Arial" w:hAnsi="Arial"/>
                <w:sz w:val="20"/>
                <w:szCs w:val="20"/>
                <w:color w:val="auto"/>
                <w:w w:val="91"/>
              </w:rPr>
              <w:t>(State or other jurisdiction of</w:t>
            </w:r>
          </w:p>
        </w:tc>
        <w:tc>
          <w:tcPr>
            <w:tcW w:w="4260" w:type="dxa"/>
            <w:vAlign w:val="bottom"/>
          </w:tcPr>
          <w:p>
            <w:pPr>
              <w:jc w:val="center"/>
              <w:ind w:right="61"/>
              <w:spacing w:after="0"/>
              <w:rPr>
                <w:sz w:val="20"/>
                <w:szCs w:val="20"/>
                <w:color w:val="auto"/>
              </w:rPr>
            </w:pPr>
            <w:r>
              <w:rPr>
                <w:rFonts w:ascii="Arial" w:cs="Arial" w:eastAsia="Arial" w:hAnsi="Arial"/>
                <w:sz w:val="20"/>
                <w:szCs w:val="20"/>
                <w:color w:val="auto"/>
                <w:w w:val="91"/>
              </w:rPr>
              <w:t>(Commission File Number)</w:t>
            </w:r>
          </w:p>
        </w:tc>
        <w:tc>
          <w:tcPr>
            <w:tcW w:w="3040" w:type="dxa"/>
            <w:vAlign w:val="bottom"/>
          </w:tcPr>
          <w:p>
            <w:pPr>
              <w:jc w:val="center"/>
              <w:ind w:left="61"/>
              <w:spacing w:after="0"/>
              <w:rPr>
                <w:sz w:val="20"/>
                <w:szCs w:val="20"/>
                <w:color w:val="auto"/>
              </w:rPr>
            </w:pPr>
            <w:r>
              <w:rPr>
                <w:rFonts w:ascii="Arial" w:cs="Arial" w:eastAsia="Arial" w:hAnsi="Arial"/>
                <w:sz w:val="20"/>
                <w:szCs w:val="20"/>
                <w:color w:val="auto"/>
                <w:w w:val="93"/>
              </w:rPr>
              <w:t>(I.R.S. Employer Identification No.)</w:t>
            </w:r>
          </w:p>
        </w:tc>
      </w:tr>
      <w:tr>
        <w:trPr>
          <w:trHeight w:val="250"/>
        </w:trPr>
        <w:tc>
          <w:tcPr>
            <w:tcW w:w="3080" w:type="dxa"/>
            <w:vAlign w:val="bottom"/>
          </w:tcPr>
          <w:p>
            <w:pPr>
              <w:jc w:val="center"/>
              <w:ind w:right="321"/>
              <w:spacing w:after="0"/>
              <w:rPr>
                <w:sz w:val="20"/>
                <w:szCs w:val="20"/>
                <w:color w:val="auto"/>
              </w:rPr>
            </w:pPr>
            <w:r>
              <w:rPr>
                <w:rFonts w:ascii="Arial" w:cs="Arial" w:eastAsia="Arial" w:hAnsi="Arial"/>
                <w:sz w:val="20"/>
                <w:szCs w:val="20"/>
                <w:color w:val="auto"/>
                <w:w w:val="93"/>
              </w:rPr>
              <w:t>incorporation)</w:t>
            </w:r>
          </w:p>
        </w:tc>
        <w:tc>
          <w:tcPr>
            <w:tcW w:w="4260" w:type="dxa"/>
            <w:vAlign w:val="bottom"/>
          </w:tcPr>
          <w:p>
            <w:pPr>
              <w:spacing w:after="0"/>
              <w:rPr>
                <w:sz w:val="21"/>
                <w:szCs w:val="21"/>
                <w:color w:val="auto"/>
              </w:rPr>
            </w:pPr>
          </w:p>
        </w:tc>
        <w:tc>
          <w:tcPr>
            <w:tcW w:w="3040" w:type="dxa"/>
            <w:vAlign w:val="bottom"/>
          </w:tcPr>
          <w:p>
            <w:pPr>
              <w:spacing w:after="0"/>
              <w:rPr>
                <w:sz w:val="21"/>
                <w:szCs w:val="21"/>
                <w:color w:val="auto"/>
              </w:rPr>
            </w:pPr>
          </w:p>
        </w:tc>
      </w:tr>
      <w:tr>
        <w:trPr>
          <w:trHeight w:val="689"/>
        </w:trPr>
        <w:tc>
          <w:tcPr>
            <w:tcW w:w="7340" w:type="dxa"/>
            <w:vAlign w:val="bottom"/>
            <w:gridSpan w:val="2"/>
          </w:tcPr>
          <w:p>
            <w:pPr>
              <w:jc w:val="center"/>
              <w:ind w:right="2681"/>
              <w:spacing w:after="0"/>
              <w:rPr>
                <w:sz w:val="20"/>
                <w:szCs w:val="20"/>
                <w:color w:val="auto"/>
              </w:rPr>
            </w:pPr>
            <w:r>
              <w:rPr>
                <w:rFonts w:ascii="Arial" w:cs="Arial" w:eastAsia="Arial" w:hAnsi="Arial"/>
                <w:sz w:val="20"/>
                <w:szCs w:val="20"/>
                <w:b w:val="1"/>
                <w:bCs w:val="1"/>
                <w:color w:val="auto"/>
                <w:w w:val="87"/>
              </w:rPr>
              <w:t>3131 Las Vegas Boulevard South</w:t>
            </w:r>
          </w:p>
        </w:tc>
        <w:tc>
          <w:tcPr>
            <w:tcW w:w="3040" w:type="dxa"/>
            <w:vAlign w:val="bottom"/>
          </w:tcPr>
          <w:p>
            <w:pPr>
              <w:spacing w:after="0"/>
              <w:rPr>
                <w:sz w:val="24"/>
                <w:szCs w:val="24"/>
                <w:color w:val="auto"/>
              </w:rPr>
            </w:pPr>
          </w:p>
        </w:tc>
      </w:tr>
      <w:tr>
        <w:trPr>
          <w:trHeight w:val="236"/>
        </w:trPr>
        <w:tc>
          <w:tcPr>
            <w:tcW w:w="3080" w:type="dxa"/>
            <w:vAlign w:val="bottom"/>
          </w:tcPr>
          <w:p>
            <w:pPr>
              <w:jc w:val="center"/>
              <w:ind w:left="1401"/>
              <w:spacing w:after="0"/>
              <w:rPr>
                <w:sz w:val="20"/>
                <w:szCs w:val="20"/>
                <w:color w:val="auto"/>
              </w:rPr>
            </w:pPr>
            <w:r>
              <w:rPr>
                <w:rFonts w:ascii="Arial" w:cs="Arial" w:eastAsia="Arial" w:hAnsi="Arial"/>
                <w:sz w:val="20"/>
                <w:szCs w:val="20"/>
                <w:b w:val="1"/>
                <w:bCs w:val="1"/>
                <w:color w:val="auto"/>
                <w:w w:val="87"/>
              </w:rPr>
              <w:t>Las Vegas, Nevada</w:t>
            </w:r>
          </w:p>
        </w:tc>
        <w:tc>
          <w:tcPr>
            <w:tcW w:w="4260" w:type="dxa"/>
            <w:vAlign w:val="bottom"/>
          </w:tcPr>
          <w:p>
            <w:pPr>
              <w:spacing w:after="0"/>
              <w:rPr>
                <w:sz w:val="20"/>
                <w:szCs w:val="20"/>
                <w:color w:val="auto"/>
              </w:rPr>
            </w:pPr>
          </w:p>
        </w:tc>
        <w:tc>
          <w:tcPr>
            <w:tcW w:w="3040" w:type="dxa"/>
            <w:vAlign w:val="bottom"/>
          </w:tcPr>
          <w:p>
            <w:pPr>
              <w:jc w:val="right"/>
              <w:ind w:right="2041"/>
              <w:spacing w:after="0"/>
              <w:rPr>
                <w:sz w:val="20"/>
                <w:szCs w:val="20"/>
                <w:color w:val="auto"/>
              </w:rPr>
            </w:pPr>
            <w:r>
              <w:rPr>
                <w:rFonts w:ascii="Arial" w:cs="Arial" w:eastAsia="Arial" w:hAnsi="Arial"/>
                <w:sz w:val="20"/>
                <w:szCs w:val="20"/>
                <w:b w:val="1"/>
                <w:bCs w:val="1"/>
                <w:color w:val="auto"/>
              </w:rPr>
              <w:t>89109</w:t>
            </w:r>
          </w:p>
        </w:tc>
      </w:tr>
      <w:tr>
        <w:trPr>
          <w:trHeight w:val="250"/>
        </w:trPr>
        <w:tc>
          <w:tcPr>
            <w:tcW w:w="7340" w:type="dxa"/>
            <w:vAlign w:val="bottom"/>
            <w:gridSpan w:val="2"/>
          </w:tcPr>
          <w:p>
            <w:pPr>
              <w:jc w:val="center"/>
              <w:ind w:right="2681"/>
              <w:spacing w:after="0"/>
              <w:rPr>
                <w:sz w:val="20"/>
                <w:szCs w:val="20"/>
                <w:color w:val="auto"/>
              </w:rPr>
            </w:pPr>
            <w:r>
              <w:rPr>
                <w:rFonts w:ascii="Arial" w:cs="Arial" w:eastAsia="Arial" w:hAnsi="Arial"/>
                <w:sz w:val="20"/>
                <w:szCs w:val="20"/>
                <w:color w:val="auto"/>
                <w:w w:val="90"/>
              </w:rPr>
              <w:t>(Address of principal executive offices of each registrant)</w:t>
            </w:r>
          </w:p>
        </w:tc>
        <w:tc>
          <w:tcPr>
            <w:tcW w:w="3040" w:type="dxa"/>
            <w:vAlign w:val="bottom"/>
          </w:tcPr>
          <w:p>
            <w:pPr>
              <w:jc w:val="center"/>
              <w:ind w:right="1641"/>
              <w:spacing w:after="0"/>
              <w:rPr>
                <w:sz w:val="20"/>
                <w:szCs w:val="20"/>
                <w:color w:val="auto"/>
              </w:rPr>
            </w:pPr>
            <w:r>
              <w:rPr>
                <w:rFonts w:ascii="Arial" w:cs="Arial" w:eastAsia="Arial" w:hAnsi="Arial"/>
                <w:sz w:val="20"/>
                <w:szCs w:val="20"/>
                <w:color w:val="auto"/>
                <w:w w:val="90"/>
              </w:rPr>
              <w:t>(Zip Code)</w:t>
            </w:r>
          </w:p>
        </w:tc>
      </w:tr>
    </w:tbl>
    <w:p>
      <w:pPr>
        <w:spacing w:after="0" w:line="200" w:lineRule="exact"/>
        <w:rPr>
          <w:sz w:val="24"/>
          <w:szCs w:val="24"/>
          <w:color w:val="auto"/>
        </w:rPr>
      </w:pPr>
    </w:p>
    <w:p>
      <w:pPr>
        <w:spacing w:after="0" w:line="259"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(702) 770-7555</w:t>
      </w:r>
    </w:p>
    <w:p>
      <w:pPr>
        <w:spacing w:after="0" w:line="22" w:lineRule="exact"/>
        <w:rPr>
          <w:sz w:val="24"/>
          <w:szCs w:val="24"/>
          <w:color w:val="auto"/>
        </w:rPr>
      </w:pPr>
    </w:p>
    <w:p>
      <w:pPr>
        <w:jc w:val="center"/>
        <w:ind w:right="-19"/>
        <w:spacing w:after="0"/>
        <w:rPr>
          <w:sz w:val="20"/>
          <w:szCs w:val="20"/>
          <w:color w:val="auto"/>
        </w:rPr>
      </w:pPr>
      <w:r>
        <w:rPr>
          <w:rFonts w:ascii="Arial" w:cs="Arial" w:eastAsia="Arial" w:hAnsi="Arial"/>
          <w:sz w:val="20"/>
          <w:szCs w:val="20"/>
          <w:color w:val="auto"/>
        </w:rPr>
        <w:t>(Registrant’s telephone number, including area code)</w:t>
      </w:r>
    </w:p>
    <w:p>
      <w:pPr>
        <w:spacing w:after="0" w:line="221"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Not Applicable</w:t>
      </w:r>
    </w:p>
    <w:p>
      <w:pPr>
        <w:spacing w:after="0" w:line="22" w:lineRule="exact"/>
        <w:rPr>
          <w:sz w:val="24"/>
          <w:szCs w:val="24"/>
          <w:color w:val="auto"/>
        </w:rPr>
      </w:pPr>
    </w:p>
    <w:p>
      <w:pPr>
        <w:jc w:val="center"/>
        <w:ind w:right="-19"/>
        <w:spacing w:after="0"/>
        <w:rPr>
          <w:sz w:val="20"/>
          <w:szCs w:val="20"/>
          <w:color w:val="auto"/>
        </w:rPr>
      </w:pPr>
      <w:r>
        <w:rPr>
          <w:rFonts w:ascii="Arial" w:cs="Arial" w:eastAsia="Arial" w:hAnsi="Arial"/>
          <w:sz w:val="20"/>
          <w:szCs w:val="20"/>
          <w:color w:val="auto"/>
        </w:rPr>
        <w:t>(Former name or former address, if changed since last report)</w:t>
      </w:r>
    </w:p>
    <w:p>
      <w:pPr>
        <w:spacing w:after="0" w:line="227" w:lineRule="exact"/>
        <w:rPr>
          <w:sz w:val="24"/>
          <w:szCs w:val="24"/>
          <w:color w:val="auto"/>
        </w:rPr>
      </w:pPr>
    </w:p>
    <w:p>
      <w:pPr>
        <w:spacing w:after="0" w:line="260" w:lineRule="auto"/>
        <w:rPr>
          <w:sz w:val="20"/>
          <w:szCs w:val="20"/>
          <w:color w:val="auto"/>
        </w:rPr>
      </w:pPr>
      <w:r>
        <w:rPr>
          <w:rFonts w:ascii="Arial" w:cs="Arial" w:eastAsia="Arial" w:hAnsi="Arial"/>
          <w:sz w:val="20"/>
          <w:szCs w:val="20"/>
          <w:color w:val="auto"/>
        </w:rPr>
        <w:t>Check the appropriate box below if the Form 8-K is intended to simultaneously satisfy the filing obligation of the registrant under any of the following provisions:</w:t>
      </w:r>
    </w:p>
    <w:p>
      <w:pPr>
        <w:spacing w:after="0" w:line="204" w:lineRule="exact"/>
        <w:rPr>
          <w:sz w:val="24"/>
          <w:szCs w:val="24"/>
          <w:color w:val="auto"/>
        </w:rPr>
      </w:pPr>
    </w:p>
    <w:p>
      <w:pPr>
        <w:ind w:left="580" w:hanging="572"/>
        <w:spacing w:after="0"/>
        <w:tabs>
          <w:tab w:leader="none" w:pos="580" w:val="left"/>
        </w:tabs>
        <w:numPr>
          <w:ilvl w:val="0"/>
          <w:numId w:val="1"/>
        </w:numPr>
        <w:rPr>
          <w:rFonts w:ascii="MS PGothic" w:cs="MS PGothic" w:eastAsia="MS PGothic" w:hAnsi="MS PGothic"/>
          <w:sz w:val="20"/>
          <w:szCs w:val="20"/>
          <w:color w:val="auto"/>
        </w:rPr>
      </w:pPr>
      <w:r>
        <w:rPr>
          <w:rFonts w:ascii="Arial" w:cs="Arial" w:eastAsia="Arial" w:hAnsi="Arial"/>
          <w:sz w:val="20"/>
          <w:szCs w:val="20"/>
          <w:color w:val="auto"/>
        </w:rPr>
        <w:t>Written communication pursuant to Rule 425 under the Securities Act (17 CFR 230.425)</w:t>
      </w:r>
    </w:p>
    <w:p>
      <w:pPr>
        <w:spacing w:after="0" w:line="229" w:lineRule="exact"/>
        <w:rPr>
          <w:rFonts w:ascii="MS PGothic" w:cs="MS PGothic" w:eastAsia="MS PGothic" w:hAnsi="MS PGothic"/>
          <w:sz w:val="20"/>
          <w:szCs w:val="20"/>
          <w:color w:val="auto"/>
        </w:rPr>
      </w:pPr>
    </w:p>
    <w:p>
      <w:pPr>
        <w:ind w:left="580" w:hanging="572"/>
        <w:spacing w:after="0"/>
        <w:tabs>
          <w:tab w:leader="none" w:pos="580" w:val="left"/>
        </w:tabs>
        <w:numPr>
          <w:ilvl w:val="0"/>
          <w:numId w:val="1"/>
        </w:numPr>
        <w:rPr>
          <w:rFonts w:ascii="MS PGothic" w:cs="MS PGothic" w:eastAsia="MS PGothic" w:hAnsi="MS PGothic"/>
          <w:sz w:val="20"/>
          <w:szCs w:val="20"/>
          <w:color w:val="auto"/>
        </w:rPr>
      </w:pPr>
      <w:r>
        <w:rPr>
          <w:rFonts w:ascii="Arial" w:cs="Arial" w:eastAsia="Arial" w:hAnsi="Arial"/>
          <w:sz w:val="20"/>
          <w:szCs w:val="20"/>
          <w:color w:val="auto"/>
        </w:rPr>
        <w:t>Soliciting material pursuant to Rule 14a-12 under the Exchange Act (17 CFR 240.14a-12)</w:t>
      </w:r>
    </w:p>
    <w:p>
      <w:pPr>
        <w:spacing w:after="0" w:line="229" w:lineRule="exact"/>
        <w:rPr>
          <w:rFonts w:ascii="MS PGothic" w:cs="MS PGothic" w:eastAsia="MS PGothic" w:hAnsi="MS PGothic"/>
          <w:sz w:val="20"/>
          <w:szCs w:val="20"/>
          <w:color w:val="auto"/>
        </w:rPr>
      </w:pPr>
    </w:p>
    <w:p>
      <w:pPr>
        <w:ind w:left="580" w:hanging="572"/>
        <w:spacing w:after="0"/>
        <w:tabs>
          <w:tab w:leader="none" w:pos="580" w:val="left"/>
        </w:tabs>
        <w:numPr>
          <w:ilvl w:val="0"/>
          <w:numId w:val="1"/>
        </w:numPr>
        <w:rPr>
          <w:rFonts w:ascii="MS PGothic" w:cs="MS PGothic" w:eastAsia="MS PGothic" w:hAnsi="MS PGothic"/>
          <w:sz w:val="20"/>
          <w:szCs w:val="20"/>
          <w:color w:val="auto"/>
        </w:rPr>
      </w:pPr>
      <w:r>
        <w:rPr>
          <w:rFonts w:ascii="Arial" w:cs="Arial" w:eastAsia="Arial" w:hAnsi="Arial"/>
          <w:sz w:val="20"/>
          <w:szCs w:val="20"/>
          <w:color w:val="auto"/>
        </w:rPr>
        <w:t>Pre-commencement communications pursuant to Rule 14d-2(b) under the Exchange Act (17 CFR 240.14d-2(b))</w:t>
      </w:r>
    </w:p>
    <w:p>
      <w:pPr>
        <w:spacing w:after="0" w:line="229" w:lineRule="exact"/>
        <w:rPr>
          <w:rFonts w:ascii="MS PGothic" w:cs="MS PGothic" w:eastAsia="MS PGothic" w:hAnsi="MS PGothic"/>
          <w:sz w:val="20"/>
          <w:szCs w:val="20"/>
          <w:color w:val="auto"/>
        </w:rPr>
      </w:pPr>
    </w:p>
    <w:p>
      <w:pPr>
        <w:ind w:left="580" w:hanging="572"/>
        <w:spacing w:after="0"/>
        <w:tabs>
          <w:tab w:leader="none" w:pos="580" w:val="left"/>
        </w:tabs>
        <w:numPr>
          <w:ilvl w:val="0"/>
          <w:numId w:val="1"/>
        </w:numPr>
        <w:rPr>
          <w:rFonts w:ascii="MS PGothic" w:cs="MS PGothic" w:eastAsia="MS PGothic" w:hAnsi="MS PGothic"/>
          <w:sz w:val="20"/>
          <w:szCs w:val="20"/>
          <w:color w:val="auto"/>
        </w:rPr>
      </w:pPr>
      <w:r>
        <w:rPr>
          <w:rFonts w:ascii="Arial" w:cs="Arial" w:eastAsia="Arial" w:hAnsi="Arial"/>
          <w:sz w:val="20"/>
          <w:szCs w:val="20"/>
          <w:color w:val="auto"/>
        </w:rPr>
        <w:t>Pre-commencements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428625</wp:posOffset>
            </wp:positionV>
            <wp:extent cx="7250430"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68" w:right="239" w:bottom="1440" w:gutter="0" w:footer="0" w:header="0"/>
        </w:sectPr>
      </w:pPr>
    </w:p>
    <w:bookmarkStart w:id="1" w:name="page2"/>
    <w:bookmarkEnd w:id="1"/>
    <w:p>
      <w:pPr>
        <w:spacing w:after="0"/>
        <w:rPr>
          <w:sz w:val="20"/>
          <w:szCs w:val="20"/>
          <w:color w:val="auto"/>
        </w:rPr>
      </w:pPr>
      <w:r>
        <w:rPr>
          <w:rFonts w:ascii="Arial" w:cs="Arial" w:eastAsia="Arial" w:hAnsi="Arial"/>
          <w:sz w:val="22"/>
          <w:szCs w:val="22"/>
          <w:b w:val="1"/>
          <w:bCs w:val="1"/>
          <w:color w:val="auto"/>
        </w:rPr>
        <w:t>Item 2.02  Results of Operations and Financial Condition.</w:t>
      </w:r>
    </w:p>
    <w:p>
      <w:pPr>
        <w:spacing w:after="0" w:line="239" w:lineRule="exact"/>
        <w:rPr>
          <w:sz w:val="20"/>
          <w:szCs w:val="20"/>
          <w:color w:val="auto"/>
        </w:rPr>
      </w:pPr>
    </w:p>
    <w:p>
      <w:pPr>
        <w:ind w:firstLine="648"/>
        <w:spacing w:after="0" w:line="249" w:lineRule="auto"/>
        <w:rPr>
          <w:sz w:val="20"/>
          <w:szCs w:val="20"/>
          <w:color w:val="auto"/>
        </w:rPr>
      </w:pPr>
      <w:r>
        <w:rPr>
          <w:rFonts w:ascii="Arial" w:cs="Arial" w:eastAsia="Arial" w:hAnsi="Arial"/>
          <w:sz w:val="21"/>
          <w:szCs w:val="21"/>
          <w:color w:val="auto"/>
        </w:rPr>
        <w:t>On October 19, 2011, Wynn Resorts, Limited (the “Company”) issued a press release announcing its results of operations for the third quarter of 2011. The press release is furnished herewith as Exhibit 99.1. The information in Item 2.02 and Item 7.01 of this Form 8-K and Exhibit 99.1 attached hereto shall not be deemed “filed” for purposes of Section 18 of the Securities Exchange Act of 1934, as amended, nor shall it be deemed incorporated by reference in any filing under the Securities Act of 1933, as amended, except as shall be expressly set forth by specific reference in such filing.</w:t>
      </w:r>
    </w:p>
    <w:p>
      <w:pPr>
        <w:spacing w:after="0" w:line="20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7.01  Regulation FD Disclosure.</w:t>
      </w:r>
    </w:p>
    <w:p>
      <w:pPr>
        <w:spacing w:after="0" w:line="23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The information set forth under Item 2.02 of this report is incorporated herein by reference.</w:t>
      </w:r>
    </w:p>
    <w:p>
      <w:pPr>
        <w:spacing w:after="0" w:line="22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9.01  Financial Statements and Exhibits.</w:t>
      </w:r>
    </w:p>
    <w:p>
      <w:pPr>
        <w:spacing w:after="0" w:line="239" w:lineRule="exact"/>
        <w:rPr>
          <w:sz w:val="20"/>
          <w:szCs w:val="20"/>
          <w:color w:val="auto"/>
        </w:rPr>
      </w:pPr>
    </w:p>
    <w:p>
      <w:pPr>
        <w:ind w:left="1840" w:hanging="1251"/>
        <w:spacing w:after="0"/>
        <w:tabs>
          <w:tab w:leader="none" w:pos="1840" w:val="left"/>
        </w:tabs>
        <w:numPr>
          <w:ilvl w:val="0"/>
          <w:numId w:val="2"/>
        </w:numPr>
        <w:rPr>
          <w:rFonts w:ascii="Arial" w:cs="Arial" w:eastAsia="Arial" w:hAnsi="Arial"/>
          <w:sz w:val="22"/>
          <w:szCs w:val="22"/>
          <w:color w:val="auto"/>
        </w:rPr>
      </w:pPr>
      <w:r>
        <w:rPr>
          <w:rFonts w:ascii="Arial" w:cs="Arial" w:eastAsia="Arial" w:hAnsi="Arial"/>
          <w:sz w:val="22"/>
          <w:szCs w:val="22"/>
          <w:color w:val="auto"/>
        </w:rPr>
        <w:t>Exhibits:</w:t>
      </w:r>
    </w:p>
    <w:p>
      <w:pPr>
        <w:spacing w:after="0" w:line="206" w:lineRule="exact"/>
        <w:rPr>
          <w:sz w:val="20"/>
          <w:szCs w:val="20"/>
          <w:color w:val="auto"/>
        </w:rPr>
      </w:pPr>
    </w:p>
    <w:p>
      <w:pPr>
        <w:ind w:left="580"/>
        <w:spacing w:after="0"/>
        <w:rPr>
          <w:sz w:val="20"/>
          <w:szCs w:val="20"/>
          <w:color w:val="auto"/>
        </w:rPr>
      </w:pPr>
      <w:r>
        <w:rPr>
          <w:rFonts w:ascii="Arial" w:cs="Arial" w:eastAsia="Arial" w:hAnsi="Arial"/>
          <w:sz w:val="22"/>
          <w:szCs w:val="22"/>
          <w:color w:val="auto"/>
        </w:rPr>
        <w:t>Exhibit</w:t>
      </w:r>
    </w:p>
    <w:p>
      <w:pPr>
        <w:spacing w:after="0" w:line="8" w:lineRule="exact"/>
        <w:rPr>
          <w:sz w:val="20"/>
          <w:szCs w:val="20"/>
          <w:color w:val="auto"/>
        </w:rPr>
      </w:pPr>
    </w:p>
    <w:p>
      <w:pPr>
        <w:ind w:left="580"/>
        <w:spacing w:after="0"/>
        <w:tabs>
          <w:tab w:leader="none" w:pos="1820" w:val="left"/>
        </w:tabs>
        <w:rPr>
          <w:sz w:val="20"/>
          <w:szCs w:val="20"/>
          <w:color w:val="auto"/>
        </w:rPr>
      </w:pPr>
      <w:r>
        <w:rPr>
          <w:rFonts w:ascii="Arial" w:cs="Arial" w:eastAsia="Arial" w:hAnsi="Arial"/>
          <w:sz w:val="22"/>
          <w:szCs w:val="22"/>
          <w:u w:val="single" w:color="auto"/>
          <w:color w:val="auto"/>
        </w:rPr>
        <w:t>Number</w:t>
      </w:r>
      <w:r>
        <w:rPr>
          <w:sz w:val="20"/>
          <w:szCs w:val="20"/>
          <w:color w:val="auto"/>
        </w:rPr>
        <w:tab/>
      </w:r>
      <w:r>
        <w:rPr>
          <w:rFonts w:ascii="Arial" w:cs="Arial" w:eastAsia="Arial" w:hAnsi="Arial"/>
          <w:sz w:val="22"/>
          <w:szCs w:val="22"/>
          <w:u w:val="single" w:color="auto"/>
          <w:color w:val="auto"/>
        </w:rPr>
        <w:t>Description</w:t>
      </w:r>
    </w:p>
    <w:p>
      <w:pPr>
        <w:spacing w:after="0" w:line="188" w:lineRule="exact"/>
        <w:rPr>
          <w:sz w:val="20"/>
          <w:szCs w:val="20"/>
          <w:color w:val="auto"/>
        </w:rPr>
      </w:pPr>
    </w:p>
    <w:p>
      <w:pPr>
        <w:ind w:left="580"/>
        <w:spacing w:after="0"/>
        <w:tabs>
          <w:tab w:leader="none" w:pos="1820" w:val="left"/>
        </w:tabs>
        <w:rPr>
          <w:sz w:val="20"/>
          <w:szCs w:val="20"/>
          <w:color w:val="auto"/>
        </w:rPr>
      </w:pPr>
      <w:r>
        <w:rPr>
          <w:rFonts w:ascii="Arial" w:cs="Arial" w:eastAsia="Arial" w:hAnsi="Arial"/>
          <w:sz w:val="22"/>
          <w:szCs w:val="22"/>
          <w:color w:val="auto"/>
        </w:rPr>
        <w:t>99.1</w:t>
      </w:r>
      <w:r>
        <w:rPr>
          <w:sz w:val="20"/>
          <w:szCs w:val="20"/>
          <w:color w:val="auto"/>
        </w:rPr>
        <w:tab/>
      </w:r>
      <w:r>
        <w:rPr>
          <w:rFonts w:ascii="Arial" w:cs="Arial" w:eastAsia="Arial" w:hAnsi="Arial"/>
          <w:sz w:val="19"/>
          <w:szCs w:val="19"/>
          <w:color w:val="auto"/>
        </w:rPr>
        <w:t>Press release, dated October 19, 2011, of Wynn Resorts, Limited.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571500</wp:posOffset>
            </wp:positionV>
            <wp:extent cx="7250430"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504" w:right="29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22"/>
          <w:szCs w:val="22"/>
          <w:b w:val="1"/>
          <w:bCs w:val="1"/>
          <w:color w:val="auto"/>
        </w:rPr>
        <w:t>SIGNATURES</w:t>
      </w:r>
    </w:p>
    <w:p>
      <w:pPr>
        <w:spacing w:after="0" w:line="244" w:lineRule="exact"/>
        <w:rPr>
          <w:sz w:val="20"/>
          <w:szCs w:val="20"/>
          <w:color w:val="auto"/>
        </w:rPr>
      </w:pPr>
    </w:p>
    <w:p>
      <w:pPr>
        <w:ind w:firstLine="648"/>
        <w:spacing w:after="0" w:line="260" w:lineRule="auto"/>
        <w:rPr>
          <w:sz w:val="20"/>
          <w:szCs w:val="20"/>
          <w:color w:val="auto"/>
        </w:rPr>
      </w:pPr>
      <w:r>
        <w:rPr>
          <w:rFonts w:ascii="Arial" w:cs="Arial" w:eastAsia="Arial" w:hAnsi="Arial"/>
          <w:sz w:val="20"/>
          <w:szCs w:val="20"/>
          <w:color w:val="auto"/>
        </w:rPr>
        <w:t>Pursuant to the requirements of the Securities Exchange Act of 1934, the Registrant has duly caused this report to be signed on its behalf by the undersigned hereunto duly authorized.</w:t>
      </w:r>
    </w:p>
    <w:p>
      <w:pPr>
        <w:spacing w:after="0" w:line="204" w:lineRule="exact"/>
        <w:rPr>
          <w:sz w:val="20"/>
          <w:szCs w:val="20"/>
          <w:color w:val="auto"/>
        </w:rPr>
      </w:pPr>
    </w:p>
    <w:p>
      <w:pPr>
        <w:spacing w:after="0"/>
        <w:rPr>
          <w:sz w:val="20"/>
          <w:szCs w:val="20"/>
          <w:color w:val="auto"/>
        </w:rPr>
      </w:pPr>
      <w:r>
        <w:rPr>
          <w:rFonts w:ascii="Arial" w:cs="Arial" w:eastAsia="Arial" w:hAnsi="Arial"/>
          <w:sz w:val="20"/>
          <w:szCs w:val="20"/>
          <w:color w:val="auto"/>
        </w:rPr>
        <w:t>Date: October 19, 2011</w:t>
      </w:r>
    </w:p>
    <w:p>
      <w:pPr>
        <w:spacing w:after="0" w:line="243" w:lineRule="exact"/>
        <w:rPr>
          <w:sz w:val="20"/>
          <w:szCs w:val="20"/>
          <w:color w:val="auto"/>
        </w:rPr>
      </w:pPr>
    </w:p>
    <w:p>
      <w:pPr>
        <w:ind w:left="7320"/>
        <w:spacing w:after="0"/>
        <w:rPr>
          <w:sz w:val="20"/>
          <w:szCs w:val="20"/>
          <w:color w:val="auto"/>
        </w:rPr>
      </w:pPr>
      <w:r>
        <w:rPr>
          <w:rFonts w:ascii="Arial" w:cs="Arial" w:eastAsia="Arial" w:hAnsi="Arial"/>
          <w:sz w:val="20"/>
          <w:szCs w:val="20"/>
          <w:color w:val="auto"/>
        </w:rPr>
        <w:t>WYNN RESORTS, LIMITED</w:t>
      </w:r>
    </w:p>
    <w:p>
      <w:pPr>
        <w:spacing w:after="0" w:line="200" w:lineRule="exact"/>
        <w:rPr>
          <w:sz w:val="20"/>
          <w:szCs w:val="20"/>
          <w:color w:val="auto"/>
        </w:rPr>
      </w:pPr>
    </w:p>
    <w:p>
      <w:pPr>
        <w:spacing w:after="0" w:line="232" w:lineRule="exact"/>
        <w:rPr>
          <w:sz w:val="20"/>
          <w:szCs w:val="20"/>
          <w:color w:val="auto"/>
        </w:rPr>
      </w:pPr>
    </w:p>
    <w:p>
      <w:pPr>
        <w:ind w:left="7320"/>
        <w:spacing w:after="0"/>
        <w:tabs>
          <w:tab w:leader="none" w:pos="776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18"/>
          <w:szCs w:val="18"/>
          <w:color w:val="auto"/>
        </w:rPr>
        <w:t>/s/ Kim Sinatra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4936490</wp:posOffset>
            </wp:positionH>
            <wp:positionV relativeFrom="paragraph">
              <wp:posOffset>10160</wp:posOffset>
            </wp:positionV>
            <wp:extent cx="231521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315210" cy="8890"/>
                    </a:xfrm>
                    <a:prstGeom prst="rect">
                      <a:avLst/>
                    </a:prstGeom>
                    <a:noFill/>
                  </pic:spPr>
                </pic:pic>
              </a:graphicData>
            </a:graphic>
          </wp:anchor>
        </w:drawing>
      </w:r>
    </w:p>
    <w:p>
      <w:pPr>
        <w:ind w:left="7780"/>
        <w:spacing w:after="0"/>
        <w:rPr>
          <w:sz w:val="20"/>
          <w:szCs w:val="20"/>
          <w:color w:val="auto"/>
        </w:rPr>
      </w:pPr>
      <w:r>
        <w:rPr>
          <w:rFonts w:ascii="Arial" w:cs="Arial" w:eastAsia="Arial" w:hAnsi="Arial"/>
          <w:sz w:val="20"/>
          <w:szCs w:val="20"/>
          <w:color w:val="auto"/>
        </w:rPr>
        <w:t>Kim Sinatra</w:t>
      </w:r>
    </w:p>
    <w:p>
      <w:pPr>
        <w:spacing w:after="0" w:line="8" w:lineRule="exact"/>
        <w:rPr>
          <w:sz w:val="20"/>
          <w:szCs w:val="20"/>
          <w:color w:val="auto"/>
        </w:rPr>
      </w:pPr>
    </w:p>
    <w:p>
      <w:pPr>
        <w:ind w:left="7780"/>
        <w:spacing w:after="0"/>
        <w:rPr>
          <w:sz w:val="20"/>
          <w:szCs w:val="20"/>
          <w:color w:val="auto"/>
        </w:rPr>
      </w:pPr>
      <w:r>
        <w:rPr>
          <w:rFonts w:ascii="Arial" w:cs="Arial" w:eastAsia="Arial" w:hAnsi="Arial"/>
          <w:sz w:val="20"/>
          <w:szCs w:val="20"/>
          <w:color w:val="auto"/>
        </w:rPr>
        <w:t>Senior Vice President,</w:t>
      </w:r>
    </w:p>
    <w:p>
      <w:pPr>
        <w:ind w:left="7780"/>
        <w:spacing w:after="0"/>
        <w:rPr>
          <w:sz w:val="20"/>
          <w:szCs w:val="20"/>
          <w:color w:val="auto"/>
        </w:rPr>
      </w:pPr>
      <w:r>
        <w:rPr>
          <w:rFonts w:ascii="Arial" w:cs="Arial" w:eastAsia="Arial" w:hAnsi="Arial"/>
          <w:sz w:val="20"/>
          <w:szCs w:val="20"/>
          <w:color w:val="auto"/>
        </w:rPr>
        <w:t>General Counsel and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409575</wp:posOffset>
            </wp:positionV>
            <wp:extent cx="72504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04" w:right="239" w:bottom="1440" w:gutter="0" w:footer="0" w:header="0"/>
        </w:sectPr>
      </w:pPr>
    </w:p>
    <w:bookmarkStart w:id="3" w:name="page4"/>
    <w:bookmarkEnd w:id="3"/>
    <w:p>
      <w:pPr>
        <w:jc w:val="center"/>
        <w:ind w:right="-179"/>
        <w:spacing w:after="0"/>
        <w:rPr>
          <w:sz w:val="20"/>
          <w:szCs w:val="20"/>
          <w:color w:val="auto"/>
        </w:rPr>
      </w:pPr>
      <w:r>
        <w:rPr>
          <w:rFonts w:ascii="Arial" w:cs="Arial" w:eastAsia="Arial" w:hAnsi="Arial"/>
          <w:sz w:val="22"/>
          <w:szCs w:val="22"/>
          <w:b w:val="1"/>
          <w:bCs w:val="1"/>
          <w:color w:val="auto"/>
        </w:rPr>
        <w:t>SIGNATURES</w:t>
      </w:r>
    </w:p>
    <w:p>
      <w:pPr>
        <w:spacing w:after="0" w:line="244" w:lineRule="exact"/>
        <w:rPr>
          <w:sz w:val="20"/>
          <w:szCs w:val="20"/>
          <w:color w:val="auto"/>
        </w:rPr>
      </w:pPr>
    </w:p>
    <w:p>
      <w:pPr>
        <w:ind w:left="820" w:firstLine="648"/>
        <w:spacing w:after="0" w:line="260" w:lineRule="auto"/>
        <w:rPr>
          <w:sz w:val="20"/>
          <w:szCs w:val="20"/>
          <w:color w:val="auto"/>
        </w:rPr>
      </w:pPr>
      <w:r>
        <w:rPr>
          <w:rFonts w:ascii="Arial" w:cs="Arial" w:eastAsia="Arial" w:hAnsi="Arial"/>
          <w:sz w:val="20"/>
          <w:szCs w:val="20"/>
          <w:color w:val="auto"/>
        </w:rPr>
        <w:t>Pursuant to the requirements of the Securities Exchange Act of 1934, the Registrant has duly caused this report to be signed on its behalf by the undersigned hereunto duly authorized.</w:t>
      </w:r>
    </w:p>
    <w:p>
      <w:pPr>
        <w:spacing w:after="0" w:line="204" w:lineRule="exact"/>
        <w:rPr>
          <w:sz w:val="20"/>
          <w:szCs w:val="20"/>
          <w:color w:val="auto"/>
        </w:rPr>
      </w:pPr>
    </w:p>
    <w:p>
      <w:pPr>
        <w:spacing w:after="0"/>
        <w:rPr>
          <w:sz w:val="20"/>
          <w:szCs w:val="20"/>
          <w:color w:val="auto"/>
        </w:rPr>
      </w:pPr>
      <w:r>
        <w:rPr>
          <w:rFonts w:ascii="Arial" w:cs="Arial" w:eastAsia="Arial" w:hAnsi="Arial"/>
          <w:sz w:val="20"/>
          <w:szCs w:val="20"/>
          <w:color w:val="auto"/>
        </w:rPr>
        <w:t>Date: October 19, 2011</w:t>
      </w:r>
    </w:p>
    <w:p>
      <w:pPr>
        <w:spacing w:after="0" w:line="243" w:lineRule="exact"/>
        <w:rPr>
          <w:sz w:val="20"/>
          <w:szCs w:val="20"/>
          <w:color w:val="auto"/>
        </w:rPr>
      </w:pPr>
    </w:p>
    <w:p>
      <w:pPr>
        <w:ind w:left="7320"/>
        <w:spacing w:after="0"/>
        <w:rPr>
          <w:sz w:val="20"/>
          <w:szCs w:val="20"/>
          <w:color w:val="auto"/>
        </w:rPr>
      </w:pPr>
      <w:r>
        <w:rPr>
          <w:rFonts w:ascii="Arial" w:cs="Arial" w:eastAsia="Arial" w:hAnsi="Arial"/>
          <w:sz w:val="20"/>
          <w:szCs w:val="20"/>
          <w:color w:val="auto"/>
        </w:rPr>
        <w:t>WYNN LAS VEGAS, LLC</w:t>
      </w:r>
    </w:p>
    <w:p>
      <w:pPr>
        <w:spacing w:after="0" w:line="216" w:lineRule="exact"/>
        <w:rPr>
          <w:sz w:val="20"/>
          <w:szCs w:val="20"/>
          <w:color w:val="auto"/>
        </w:rPr>
      </w:pPr>
    </w:p>
    <w:p>
      <w:pPr>
        <w:ind w:left="7320"/>
        <w:spacing w:after="0"/>
        <w:tabs>
          <w:tab w:leader="none" w:pos="776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18"/>
          <w:szCs w:val="18"/>
          <w:color w:val="auto"/>
        </w:rPr>
        <w:t>Wynn Resorts Holdings, LLC, its sole</w:t>
      </w:r>
    </w:p>
    <w:p>
      <w:pPr>
        <w:spacing w:after="0" w:line="16" w:lineRule="exact"/>
        <w:rPr>
          <w:sz w:val="20"/>
          <w:szCs w:val="20"/>
          <w:color w:val="auto"/>
        </w:rPr>
      </w:pPr>
    </w:p>
    <w:p>
      <w:pPr>
        <w:ind w:left="7780"/>
        <w:spacing w:after="0"/>
        <w:rPr>
          <w:sz w:val="20"/>
          <w:szCs w:val="20"/>
          <w:color w:val="auto"/>
        </w:rPr>
      </w:pPr>
      <w:r>
        <w:rPr>
          <w:rFonts w:ascii="Arial" w:cs="Arial" w:eastAsia="Arial" w:hAnsi="Arial"/>
          <w:sz w:val="20"/>
          <w:szCs w:val="20"/>
          <w:color w:val="auto"/>
        </w:rPr>
        <w:t>member</w:t>
      </w:r>
    </w:p>
    <w:p>
      <w:pPr>
        <w:spacing w:after="0" w:line="200" w:lineRule="exact"/>
        <w:rPr>
          <w:sz w:val="20"/>
          <w:szCs w:val="20"/>
          <w:color w:val="auto"/>
        </w:rPr>
      </w:pPr>
    </w:p>
    <w:p>
      <w:pPr>
        <w:ind w:left="7320"/>
        <w:spacing w:after="0"/>
        <w:tabs>
          <w:tab w:leader="none" w:pos="776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16"/>
          <w:szCs w:val="16"/>
          <w:color w:val="auto"/>
        </w:rPr>
        <w:t>Wynn Resorts, Limited, its sole member</w:t>
      </w:r>
    </w:p>
    <w:p>
      <w:pPr>
        <w:spacing w:after="0" w:line="216" w:lineRule="exact"/>
        <w:rPr>
          <w:sz w:val="20"/>
          <w:szCs w:val="20"/>
          <w:color w:val="auto"/>
        </w:rPr>
      </w:pPr>
    </w:p>
    <w:p>
      <w:pPr>
        <w:ind w:left="7320"/>
        <w:spacing w:after="0"/>
        <w:tabs>
          <w:tab w:leader="none" w:pos="776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18"/>
          <w:szCs w:val="18"/>
          <w:color w:val="auto"/>
        </w:rPr>
        <w:t>/s/ Kim Sinatra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4936490</wp:posOffset>
            </wp:positionH>
            <wp:positionV relativeFrom="paragraph">
              <wp:posOffset>10160</wp:posOffset>
            </wp:positionV>
            <wp:extent cx="231521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315210" cy="8890"/>
                    </a:xfrm>
                    <a:prstGeom prst="rect">
                      <a:avLst/>
                    </a:prstGeom>
                    <a:noFill/>
                  </pic:spPr>
                </pic:pic>
              </a:graphicData>
            </a:graphic>
          </wp:anchor>
        </w:drawing>
      </w:r>
    </w:p>
    <w:p>
      <w:pPr>
        <w:ind w:left="7780"/>
        <w:spacing w:after="0"/>
        <w:rPr>
          <w:sz w:val="20"/>
          <w:szCs w:val="20"/>
          <w:color w:val="auto"/>
        </w:rPr>
      </w:pPr>
      <w:r>
        <w:rPr>
          <w:rFonts w:ascii="Arial" w:cs="Arial" w:eastAsia="Arial" w:hAnsi="Arial"/>
          <w:sz w:val="20"/>
          <w:szCs w:val="20"/>
          <w:color w:val="auto"/>
        </w:rPr>
        <w:t>Kim Sinatra</w:t>
      </w:r>
    </w:p>
    <w:p>
      <w:pPr>
        <w:spacing w:after="0" w:line="8" w:lineRule="exact"/>
        <w:rPr>
          <w:sz w:val="20"/>
          <w:szCs w:val="20"/>
          <w:color w:val="auto"/>
        </w:rPr>
      </w:pPr>
    </w:p>
    <w:p>
      <w:pPr>
        <w:ind w:left="7780"/>
        <w:spacing w:after="0"/>
        <w:rPr>
          <w:sz w:val="20"/>
          <w:szCs w:val="20"/>
          <w:color w:val="auto"/>
        </w:rPr>
      </w:pPr>
      <w:r>
        <w:rPr>
          <w:rFonts w:ascii="Arial" w:cs="Arial" w:eastAsia="Arial" w:hAnsi="Arial"/>
          <w:sz w:val="20"/>
          <w:szCs w:val="20"/>
          <w:color w:val="auto"/>
        </w:rPr>
        <w:t>Senior Vice President,</w:t>
      </w:r>
    </w:p>
    <w:p>
      <w:pPr>
        <w:ind w:left="7780"/>
        <w:spacing w:after="0"/>
        <w:rPr>
          <w:sz w:val="20"/>
          <w:szCs w:val="20"/>
          <w:color w:val="auto"/>
        </w:rPr>
      </w:pPr>
      <w:r>
        <w:rPr>
          <w:rFonts w:ascii="Arial" w:cs="Arial" w:eastAsia="Arial" w:hAnsi="Arial"/>
          <w:sz w:val="20"/>
          <w:szCs w:val="20"/>
          <w:color w:val="auto"/>
        </w:rPr>
        <w:t>General Counsel and Secretary</w:t>
      </w:r>
    </w:p>
    <w:p>
      <w:pPr>
        <w:sectPr>
          <w:pgSz w:w="11900" w:h="16838" w:orient="portrait"/>
          <w:cols w:equalWidth="0" w:num="1">
            <w:col w:w="11260"/>
          </w:cols>
          <w:pgMar w:left="240" w:top="504" w:right="399" w:bottom="1440" w:gutter="0" w:footer="0" w:header="0"/>
        </w:sectPr>
      </w:pPr>
    </w:p>
    <w:bookmarkStart w:id="4" w:name="page5"/>
    <w:bookmarkEnd w:id="4"/>
    <w:p>
      <w:pPr>
        <w:jc w:val="right"/>
        <w:spacing w:after="0"/>
        <w:rPr>
          <w:sz w:val="20"/>
          <w:szCs w:val="20"/>
          <w:color w:val="auto"/>
        </w:rPr>
      </w:pPr>
      <w:r>
        <w:rPr>
          <w:rFonts w:ascii="Arial" w:cs="Arial" w:eastAsia="Arial" w:hAnsi="Arial"/>
          <w:sz w:val="22"/>
          <w:szCs w:val="22"/>
          <w:b w:val="1"/>
          <w:bCs w:val="1"/>
          <w:color w:val="auto"/>
        </w:rPr>
        <w:t>Exhibit 99.1</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Resorts, Limited Reports Third Quarter Results</w:t>
      </w:r>
    </w:p>
    <w:p>
      <w:pPr>
        <w:spacing w:after="0" w:line="261" w:lineRule="exact"/>
        <w:rPr>
          <w:sz w:val="20"/>
          <w:szCs w:val="20"/>
          <w:color w:val="auto"/>
        </w:rPr>
      </w:pPr>
    </w:p>
    <w:p>
      <w:pPr>
        <w:spacing w:after="0" w:line="246" w:lineRule="auto"/>
        <w:rPr>
          <w:sz w:val="20"/>
          <w:szCs w:val="20"/>
          <w:color w:val="auto"/>
        </w:rPr>
      </w:pPr>
      <w:r>
        <w:rPr>
          <w:rFonts w:ascii="Arial" w:cs="Arial" w:eastAsia="Arial" w:hAnsi="Arial"/>
          <w:sz w:val="18"/>
          <w:szCs w:val="18"/>
          <w:color w:val="auto"/>
        </w:rPr>
        <w:t>LAS VEGAS, October 19, 2011 (BUSINESS WIRE) -- Wynn Resorts, Limited (Nasdaq: WYNN) today reported financial results for the third quarter ended September 30, 2011.</w:t>
      </w:r>
    </w:p>
    <w:p>
      <w:pPr>
        <w:spacing w:after="0" w:line="224" w:lineRule="exact"/>
        <w:rPr>
          <w:sz w:val="20"/>
          <w:szCs w:val="20"/>
          <w:color w:val="auto"/>
        </w:rPr>
      </w:pPr>
    </w:p>
    <w:p>
      <w:pPr>
        <w:jc w:val="both"/>
        <w:ind w:right="380"/>
        <w:spacing w:after="0"/>
        <w:rPr>
          <w:sz w:val="20"/>
          <w:szCs w:val="20"/>
          <w:color w:val="auto"/>
        </w:rPr>
      </w:pPr>
      <w:r>
        <w:rPr>
          <w:rFonts w:ascii="Arial" w:cs="Arial" w:eastAsia="Arial" w:hAnsi="Arial"/>
          <w:sz w:val="18"/>
          <w:szCs w:val="18"/>
          <w:color w:val="auto"/>
        </w:rPr>
        <w:t>Net revenues for the third quarter of 2011 were $ 1.3 billion, compared to $1.0 billion in the third quarter of 2010. The revenue increase was driven primarily by a 41.7% increase in revenues at Wynn Macau. Adjusted property EBITDA (1) was $381.1 million for the third quarter of 2011, 38.8% above the $274.5 million reported in the third quarter of 2010.</w:t>
      </w:r>
    </w:p>
    <w:p>
      <w:pPr>
        <w:spacing w:after="0" w:line="230" w:lineRule="exact"/>
        <w:rPr>
          <w:sz w:val="20"/>
          <w:szCs w:val="20"/>
          <w:color w:val="auto"/>
        </w:rPr>
      </w:pPr>
    </w:p>
    <w:p>
      <w:pPr>
        <w:jc w:val="both"/>
        <w:ind w:right="280"/>
        <w:spacing w:after="0"/>
        <w:rPr>
          <w:sz w:val="20"/>
          <w:szCs w:val="20"/>
          <w:color w:val="auto"/>
        </w:rPr>
      </w:pPr>
      <w:r>
        <w:rPr>
          <w:rFonts w:ascii="Arial" w:cs="Arial" w:eastAsia="Arial" w:hAnsi="Arial"/>
          <w:sz w:val="18"/>
          <w:szCs w:val="18"/>
          <w:color w:val="auto"/>
        </w:rPr>
        <w:t>On a US GAAP (Generally Accepted Accounting Principles) basis, net income attributable to Wynn Resorts for the third quarter of 2011 was $127.1 million, or $1.01 per diluted share. The net loss attributable to Wynn Resorts of $33.5 million, or ($0.27) per diluted share in the third quarter of 2010 included a $64.2 million loss on extinguishment of debt.</w:t>
      </w:r>
    </w:p>
    <w:p>
      <w:pPr>
        <w:spacing w:after="0" w:line="230" w:lineRule="exact"/>
        <w:rPr>
          <w:sz w:val="20"/>
          <w:szCs w:val="20"/>
          <w:color w:val="auto"/>
        </w:rPr>
      </w:pPr>
    </w:p>
    <w:p>
      <w:pPr>
        <w:ind w:right="140"/>
        <w:spacing w:after="0" w:line="246" w:lineRule="auto"/>
        <w:rPr>
          <w:sz w:val="20"/>
          <w:szCs w:val="20"/>
          <w:color w:val="auto"/>
        </w:rPr>
      </w:pPr>
      <w:r>
        <w:rPr>
          <w:rFonts w:ascii="Arial" w:cs="Arial" w:eastAsia="Arial" w:hAnsi="Arial"/>
          <w:sz w:val="18"/>
          <w:szCs w:val="18"/>
          <w:color w:val="auto"/>
        </w:rPr>
        <w:t>Adjusted net income attributable to Wynn Resorts in the third quarter of 2011 was $132.6 million, or $1.05 per diluted share (adjusted EPS)(2) compared to an adjusted net income attributable to Wynn Resorts of $48.7 million, or $0.39 per diluted share in the third quarter of 2010.</w:t>
      </w:r>
    </w:p>
    <w:p>
      <w:pPr>
        <w:spacing w:after="0" w:line="224" w:lineRule="exact"/>
        <w:rPr>
          <w:sz w:val="20"/>
          <w:szCs w:val="20"/>
          <w:color w:val="auto"/>
        </w:rPr>
      </w:pPr>
    </w:p>
    <w:p>
      <w:pPr>
        <w:ind w:right="20"/>
        <w:spacing w:after="0" w:line="246" w:lineRule="auto"/>
        <w:rPr>
          <w:sz w:val="20"/>
          <w:szCs w:val="20"/>
          <w:color w:val="auto"/>
        </w:rPr>
      </w:pPr>
      <w:r>
        <w:rPr>
          <w:rFonts w:ascii="Arial" w:cs="Arial" w:eastAsia="Arial" w:hAnsi="Arial"/>
          <w:sz w:val="18"/>
          <w:szCs w:val="18"/>
          <w:color w:val="auto"/>
        </w:rPr>
        <w:t>Wynn Resorts also announced today that its Board of Directors has approved a cash dividend for the quarter of $0.50 per common share. This dividend will be payable on November 16, 2011, to stockholders of record on November 2, 2011.</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Wynn Macau Third Quarter Results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In the third quarter of 2011, net revenues were $951.4 million, a 41.7% increase from the $671.4 million generated in the third quarter of 2010.</w:t>
      </w:r>
    </w:p>
    <w:p>
      <w:pPr>
        <w:spacing w:after="0"/>
        <w:rPr>
          <w:sz w:val="20"/>
          <w:szCs w:val="20"/>
          <w:color w:val="auto"/>
        </w:rPr>
      </w:pPr>
      <w:r>
        <w:rPr>
          <w:rFonts w:ascii="Arial" w:cs="Arial" w:eastAsia="Arial" w:hAnsi="Arial"/>
          <w:sz w:val="18"/>
          <w:szCs w:val="18"/>
          <w:color w:val="auto"/>
        </w:rPr>
        <w:t>Adjusted property EBITDA in the third quarter of 2011 was $296.0 million, up 49.5% from $198.0 million in the third quarter of 2010.</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Table games results in Macau are segregated into two distinct reporting categories, the VIP segment and the mass market segment.</w:t>
      </w:r>
    </w:p>
    <w:p>
      <w:pPr>
        <w:spacing w:after="0" w:line="239" w:lineRule="exact"/>
        <w:rPr>
          <w:sz w:val="20"/>
          <w:szCs w:val="20"/>
          <w:color w:val="auto"/>
        </w:rPr>
      </w:pPr>
    </w:p>
    <w:p>
      <w:pPr>
        <w:ind w:right="80"/>
        <w:spacing w:after="0"/>
        <w:rPr>
          <w:sz w:val="20"/>
          <w:szCs w:val="20"/>
          <w:color w:val="auto"/>
        </w:rPr>
      </w:pPr>
      <w:r>
        <w:rPr>
          <w:rFonts w:ascii="Arial" w:cs="Arial" w:eastAsia="Arial" w:hAnsi="Arial"/>
          <w:sz w:val="18"/>
          <w:szCs w:val="18"/>
          <w:color w:val="auto"/>
        </w:rPr>
        <w:t>Table games turnover in the VIP segment was $31.4 billion for the third quarter of 2011, a 45.0% increase from $ 21.7 billion in the third quarter of 2010. VIP table games win as a percentage of turnover (calculated before discounts and commissions) for the quarter was 2.95%, in-line with the expected range of 2.7% to 3.0% and higher than the 2.88% experienced in the third quarter of 2010.</w:t>
      </w:r>
    </w:p>
    <w:p>
      <w:pPr>
        <w:spacing w:after="0" w:line="230" w:lineRule="exact"/>
        <w:rPr>
          <w:sz w:val="20"/>
          <w:szCs w:val="20"/>
          <w:color w:val="auto"/>
        </w:rPr>
      </w:pPr>
    </w:p>
    <w:p>
      <w:pPr>
        <w:ind w:right="160"/>
        <w:spacing w:after="0"/>
        <w:rPr>
          <w:sz w:val="20"/>
          <w:szCs w:val="20"/>
          <w:color w:val="auto"/>
        </w:rPr>
      </w:pPr>
      <w:r>
        <w:rPr>
          <w:rFonts w:ascii="Arial" w:cs="Arial" w:eastAsia="Arial" w:hAnsi="Arial"/>
          <w:sz w:val="18"/>
          <w:szCs w:val="18"/>
          <w:color w:val="auto"/>
        </w:rPr>
        <w:t>Table games drop in the mass market category was $704.3 million during the period, a 16.4% increase from $605.1 million in the third quarter of 2010. Mass market table games win percentage (calculated before discounts) of 27.7% was in-line with our revised range of 26% to 28% and higher than the 22.8% generated in the 2010 quarter.</w:t>
      </w:r>
    </w:p>
    <w:p>
      <w:pPr>
        <w:spacing w:after="0" w:line="230" w:lineRule="exact"/>
        <w:rPr>
          <w:sz w:val="20"/>
          <w:szCs w:val="20"/>
          <w:color w:val="auto"/>
        </w:rPr>
      </w:pPr>
    </w:p>
    <w:p>
      <w:pPr>
        <w:ind w:right="480"/>
        <w:spacing w:after="0" w:line="246" w:lineRule="auto"/>
        <w:rPr>
          <w:sz w:val="20"/>
          <w:szCs w:val="20"/>
          <w:color w:val="auto"/>
        </w:rPr>
      </w:pPr>
      <w:r>
        <w:rPr>
          <w:rFonts w:ascii="Arial" w:cs="Arial" w:eastAsia="Arial" w:hAnsi="Arial"/>
          <w:sz w:val="18"/>
          <w:szCs w:val="18"/>
          <w:color w:val="auto"/>
        </w:rPr>
        <w:t>Slot machine handle increased 6.9% to $1.1 billion as compared to the prior year quarter. Win per unit per day was 29.3% higher at $696, compared to $538 in the third quarter of 2010.</w:t>
      </w:r>
    </w:p>
    <w:p>
      <w:pPr>
        <w:spacing w:after="0" w:line="224" w:lineRule="exact"/>
        <w:rPr>
          <w:sz w:val="20"/>
          <w:szCs w:val="20"/>
          <w:color w:val="auto"/>
        </w:rPr>
      </w:pPr>
    </w:p>
    <w:p>
      <w:pPr>
        <w:ind w:right="320"/>
        <w:spacing w:after="0"/>
        <w:rPr>
          <w:sz w:val="20"/>
          <w:szCs w:val="20"/>
          <w:color w:val="auto"/>
        </w:rPr>
      </w:pPr>
      <w:r>
        <w:rPr>
          <w:rFonts w:ascii="Arial" w:cs="Arial" w:eastAsia="Arial" w:hAnsi="Arial"/>
          <w:sz w:val="18"/>
          <w:szCs w:val="18"/>
          <w:color w:val="auto"/>
        </w:rPr>
        <w:t>Wynn Macau achieved an Average Daily Rate (ADR) of $315 for the third quarter of 2011, 9.7% above the $287 reported in the 2010 quarter. The property’s occupancy was 93.7%, compared to 87.6% during the prior year period, and revenue per available room (REVPAR) was $295 in the 2011 quarter, 17.3% above the $251 reported in the prior year quarter.</w:t>
      </w:r>
    </w:p>
    <w:p>
      <w:pPr>
        <w:spacing w:after="0" w:line="230" w:lineRule="exact"/>
        <w:rPr>
          <w:sz w:val="20"/>
          <w:szCs w:val="20"/>
          <w:color w:val="auto"/>
        </w:rPr>
      </w:pPr>
    </w:p>
    <w:p>
      <w:pPr>
        <w:spacing w:after="0" w:line="246" w:lineRule="auto"/>
        <w:rPr>
          <w:sz w:val="20"/>
          <w:szCs w:val="20"/>
          <w:color w:val="auto"/>
        </w:rPr>
      </w:pPr>
      <w:r>
        <w:rPr>
          <w:rFonts w:ascii="Arial" w:cs="Arial" w:eastAsia="Arial" w:hAnsi="Arial"/>
          <w:sz w:val="18"/>
          <w:szCs w:val="18"/>
          <w:color w:val="auto"/>
        </w:rPr>
        <w:t>Gross non-casino revenues at Wynn Macau increased 32.4% during the quarter to $102.6 million, driven by strong performance from all non-casino segments.</w:t>
      </w:r>
    </w:p>
    <w:p>
      <w:pPr>
        <w:spacing w:after="0" w:line="224" w:lineRule="exact"/>
        <w:rPr>
          <w:sz w:val="20"/>
          <w:szCs w:val="20"/>
          <w:color w:val="auto"/>
        </w:rPr>
      </w:pPr>
    </w:p>
    <w:p>
      <w:pPr>
        <w:spacing w:after="0" w:line="246" w:lineRule="auto"/>
        <w:rPr>
          <w:sz w:val="20"/>
          <w:szCs w:val="20"/>
          <w:color w:val="auto"/>
        </w:rPr>
      </w:pPr>
      <w:r>
        <w:rPr>
          <w:rFonts w:ascii="Arial" w:cs="Arial" w:eastAsia="Arial" w:hAnsi="Arial"/>
          <w:sz w:val="18"/>
          <w:szCs w:val="18"/>
          <w:color w:val="auto"/>
        </w:rPr>
        <w:t>Including Encore, we currently have 509 tables (286 VIP tables, 212 mass market tables and 11 poker tables) and 943 slot machines at Wynn Macau.</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We continue to work on the final project scope, timeline and budget for our Cotai project.</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15" w:right="2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Wynn Las Vegas Third Quarter Results</w:t>
      </w:r>
    </w:p>
    <w:p>
      <w:pPr>
        <w:spacing w:after="0" w:line="261" w:lineRule="exact"/>
        <w:rPr>
          <w:sz w:val="20"/>
          <w:szCs w:val="20"/>
          <w:color w:val="auto"/>
        </w:rPr>
      </w:pPr>
    </w:p>
    <w:p>
      <w:pPr>
        <w:ind w:right="140"/>
        <w:spacing w:after="0"/>
        <w:rPr>
          <w:sz w:val="20"/>
          <w:szCs w:val="20"/>
          <w:color w:val="auto"/>
        </w:rPr>
      </w:pPr>
      <w:r>
        <w:rPr>
          <w:rFonts w:ascii="Arial" w:cs="Arial" w:eastAsia="Arial" w:hAnsi="Arial"/>
          <w:sz w:val="18"/>
          <w:szCs w:val="18"/>
          <w:color w:val="auto"/>
        </w:rPr>
        <w:t>For the third quarter ended September 30, 2011, net revenues for our Las Vegas operations were $346.9 million, 3.7% higher than in the third quarter of 2010. Adjusted property EBITDA of $85.1 million (with a 24.5% EBITDA margin on net revenues) was up 11.3% versus the $76.5 million generated in the comparable period in 2010.</w:t>
      </w:r>
    </w:p>
    <w:p>
      <w:pPr>
        <w:spacing w:after="0" w:line="230"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Net casino revenues in the third quarter of 2011 were $ 126.9 million, down 8.3% from the third quarter of 2010. Table games drop was $603.5 million, compared to drop of $545.1 million in the 2010 quarter and table games win percentage of 18.3% was below the property’s expected range of 21% to 24% and the 22.8% reported in the 2010 quarter. Slot machine handle of $673.8 million was 2.4% below the comparable period of 2010, however net slot win was up 11.2% due to better hold in the 2011 quarter.</w:t>
      </w:r>
    </w:p>
    <w:p>
      <w:pPr>
        <w:spacing w:after="0" w:line="229"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Gross non-casino revenues for the quarter were $265.9 million, an 11.1% increase from the third quarter of 2010, driven by higher revenues across all non-gaming segments.</w:t>
      </w:r>
    </w:p>
    <w:p>
      <w:pPr>
        <w:spacing w:after="0" w:line="224"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Room revenues were up 18.7% to $89.7 million during the quarter, versus $75.6 million in the third quarter of 2010. Average Daily Rate (ADR) was up 14.2% to $240 and occupancy of 88.3% was slightly above the 87.8% for the third quarter of 2010. Revenue per available room (REVPAR) was $212 in the 2011 quarter, 14.9% above the $184 reported in the prior year quarter. During the third quarter of 2011, we had 3.1% of total rooms unavailable due to an air rebalancing project, versus 6.2% of the rooms out due to renovations in the third quarter of 2010.</w:t>
      </w:r>
    </w:p>
    <w:p>
      <w:pPr>
        <w:spacing w:after="0" w:line="229" w:lineRule="exact"/>
        <w:rPr>
          <w:sz w:val="20"/>
          <w:szCs w:val="20"/>
          <w:color w:val="auto"/>
        </w:rPr>
      </w:pPr>
    </w:p>
    <w:p>
      <w:pPr>
        <w:jc w:val="both"/>
        <w:spacing w:after="0"/>
        <w:rPr>
          <w:sz w:val="20"/>
          <w:szCs w:val="20"/>
          <w:color w:val="auto"/>
        </w:rPr>
      </w:pPr>
      <w:r>
        <w:rPr>
          <w:rFonts w:ascii="Arial" w:cs="Arial" w:eastAsia="Arial" w:hAnsi="Arial"/>
          <w:sz w:val="18"/>
          <w:szCs w:val="18"/>
          <w:color w:val="auto"/>
        </w:rPr>
        <w:t>Food and beverage revenues increased 6.7% to $119.3 million, retail revenues were $21.5 million in the quarter, 3.9% above last year’s levels and entertainment revenues increased 20.7% to $21.9 million from the third quarter of 2010, primarily due to increased revenues from Garth Brooks and Le Rêve.</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Balance Sheet</w:t>
      </w:r>
    </w:p>
    <w:p>
      <w:pPr>
        <w:spacing w:after="0" w:line="261" w:lineRule="exact"/>
        <w:rPr>
          <w:sz w:val="20"/>
          <w:szCs w:val="20"/>
          <w:color w:val="auto"/>
        </w:rPr>
      </w:pPr>
    </w:p>
    <w:p>
      <w:pPr>
        <w:ind w:right="120"/>
        <w:spacing w:after="0" w:line="246" w:lineRule="auto"/>
        <w:rPr>
          <w:sz w:val="20"/>
          <w:szCs w:val="20"/>
          <w:color w:val="auto"/>
        </w:rPr>
      </w:pPr>
      <w:r>
        <w:rPr>
          <w:rFonts w:ascii="Arial" w:cs="Arial" w:eastAsia="Arial" w:hAnsi="Arial"/>
          <w:sz w:val="18"/>
          <w:szCs w:val="18"/>
          <w:color w:val="auto"/>
        </w:rPr>
        <w:t>Our total cash balance at September 30, 2011 was $1.8 billion. Total debt outstanding at the end of the quarter was $3.1 billion, including $2.6 billion of Wynn Las Vegas debt and $513 million of Wynn Macau debt.</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Conference Call Information</w:t>
      </w:r>
    </w:p>
    <w:p>
      <w:pPr>
        <w:spacing w:after="0" w:line="261"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The Company will hold a conference call to discuss its results on Wednesday, October 19, 2011 at 1:30 p.m. PT (4:30 p.m. ET). Interested parties are invited to join the call by accessing a live audio webcast at http://www.wynnresorts.com (Investor Relations).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61"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This release contains forward-looking statements regarding operating trends and future results of operations. Such forward-looking information involves important risks and uncertainties that could significantly affect anticipated results in the future and, accordingly, such results may differ from those expressed in any forward-looking statements made by us. The risks and uncertainties include, but are not limited to, competition in the casino/hotel and resorts industries, the Company’s dependence on existing management, levels of travel, leisure and casino spending, general economic conditions, and changes in gaming laws or regulations. Additional information concerning potential factors that could affect the Company's financial results is included in the Company's Annual Report on Form 10-K for the year ended December 31, 2010 and the Company's other periodic reports filed with the Securities and Exchange Commission. The Company is under no obligation to (and expressly disclaims any such obligation to) update its forward-looking statements as a result of new information, future events or otherwise.</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08" w:right="2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t>Non-GAAP financial measures</w:t>
      </w:r>
    </w:p>
    <w:p>
      <w:pPr>
        <w:spacing w:after="0" w:line="261" w:lineRule="exact"/>
        <w:rPr>
          <w:sz w:val="20"/>
          <w:szCs w:val="20"/>
          <w:color w:val="auto"/>
        </w:rPr>
      </w:pPr>
    </w:p>
    <w:p>
      <w:pPr>
        <w:jc w:val="both"/>
        <w:ind w:firstLine="8"/>
        <w:spacing w:after="0" w:line="235" w:lineRule="auto"/>
        <w:tabs>
          <w:tab w:leader="none" w:pos="286" w:val="left"/>
        </w:tabs>
        <w:numPr>
          <w:ilvl w:val="0"/>
          <w:numId w:val="3"/>
        </w:numPr>
        <w:rPr>
          <w:rFonts w:ascii="Arial" w:cs="Arial" w:eastAsia="Arial" w:hAnsi="Arial"/>
          <w:sz w:val="18"/>
          <w:szCs w:val="18"/>
          <w:color w:val="auto"/>
        </w:rPr>
      </w:pPr>
      <w:r>
        <w:rPr>
          <w:rFonts w:ascii="Arial" w:cs="Arial" w:eastAsia="Arial" w:hAnsi="Arial"/>
          <w:sz w:val="18"/>
          <w:szCs w:val="18"/>
          <w:color w:val="auto"/>
        </w:rPr>
        <w:t>“Adjusted property EBITDA” is earnings before interest, taxes, depreciation, amortization, pre-opening costs, property charges and other, corporate expenses, stock-based compensation, and other non-operating income and expenses, and includes equity in income from unconsolidated affiliates. Adjusted property EBITDA is presented exclusively as a supplemental disclosure because management believes that it is widely used to measure the performance, and as a basis for valuation, of gaming companies. Management uses adjusted property EBITDA as a measure of the operating performance of its segments and to compare the operating performance of its properties with those of its competitors. The Company also presents adjusted property EBITDA because it is used by some investors as a way to measure a company’s ability to incur and service debt, make capital expenditures and meet working capital requirements. Gaming companies have historically reported EBITDA as a supplement to financial measures in accordance with U.S. generally accepted accounting principles (“GAAP”). In order to view the operations of their casinos on a more stand-alone basis, gaming companies, including Wynn Resorts, Limited, have historically excluded from their EBITDA calculations pre-opening expenses, property charges, corporate expenses and stock-based compensation, that do not relate to the management of specific casino properties. However, adjusted property EBITDA should not be considered as an alternative to operating income as an indicator of the Company’s performance, as an alternative to cash flows from operating activities as a measure of liquidity, or as an alternative to any other measure determined in accordance with GAAP. Unlike net income, adjusted property EBITDA does not include depreciation or interest expense and therefore does not reflect current or future capital expenditures or the cost of capital. The Company has significant uses of cash flows, including capital expenditures, interest payments, debt principal repayments, taxes and other non-recurring charges, which are not reflected in adjusted property EBITDA. Also, Wynn Resorts’ calculation of adjusted property EBITDA may be different from the calculation methods used by other companies and, therefore, comparability may be limited.</w:t>
      </w:r>
    </w:p>
    <w:p>
      <w:pPr>
        <w:spacing w:after="0" w:line="241" w:lineRule="exact"/>
        <w:rPr>
          <w:rFonts w:ascii="Arial" w:cs="Arial" w:eastAsia="Arial" w:hAnsi="Arial"/>
          <w:sz w:val="18"/>
          <w:szCs w:val="18"/>
          <w:color w:val="auto"/>
        </w:rPr>
      </w:pPr>
    </w:p>
    <w:p>
      <w:pPr>
        <w:jc w:val="both"/>
        <w:ind w:firstLine="8"/>
        <w:spacing w:after="0" w:line="237" w:lineRule="auto"/>
        <w:tabs>
          <w:tab w:leader="none" w:pos="270" w:val="left"/>
        </w:tabs>
        <w:numPr>
          <w:ilvl w:val="0"/>
          <w:numId w:val="3"/>
        </w:numPr>
        <w:rPr>
          <w:rFonts w:ascii="Arial" w:cs="Arial" w:eastAsia="Arial" w:hAnsi="Arial"/>
          <w:sz w:val="18"/>
          <w:szCs w:val="18"/>
          <w:color w:val="auto"/>
        </w:rPr>
      </w:pPr>
      <w:r>
        <w:rPr>
          <w:rFonts w:ascii="Arial" w:cs="Arial" w:eastAsia="Arial" w:hAnsi="Arial"/>
          <w:sz w:val="18"/>
          <w:szCs w:val="18"/>
          <w:color w:val="auto"/>
        </w:rPr>
        <w:t>Adjusted net income attributable to Wynn Resorts is net income before pre-opening costs, property charges and other, and other non-cash non-operating income and expenses. Adjusted net income attributable to Wynn Resorts and adjusted net income per share attributable to Wynn Resorts (“EPS”) are presented as supplemental disclosures because management believes that these financial measures are widely used to measure the performance, and as a principal basis for valuation, of gaming companies. These measures are used by management and/or evaluated by some investors, in addition to income and EPS computed in accordance with GAAP, as an additional basis for assessing period-to-period results of our business. Adjusted net income attributable to Wynn Resorts and adjusted net income attributable to Wynn Resorts per share may be different from the calculation methods used by other companies and, therefore, comparability may be limited.</w:t>
      </w:r>
    </w:p>
    <w:p>
      <w:pPr>
        <w:spacing w:after="0" w:line="230" w:lineRule="exact"/>
        <w:rPr>
          <w:sz w:val="20"/>
          <w:szCs w:val="20"/>
          <w:color w:val="auto"/>
        </w:rPr>
      </w:pPr>
    </w:p>
    <w:p>
      <w:pPr>
        <w:jc w:val="both"/>
        <w:ind w:right="20"/>
        <w:spacing w:after="0"/>
        <w:rPr>
          <w:sz w:val="20"/>
          <w:szCs w:val="20"/>
          <w:color w:val="auto"/>
        </w:rPr>
      </w:pPr>
      <w:r>
        <w:rPr>
          <w:rFonts w:ascii="Arial" w:cs="Arial" w:eastAsia="Arial" w:hAnsi="Arial"/>
          <w:sz w:val="18"/>
          <w:szCs w:val="18"/>
          <w:color w:val="auto"/>
        </w:rPr>
        <w:t>The Company has included schedules in the tables that accompany this release that reconcile (i) net income (loss) attributable to Wynn Resorts to adjusted net income attributable to Wynn Resorts, and (ii) operating income (loss) to adjusted property EBITDA and adjusted property EBITDA to net income (loss) attributable to Wynn Resorts.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08" w:right="2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CONDENSED CONSOLIDATED STATEMENTS OF OPERATIONS</w:t>
      </w:r>
    </w:p>
    <w:p>
      <w:pPr>
        <w:jc w:val="center"/>
        <w:spacing w:after="0" w:line="234" w:lineRule="auto"/>
        <w:rPr>
          <w:sz w:val="20"/>
          <w:szCs w:val="20"/>
          <w:color w:val="auto"/>
        </w:rPr>
      </w:pPr>
      <w:r>
        <w:rPr>
          <w:rFonts w:ascii="Arial" w:cs="Arial" w:eastAsia="Arial" w:hAnsi="Arial"/>
          <w:sz w:val="18"/>
          <w:szCs w:val="18"/>
          <w:color w:val="auto"/>
        </w:rPr>
        <w:t>(amounts in thousands, except per share data)</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5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560" w:type="dxa"/>
            <w:vAlign w:val="bottom"/>
            <w:gridSpan w:val="6"/>
          </w:tcPr>
          <w:p>
            <w:pPr>
              <w:jc w:val="right"/>
              <w:ind w:right="620"/>
              <w:spacing w:after="0"/>
              <w:rPr>
                <w:sz w:val="20"/>
                <w:szCs w:val="20"/>
                <w:color w:val="auto"/>
              </w:rPr>
            </w:pPr>
            <w:r>
              <w:rPr>
                <w:rFonts w:ascii="Arial" w:cs="Arial" w:eastAsia="Arial" w:hAnsi="Arial"/>
                <w:sz w:val="18"/>
                <w:szCs w:val="18"/>
                <w:b w:val="1"/>
                <w:bCs w:val="1"/>
                <w:color w:val="auto"/>
              </w:rPr>
              <w:t>Three Months Ended</w:t>
            </w:r>
          </w:p>
        </w:tc>
        <w:tc>
          <w:tcPr>
            <w:tcW w:w="240" w:type="dxa"/>
            <w:vAlign w:val="bottom"/>
          </w:tcPr>
          <w:p>
            <w:pPr>
              <w:spacing w:after="0"/>
              <w:rPr>
                <w:sz w:val="17"/>
                <w:szCs w:val="17"/>
                <w:color w:val="auto"/>
              </w:rPr>
            </w:pPr>
          </w:p>
        </w:tc>
        <w:tc>
          <w:tcPr>
            <w:tcW w:w="2480" w:type="dxa"/>
            <w:vAlign w:val="bottom"/>
            <w:gridSpan w:val="6"/>
          </w:tcPr>
          <w:p>
            <w:pPr>
              <w:jc w:val="right"/>
              <w:ind w:right="580"/>
              <w:spacing w:after="0"/>
              <w:rPr>
                <w:sz w:val="20"/>
                <w:szCs w:val="20"/>
                <w:color w:val="auto"/>
              </w:rPr>
            </w:pPr>
            <w:r>
              <w:rPr>
                <w:rFonts w:ascii="Arial" w:cs="Arial" w:eastAsia="Arial" w:hAnsi="Arial"/>
                <w:sz w:val="18"/>
                <w:szCs w:val="18"/>
                <w:b w:val="1"/>
                <w:bCs w:val="1"/>
                <w:color w:val="auto"/>
              </w:rPr>
              <w:t>Nine Months Ended</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52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560" w:type="dxa"/>
            <w:vAlign w:val="bottom"/>
            <w:gridSpan w:val="6"/>
          </w:tcPr>
          <w:p>
            <w:pPr>
              <w:jc w:val="right"/>
              <w:ind w:right="900"/>
              <w:spacing w:after="0"/>
              <w:rPr>
                <w:sz w:val="20"/>
                <w:szCs w:val="20"/>
                <w:color w:val="auto"/>
              </w:rPr>
            </w:pPr>
            <w:r>
              <w:rPr>
                <w:rFonts w:ascii="Arial" w:cs="Arial" w:eastAsia="Arial" w:hAnsi="Arial"/>
                <w:sz w:val="18"/>
                <w:szCs w:val="18"/>
                <w:b w:val="1"/>
                <w:bCs w:val="1"/>
                <w:color w:val="auto"/>
              </w:rPr>
              <w:t>September 30,</w:t>
            </w:r>
          </w:p>
        </w:tc>
        <w:tc>
          <w:tcPr>
            <w:tcW w:w="240" w:type="dxa"/>
            <w:vAlign w:val="bottom"/>
          </w:tcPr>
          <w:p>
            <w:pPr>
              <w:spacing w:after="0"/>
              <w:rPr>
                <w:sz w:val="19"/>
                <w:szCs w:val="19"/>
                <w:color w:val="auto"/>
              </w:rPr>
            </w:pPr>
          </w:p>
        </w:tc>
        <w:tc>
          <w:tcPr>
            <w:tcW w:w="2480" w:type="dxa"/>
            <w:vAlign w:val="bottom"/>
            <w:gridSpan w:val="6"/>
          </w:tcPr>
          <w:p>
            <w:pPr>
              <w:jc w:val="right"/>
              <w:ind w:right="800"/>
              <w:spacing w:after="0"/>
              <w:rPr>
                <w:sz w:val="20"/>
                <w:szCs w:val="20"/>
                <w:color w:val="auto"/>
              </w:rPr>
            </w:pPr>
            <w:r>
              <w:rPr>
                <w:rFonts w:ascii="Arial" w:cs="Arial" w:eastAsia="Arial" w:hAnsi="Arial"/>
                <w:sz w:val="18"/>
                <w:szCs w:val="18"/>
                <w:b w:val="1"/>
                <w:bCs w:val="1"/>
                <w:color w:val="auto"/>
              </w:rPr>
              <w:t>September 30,</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940" w:type="dxa"/>
            <w:vAlign w:val="bottom"/>
            <w:tcBorders>
              <w:top w:val="single" w:sz="8" w:color="auto"/>
              <w:bottom w:val="single" w:sz="8" w:color="auto"/>
            </w:tcBorders>
          </w:tcPr>
          <w:p>
            <w:pPr>
              <w:jc w:val="right"/>
              <w:ind w:right="290"/>
              <w:spacing w:after="0" w:line="196" w:lineRule="exact"/>
              <w:rPr>
                <w:sz w:val="20"/>
                <w:szCs w:val="20"/>
                <w:color w:val="auto"/>
              </w:rPr>
            </w:pPr>
            <w:r>
              <w:rPr>
                <w:rFonts w:ascii="Arial" w:cs="Arial" w:eastAsia="Arial" w:hAnsi="Arial"/>
                <w:sz w:val="18"/>
                <w:szCs w:val="18"/>
                <w:b w:val="1"/>
                <w:bCs w:val="1"/>
                <w:color w:val="auto"/>
              </w:rPr>
              <w:t>2011</w:t>
            </w:r>
          </w:p>
        </w:tc>
        <w:tc>
          <w:tcPr>
            <w:tcW w:w="14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940" w:type="dxa"/>
            <w:vAlign w:val="bottom"/>
            <w:tcBorders>
              <w:top w:val="single" w:sz="8" w:color="auto"/>
              <w:bottom w:val="single" w:sz="8" w:color="auto"/>
            </w:tcBorders>
          </w:tcPr>
          <w:p>
            <w:pPr>
              <w:jc w:val="right"/>
              <w:ind w:right="310"/>
              <w:spacing w:after="0" w:line="196" w:lineRule="exact"/>
              <w:rPr>
                <w:sz w:val="20"/>
                <w:szCs w:val="20"/>
                <w:color w:val="auto"/>
              </w:rPr>
            </w:pPr>
            <w:r>
              <w:rPr>
                <w:rFonts w:ascii="Arial" w:cs="Arial" w:eastAsia="Arial" w:hAnsi="Arial"/>
                <w:sz w:val="18"/>
                <w:szCs w:val="18"/>
                <w:b w:val="1"/>
                <w:bCs w:val="1"/>
                <w:color w:val="auto"/>
              </w:rPr>
              <w:t>2010</w:t>
            </w:r>
          </w:p>
        </w:tc>
        <w:tc>
          <w:tcPr>
            <w:tcW w:w="220" w:type="dxa"/>
            <w:vAlign w:val="bottom"/>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940" w:type="dxa"/>
            <w:vAlign w:val="bottom"/>
            <w:tcBorders>
              <w:top w:val="single" w:sz="8" w:color="auto"/>
              <w:bottom w:val="single" w:sz="8" w:color="auto"/>
            </w:tcBorders>
          </w:tcPr>
          <w:p>
            <w:pPr>
              <w:jc w:val="right"/>
              <w:ind w:right="310"/>
              <w:spacing w:after="0" w:line="196" w:lineRule="exact"/>
              <w:rPr>
                <w:sz w:val="20"/>
                <w:szCs w:val="20"/>
                <w:color w:val="auto"/>
              </w:rPr>
            </w:pPr>
            <w:r>
              <w:rPr>
                <w:rFonts w:ascii="Arial" w:cs="Arial" w:eastAsia="Arial" w:hAnsi="Arial"/>
                <w:sz w:val="18"/>
                <w:szCs w:val="18"/>
                <w:b w:val="1"/>
                <w:bCs w:val="1"/>
                <w:color w:val="auto"/>
              </w:rPr>
              <w:t>2011</w:t>
            </w:r>
          </w:p>
        </w:tc>
        <w:tc>
          <w:tcPr>
            <w:tcW w:w="14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960" w:type="dxa"/>
            <w:vAlign w:val="bottom"/>
            <w:tcBorders>
              <w:top w:val="single" w:sz="8" w:color="auto"/>
              <w:bottom w:val="single" w:sz="8" w:color="auto"/>
            </w:tcBorders>
          </w:tcPr>
          <w:p>
            <w:pPr>
              <w:jc w:val="right"/>
              <w:ind w:right="310"/>
              <w:spacing w:after="0" w:line="196" w:lineRule="exact"/>
              <w:rPr>
                <w:sz w:val="20"/>
                <w:szCs w:val="20"/>
                <w:color w:val="auto"/>
              </w:rPr>
            </w:pPr>
            <w:r>
              <w:rPr>
                <w:rFonts w:ascii="Arial" w:cs="Arial" w:eastAsia="Arial" w:hAnsi="Arial"/>
                <w:sz w:val="18"/>
                <w:szCs w:val="18"/>
                <w:b w:val="1"/>
                <w:bCs w:val="1"/>
                <w:color w:val="auto"/>
              </w:rPr>
              <w:t>2010</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5220" w:type="dxa"/>
            <w:vAlign w:val="bottom"/>
            <w:gridSpan w:val="2"/>
          </w:tcPr>
          <w:p>
            <w:pPr>
              <w:spacing w:after="0"/>
              <w:rPr>
                <w:sz w:val="20"/>
                <w:szCs w:val="20"/>
                <w:color w:val="auto"/>
              </w:rPr>
            </w:pPr>
            <w:r>
              <w:rPr>
                <w:rFonts w:ascii="Arial" w:cs="Arial" w:eastAsia="Arial" w:hAnsi="Arial"/>
                <w:sz w:val="18"/>
                <w:szCs w:val="18"/>
                <w:color w:val="auto"/>
              </w:rPr>
              <w:t>Operating revenues:</w:t>
            </w: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200" w:type="dxa"/>
            <w:vAlign w:val="bottom"/>
            <w:shd w:val="clear" w:color="auto" w:fill="CCEEFF"/>
          </w:tcPr>
          <w:p>
            <w:pPr>
              <w:ind w:left="320"/>
              <w:spacing w:after="0" w:line="202" w:lineRule="exact"/>
              <w:rPr>
                <w:sz w:val="20"/>
                <w:szCs w:val="20"/>
                <w:color w:val="auto"/>
              </w:rPr>
            </w:pPr>
            <w:r>
              <w:rPr>
                <w:rFonts w:ascii="Arial" w:cs="Arial" w:eastAsia="Arial" w:hAnsi="Arial"/>
                <w:sz w:val="18"/>
                <w:szCs w:val="18"/>
                <w:color w:val="auto"/>
              </w:rPr>
              <w:t>Casino</w:t>
            </w:r>
          </w:p>
        </w:tc>
        <w:tc>
          <w:tcPr>
            <w:tcW w:w="92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1,020,205</w:t>
            </w:r>
          </w:p>
        </w:tc>
        <w:tc>
          <w:tcPr>
            <w:tcW w:w="32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765,391</w:t>
            </w: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50"/>
              <w:spacing w:after="0" w:line="202" w:lineRule="exact"/>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3,108,553</w:t>
            </w:r>
          </w:p>
        </w:tc>
        <w:tc>
          <w:tcPr>
            <w:tcW w:w="32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2,246,184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200" w:type="dxa"/>
            <w:vAlign w:val="bottom"/>
          </w:tcPr>
          <w:p>
            <w:pPr>
              <w:ind w:left="320"/>
              <w:spacing w:after="0" w:line="202" w:lineRule="exact"/>
              <w:rPr>
                <w:sz w:val="20"/>
                <w:szCs w:val="20"/>
                <w:color w:val="auto"/>
              </w:rPr>
            </w:pPr>
            <w:r>
              <w:rPr>
                <w:rFonts w:ascii="Arial" w:cs="Arial" w:eastAsia="Arial" w:hAnsi="Arial"/>
                <w:sz w:val="18"/>
                <w:szCs w:val="18"/>
                <w:color w:val="auto"/>
              </w:rPr>
              <w:t>Rooms</w:t>
            </w:r>
          </w:p>
        </w:tc>
        <w:tc>
          <w:tcPr>
            <w:tcW w:w="6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8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120,113</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101,550</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8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355,492</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294,985</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200" w:type="dxa"/>
            <w:vAlign w:val="bottom"/>
            <w:shd w:val="clear" w:color="auto" w:fill="CCEEFF"/>
          </w:tcPr>
          <w:p>
            <w:pPr>
              <w:ind w:left="320"/>
              <w:spacing w:after="0" w:line="202" w:lineRule="exact"/>
              <w:rPr>
                <w:sz w:val="20"/>
                <w:szCs w:val="20"/>
                <w:color w:val="auto"/>
              </w:rPr>
            </w:pPr>
            <w:r>
              <w:rPr>
                <w:rFonts w:ascii="Arial" w:cs="Arial" w:eastAsia="Arial" w:hAnsi="Arial"/>
                <w:sz w:val="18"/>
                <w:szCs w:val="18"/>
                <w:color w:val="auto"/>
              </w:rPr>
              <w:t>Food and beverage</w:t>
            </w:r>
          </w:p>
        </w:tc>
        <w:tc>
          <w:tcPr>
            <w:tcW w:w="6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142,891</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129,432</w:t>
            </w: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419,542</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368,596</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200" w:type="dxa"/>
            <w:vAlign w:val="bottom"/>
          </w:tcPr>
          <w:p>
            <w:pPr>
              <w:ind w:left="320"/>
              <w:spacing w:after="0" w:line="202" w:lineRule="exact"/>
              <w:rPr>
                <w:sz w:val="20"/>
                <w:szCs w:val="20"/>
                <w:color w:val="auto"/>
              </w:rPr>
            </w:pPr>
            <w:r>
              <w:rPr>
                <w:rFonts w:ascii="Arial" w:cs="Arial" w:eastAsia="Arial" w:hAnsi="Arial"/>
                <w:sz w:val="18"/>
                <w:szCs w:val="18"/>
                <w:color w:val="auto"/>
              </w:rPr>
              <w:t>Entertainment, retail and other</w:t>
            </w:r>
          </w:p>
        </w:tc>
        <w:tc>
          <w:tcPr>
            <w:tcW w:w="6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8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105,530</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6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85,945</w:t>
            </w:r>
          </w:p>
        </w:tc>
        <w:tc>
          <w:tcPr>
            <w:tcW w:w="240" w:type="dxa"/>
            <w:vAlign w:val="bottom"/>
          </w:tcPr>
          <w:p>
            <w:pPr>
              <w:spacing w:after="0"/>
              <w:rPr>
                <w:sz w:val="17"/>
                <w:szCs w:val="17"/>
                <w:color w:val="auto"/>
              </w:rPr>
            </w:pPr>
          </w:p>
        </w:tc>
        <w:tc>
          <w:tcPr>
            <w:tcW w:w="108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306,900</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255,808</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5200" w:type="dxa"/>
            <w:vAlign w:val="bottom"/>
            <w:shd w:val="clear" w:color="auto" w:fill="CCEEFF"/>
          </w:tcPr>
          <w:p>
            <w:pPr>
              <w:ind w:left="580"/>
              <w:spacing w:after="0" w:line="196" w:lineRule="exact"/>
              <w:rPr>
                <w:sz w:val="20"/>
                <w:szCs w:val="20"/>
                <w:color w:val="auto"/>
              </w:rPr>
            </w:pPr>
            <w:r>
              <w:rPr>
                <w:rFonts w:ascii="Arial" w:cs="Arial" w:eastAsia="Arial" w:hAnsi="Arial"/>
                <w:sz w:val="18"/>
                <w:szCs w:val="18"/>
                <w:color w:val="auto"/>
              </w:rPr>
              <w:t>Gross revenues</w:t>
            </w:r>
          </w:p>
        </w:tc>
        <w:tc>
          <w:tcPr>
            <w:tcW w:w="6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40"/>
              <w:spacing w:after="0" w:line="196" w:lineRule="exact"/>
              <w:rPr>
                <w:sz w:val="20"/>
                <w:szCs w:val="20"/>
                <w:color w:val="auto"/>
              </w:rPr>
            </w:pPr>
            <w:r>
              <w:rPr>
                <w:rFonts w:ascii="Arial" w:cs="Arial" w:eastAsia="Arial" w:hAnsi="Arial"/>
                <w:sz w:val="18"/>
                <w:szCs w:val="18"/>
                <w:color w:val="auto"/>
              </w:rPr>
              <w:t>1,388,739</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220"/>
              <w:spacing w:after="0" w:line="196" w:lineRule="exact"/>
              <w:rPr>
                <w:sz w:val="20"/>
                <w:szCs w:val="20"/>
                <w:color w:val="auto"/>
              </w:rPr>
            </w:pPr>
            <w:r>
              <w:rPr>
                <w:rFonts w:ascii="Arial" w:cs="Arial" w:eastAsia="Arial" w:hAnsi="Arial"/>
                <w:sz w:val="18"/>
                <w:szCs w:val="18"/>
                <w:color w:val="auto"/>
              </w:rPr>
              <w:t>1,082,318</w:t>
            </w:r>
          </w:p>
        </w:tc>
        <w:tc>
          <w:tcPr>
            <w:tcW w:w="24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40"/>
              <w:spacing w:after="0" w:line="196" w:lineRule="exact"/>
              <w:rPr>
                <w:sz w:val="20"/>
                <w:szCs w:val="20"/>
                <w:color w:val="auto"/>
              </w:rPr>
            </w:pPr>
            <w:r>
              <w:rPr>
                <w:rFonts w:ascii="Arial" w:cs="Arial" w:eastAsia="Arial" w:hAnsi="Arial"/>
                <w:sz w:val="18"/>
                <w:szCs w:val="18"/>
                <w:color w:val="auto"/>
              </w:rPr>
              <w:t>4,190,487</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20"/>
              <w:spacing w:after="0" w:line="196" w:lineRule="exact"/>
              <w:rPr>
                <w:sz w:val="20"/>
                <w:szCs w:val="20"/>
                <w:color w:val="auto"/>
              </w:rPr>
            </w:pPr>
            <w:r>
              <w:rPr>
                <w:rFonts w:ascii="Arial" w:cs="Arial" w:eastAsia="Arial" w:hAnsi="Arial"/>
                <w:sz w:val="18"/>
                <w:szCs w:val="18"/>
                <w:color w:val="auto"/>
              </w:rPr>
              <w:t>3,165,573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200" w:type="dxa"/>
            <w:vAlign w:val="bottom"/>
          </w:tcPr>
          <w:p>
            <w:pPr>
              <w:ind w:left="320"/>
              <w:spacing w:after="0" w:line="202" w:lineRule="exact"/>
              <w:rPr>
                <w:sz w:val="20"/>
                <w:szCs w:val="20"/>
                <w:color w:val="auto"/>
              </w:rPr>
            </w:pPr>
            <w:r>
              <w:rPr>
                <w:rFonts w:ascii="Arial" w:cs="Arial" w:eastAsia="Arial" w:hAnsi="Arial"/>
                <w:sz w:val="18"/>
                <w:szCs w:val="18"/>
                <w:color w:val="auto"/>
              </w:rPr>
              <w:t>Less: promotional allowances</w:t>
            </w:r>
          </w:p>
        </w:tc>
        <w:tc>
          <w:tcPr>
            <w:tcW w:w="6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8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(90,435)</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6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(76,369)</w:t>
            </w:r>
          </w:p>
        </w:tc>
        <w:tc>
          <w:tcPr>
            <w:tcW w:w="240" w:type="dxa"/>
            <w:vAlign w:val="bottom"/>
          </w:tcPr>
          <w:p>
            <w:pPr>
              <w:spacing w:after="0"/>
              <w:rPr>
                <w:sz w:val="17"/>
                <w:szCs w:val="17"/>
                <w:color w:val="auto"/>
              </w:rPr>
            </w:pPr>
          </w:p>
        </w:tc>
        <w:tc>
          <w:tcPr>
            <w:tcW w:w="108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(264,558)</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8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(218,063)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5200" w:type="dxa"/>
            <w:vAlign w:val="bottom"/>
            <w:shd w:val="clear" w:color="auto" w:fill="CCEEFF"/>
          </w:tcPr>
          <w:p>
            <w:pPr>
              <w:ind w:left="580"/>
              <w:spacing w:after="0" w:line="196" w:lineRule="exact"/>
              <w:rPr>
                <w:sz w:val="20"/>
                <w:szCs w:val="20"/>
                <w:color w:val="auto"/>
              </w:rPr>
            </w:pPr>
            <w:r>
              <w:rPr>
                <w:rFonts w:ascii="Arial" w:cs="Arial" w:eastAsia="Arial" w:hAnsi="Arial"/>
                <w:sz w:val="18"/>
                <w:szCs w:val="18"/>
                <w:color w:val="auto"/>
              </w:rPr>
              <w:t>Net revenues</w:t>
            </w:r>
          </w:p>
        </w:tc>
        <w:tc>
          <w:tcPr>
            <w:tcW w:w="6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40"/>
              <w:spacing w:after="0" w:line="196" w:lineRule="exact"/>
              <w:rPr>
                <w:sz w:val="20"/>
                <w:szCs w:val="20"/>
                <w:color w:val="auto"/>
              </w:rPr>
            </w:pPr>
            <w:r>
              <w:rPr>
                <w:rFonts w:ascii="Arial" w:cs="Arial" w:eastAsia="Arial" w:hAnsi="Arial"/>
                <w:sz w:val="18"/>
                <w:szCs w:val="18"/>
                <w:color w:val="auto"/>
              </w:rPr>
              <w:t>1,298,304</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220"/>
              <w:spacing w:after="0" w:line="196" w:lineRule="exact"/>
              <w:rPr>
                <w:sz w:val="20"/>
                <w:szCs w:val="20"/>
                <w:color w:val="auto"/>
              </w:rPr>
            </w:pPr>
            <w:r>
              <w:rPr>
                <w:rFonts w:ascii="Arial" w:cs="Arial" w:eastAsia="Arial" w:hAnsi="Arial"/>
                <w:sz w:val="18"/>
                <w:szCs w:val="18"/>
                <w:color w:val="auto"/>
              </w:rPr>
              <w:t>1,005,949</w:t>
            </w:r>
          </w:p>
        </w:tc>
        <w:tc>
          <w:tcPr>
            <w:tcW w:w="24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40"/>
              <w:spacing w:after="0" w:line="196" w:lineRule="exact"/>
              <w:rPr>
                <w:sz w:val="20"/>
                <w:szCs w:val="20"/>
                <w:color w:val="auto"/>
              </w:rPr>
            </w:pPr>
            <w:r>
              <w:rPr>
                <w:rFonts w:ascii="Arial" w:cs="Arial" w:eastAsia="Arial" w:hAnsi="Arial"/>
                <w:sz w:val="18"/>
                <w:szCs w:val="18"/>
                <w:color w:val="auto"/>
              </w:rPr>
              <w:t>3,925,929</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20"/>
              <w:spacing w:after="0" w:line="196" w:lineRule="exact"/>
              <w:rPr>
                <w:sz w:val="20"/>
                <w:szCs w:val="20"/>
                <w:color w:val="auto"/>
              </w:rPr>
            </w:pPr>
            <w:r>
              <w:rPr>
                <w:rFonts w:ascii="Arial" w:cs="Arial" w:eastAsia="Arial" w:hAnsi="Arial"/>
                <w:sz w:val="18"/>
                <w:szCs w:val="18"/>
                <w:color w:val="auto"/>
              </w:rPr>
              <w:t>2,947,510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0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Operating costs and expenses:</w:t>
            </w:r>
          </w:p>
        </w:tc>
        <w:tc>
          <w:tcPr>
            <w:tcW w:w="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200" w:type="dxa"/>
            <w:vAlign w:val="bottom"/>
          </w:tcPr>
          <w:p>
            <w:pPr>
              <w:ind w:left="320"/>
              <w:spacing w:after="0" w:line="202" w:lineRule="exact"/>
              <w:rPr>
                <w:sz w:val="20"/>
                <w:szCs w:val="20"/>
                <w:color w:val="auto"/>
              </w:rPr>
            </w:pPr>
            <w:r>
              <w:rPr>
                <w:rFonts w:ascii="Arial" w:cs="Arial" w:eastAsia="Arial" w:hAnsi="Arial"/>
                <w:sz w:val="18"/>
                <w:szCs w:val="18"/>
                <w:color w:val="auto"/>
              </w:rPr>
              <w:t>Casino</w:t>
            </w:r>
          </w:p>
        </w:tc>
        <w:tc>
          <w:tcPr>
            <w:tcW w:w="6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8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679,479</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500,303</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8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1,988,339</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8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1,467,499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200" w:type="dxa"/>
            <w:vAlign w:val="bottom"/>
            <w:shd w:val="clear" w:color="auto" w:fill="CCEEFF"/>
          </w:tcPr>
          <w:p>
            <w:pPr>
              <w:ind w:left="320"/>
              <w:spacing w:after="0" w:line="202" w:lineRule="exact"/>
              <w:rPr>
                <w:sz w:val="20"/>
                <w:szCs w:val="20"/>
                <w:color w:val="auto"/>
              </w:rPr>
            </w:pPr>
            <w:r>
              <w:rPr>
                <w:rFonts w:ascii="Arial" w:cs="Arial" w:eastAsia="Arial" w:hAnsi="Arial"/>
                <w:sz w:val="18"/>
                <w:szCs w:val="18"/>
                <w:color w:val="auto"/>
              </w:rPr>
              <w:t>Rooms</w:t>
            </w:r>
          </w:p>
        </w:tc>
        <w:tc>
          <w:tcPr>
            <w:tcW w:w="6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31,135</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30,572</w:t>
            </w:r>
          </w:p>
        </w:tc>
        <w:tc>
          <w:tcPr>
            <w:tcW w:w="24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93,594</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93,363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200" w:type="dxa"/>
            <w:vAlign w:val="bottom"/>
          </w:tcPr>
          <w:p>
            <w:pPr>
              <w:ind w:left="320"/>
              <w:spacing w:after="0" w:line="202" w:lineRule="exact"/>
              <w:rPr>
                <w:sz w:val="20"/>
                <w:szCs w:val="20"/>
                <w:color w:val="auto"/>
              </w:rPr>
            </w:pPr>
            <w:r>
              <w:rPr>
                <w:rFonts w:ascii="Arial" w:cs="Arial" w:eastAsia="Arial" w:hAnsi="Arial"/>
                <w:sz w:val="18"/>
                <w:szCs w:val="18"/>
                <w:color w:val="auto"/>
              </w:rPr>
              <w:t>Food and beverage</w:t>
            </w:r>
          </w:p>
        </w:tc>
        <w:tc>
          <w:tcPr>
            <w:tcW w:w="6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8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73,250</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6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72,221</w:t>
            </w:r>
          </w:p>
        </w:tc>
        <w:tc>
          <w:tcPr>
            <w:tcW w:w="240" w:type="dxa"/>
            <w:vAlign w:val="bottom"/>
          </w:tcPr>
          <w:p>
            <w:pPr>
              <w:spacing w:after="0"/>
              <w:rPr>
                <w:sz w:val="17"/>
                <w:szCs w:val="17"/>
                <w:color w:val="auto"/>
              </w:rPr>
            </w:pPr>
          </w:p>
        </w:tc>
        <w:tc>
          <w:tcPr>
            <w:tcW w:w="108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214,203</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206,754</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200" w:type="dxa"/>
            <w:vAlign w:val="bottom"/>
            <w:shd w:val="clear" w:color="auto" w:fill="CCEEFF"/>
          </w:tcPr>
          <w:p>
            <w:pPr>
              <w:ind w:left="320"/>
              <w:spacing w:after="0" w:line="202" w:lineRule="exact"/>
              <w:rPr>
                <w:sz w:val="20"/>
                <w:szCs w:val="20"/>
                <w:color w:val="auto"/>
              </w:rPr>
            </w:pPr>
            <w:r>
              <w:rPr>
                <w:rFonts w:ascii="Arial" w:cs="Arial" w:eastAsia="Arial" w:hAnsi="Arial"/>
                <w:sz w:val="18"/>
                <w:szCs w:val="18"/>
                <w:color w:val="auto"/>
              </w:rPr>
              <w:t>Entertainment, retail and other</w:t>
            </w:r>
          </w:p>
        </w:tc>
        <w:tc>
          <w:tcPr>
            <w:tcW w:w="6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52,152</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50,062</w:t>
            </w:r>
          </w:p>
        </w:tc>
        <w:tc>
          <w:tcPr>
            <w:tcW w:w="24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162,591</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147,819</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200" w:type="dxa"/>
            <w:vAlign w:val="bottom"/>
          </w:tcPr>
          <w:p>
            <w:pPr>
              <w:ind w:left="320"/>
              <w:spacing w:after="0" w:line="202" w:lineRule="exact"/>
              <w:rPr>
                <w:sz w:val="20"/>
                <w:szCs w:val="20"/>
                <w:color w:val="auto"/>
              </w:rPr>
            </w:pPr>
            <w:r>
              <w:rPr>
                <w:rFonts w:ascii="Arial" w:cs="Arial" w:eastAsia="Arial" w:hAnsi="Arial"/>
                <w:sz w:val="18"/>
                <w:szCs w:val="18"/>
                <w:color w:val="auto"/>
              </w:rPr>
              <w:t>General and administrative</w:t>
            </w:r>
          </w:p>
        </w:tc>
        <w:tc>
          <w:tcPr>
            <w:tcW w:w="6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8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107,935</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103,030</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8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287,508</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285,699</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200" w:type="dxa"/>
            <w:vAlign w:val="bottom"/>
            <w:shd w:val="clear" w:color="auto" w:fill="CCEEFF"/>
          </w:tcPr>
          <w:p>
            <w:pPr>
              <w:ind w:left="320"/>
              <w:spacing w:after="0" w:line="202" w:lineRule="exact"/>
              <w:rPr>
                <w:sz w:val="20"/>
                <w:szCs w:val="20"/>
                <w:color w:val="auto"/>
              </w:rPr>
            </w:pPr>
            <w:r>
              <w:rPr>
                <w:rFonts w:ascii="Arial" w:cs="Arial" w:eastAsia="Arial" w:hAnsi="Arial"/>
                <w:sz w:val="18"/>
                <w:szCs w:val="18"/>
                <w:color w:val="auto"/>
              </w:rPr>
              <w:t>Provision for doubtful accounts</w:t>
            </w:r>
          </w:p>
        </w:tc>
        <w:tc>
          <w:tcPr>
            <w:tcW w:w="6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4,324</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859</w:t>
            </w: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18,269</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14,729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200" w:type="dxa"/>
            <w:vAlign w:val="bottom"/>
          </w:tcPr>
          <w:p>
            <w:pPr>
              <w:ind w:left="320"/>
              <w:spacing w:after="0" w:line="202" w:lineRule="exact"/>
              <w:rPr>
                <w:sz w:val="20"/>
                <w:szCs w:val="20"/>
                <w:color w:val="auto"/>
              </w:rPr>
            </w:pPr>
            <w:r>
              <w:rPr>
                <w:rFonts w:ascii="Arial" w:cs="Arial" w:eastAsia="Arial" w:hAnsi="Arial"/>
                <w:sz w:val="18"/>
                <w:szCs w:val="18"/>
                <w:color w:val="auto"/>
              </w:rPr>
              <w:t>Pre-opening costs</w:t>
            </w:r>
          </w:p>
        </w:tc>
        <w:tc>
          <w:tcPr>
            <w:tcW w:w="6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8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6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85</w:t>
            </w:r>
          </w:p>
        </w:tc>
        <w:tc>
          <w:tcPr>
            <w:tcW w:w="240" w:type="dxa"/>
            <w:vAlign w:val="bottom"/>
          </w:tcPr>
          <w:p>
            <w:pPr>
              <w:spacing w:after="0"/>
              <w:rPr>
                <w:sz w:val="17"/>
                <w:szCs w:val="17"/>
                <w:color w:val="auto"/>
              </w:rPr>
            </w:pPr>
          </w:p>
        </w:tc>
        <w:tc>
          <w:tcPr>
            <w:tcW w:w="108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8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9,071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200" w:type="dxa"/>
            <w:vAlign w:val="bottom"/>
            <w:shd w:val="clear" w:color="auto" w:fill="CCEEFF"/>
          </w:tcPr>
          <w:p>
            <w:pPr>
              <w:ind w:left="320"/>
              <w:spacing w:after="0" w:line="202" w:lineRule="exact"/>
              <w:rPr>
                <w:sz w:val="20"/>
                <w:szCs w:val="20"/>
                <w:color w:val="auto"/>
              </w:rPr>
            </w:pPr>
            <w:r>
              <w:rPr>
                <w:rFonts w:ascii="Arial" w:cs="Arial" w:eastAsia="Arial" w:hAnsi="Arial"/>
                <w:sz w:val="18"/>
                <w:szCs w:val="18"/>
                <w:color w:val="auto"/>
              </w:rPr>
              <w:t>Depreciation and amortization</w:t>
            </w:r>
          </w:p>
        </w:tc>
        <w:tc>
          <w:tcPr>
            <w:tcW w:w="6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100,522</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99,341</w:t>
            </w:r>
          </w:p>
        </w:tc>
        <w:tc>
          <w:tcPr>
            <w:tcW w:w="24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303,921</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305,259</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200" w:type="dxa"/>
            <w:vAlign w:val="bottom"/>
          </w:tcPr>
          <w:p>
            <w:pPr>
              <w:ind w:left="320"/>
              <w:spacing w:after="0" w:line="202" w:lineRule="exact"/>
              <w:rPr>
                <w:sz w:val="20"/>
                <w:szCs w:val="20"/>
                <w:color w:val="auto"/>
              </w:rPr>
            </w:pPr>
            <w:r>
              <w:rPr>
                <w:rFonts w:ascii="Arial" w:cs="Arial" w:eastAsia="Arial" w:hAnsi="Arial"/>
                <w:sz w:val="18"/>
                <w:szCs w:val="18"/>
                <w:color w:val="auto"/>
              </w:rPr>
              <w:t>Property charges and other</w:t>
            </w:r>
          </w:p>
        </w:tc>
        <w:tc>
          <w:tcPr>
            <w:tcW w:w="6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8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9,662</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6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17,527</w:t>
            </w:r>
          </w:p>
        </w:tc>
        <w:tc>
          <w:tcPr>
            <w:tcW w:w="240" w:type="dxa"/>
            <w:vAlign w:val="bottom"/>
          </w:tcPr>
          <w:p>
            <w:pPr>
              <w:spacing w:after="0"/>
              <w:rPr>
                <w:sz w:val="17"/>
                <w:szCs w:val="17"/>
                <w:color w:val="auto"/>
              </w:rPr>
            </w:pPr>
          </w:p>
        </w:tc>
        <w:tc>
          <w:tcPr>
            <w:tcW w:w="108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124,070</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8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22,374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5200" w:type="dxa"/>
            <w:vAlign w:val="bottom"/>
            <w:shd w:val="clear" w:color="auto" w:fill="CCEEFF"/>
          </w:tcPr>
          <w:p>
            <w:pPr>
              <w:ind w:left="580"/>
              <w:spacing w:after="0" w:line="196" w:lineRule="exact"/>
              <w:rPr>
                <w:sz w:val="20"/>
                <w:szCs w:val="20"/>
                <w:color w:val="auto"/>
              </w:rPr>
            </w:pPr>
            <w:r>
              <w:rPr>
                <w:rFonts w:ascii="Arial" w:cs="Arial" w:eastAsia="Arial" w:hAnsi="Arial"/>
                <w:sz w:val="18"/>
                <w:szCs w:val="18"/>
                <w:color w:val="auto"/>
              </w:rPr>
              <w:t>Total operating costs and expenses</w:t>
            </w:r>
          </w:p>
        </w:tc>
        <w:tc>
          <w:tcPr>
            <w:tcW w:w="6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40"/>
              <w:spacing w:after="0" w:line="196" w:lineRule="exact"/>
              <w:rPr>
                <w:sz w:val="20"/>
                <w:szCs w:val="20"/>
                <w:color w:val="auto"/>
              </w:rPr>
            </w:pPr>
            <w:r>
              <w:rPr>
                <w:rFonts w:ascii="Arial" w:cs="Arial" w:eastAsia="Arial" w:hAnsi="Arial"/>
                <w:sz w:val="18"/>
                <w:szCs w:val="18"/>
                <w:color w:val="auto"/>
              </w:rPr>
              <w:t>1,058,459</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874,000</w:t>
            </w: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40"/>
              <w:spacing w:after="0" w:line="196" w:lineRule="exact"/>
              <w:rPr>
                <w:sz w:val="20"/>
                <w:szCs w:val="20"/>
                <w:color w:val="auto"/>
              </w:rPr>
            </w:pPr>
            <w:r>
              <w:rPr>
                <w:rFonts w:ascii="Arial" w:cs="Arial" w:eastAsia="Arial" w:hAnsi="Arial"/>
                <w:sz w:val="18"/>
                <w:szCs w:val="18"/>
                <w:color w:val="auto"/>
              </w:rPr>
              <w:t>3,192,495</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20"/>
              <w:spacing w:after="0" w:line="196" w:lineRule="exact"/>
              <w:rPr>
                <w:sz w:val="20"/>
                <w:szCs w:val="20"/>
                <w:color w:val="auto"/>
              </w:rPr>
            </w:pPr>
            <w:r>
              <w:rPr>
                <w:rFonts w:ascii="Arial" w:cs="Arial" w:eastAsia="Arial" w:hAnsi="Arial"/>
                <w:sz w:val="18"/>
                <w:szCs w:val="18"/>
                <w:color w:val="auto"/>
              </w:rPr>
              <w:t>2,552,567</w:t>
            </w:r>
          </w:p>
        </w:tc>
        <w:tc>
          <w:tcPr>
            <w:tcW w:w="0" w:type="dxa"/>
            <w:vAlign w:val="bottom"/>
          </w:tcPr>
          <w:p>
            <w:pPr>
              <w:spacing w:after="0"/>
              <w:rPr>
                <w:sz w:val="1"/>
                <w:szCs w:val="1"/>
                <w:color w:val="auto"/>
              </w:rPr>
            </w:pPr>
          </w:p>
        </w:tc>
      </w:tr>
      <w:tr>
        <w:trPr>
          <w:trHeight w:val="216"/>
        </w:trPr>
        <w:tc>
          <w:tcPr>
            <w:tcW w:w="5220" w:type="dxa"/>
            <w:vAlign w:val="bottom"/>
            <w:gridSpan w:val="2"/>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2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Operating income</w:t>
            </w:r>
          </w:p>
        </w:tc>
        <w:tc>
          <w:tcPr>
            <w:tcW w:w="6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239,845</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131,949</w:t>
            </w: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733,434</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394,943</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0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200" w:type="dxa"/>
            <w:vAlign w:val="bottom"/>
          </w:tcPr>
          <w:p>
            <w:pPr>
              <w:ind w:left="320"/>
              <w:spacing w:after="0" w:line="202" w:lineRule="exact"/>
              <w:rPr>
                <w:sz w:val="20"/>
                <w:szCs w:val="20"/>
                <w:color w:val="auto"/>
              </w:rPr>
            </w:pPr>
            <w:r>
              <w:rPr>
                <w:rFonts w:ascii="Arial" w:cs="Arial" w:eastAsia="Arial" w:hAnsi="Arial"/>
                <w:sz w:val="18"/>
                <w:szCs w:val="18"/>
                <w:color w:val="auto"/>
              </w:rPr>
              <w:t>Interest income</w:t>
            </w:r>
          </w:p>
        </w:tc>
        <w:tc>
          <w:tcPr>
            <w:tcW w:w="6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8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2,663</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953</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8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4,639</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8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1,812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200" w:type="dxa"/>
            <w:vAlign w:val="bottom"/>
            <w:shd w:val="clear" w:color="auto" w:fill="CCEEFF"/>
          </w:tcPr>
          <w:p>
            <w:pPr>
              <w:ind w:left="320"/>
              <w:spacing w:after="0" w:line="202" w:lineRule="exact"/>
              <w:rPr>
                <w:sz w:val="20"/>
                <w:szCs w:val="20"/>
                <w:color w:val="auto"/>
              </w:rPr>
            </w:pPr>
            <w:r>
              <w:rPr>
                <w:rFonts w:ascii="Arial" w:cs="Arial" w:eastAsia="Arial" w:hAnsi="Arial"/>
                <w:sz w:val="18"/>
                <w:szCs w:val="18"/>
                <w:color w:val="auto"/>
              </w:rPr>
              <w:t>Interest expense, net of capitalized interest</w:t>
            </w:r>
          </w:p>
        </w:tc>
        <w:tc>
          <w:tcPr>
            <w:tcW w:w="6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(57,462)</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(60,341)</w:t>
            </w:r>
          </w:p>
        </w:tc>
        <w:tc>
          <w:tcPr>
            <w:tcW w:w="24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(173,956)</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(163,200)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200" w:type="dxa"/>
            <w:vAlign w:val="bottom"/>
          </w:tcPr>
          <w:p>
            <w:pPr>
              <w:ind w:left="320"/>
              <w:spacing w:after="0" w:line="202" w:lineRule="exact"/>
              <w:rPr>
                <w:sz w:val="20"/>
                <w:szCs w:val="20"/>
                <w:color w:val="auto"/>
              </w:rPr>
            </w:pPr>
            <w:r>
              <w:rPr>
                <w:rFonts w:ascii="Arial" w:cs="Arial" w:eastAsia="Arial" w:hAnsi="Arial"/>
                <w:sz w:val="18"/>
                <w:szCs w:val="18"/>
                <w:color w:val="auto"/>
              </w:rPr>
              <w:t>Increase (decrease) in swap fair value</w:t>
            </w:r>
          </w:p>
        </w:tc>
        <w:tc>
          <w:tcPr>
            <w:tcW w:w="6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8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4,118</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6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(352)</w:t>
            </w:r>
          </w:p>
        </w:tc>
        <w:tc>
          <w:tcPr>
            <w:tcW w:w="240" w:type="dxa"/>
            <w:vAlign w:val="bottom"/>
          </w:tcPr>
          <w:p>
            <w:pPr>
              <w:spacing w:after="0"/>
              <w:rPr>
                <w:sz w:val="17"/>
                <w:szCs w:val="17"/>
                <w:color w:val="auto"/>
              </w:rPr>
            </w:pPr>
          </w:p>
        </w:tc>
        <w:tc>
          <w:tcPr>
            <w:tcW w:w="108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11,483</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8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(5,629)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200" w:type="dxa"/>
            <w:vAlign w:val="bottom"/>
            <w:shd w:val="clear" w:color="auto" w:fill="CCEEFF"/>
          </w:tcPr>
          <w:p>
            <w:pPr>
              <w:ind w:left="320"/>
              <w:spacing w:after="0" w:line="202" w:lineRule="exact"/>
              <w:rPr>
                <w:sz w:val="20"/>
                <w:szCs w:val="20"/>
                <w:color w:val="auto"/>
              </w:rPr>
            </w:pPr>
            <w:r>
              <w:rPr>
                <w:rFonts w:ascii="Arial" w:cs="Arial" w:eastAsia="Arial" w:hAnsi="Arial"/>
                <w:sz w:val="18"/>
                <w:szCs w:val="18"/>
                <w:color w:val="auto"/>
              </w:rPr>
              <w:t>Loss on extinguishment of debt/exchange offer</w:t>
            </w:r>
          </w:p>
        </w:tc>
        <w:tc>
          <w:tcPr>
            <w:tcW w:w="6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(64,215)</w:t>
            </w:r>
          </w:p>
        </w:tc>
        <w:tc>
          <w:tcPr>
            <w:tcW w:w="24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(67,367)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200" w:type="dxa"/>
            <w:vAlign w:val="bottom"/>
          </w:tcPr>
          <w:p>
            <w:pPr>
              <w:ind w:left="320"/>
              <w:spacing w:after="0" w:line="202" w:lineRule="exact"/>
              <w:rPr>
                <w:sz w:val="20"/>
                <w:szCs w:val="20"/>
                <w:color w:val="auto"/>
              </w:rPr>
            </w:pPr>
            <w:r>
              <w:rPr>
                <w:rFonts w:ascii="Arial" w:cs="Arial" w:eastAsia="Arial" w:hAnsi="Arial"/>
                <w:sz w:val="18"/>
                <w:szCs w:val="18"/>
                <w:color w:val="auto"/>
              </w:rPr>
              <w:t>Equity in income from unconsolidated affiliates</w:t>
            </w:r>
          </w:p>
        </w:tc>
        <w:tc>
          <w:tcPr>
            <w:tcW w:w="6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8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376</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112</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8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1,242</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618</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200" w:type="dxa"/>
            <w:vAlign w:val="bottom"/>
            <w:shd w:val="clear" w:color="auto" w:fill="CCEEFF"/>
          </w:tcPr>
          <w:p>
            <w:pPr>
              <w:ind w:left="320"/>
              <w:spacing w:after="0" w:line="202" w:lineRule="exact"/>
              <w:rPr>
                <w:sz w:val="20"/>
                <w:szCs w:val="20"/>
                <w:color w:val="auto"/>
              </w:rPr>
            </w:pPr>
            <w:r>
              <w:rPr>
                <w:rFonts w:ascii="Arial" w:cs="Arial" w:eastAsia="Arial" w:hAnsi="Arial"/>
                <w:sz w:val="18"/>
                <w:szCs w:val="18"/>
                <w:color w:val="auto"/>
              </w:rPr>
              <w:t>Other</w:t>
            </w:r>
          </w:p>
        </w:tc>
        <w:tc>
          <w:tcPr>
            <w:tcW w:w="6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(85)</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(1,141)</w:t>
            </w:r>
          </w:p>
        </w:tc>
        <w:tc>
          <w:tcPr>
            <w:tcW w:w="24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1,616</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(446)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0" w:type="dxa"/>
            <w:vAlign w:val="bottom"/>
            <w:shd w:val="clear" w:color="auto" w:fill="CCEEFF"/>
          </w:tcPr>
          <w:p>
            <w:pPr>
              <w:spacing w:after="0" w:line="20" w:lineRule="exact"/>
              <w:rPr>
                <w:sz w:val="1"/>
                <w:szCs w:val="1"/>
                <w:color w:val="auto"/>
              </w:rPr>
            </w:pPr>
          </w:p>
        </w:tc>
        <w:tc>
          <w:tcPr>
            <w:tcW w:w="68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5200" w:type="dxa"/>
            <w:vAlign w:val="bottom"/>
          </w:tcPr>
          <w:p>
            <w:pPr>
              <w:ind w:left="580"/>
              <w:spacing w:after="0" w:line="196" w:lineRule="exact"/>
              <w:rPr>
                <w:sz w:val="20"/>
                <w:szCs w:val="20"/>
                <w:color w:val="auto"/>
              </w:rPr>
            </w:pPr>
            <w:r>
              <w:rPr>
                <w:rFonts w:ascii="Arial" w:cs="Arial" w:eastAsia="Arial" w:hAnsi="Arial"/>
                <w:sz w:val="18"/>
                <w:szCs w:val="18"/>
                <w:color w:val="auto"/>
              </w:rPr>
              <w:t>Other income (expense), net</w:t>
            </w:r>
          </w:p>
        </w:tc>
        <w:tc>
          <w:tcPr>
            <w:tcW w:w="6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80" w:type="dxa"/>
            <w:vAlign w:val="bottom"/>
            <w:gridSpan w:val="2"/>
          </w:tcPr>
          <w:p>
            <w:pPr>
              <w:jc w:val="right"/>
              <w:ind w:right="80"/>
              <w:spacing w:after="0" w:line="196" w:lineRule="exact"/>
              <w:rPr>
                <w:sz w:val="20"/>
                <w:szCs w:val="20"/>
                <w:color w:val="auto"/>
              </w:rPr>
            </w:pPr>
            <w:r>
              <w:rPr>
                <w:rFonts w:ascii="Arial" w:cs="Arial" w:eastAsia="Arial" w:hAnsi="Arial"/>
                <w:sz w:val="18"/>
                <w:szCs w:val="18"/>
                <w:color w:val="auto"/>
              </w:rPr>
              <w:t>(50,390)</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60" w:type="dxa"/>
            <w:vAlign w:val="bottom"/>
            <w:gridSpan w:val="2"/>
          </w:tcPr>
          <w:p>
            <w:pPr>
              <w:jc w:val="right"/>
              <w:ind w:right="160"/>
              <w:spacing w:after="0" w:line="196" w:lineRule="exact"/>
              <w:rPr>
                <w:sz w:val="20"/>
                <w:szCs w:val="20"/>
                <w:color w:val="auto"/>
              </w:rPr>
            </w:pPr>
            <w:r>
              <w:rPr>
                <w:rFonts w:ascii="Arial" w:cs="Arial" w:eastAsia="Arial" w:hAnsi="Arial"/>
                <w:sz w:val="18"/>
                <w:szCs w:val="18"/>
                <w:color w:val="auto"/>
              </w:rPr>
              <w:t>(124,984)</w:t>
            </w:r>
          </w:p>
        </w:tc>
        <w:tc>
          <w:tcPr>
            <w:tcW w:w="240" w:type="dxa"/>
            <w:vAlign w:val="bottom"/>
          </w:tcPr>
          <w:p>
            <w:pPr>
              <w:spacing w:after="0"/>
              <w:rPr>
                <w:sz w:val="17"/>
                <w:szCs w:val="17"/>
                <w:color w:val="auto"/>
              </w:rPr>
            </w:pPr>
          </w:p>
        </w:tc>
        <w:tc>
          <w:tcPr>
            <w:tcW w:w="1080" w:type="dxa"/>
            <w:vAlign w:val="bottom"/>
            <w:gridSpan w:val="2"/>
          </w:tcPr>
          <w:p>
            <w:pPr>
              <w:jc w:val="right"/>
              <w:ind w:right="80"/>
              <w:spacing w:after="0" w:line="196" w:lineRule="exact"/>
              <w:rPr>
                <w:sz w:val="20"/>
                <w:szCs w:val="20"/>
                <w:color w:val="auto"/>
              </w:rPr>
            </w:pPr>
            <w:r>
              <w:rPr>
                <w:rFonts w:ascii="Arial" w:cs="Arial" w:eastAsia="Arial" w:hAnsi="Arial"/>
                <w:sz w:val="18"/>
                <w:szCs w:val="18"/>
                <w:color w:val="auto"/>
              </w:rPr>
              <w:t>(154,976)</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80" w:type="dxa"/>
            <w:vAlign w:val="bottom"/>
            <w:gridSpan w:val="2"/>
          </w:tcPr>
          <w:p>
            <w:pPr>
              <w:jc w:val="right"/>
              <w:ind w:right="60"/>
              <w:spacing w:after="0" w:line="196" w:lineRule="exact"/>
              <w:rPr>
                <w:sz w:val="20"/>
                <w:szCs w:val="20"/>
                <w:color w:val="auto"/>
              </w:rPr>
            </w:pPr>
            <w:r>
              <w:rPr>
                <w:rFonts w:ascii="Arial" w:cs="Arial" w:eastAsia="Arial" w:hAnsi="Arial"/>
                <w:sz w:val="18"/>
                <w:szCs w:val="18"/>
                <w:color w:val="auto"/>
              </w:rPr>
              <w:t>(234,212)</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5200" w:type="dxa"/>
            <w:vAlign w:val="bottom"/>
          </w:tcPr>
          <w:p>
            <w:pPr>
              <w:spacing w:after="0" w:line="202" w:lineRule="exact"/>
              <w:rPr>
                <w:sz w:val="20"/>
                <w:szCs w:val="20"/>
                <w:color w:val="auto"/>
              </w:rPr>
            </w:pPr>
            <w:r>
              <w:rPr>
                <w:rFonts w:ascii="Arial" w:cs="Arial" w:eastAsia="Arial" w:hAnsi="Arial"/>
                <w:sz w:val="18"/>
                <w:szCs w:val="18"/>
                <w:color w:val="auto"/>
              </w:rPr>
              <w:t>Income before income taxes</w:t>
            </w:r>
          </w:p>
        </w:tc>
        <w:tc>
          <w:tcPr>
            <w:tcW w:w="6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8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189,455</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6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6,965</w:t>
            </w:r>
          </w:p>
        </w:tc>
        <w:tc>
          <w:tcPr>
            <w:tcW w:w="240" w:type="dxa"/>
            <w:vAlign w:val="bottom"/>
          </w:tcPr>
          <w:p>
            <w:pPr>
              <w:spacing w:after="0"/>
              <w:rPr>
                <w:sz w:val="17"/>
                <w:szCs w:val="17"/>
                <w:color w:val="auto"/>
              </w:rPr>
            </w:pPr>
          </w:p>
        </w:tc>
        <w:tc>
          <w:tcPr>
            <w:tcW w:w="108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578,458</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160,731</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200" w:type="dxa"/>
            <w:vAlign w:val="bottom"/>
          </w:tcPr>
          <w:p>
            <w:pPr>
              <w:ind w:left="320"/>
              <w:spacing w:after="0" w:line="202" w:lineRule="exact"/>
              <w:rPr>
                <w:sz w:val="20"/>
                <w:szCs w:val="20"/>
                <w:color w:val="auto"/>
              </w:rPr>
            </w:pPr>
            <w:r>
              <w:rPr>
                <w:rFonts w:ascii="Arial" w:cs="Arial" w:eastAsia="Arial" w:hAnsi="Arial"/>
                <w:sz w:val="18"/>
                <w:szCs w:val="18"/>
                <w:color w:val="auto"/>
              </w:rPr>
              <w:t>Provision for income taxes</w:t>
            </w:r>
          </w:p>
        </w:tc>
        <w:tc>
          <w:tcPr>
            <w:tcW w:w="6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8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(4,270)</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6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(9,019)</w:t>
            </w:r>
          </w:p>
        </w:tc>
        <w:tc>
          <w:tcPr>
            <w:tcW w:w="240" w:type="dxa"/>
            <w:vAlign w:val="bottom"/>
          </w:tcPr>
          <w:p>
            <w:pPr>
              <w:spacing w:after="0"/>
              <w:rPr>
                <w:sz w:val="17"/>
                <w:szCs w:val="17"/>
                <w:color w:val="auto"/>
              </w:rPr>
            </w:pPr>
          </w:p>
        </w:tc>
        <w:tc>
          <w:tcPr>
            <w:tcW w:w="108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(11,607)</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8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(16,009)</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5200" w:type="dxa"/>
            <w:vAlign w:val="bottom"/>
          </w:tcPr>
          <w:p>
            <w:pPr>
              <w:spacing w:after="0" w:line="202" w:lineRule="exact"/>
              <w:rPr>
                <w:sz w:val="20"/>
                <w:szCs w:val="20"/>
                <w:color w:val="auto"/>
              </w:rPr>
            </w:pPr>
            <w:r>
              <w:rPr>
                <w:rFonts w:ascii="Arial" w:cs="Arial" w:eastAsia="Arial" w:hAnsi="Arial"/>
                <w:sz w:val="18"/>
                <w:szCs w:val="18"/>
                <w:color w:val="auto"/>
              </w:rPr>
              <w:t>Net income (loss)</w:t>
            </w:r>
          </w:p>
        </w:tc>
        <w:tc>
          <w:tcPr>
            <w:tcW w:w="6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8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185,185</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6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(2,054)</w:t>
            </w:r>
          </w:p>
        </w:tc>
        <w:tc>
          <w:tcPr>
            <w:tcW w:w="240" w:type="dxa"/>
            <w:vAlign w:val="bottom"/>
          </w:tcPr>
          <w:p>
            <w:pPr>
              <w:spacing w:after="0"/>
              <w:rPr>
                <w:sz w:val="17"/>
                <w:szCs w:val="17"/>
                <w:color w:val="auto"/>
              </w:rPr>
            </w:pPr>
          </w:p>
        </w:tc>
        <w:tc>
          <w:tcPr>
            <w:tcW w:w="108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566,851</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144,722</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200" w:type="dxa"/>
            <w:vAlign w:val="bottom"/>
          </w:tcPr>
          <w:p>
            <w:pPr>
              <w:ind w:left="320"/>
              <w:spacing w:after="0" w:line="202" w:lineRule="exact"/>
              <w:rPr>
                <w:sz w:val="20"/>
                <w:szCs w:val="20"/>
                <w:color w:val="auto"/>
              </w:rPr>
            </w:pPr>
            <w:r>
              <w:rPr>
                <w:rFonts w:ascii="Arial" w:cs="Arial" w:eastAsia="Arial" w:hAnsi="Arial"/>
                <w:sz w:val="18"/>
                <w:szCs w:val="18"/>
                <w:color w:val="auto"/>
              </w:rPr>
              <w:t>Less: Net income attributable to noncontrolling interests</w:t>
            </w:r>
          </w:p>
        </w:tc>
        <w:tc>
          <w:tcPr>
            <w:tcW w:w="6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8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(58,122)</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6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(31,454)</w:t>
            </w:r>
          </w:p>
        </w:tc>
        <w:tc>
          <w:tcPr>
            <w:tcW w:w="240" w:type="dxa"/>
            <w:vAlign w:val="bottom"/>
          </w:tcPr>
          <w:p>
            <w:pPr>
              <w:spacing w:after="0"/>
              <w:rPr>
                <w:sz w:val="17"/>
                <w:szCs w:val="17"/>
                <w:color w:val="auto"/>
              </w:rPr>
            </w:pPr>
          </w:p>
        </w:tc>
        <w:tc>
          <w:tcPr>
            <w:tcW w:w="108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(143,953)</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8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(98,837)</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5200" w:type="dxa"/>
            <w:vAlign w:val="bottom"/>
          </w:tcPr>
          <w:p>
            <w:pPr>
              <w:spacing w:after="0" w:line="202" w:lineRule="exact"/>
              <w:rPr>
                <w:sz w:val="20"/>
                <w:szCs w:val="20"/>
                <w:color w:val="auto"/>
              </w:rPr>
            </w:pPr>
            <w:r>
              <w:rPr>
                <w:rFonts w:ascii="Arial" w:cs="Arial" w:eastAsia="Arial" w:hAnsi="Arial"/>
                <w:sz w:val="18"/>
                <w:szCs w:val="18"/>
                <w:color w:val="auto"/>
              </w:rPr>
              <w:t>Net income (loss) attributable to Wynn Resorts, Limited</w:t>
            </w:r>
          </w:p>
        </w:tc>
        <w:tc>
          <w:tcPr>
            <w:tcW w:w="92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127,063</w:t>
            </w:r>
          </w:p>
        </w:tc>
        <w:tc>
          <w:tcPr>
            <w:tcW w:w="32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(33,508)</w:t>
            </w:r>
          </w:p>
        </w:tc>
        <w:tc>
          <w:tcPr>
            <w:tcW w:w="240" w:type="dxa"/>
            <w:vAlign w:val="bottom"/>
          </w:tcPr>
          <w:p>
            <w:pPr>
              <w:jc w:val="right"/>
              <w:ind w:right="50"/>
              <w:spacing w:after="0" w:line="202" w:lineRule="exact"/>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422,898</w:t>
            </w:r>
          </w:p>
        </w:tc>
        <w:tc>
          <w:tcPr>
            <w:tcW w:w="32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45,885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52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220" w:type="dxa"/>
            <w:vAlign w:val="bottom"/>
            <w:gridSpan w:val="2"/>
          </w:tcPr>
          <w:p>
            <w:pPr>
              <w:spacing w:after="0"/>
              <w:rPr>
                <w:sz w:val="20"/>
                <w:szCs w:val="20"/>
                <w:color w:val="auto"/>
              </w:rPr>
            </w:pPr>
            <w:r>
              <w:rPr>
                <w:rFonts w:ascii="Arial" w:cs="Arial" w:eastAsia="Arial" w:hAnsi="Arial"/>
                <w:sz w:val="18"/>
                <w:szCs w:val="18"/>
                <w:color w:val="auto"/>
              </w:rPr>
              <w:t>Basic and diluted income (loss) per common share:</w:t>
            </w: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Net income (loss) attributable to Wynn Resorts, Limited:</w:t>
            </w:r>
          </w:p>
        </w:tc>
        <w:tc>
          <w:tcPr>
            <w:tcW w:w="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200" w:type="dxa"/>
            <w:vAlign w:val="bottom"/>
          </w:tcPr>
          <w:p>
            <w:pPr>
              <w:ind w:left="580"/>
              <w:spacing w:after="0" w:line="202" w:lineRule="exact"/>
              <w:rPr>
                <w:sz w:val="20"/>
                <w:szCs w:val="20"/>
                <w:color w:val="auto"/>
              </w:rPr>
            </w:pPr>
            <w:r>
              <w:rPr>
                <w:rFonts w:ascii="Arial" w:cs="Arial" w:eastAsia="Arial" w:hAnsi="Arial"/>
                <w:sz w:val="18"/>
                <w:szCs w:val="18"/>
                <w:color w:val="auto"/>
              </w:rPr>
              <w:t>Basic</w:t>
            </w:r>
          </w:p>
        </w:tc>
        <w:tc>
          <w:tcPr>
            <w:tcW w:w="92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1.02</w:t>
            </w:r>
          </w:p>
        </w:tc>
        <w:tc>
          <w:tcPr>
            <w:tcW w:w="32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(0.27)</w:t>
            </w:r>
          </w:p>
        </w:tc>
        <w:tc>
          <w:tcPr>
            <w:tcW w:w="240" w:type="dxa"/>
            <w:vAlign w:val="bottom"/>
          </w:tcPr>
          <w:p>
            <w:pPr>
              <w:jc w:val="right"/>
              <w:ind w:right="50"/>
              <w:spacing w:after="0" w:line="202" w:lineRule="exact"/>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3.41</w:t>
            </w:r>
          </w:p>
        </w:tc>
        <w:tc>
          <w:tcPr>
            <w:tcW w:w="32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0.37</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200" w:type="dxa"/>
            <w:vAlign w:val="bottom"/>
            <w:shd w:val="clear" w:color="auto" w:fill="CCEEFF"/>
          </w:tcPr>
          <w:p>
            <w:pPr>
              <w:ind w:left="580"/>
              <w:spacing w:after="0" w:line="202" w:lineRule="exact"/>
              <w:rPr>
                <w:sz w:val="20"/>
                <w:szCs w:val="20"/>
                <w:color w:val="auto"/>
              </w:rPr>
            </w:pPr>
            <w:r>
              <w:rPr>
                <w:rFonts w:ascii="Arial" w:cs="Arial" w:eastAsia="Arial" w:hAnsi="Arial"/>
                <w:sz w:val="18"/>
                <w:szCs w:val="18"/>
                <w:color w:val="auto"/>
              </w:rPr>
              <w:t>Diluted</w:t>
            </w:r>
          </w:p>
        </w:tc>
        <w:tc>
          <w:tcPr>
            <w:tcW w:w="92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1.01</w:t>
            </w:r>
          </w:p>
        </w:tc>
        <w:tc>
          <w:tcPr>
            <w:tcW w:w="32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(0.27)</w:t>
            </w:r>
          </w:p>
        </w:tc>
        <w:tc>
          <w:tcPr>
            <w:tcW w:w="240" w:type="dxa"/>
            <w:vAlign w:val="bottom"/>
            <w:shd w:val="clear" w:color="auto" w:fill="CCEEFF"/>
          </w:tcPr>
          <w:p>
            <w:pPr>
              <w:jc w:val="right"/>
              <w:ind w:right="50"/>
              <w:spacing w:after="0" w:line="202" w:lineRule="exact"/>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3.37</w:t>
            </w:r>
          </w:p>
        </w:tc>
        <w:tc>
          <w:tcPr>
            <w:tcW w:w="32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0.37</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tcPr>
          <w:p>
            <w:pPr>
              <w:ind w:left="320"/>
              <w:spacing w:after="0"/>
              <w:rPr>
                <w:sz w:val="20"/>
                <w:szCs w:val="20"/>
                <w:color w:val="auto"/>
              </w:rPr>
            </w:pPr>
            <w:r>
              <w:rPr>
                <w:rFonts w:ascii="Arial" w:cs="Arial" w:eastAsia="Arial" w:hAnsi="Arial"/>
                <w:sz w:val="18"/>
                <w:szCs w:val="18"/>
                <w:color w:val="auto"/>
              </w:rPr>
              <w:t>Weighted average common shares outstanding:</w:t>
            </w: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200" w:type="dxa"/>
            <w:vAlign w:val="bottom"/>
            <w:shd w:val="clear" w:color="auto" w:fill="CCEEFF"/>
          </w:tcPr>
          <w:p>
            <w:pPr>
              <w:ind w:left="580"/>
              <w:spacing w:after="0" w:line="202" w:lineRule="exact"/>
              <w:rPr>
                <w:sz w:val="20"/>
                <w:szCs w:val="20"/>
                <w:color w:val="auto"/>
              </w:rPr>
            </w:pPr>
            <w:r>
              <w:rPr>
                <w:rFonts w:ascii="Arial" w:cs="Arial" w:eastAsia="Arial" w:hAnsi="Arial"/>
                <w:sz w:val="18"/>
                <w:szCs w:val="18"/>
                <w:color w:val="auto"/>
              </w:rPr>
              <w:t>Basic</w:t>
            </w:r>
          </w:p>
        </w:tc>
        <w:tc>
          <w:tcPr>
            <w:tcW w:w="6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124,176</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122,771</w:t>
            </w: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123,969</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122,569</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200" w:type="dxa"/>
            <w:vAlign w:val="bottom"/>
          </w:tcPr>
          <w:p>
            <w:pPr>
              <w:ind w:left="580"/>
              <w:spacing w:after="0"/>
              <w:rPr>
                <w:sz w:val="20"/>
                <w:szCs w:val="20"/>
                <w:color w:val="auto"/>
              </w:rPr>
            </w:pPr>
            <w:r>
              <w:rPr>
                <w:rFonts w:ascii="Arial" w:cs="Arial" w:eastAsia="Arial" w:hAnsi="Arial"/>
                <w:sz w:val="18"/>
                <w:szCs w:val="18"/>
                <w:color w:val="auto"/>
              </w:rPr>
              <w:t>Diluted</w:t>
            </w: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125,860</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122,771</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125,675</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123,564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836"/>
        </w:trPr>
        <w:tc>
          <w:tcPr>
            <w:tcW w:w="20" w:type="dxa"/>
            <w:vAlign w:val="bottom"/>
          </w:tcPr>
          <w:p>
            <w:pPr>
              <w:spacing w:after="0"/>
              <w:rPr>
                <w:sz w:val="24"/>
                <w:szCs w:val="24"/>
                <w:color w:val="auto"/>
              </w:rPr>
            </w:pPr>
          </w:p>
        </w:tc>
        <w:tc>
          <w:tcPr>
            <w:tcW w:w="5200" w:type="dxa"/>
            <w:vAlign w:val="bottom"/>
          </w:tcPr>
          <w:p>
            <w:pPr>
              <w:spacing w:after="0"/>
              <w:rPr>
                <w:sz w:val="24"/>
                <w:szCs w:val="24"/>
                <w:color w:val="auto"/>
              </w:rPr>
            </w:pPr>
          </w:p>
        </w:tc>
        <w:tc>
          <w:tcPr>
            <w:tcW w:w="680" w:type="dxa"/>
            <w:vAlign w:val="bottom"/>
          </w:tcPr>
          <w:p>
            <w:pPr>
              <w:jc w:val="right"/>
              <w:ind w:right="50"/>
              <w:spacing w:after="0"/>
              <w:rPr>
                <w:sz w:val="20"/>
                <w:szCs w:val="20"/>
                <w:color w:val="auto"/>
              </w:rPr>
            </w:pPr>
            <w:r>
              <w:rPr>
                <w:rFonts w:ascii="Arial" w:cs="Arial" w:eastAsia="Arial" w:hAnsi="Arial"/>
                <w:sz w:val="18"/>
                <w:szCs w:val="18"/>
                <w:color w:val="auto"/>
              </w:rPr>
              <w:t>4</w:t>
            </w: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200" w:type="dxa"/>
            <w:vAlign w:val="bottom"/>
            <w:tcBorders>
              <w:bottom w:val="single" w:sz="8" w:color="808080"/>
            </w:tcBorders>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94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94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94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08" w:right="2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RECONCILIATION OF NET INCOME (LOSS) ATTRIBUTABLE TO WYNN RESORTS, LIMITED</w:t>
      </w:r>
    </w:p>
    <w:p>
      <w:pPr>
        <w:jc w:val="center"/>
        <w:spacing w:after="0" w:line="234" w:lineRule="auto"/>
        <w:rPr>
          <w:sz w:val="20"/>
          <w:szCs w:val="20"/>
          <w:color w:val="auto"/>
        </w:rPr>
      </w:pPr>
      <w:r>
        <w:rPr>
          <w:rFonts w:ascii="Arial" w:cs="Arial" w:eastAsia="Arial" w:hAnsi="Arial"/>
          <w:sz w:val="18"/>
          <w:szCs w:val="18"/>
          <w:color w:val="auto"/>
        </w:rPr>
        <w:t>TO ADJUSTED NET INCOME ATTRIBUTABLE TO WYNN RESORTS, LIMITED</w:t>
      </w:r>
    </w:p>
    <w:p>
      <w:pPr>
        <w:jc w:val="center"/>
        <w:spacing w:after="0" w:line="235" w:lineRule="auto"/>
        <w:rPr>
          <w:sz w:val="20"/>
          <w:szCs w:val="20"/>
          <w:color w:val="auto"/>
        </w:rPr>
      </w:pPr>
      <w:r>
        <w:rPr>
          <w:rFonts w:ascii="Arial" w:cs="Arial" w:eastAsia="Arial" w:hAnsi="Arial"/>
          <w:sz w:val="18"/>
          <w:szCs w:val="18"/>
          <w:color w:val="auto"/>
        </w:rPr>
        <w:t>(amounts in thousands, except per share data)</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55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500" w:type="dxa"/>
            <w:vAlign w:val="bottom"/>
            <w:gridSpan w:val="6"/>
          </w:tcPr>
          <w:p>
            <w:pPr>
              <w:ind w:left="140"/>
              <w:spacing w:after="0"/>
              <w:rPr>
                <w:sz w:val="20"/>
                <w:szCs w:val="20"/>
                <w:color w:val="auto"/>
              </w:rPr>
            </w:pPr>
            <w:r>
              <w:rPr>
                <w:rFonts w:ascii="Arial" w:cs="Arial" w:eastAsia="Arial" w:hAnsi="Arial"/>
                <w:sz w:val="18"/>
                <w:szCs w:val="18"/>
                <w:b w:val="1"/>
                <w:bCs w:val="1"/>
                <w:color w:val="auto"/>
              </w:rPr>
              <w:t>Three Months Ended</w:t>
            </w:r>
          </w:p>
        </w:tc>
        <w:tc>
          <w:tcPr>
            <w:tcW w:w="240" w:type="dxa"/>
            <w:vAlign w:val="bottom"/>
          </w:tcPr>
          <w:p>
            <w:pPr>
              <w:spacing w:after="0"/>
              <w:rPr>
                <w:sz w:val="17"/>
                <w:szCs w:val="17"/>
                <w:color w:val="auto"/>
              </w:rPr>
            </w:pPr>
          </w:p>
        </w:tc>
        <w:tc>
          <w:tcPr>
            <w:tcW w:w="2360" w:type="dxa"/>
            <w:vAlign w:val="bottom"/>
            <w:gridSpan w:val="6"/>
          </w:tcPr>
          <w:p>
            <w:pPr>
              <w:jc w:val="right"/>
              <w:ind w:right="520"/>
              <w:spacing w:after="0"/>
              <w:rPr>
                <w:sz w:val="20"/>
                <w:szCs w:val="20"/>
                <w:color w:val="auto"/>
              </w:rPr>
            </w:pPr>
            <w:r>
              <w:rPr>
                <w:rFonts w:ascii="Arial" w:cs="Arial" w:eastAsia="Arial" w:hAnsi="Arial"/>
                <w:sz w:val="18"/>
                <w:szCs w:val="18"/>
                <w:b w:val="1"/>
                <w:bCs w:val="1"/>
                <w:color w:val="auto"/>
              </w:rPr>
              <w:t>Nine Months Ended</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55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500" w:type="dxa"/>
            <w:vAlign w:val="bottom"/>
            <w:gridSpan w:val="6"/>
          </w:tcPr>
          <w:p>
            <w:pPr>
              <w:ind w:left="400"/>
              <w:spacing w:after="0"/>
              <w:rPr>
                <w:sz w:val="20"/>
                <w:szCs w:val="20"/>
                <w:color w:val="auto"/>
              </w:rPr>
            </w:pPr>
            <w:r>
              <w:rPr>
                <w:rFonts w:ascii="Arial" w:cs="Arial" w:eastAsia="Arial" w:hAnsi="Arial"/>
                <w:sz w:val="18"/>
                <w:szCs w:val="18"/>
                <w:b w:val="1"/>
                <w:bCs w:val="1"/>
                <w:color w:val="auto"/>
              </w:rPr>
              <w:t>September 30,</w:t>
            </w:r>
          </w:p>
        </w:tc>
        <w:tc>
          <w:tcPr>
            <w:tcW w:w="240" w:type="dxa"/>
            <w:vAlign w:val="bottom"/>
          </w:tcPr>
          <w:p>
            <w:pPr>
              <w:spacing w:after="0"/>
              <w:rPr>
                <w:sz w:val="19"/>
                <w:szCs w:val="19"/>
                <w:color w:val="auto"/>
              </w:rPr>
            </w:pPr>
          </w:p>
        </w:tc>
        <w:tc>
          <w:tcPr>
            <w:tcW w:w="2360" w:type="dxa"/>
            <w:vAlign w:val="bottom"/>
            <w:gridSpan w:val="6"/>
          </w:tcPr>
          <w:p>
            <w:pPr>
              <w:jc w:val="right"/>
              <w:ind w:right="740"/>
              <w:spacing w:after="0"/>
              <w:rPr>
                <w:sz w:val="20"/>
                <w:szCs w:val="20"/>
                <w:color w:val="auto"/>
              </w:rPr>
            </w:pPr>
            <w:r>
              <w:rPr>
                <w:rFonts w:ascii="Arial" w:cs="Arial" w:eastAsia="Arial" w:hAnsi="Arial"/>
                <w:sz w:val="18"/>
                <w:szCs w:val="18"/>
                <w:b w:val="1"/>
                <w:bCs w:val="1"/>
                <w:color w:val="auto"/>
              </w:rPr>
              <w:t>September 30,</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5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920" w:type="dxa"/>
            <w:vAlign w:val="bottom"/>
            <w:tcBorders>
              <w:top w:val="single" w:sz="8" w:color="auto"/>
              <w:bottom w:val="single" w:sz="8" w:color="auto"/>
            </w:tcBorders>
          </w:tcPr>
          <w:p>
            <w:pPr>
              <w:ind w:left="140"/>
              <w:spacing w:after="0" w:line="196" w:lineRule="exact"/>
              <w:rPr>
                <w:sz w:val="20"/>
                <w:szCs w:val="20"/>
                <w:color w:val="auto"/>
              </w:rPr>
            </w:pPr>
            <w:r>
              <w:rPr>
                <w:rFonts w:ascii="Arial" w:cs="Arial" w:eastAsia="Arial" w:hAnsi="Arial"/>
                <w:sz w:val="18"/>
                <w:szCs w:val="18"/>
                <w:b w:val="1"/>
                <w:bCs w:val="1"/>
                <w:color w:val="auto"/>
              </w:rPr>
              <w:t>2011</w:t>
            </w:r>
          </w:p>
        </w:tc>
        <w:tc>
          <w:tcPr>
            <w:tcW w:w="14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900" w:type="dxa"/>
            <w:vAlign w:val="bottom"/>
            <w:tcBorders>
              <w:top w:val="single" w:sz="8" w:color="auto"/>
              <w:bottom w:val="single" w:sz="8" w:color="auto"/>
            </w:tcBorders>
          </w:tcPr>
          <w:p>
            <w:pPr>
              <w:jc w:val="right"/>
              <w:ind w:right="290"/>
              <w:spacing w:after="0" w:line="196" w:lineRule="exact"/>
              <w:rPr>
                <w:sz w:val="20"/>
                <w:szCs w:val="20"/>
                <w:color w:val="auto"/>
              </w:rPr>
            </w:pPr>
            <w:r>
              <w:rPr>
                <w:rFonts w:ascii="Arial" w:cs="Arial" w:eastAsia="Arial" w:hAnsi="Arial"/>
                <w:sz w:val="18"/>
                <w:szCs w:val="18"/>
                <w:b w:val="1"/>
                <w:bCs w:val="1"/>
                <w:color w:val="auto"/>
              </w:rPr>
              <w:t>2010</w:t>
            </w:r>
          </w:p>
        </w:tc>
        <w:tc>
          <w:tcPr>
            <w:tcW w:w="200" w:type="dxa"/>
            <w:vAlign w:val="bottom"/>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900" w:type="dxa"/>
            <w:vAlign w:val="bottom"/>
            <w:tcBorders>
              <w:top w:val="single" w:sz="8" w:color="auto"/>
              <w:bottom w:val="single" w:sz="8" w:color="auto"/>
            </w:tcBorders>
          </w:tcPr>
          <w:p>
            <w:pPr>
              <w:jc w:val="right"/>
              <w:ind w:right="270"/>
              <w:spacing w:after="0" w:line="196" w:lineRule="exact"/>
              <w:rPr>
                <w:sz w:val="20"/>
                <w:szCs w:val="20"/>
                <w:color w:val="auto"/>
              </w:rPr>
            </w:pPr>
            <w:r>
              <w:rPr>
                <w:rFonts w:ascii="Arial" w:cs="Arial" w:eastAsia="Arial" w:hAnsi="Arial"/>
                <w:sz w:val="18"/>
                <w:szCs w:val="18"/>
                <w:b w:val="1"/>
                <w:bCs w:val="1"/>
                <w:color w:val="auto"/>
              </w:rPr>
              <w:t>2011</w:t>
            </w:r>
          </w:p>
        </w:tc>
        <w:tc>
          <w:tcPr>
            <w:tcW w:w="14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900" w:type="dxa"/>
            <w:vAlign w:val="bottom"/>
            <w:tcBorders>
              <w:top w:val="single" w:sz="8" w:color="auto"/>
              <w:bottom w:val="single" w:sz="8" w:color="auto"/>
            </w:tcBorders>
          </w:tcPr>
          <w:p>
            <w:pPr>
              <w:jc w:val="right"/>
              <w:ind w:right="290"/>
              <w:spacing w:after="0" w:line="196" w:lineRule="exact"/>
              <w:rPr>
                <w:sz w:val="20"/>
                <w:szCs w:val="20"/>
                <w:color w:val="auto"/>
              </w:rPr>
            </w:pPr>
            <w:r>
              <w:rPr>
                <w:rFonts w:ascii="Arial" w:cs="Arial" w:eastAsia="Arial" w:hAnsi="Arial"/>
                <w:sz w:val="18"/>
                <w:szCs w:val="18"/>
                <w:b w:val="1"/>
                <w:bCs w:val="1"/>
                <w:color w:val="auto"/>
              </w:rPr>
              <w:t>2010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5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55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income (loss) attributable to Wynn Resorts, Limited</w:t>
            </w:r>
          </w:p>
        </w:tc>
        <w:tc>
          <w:tcPr>
            <w:tcW w:w="72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127,063</w:t>
            </w:r>
          </w:p>
        </w:tc>
        <w:tc>
          <w:tcPr>
            <w:tcW w:w="34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(33,508)</w:t>
            </w:r>
          </w:p>
        </w:tc>
        <w:tc>
          <w:tcPr>
            <w:tcW w:w="240" w:type="dxa"/>
            <w:vAlign w:val="bottom"/>
            <w:shd w:val="clear" w:color="auto" w:fill="CCEEFF"/>
          </w:tcPr>
          <w:p>
            <w:pPr>
              <w:jc w:val="right"/>
              <w:ind w:right="50"/>
              <w:spacing w:after="0" w:line="202" w:lineRule="exact"/>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422,898</w:t>
            </w:r>
          </w:p>
        </w:tc>
        <w:tc>
          <w:tcPr>
            <w:tcW w:w="32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45,885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580" w:type="dxa"/>
            <w:vAlign w:val="bottom"/>
          </w:tcPr>
          <w:p>
            <w:pPr>
              <w:ind w:left="320"/>
              <w:spacing w:after="0" w:line="202" w:lineRule="exact"/>
              <w:rPr>
                <w:sz w:val="20"/>
                <w:szCs w:val="20"/>
                <w:color w:val="auto"/>
              </w:rPr>
            </w:pPr>
            <w:r>
              <w:rPr>
                <w:rFonts w:ascii="Arial" w:cs="Arial" w:eastAsia="Arial" w:hAnsi="Arial"/>
                <w:sz w:val="18"/>
                <w:szCs w:val="18"/>
                <w:color w:val="auto"/>
              </w:rPr>
              <w:t>Pre-opening costs</w:t>
            </w:r>
          </w:p>
        </w:tc>
        <w:tc>
          <w:tcPr>
            <w:tcW w:w="4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6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85</w:t>
            </w:r>
          </w:p>
        </w:tc>
        <w:tc>
          <w:tcPr>
            <w:tcW w:w="240" w:type="dxa"/>
            <w:vAlign w:val="bottom"/>
          </w:tcPr>
          <w:p>
            <w:pPr>
              <w:spacing w:after="0"/>
              <w:rPr>
                <w:sz w:val="17"/>
                <w:szCs w:val="17"/>
                <w:color w:val="auto"/>
              </w:rPr>
            </w:pPr>
          </w:p>
        </w:tc>
        <w:tc>
          <w:tcPr>
            <w:tcW w:w="104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9,071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580" w:type="dxa"/>
            <w:vAlign w:val="bottom"/>
            <w:shd w:val="clear" w:color="auto" w:fill="CCEEFF"/>
          </w:tcPr>
          <w:p>
            <w:pPr>
              <w:ind w:left="320"/>
              <w:spacing w:after="0" w:line="202" w:lineRule="exact"/>
              <w:rPr>
                <w:sz w:val="20"/>
                <w:szCs w:val="20"/>
                <w:color w:val="auto"/>
              </w:rPr>
            </w:pPr>
            <w:r>
              <w:rPr>
                <w:rFonts w:ascii="Arial" w:cs="Arial" w:eastAsia="Arial" w:hAnsi="Arial"/>
                <w:sz w:val="18"/>
                <w:szCs w:val="18"/>
                <w:color w:val="auto"/>
              </w:rPr>
              <w:t>Loss on extinguishment of debt/exchange offer</w:t>
            </w:r>
          </w:p>
        </w:tc>
        <w:tc>
          <w:tcPr>
            <w:tcW w:w="4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64,215</w:t>
            </w:r>
          </w:p>
        </w:tc>
        <w:tc>
          <w:tcPr>
            <w:tcW w:w="24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67,367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580" w:type="dxa"/>
            <w:vAlign w:val="bottom"/>
          </w:tcPr>
          <w:p>
            <w:pPr>
              <w:ind w:left="320"/>
              <w:spacing w:after="0" w:line="202" w:lineRule="exact"/>
              <w:rPr>
                <w:sz w:val="20"/>
                <w:szCs w:val="20"/>
                <w:color w:val="auto"/>
              </w:rPr>
            </w:pPr>
            <w:r>
              <w:rPr>
                <w:rFonts w:ascii="Arial" w:cs="Arial" w:eastAsia="Arial" w:hAnsi="Arial"/>
                <w:sz w:val="18"/>
                <w:szCs w:val="18"/>
                <w:color w:val="auto"/>
              </w:rPr>
              <w:t>(Increase) decrease in swap fair value</w:t>
            </w:r>
          </w:p>
        </w:tc>
        <w:tc>
          <w:tcPr>
            <w:tcW w:w="4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6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(4,118)</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352</w:t>
            </w: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4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(11,483)</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5,629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580" w:type="dxa"/>
            <w:vAlign w:val="bottom"/>
            <w:shd w:val="clear" w:color="auto" w:fill="CCEEFF"/>
          </w:tcPr>
          <w:p>
            <w:pPr>
              <w:ind w:left="320"/>
              <w:spacing w:after="0" w:line="202" w:lineRule="exact"/>
              <w:rPr>
                <w:sz w:val="20"/>
                <w:szCs w:val="20"/>
                <w:color w:val="auto"/>
              </w:rPr>
            </w:pPr>
            <w:r>
              <w:rPr>
                <w:rFonts w:ascii="Arial" w:cs="Arial" w:eastAsia="Arial" w:hAnsi="Arial"/>
                <w:sz w:val="18"/>
                <w:szCs w:val="18"/>
                <w:color w:val="auto"/>
              </w:rPr>
              <w:t>Property charges and other</w:t>
            </w:r>
          </w:p>
        </w:tc>
        <w:tc>
          <w:tcPr>
            <w:tcW w:w="4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9,662</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17,527</w:t>
            </w:r>
          </w:p>
        </w:tc>
        <w:tc>
          <w:tcPr>
            <w:tcW w:w="24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124,070</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22,374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580" w:type="dxa"/>
            <w:vAlign w:val="bottom"/>
          </w:tcPr>
          <w:p>
            <w:pPr>
              <w:ind w:left="320"/>
              <w:spacing w:after="0" w:line="202" w:lineRule="exact"/>
              <w:rPr>
                <w:sz w:val="20"/>
                <w:szCs w:val="20"/>
                <w:color w:val="auto"/>
              </w:rPr>
            </w:pPr>
            <w:r>
              <w:rPr>
                <w:rFonts w:ascii="Arial" w:cs="Arial" w:eastAsia="Arial" w:hAnsi="Arial"/>
                <w:sz w:val="18"/>
                <w:szCs w:val="18"/>
                <w:color w:val="auto"/>
              </w:rPr>
              <w:t>Adjustment for noncontrolling interest</w:t>
            </w:r>
          </w:p>
        </w:tc>
        <w:tc>
          <w:tcPr>
            <w:tcW w:w="4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6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(5)</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(4)</w:t>
            </w:r>
          </w:p>
        </w:tc>
        <w:tc>
          <w:tcPr>
            <w:tcW w:w="240" w:type="dxa"/>
            <w:vAlign w:val="bottom"/>
          </w:tcPr>
          <w:p>
            <w:pPr>
              <w:spacing w:after="0"/>
              <w:rPr>
                <w:sz w:val="17"/>
                <w:szCs w:val="17"/>
                <w:color w:val="auto"/>
              </w:rPr>
            </w:pPr>
          </w:p>
        </w:tc>
        <w:tc>
          <w:tcPr>
            <w:tcW w:w="104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(28,774)</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(2,965)</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5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0" w:type="dxa"/>
            <w:vAlign w:val="bottom"/>
            <w:vMerge w:val="continue"/>
          </w:tcPr>
          <w:p>
            <w:pPr>
              <w:spacing w:after="0"/>
              <w:rPr>
                <w:sz w:val="20"/>
                <w:szCs w:val="20"/>
                <w:color w:val="auto"/>
              </w:rPr>
            </w:pPr>
          </w:p>
        </w:tc>
        <w:tc>
          <w:tcPr>
            <w:tcW w:w="55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Adjusted net income attributable to Wynn Resorts, Limited (2)</w:t>
            </w:r>
          </w:p>
        </w:tc>
        <w:tc>
          <w:tcPr>
            <w:tcW w:w="720" w:type="dxa"/>
            <w:vAlign w:val="bottom"/>
            <w:gridSpan w:val="2"/>
            <w:shd w:val="clear" w:color="auto" w:fill="CCEEFF"/>
          </w:tcPr>
          <w:p>
            <w:pPr>
              <w:jc w:val="right"/>
              <w:ind w:right="140"/>
              <w:spacing w:after="0" w:line="196" w:lineRule="exact"/>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40"/>
              <w:spacing w:after="0" w:line="196" w:lineRule="exact"/>
              <w:rPr>
                <w:sz w:val="20"/>
                <w:szCs w:val="20"/>
                <w:color w:val="auto"/>
              </w:rPr>
            </w:pPr>
            <w:r>
              <w:rPr>
                <w:rFonts w:ascii="Arial" w:cs="Arial" w:eastAsia="Arial" w:hAnsi="Arial"/>
                <w:sz w:val="18"/>
                <w:szCs w:val="18"/>
                <w:color w:val="auto"/>
              </w:rPr>
              <w:t>132,602</w:t>
            </w:r>
          </w:p>
        </w:tc>
        <w:tc>
          <w:tcPr>
            <w:tcW w:w="340" w:type="dxa"/>
            <w:vAlign w:val="bottom"/>
            <w:gridSpan w:val="2"/>
            <w:shd w:val="clear" w:color="auto" w:fill="CCEEFF"/>
          </w:tcPr>
          <w:p>
            <w:pPr>
              <w:jc w:val="right"/>
              <w:ind w:right="140"/>
              <w:spacing w:after="0" w:line="196" w:lineRule="exact"/>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00"/>
              <w:spacing w:after="0" w:line="196" w:lineRule="exact"/>
              <w:rPr>
                <w:sz w:val="20"/>
                <w:szCs w:val="20"/>
                <w:color w:val="auto"/>
              </w:rPr>
            </w:pPr>
            <w:r>
              <w:rPr>
                <w:rFonts w:ascii="Arial" w:cs="Arial" w:eastAsia="Arial" w:hAnsi="Arial"/>
                <w:sz w:val="18"/>
                <w:szCs w:val="18"/>
                <w:color w:val="auto"/>
              </w:rPr>
              <w:t>48,667</w:t>
            </w:r>
          </w:p>
        </w:tc>
        <w:tc>
          <w:tcPr>
            <w:tcW w:w="240" w:type="dxa"/>
            <w:vAlign w:val="bottom"/>
            <w:shd w:val="clear" w:color="auto" w:fill="CCEEFF"/>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140"/>
              <w:spacing w:after="0" w:line="196" w:lineRule="exact"/>
              <w:rPr>
                <w:sz w:val="20"/>
                <w:szCs w:val="20"/>
                <w:color w:val="auto"/>
              </w:rPr>
            </w:pPr>
            <w:r>
              <w:rPr>
                <w:rFonts w:ascii="Arial" w:cs="Arial" w:eastAsia="Arial" w:hAnsi="Arial"/>
                <w:sz w:val="18"/>
                <w:szCs w:val="18"/>
                <w:color w:val="auto"/>
              </w:rPr>
              <w:t>506,711</w:t>
            </w:r>
          </w:p>
        </w:tc>
        <w:tc>
          <w:tcPr>
            <w:tcW w:w="320" w:type="dxa"/>
            <w:vAlign w:val="bottom"/>
            <w:gridSpan w:val="2"/>
            <w:shd w:val="clear" w:color="auto" w:fill="CCEEFF"/>
          </w:tcPr>
          <w:p>
            <w:pPr>
              <w:jc w:val="right"/>
              <w:ind w:right="140"/>
              <w:spacing w:after="0" w:line="196" w:lineRule="exact"/>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147,361</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5580" w:type="dxa"/>
            <w:vAlign w:val="bottom"/>
            <w:tcBorders>
              <w:top w:val="single" w:sz="8" w:color="CCEEFF"/>
            </w:tcBorders>
          </w:tcPr>
          <w:p>
            <w:pPr>
              <w:spacing w:after="0"/>
              <w:rPr>
                <w:sz w:val="17"/>
                <w:szCs w:val="17"/>
                <w:color w:val="auto"/>
              </w:rPr>
            </w:pPr>
          </w:p>
        </w:tc>
        <w:tc>
          <w:tcPr>
            <w:tcW w:w="48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5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5580" w:type="dxa"/>
            <w:vAlign w:val="bottom"/>
          </w:tcPr>
          <w:p>
            <w:pPr>
              <w:spacing w:after="0" w:line="201" w:lineRule="exact"/>
              <w:rPr>
                <w:sz w:val="20"/>
                <w:szCs w:val="20"/>
                <w:color w:val="auto"/>
              </w:rPr>
            </w:pPr>
            <w:r>
              <w:rPr>
                <w:rFonts w:ascii="Arial" w:cs="Arial" w:eastAsia="Arial" w:hAnsi="Arial"/>
                <w:sz w:val="18"/>
                <w:szCs w:val="18"/>
                <w:color w:val="auto"/>
              </w:rPr>
              <w:t>Adjusted net income attributable to Wynn Resorts, Limited per diluted</w:t>
            </w:r>
          </w:p>
        </w:tc>
        <w:tc>
          <w:tcPr>
            <w:tcW w:w="4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600" w:type="dxa"/>
            <w:vAlign w:val="bottom"/>
            <w:gridSpan w:val="2"/>
          </w:tcPr>
          <w:p>
            <w:pPr>
              <w:spacing w:after="0" w:line="203" w:lineRule="exact"/>
              <w:rPr>
                <w:sz w:val="20"/>
                <w:szCs w:val="20"/>
                <w:color w:val="auto"/>
              </w:rPr>
            </w:pPr>
            <w:r>
              <w:rPr>
                <w:rFonts w:ascii="Arial" w:cs="Arial" w:eastAsia="Arial" w:hAnsi="Arial"/>
                <w:sz w:val="18"/>
                <w:szCs w:val="18"/>
                <w:color w:val="auto"/>
              </w:rPr>
              <w:t>share</w:t>
            </w:r>
          </w:p>
        </w:tc>
        <w:tc>
          <w:tcPr>
            <w:tcW w:w="720" w:type="dxa"/>
            <w:vAlign w:val="bottom"/>
            <w:gridSpan w:val="2"/>
          </w:tcPr>
          <w:p>
            <w:pPr>
              <w:jc w:val="right"/>
              <w:ind w:right="140"/>
              <w:spacing w:after="0" w:line="203" w:lineRule="exact"/>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40"/>
              <w:spacing w:after="0" w:line="203" w:lineRule="exact"/>
              <w:rPr>
                <w:sz w:val="20"/>
                <w:szCs w:val="20"/>
                <w:color w:val="auto"/>
              </w:rPr>
            </w:pPr>
            <w:r>
              <w:rPr>
                <w:rFonts w:ascii="Arial" w:cs="Arial" w:eastAsia="Arial" w:hAnsi="Arial"/>
                <w:sz w:val="18"/>
                <w:szCs w:val="18"/>
                <w:color w:val="auto"/>
              </w:rPr>
              <w:t>1.05</w:t>
            </w:r>
          </w:p>
        </w:tc>
        <w:tc>
          <w:tcPr>
            <w:tcW w:w="340" w:type="dxa"/>
            <w:vAlign w:val="bottom"/>
            <w:gridSpan w:val="2"/>
          </w:tcPr>
          <w:p>
            <w:pPr>
              <w:jc w:val="right"/>
              <w:ind w:right="140"/>
              <w:spacing w:after="0" w:line="203" w:lineRule="exact"/>
              <w:rPr>
                <w:sz w:val="20"/>
                <w:szCs w:val="20"/>
                <w:color w:val="auto"/>
              </w:rPr>
            </w:pPr>
            <w:r>
              <w:rPr>
                <w:rFonts w:ascii="Arial" w:cs="Arial" w:eastAsia="Arial" w:hAnsi="Arial"/>
                <w:sz w:val="18"/>
                <w:szCs w:val="18"/>
                <w:color w:val="auto"/>
              </w:rPr>
              <w:t>$</w:t>
            </w:r>
          </w:p>
        </w:tc>
        <w:tc>
          <w:tcPr>
            <w:tcW w:w="900" w:type="dxa"/>
            <w:vAlign w:val="bottom"/>
          </w:tcPr>
          <w:p>
            <w:pPr>
              <w:jc w:val="right"/>
              <w:spacing w:after="0" w:line="203" w:lineRule="exact"/>
              <w:rPr>
                <w:sz w:val="20"/>
                <w:szCs w:val="20"/>
                <w:color w:val="auto"/>
              </w:rPr>
            </w:pPr>
            <w:r>
              <w:rPr>
                <w:rFonts w:ascii="Arial" w:cs="Arial" w:eastAsia="Arial" w:hAnsi="Arial"/>
                <w:sz w:val="18"/>
                <w:szCs w:val="18"/>
                <w:color w:val="auto"/>
              </w:rPr>
              <w:t>0.39</w:t>
            </w:r>
          </w:p>
        </w:tc>
        <w:tc>
          <w:tcPr>
            <w:tcW w:w="200" w:type="dxa"/>
            <w:vAlign w:val="bottom"/>
          </w:tcPr>
          <w:p>
            <w:pPr>
              <w:spacing w:after="0"/>
              <w:rPr>
                <w:sz w:val="17"/>
                <w:szCs w:val="17"/>
                <w:color w:val="auto"/>
              </w:rPr>
            </w:pPr>
          </w:p>
        </w:tc>
        <w:tc>
          <w:tcPr>
            <w:tcW w:w="240" w:type="dxa"/>
            <w:vAlign w:val="bottom"/>
          </w:tcPr>
          <w:p>
            <w:pPr>
              <w:jc w:val="right"/>
              <w:ind w:right="50"/>
              <w:spacing w:after="0" w:line="203" w:lineRule="exact"/>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140"/>
              <w:spacing w:after="0" w:line="203" w:lineRule="exact"/>
              <w:rPr>
                <w:sz w:val="20"/>
                <w:szCs w:val="20"/>
                <w:color w:val="auto"/>
              </w:rPr>
            </w:pPr>
            <w:r>
              <w:rPr>
                <w:rFonts w:ascii="Arial" w:cs="Arial" w:eastAsia="Arial" w:hAnsi="Arial"/>
                <w:sz w:val="18"/>
                <w:szCs w:val="18"/>
                <w:color w:val="auto"/>
              </w:rPr>
              <w:t>4.03</w:t>
            </w:r>
          </w:p>
        </w:tc>
        <w:tc>
          <w:tcPr>
            <w:tcW w:w="320" w:type="dxa"/>
            <w:vAlign w:val="bottom"/>
            <w:gridSpan w:val="2"/>
          </w:tcPr>
          <w:p>
            <w:pPr>
              <w:jc w:val="right"/>
              <w:ind w:right="140"/>
              <w:spacing w:after="0" w:line="203" w:lineRule="exact"/>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line="203" w:lineRule="exact"/>
              <w:rPr>
                <w:sz w:val="20"/>
                <w:szCs w:val="20"/>
                <w:color w:val="auto"/>
              </w:rPr>
            </w:pPr>
            <w:r>
              <w:rPr>
                <w:rFonts w:ascii="Arial" w:cs="Arial" w:eastAsia="Arial" w:hAnsi="Arial"/>
                <w:sz w:val="18"/>
                <w:szCs w:val="18"/>
                <w:color w:val="auto"/>
              </w:rPr>
              <w:t>1.19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80" w:type="dxa"/>
            <w:vAlign w:val="bottom"/>
          </w:tcPr>
          <w:p>
            <w:pPr>
              <w:spacing w:after="0" w:line="20" w:lineRule="exact"/>
              <w:rPr>
                <w:sz w:val="1"/>
                <w:szCs w:val="1"/>
                <w:color w:val="auto"/>
              </w:rPr>
            </w:pPr>
          </w:p>
        </w:tc>
        <w:tc>
          <w:tcPr>
            <w:tcW w:w="480" w:type="dxa"/>
            <w:vAlign w:val="bottom"/>
            <w:vMerge w:val="restart"/>
          </w:tcPr>
          <w:p>
            <w:pPr>
              <w:jc w:val="right"/>
              <w:ind w:right="230"/>
              <w:spacing w:after="0"/>
              <w:rPr>
                <w:sz w:val="20"/>
                <w:szCs w:val="20"/>
                <w:color w:val="auto"/>
              </w:rPr>
            </w:pPr>
            <w:r>
              <w:rPr>
                <w:rFonts w:ascii="Arial" w:cs="Arial" w:eastAsia="Arial" w:hAnsi="Arial"/>
                <w:sz w:val="18"/>
                <w:szCs w:val="18"/>
                <w:color w:val="auto"/>
              </w:rPr>
              <w:t>5</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31"/>
        </w:trPr>
        <w:tc>
          <w:tcPr>
            <w:tcW w:w="20" w:type="dxa"/>
            <w:vAlign w:val="bottom"/>
          </w:tcPr>
          <w:p>
            <w:pPr>
              <w:spacing w:after="0"/>
              <w:rPr>
                <w:sz w:val="24"/>
                <w:szCs w:val="24"/>
                <w:color w:val="auto"/>
              </w:rPr>
            </w:pPr>
          </w:p>
        </w:tc>
        <w:tc>
          <w:tcPr>
            <w:tcW w:w="5580" w:type="dxa"/>
            <w:vAlign w:val="bottom"/>
          </w:tcPr>
          <w:p>
            <w:pPr>
              <w:spacing w:after="0"/>
              <w:rPr>
                <w:sz w:val="24"/>
                <w:szCs w:val="24"/>
                <w:color w:val="auto"/>
              </w:rPr>
            </w:pPr>
          </w:p>
        </w:tc>
        <w:tc>
          <w:tcPr>
            <w:tcW w:w="48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580" w:type="dxa"/>
            <w:vAlign w:val="bottom"/>
            <w:tcBorders>
              <w:bottom w:val="single" w:sz="8" w:color="808080"/>
            </w:tcBorders>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08" w:right="23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RECONCILIATION OF OPERATING INCOME (LOSS) TO ADJUSTED PROPERTY EBITDA</w:t>
      </w:r>
    </w:p>
    <w:p>
      <w:pPr>
        <w:jc w:val="center"/>
        <w:spacing w:after="0" w:line="234" w:lineRule="auto"/>
        <w:rPr>
          <w:sz w:val="20"/>
          <w:szCs w:val="20"/>
          <w:color w:val="auto"/>
        </w:rPr>
      </w:pPr>
      <w:r>
        <w:rPr>
          <w:rFonts w:ascii="Arial" w:cs="Arial" w:eastAsia="Arial" w:hAnsi="Arial"/>
          <w:sz w:val="18"/>
          <w:szCs w:val="18"/>
          <w:color w:val="auto"/>
        </w:rPr>
        <w:t>AND ADJUSTED PROPERTY EBITDA TO NET INCOME (LOSS)</w:t>
      </w:r>
    </w:p>
    <w:p>
      <w:pPr>
        <w:jc w:val="center"/>
        <w:spacing w:after="0" w:line="235" w:lineRule="auto"/>
        <w:rPr>
          <w:sz w:val="20"/>
          <w:szCs w:val="20"/>
          <w:color w:val="auto"/>
        </w:rPr>
      </w:pPr>
      <w:r>
        <w:rPr>
          <w:rFonts w:ascii="Arial" w:cs="Arial" w:eastAsia="Arial" w:hAnsi="Arial"/>
          <w:sz w:val="18"/>
          <w:szCs w:val="18"/>
          <w:color w:val="auto"/>
        </w:rPr>
        <w:t>(amounts in thousands)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20" w:type="dxa"/>
            <w:vAlign w:val="bottom"/>
          </w:tcPr>
          <w:p>
            <w:pPr>
              <w:spacing w:after="0"/>
              <w:rPr>
                <w:sz w:val="19"/>
                <w:szCs w:val="19"/>
                <w:color w:val="auto"/>
              </w:rPr>
            </w:pPr>
          </w:p>
        </w:tc>
        <w:tc>
          <w:tcPr>
            <w:tcW w:w="52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4300" w:type="dxa"/>
            <w:vAlign w:val="bottom"/>
            <w:tcBorders>
              <w:bottom w:val="single" w:sz="8" w:color="auto"/>
            </w:tcBorders>
            <w:gridSpan w:val="11"/>
          </w:tcPr>
          <w:p>
            <w:pPr>
              <w:jc w:val="right"/>
              <w:ind w:right="60"/>
              <w:spacing w:after="0"/>
              <w:rPr>
                <w:sz w:val="20"/>
                <w:szCs w:val="20"/>
                <w:color w:val="auto"/>
              </w:rPr>
            </w:pPr>
            <w:r>
              <w:rPr>
                <w:rFonts w:ascii="Arial" w:cs="Arial" w:eastAsia="Arial" w:hAnsi="Arial"/>
                <w:sz w:val="18"/>
                <w:szCs w:val="18"/>
                <w:b w:val="1"/>
                <w:bCs w:val="1"/>
                <w:color w:val="auto"/>
              </w:rPr>
              <w:t>Three Months Ended September 30, 2011</w:t>
            </w:r>
          </w:p>
        </w:tc>
        <w:tc>
          <w:tcPr>
            <w:tcW w:w="8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52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60" w:type="dxa"/>
            <w:vAlign w:val="bottom"/>
            <w:gridSpan w:val="2"/>
          </w:tcPr>
          <w:p>
            <w:pPr>
              <w:jc w:val="center"/>
              <w:ind w:right="400"/>
              <w:spacing w:after="0" w:line="173" w:lineRule="exact"/>
              <w:rPr>
                <w:sz w:val="20"/>
                <w:szCs w:val="20"/>
                <w:color w:val="auto"/>
              </w:rPr>
            </w:pPr>
            <w:r>
              <w:rPr>
                <w:rFonts w:ascii="Arial" w:cs="Arial" w:eastAsia="Arial" w:hAnsi="Arial"/>
                <w:sz w:val="18"/>
                <w:szCs w:val="18"/>
                <w:b w:val="1"/>
                <w:bCs w:val="1"/>
                <w:color w:val="auto"/>
                <w:w w:val="97"/>
              </w:rPr>
              <w:t>Wynn</w:t>
            </w: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gridSpan w:val="2"/>
          </w:tcPr>
          <w:p>
            <w:pPr>
              <w:jc w:val="center"/>
              <w:ind w:right="280"/>
              <w:spacing w:after="0" w:line="202" w:lineRule="exact"/>
              <w:rPr>
                <w:sz w:val="20"/>
                <w:szCs w:val="20"/>
                <w:color w:val="auto"/>
              </w:rPr>
            </w:pPr>
            <w:r>
              <w:rPr>
                <w:rFonts w:ascii="Arial" w:cs="Arial" w:eastAsia="Arial" w:hAnsi="Arial"/>
                <w:sz w:val="18"/>
                <w:szCs w:val="18"/>
                <w:b w:val="1"/>
                <w:bCs w:val="1"/>
                <w:color w:val="auto"/>
              </w:rPr>
              <w:t>Wynn Las</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gridSpan w:val="2"/>
          </w:tcPr>
          <w:p>
            <w:pPr>
              <w:jc w:val="center"/>
              <w:ind w:right="400"/>
              <w:spacing w:after="0" w:line="202" w:lineRule="exact"/>
              <w:rPr>
                <w:sz w:val="20"/>
                <w:szCs w:val="20"/>
                <w:color w:val="auto"/>
              </w:rPr>
            </w:pPr>
            <w:r>
              <w:rPr>
                <w:rFonts w:ascii="Arial" w:cs="Arial" w:eastAsia="Arial" w:hAnsi="Arial"/>
                <w:sz w:val="18"/>
                <w:szCs w:val="18"/>
                <w:b w:val="1"/>
                <w:bCs w:val="1"/>
                <w:color w:val="auto"/>
                <w:w w:val="98"/>
              </w:rPr>
              <w:t>Macau,</w:t>
            </w:r>
          </w:p>
        </w:tc>
        <w:tc>
          <w:tcPr>
            <w:tcW w:w="120" w:type="dxa"/>
            <w:vAlign w:val="bottom"/>
          </w:tcPr>
          <w:p>
            <w:pPr>
              <w:spacing w:after="0"/>
              <w:rPr>
                <w:sz w:val="17"/>
                <w:szCs w:val="17"/>
                <w:color w:val="auto"/>
              </w:rPr>
            </w:pPr>
          </w:p>
        </w:tc>
        <w:tc>
          <w:tcPr>
            <w:tcW w:w="1160" w:type="dxa"/>
            <w:vAlign w:val="bottom"/>
            <w:gridSpan w:val="2"/>
          </w:tcPr>
          <w:p>
            <w:pPr>
              <w:jc w:val="right"/>
              <w:ind w:right="280"/>
              <w:spacing w:after="0" w:line="202" w:lineRule="exact"/>
              <w:rPr>
                <w:sz w:val="20"/>
                <w:szCs w:val="20"/>
                <w:color w:val="auto"/>
              </w:rPr>
            </w:pPr>
            <w:r>
              <w:rPr>
                <w:rFonts w:ascii="Arial" w:cs="Arial" w:eastAsia="Arial" w:hAnsi="Arial"/>
                <w:sz w:val="18"/>
                <w:szCs w:val="18"/>
                <w:b w:val="1"/>
                <w:bCs w:val="1"/>
                <w:color w:val="auto"/>
                <w:w w:val="99"/>
              </w:rPr>
              <w:t>Corporate</w:t>
            </w: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52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7"/>
              </w:rPr>
              <w:t>Vegas</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9"/>
              </w:rPr>
              <w:t>Limited</w:t>
            </w:r>
          </w:p>
        </w:tc>
        <w:tc>
          <w:tcPr>
            <w:tcW w:w="120" w:type="dxa"/>
            <w:vAlign w:val="bottom"/>
          </w:tcPr>
          <w:p>
            <w:pPr>
              <w:spacing w:after="0"/>
              <w:rPr>
                <w:sz w:val="19"/>
                <w:szCs w:val="19"/>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and Other</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2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522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Operating income (loss)</w:t>
            </w:r>
          </w:p>
        </w:tc>
        <w:tc>
          <w:tcPr>
            <w:tcW w:w="96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(415)</w:t>
            </w:r>
          </w:p>
        </w:tc>
        <w:tc>
          <w:tcPr>
            <w:tcW w:w="28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213,094</w:t>
            </w: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27,166</w:t>
            </w:r>
          </w:p>
        </w:tc>
        <w:tc>
          <w:tcPr>
            <w:tcW w:w="40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239,845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220" w:type="dxa"/>
            <w:vAlign w:val="bottom"/>
            <w:shd w:val="clear" w:color="auto" w:fill="CCEEFF"/>
          </w:tcPr>
          <w:p>
            <w:pPr>
              <w:ind w:left="320"/>
              <w:spacing w:after="0" w:line="202" w:lineRule="exact"/>
              <w:rPr>
                <w:sz w:val="20"/>
                <w:szCs w:val="20"/>
                <w:color w:val="auto"/>
              </w:rPr>
            </w:pPr>
            <w:r>
              <w:rPr>
                <w:rFonts w:ascii="Arial" w:cs="Arial" w:eastAsia="Arial" w:hAnsi="Arial"/>
                <w:sz w:val="18"/>
                <w:szCs w:val="18"/>
                <w:color w:val="auto"/>
              </w:rPr>
              <w:t>Pre-opening costs</w:t>
            </w: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220" w:type="dxa"/>
            <w:vAlign w:val="bottom"/>
          </w:tcPr>
          <w:p>
            <w:pPr>
              <w:ind w:left="320"/>
              <w:spacing w:after="0" w:line="202" w:lineRule="exact"/>
              <w:rPr>
                <w:sz w:val="20"/>
                <w:szCs w:val="20"/>
                <w:color w:val="auto"/>
              </w:rPr>
            </w:pPr>
            <w:r>
              <w:rPr>
                <w:rFonts w:ascii="Arial" w:cs="Arial" w:eastAsia="Arial" w:hAnsi="Arial"/>
                <w:sz w:val="18"/>
                <w:szCs w:val="18"/>
                <w:color w:val="auto"/>
              </w:rPr>
              <w:t>Depreciation and amortization</w:t>
            </w: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66,545</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33,296</w:t>
            </w:r>
          </w:p>
        </w:tc>
        <w:tc>
          <w:tcPr>
            <w:tcW w:w="120" w:type="dxa"/>
            <w:vAlign w:val="bottom"/>
          </w:tcPr>
          <w:p>
            <w:pPr>
              <w:spacing w:after="0"/>
              <w:rPr>
                <w:sz w:val="17"/>
                <w:szCs w:val="17"/>
                <w:color w:val="auto"/>
              </w:rPr>
            </w:pPr>
          </w:p>
        </w:tc>
        <w:tc>
          <w:tcPr>
            <w:tcW w:w="116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681</w:t>
            </w: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100,522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220" w:type="dxa"/>
            <w:vAlign w:val="bottom"/>
            <w:shd w:val="clear" w:color="auto" w:fill="CCEEFF"/>
          </w:tcPr>
          <w:p>
            <w:pPr>
              <w:ind w:left="320"/>
              <w:spacing w:after="0" w:line="202" w:lineRule="exact"/>
              <w:rPr>
                <w:sz w:val="20"/>
                <w:szCs w:val="20"/>
                <w:color w:val="auto"/>
              </w:rPr>
            </w:pPr>
            <w:r>
              <w:rPr>
                <w:rFonts w:ascii="Arial" w:cs="Arial" w:eastAsia="Arial" w:hAnsi="Arial"/>
                <w:sz w:val="18"/>
                <w:szCs w:val="18"/>
                <w:color w:val="auto"/>
              </w:rPr>
              <w:t>Property charges and other</w:t>
            </w: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6,646</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3,010</w:t>
            </w:r>
          </w:p>
        </w:tc>
        <w:tc>
          <w:tcPr>
            <w:tcW w:w="12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6</w:t>
            </w: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9,662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220" w:type="dxa"/>
            <w:vAlign w:val="bottom"/>
          </w:tcPr>
          <w:p>
            <w:pPr>
              <w:ind w:left="320"/>
              <w:spacing w:after="0" w:line="202" w:lineRule="exact"/>
              <w:rPr>
                <w:sz w:val="20"/>
                <w:szCs w:val="20"/>
                <w:color w:val="auto"/>
              </w:rPr>
            </w:pPr>
            <w:r>
              <w:rPr>
                <w:rFonts w:ascii="Arial" w:cs="Arial" w:eastAsia="Arial" w:hAnsi="Arial"/>
                <w:sz w:val="18"/>
                <w:szCs w:val="18"/>
                <w:color w:val="auto"/>
              </w:rPr>
              <w:t>Management and royalty fees</w:t>
            </w: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5,209</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38,776</w:t>
            </w:r>
          </w:p>
        </w:tc>
        <w:tc>
          <w:tcPr>
            <w:tcW w:w="120" w:type="dxa"/>
            <w:vAlign w:val="bottom"/>
          </w:tcPr>
          <w:p>
            <w:pPr>
              <w:spacing w:after="0"/>
              <w:rPr>
                <w:sz w:val="17"/>
                <w:szCs w:val="17"/>
                <w:color w:val="auto"/>
              </w:rPr>
            </w:pPr>
          </w:p>
        </w:tc>
        <w:tc>
          <w:tcPr>
            <w:tcW w:w="116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(43,985)</w:t>
            </w: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220" w:type="dxa"/>
            <w:vAlign w:val="bottom"/>
            <w:shd w:val="clear" w:color="auto" w:fill="CCEEFF"/>
          </w:tcPr>
          <w:p>
            <w:pPr>
              <w:ind w:left="320"/>
              <w:spacing w:after="0" w:line="202" w:lineRule="exact"/>
              <w:rPr>
                <w:sz w:val="20"/>
                <w:szCs w:val="20"/>
                <w:color w:val="auto"/>
              </w:rPr>
            </w:pPr>
            <w:r>
              <w:rPr>
                <w:rFonts w:ascii="Arial" w:cs="Arial" w:eastAsia="Arial" w:hAnsi="Arial"/>
                <w:sz w:val="18"/>
                <w:szCs w:val="18"/>
                <w:color w:val="auto"/>
              </w:rPr>
              <w:t>Corporate expense and other</w:t>
            </w: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5,475</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6,386</w:t>
            </w:r>
          </w:p>
        </w:tc>
        <w:tc>
          <w:tcPr>
            <w:tcW w:w="12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13,186</w:t>
            </w: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25,047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220" w:type="dxa"/>
            <w:vAlign w:val="bottom"/>
          </w:tcPr>
          <w:p>
            <w:pPr>
              <w:ind w:left="320"/>
              <w:spacing w:after="0" w:line="202" w:lineRule="exact"/>
              <w:rPr>
                <w:sz w:val="20"/>
                <w:szCs w:val="20"/>
                <w:color w:val="auto"/>
              </w:rPr>
            </w:pPr>
            <w:r>
              <w:rPr>
                <w:rFonts w:ascii="Arial" w:cs="Arial" w:eastAsia="Arial" w:hAnsi="Arial"/>
                <w:sz w:val="18"/>
                <w:szCs w:val="18"/>
                <w:color w:val="auto"/>
              </w:rPr>
              <w:t>Stock-based compensation</w:t>
            </w: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1,617</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1,398</w:t>
            </w:r>
          </w:p>
        </w:tc>
        <w:tc>
          <w:tcPr>
            <w:tcW w:w="120" w:type="dxa"/>
            <w:vAlign w:val="bottom"/>
          </w:tcPr>
          <w:p>
            <w:pPr>
              <w:spacing w:after="0"/>
              <w:rPr>
                <w:sz w:val="17"/>
                <w:szCs w:val="17"/>
                <w:color w:val="auto"/>
              </w:rPr>
            </w:pPr>
          </w:p>
        </w:tc>
        <w:tc>
          <w:tcPr>
            <w:tcW w:w="116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2,627</w:t>
            </w: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5,642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220" w:type="dxa"/>
            <w:vAlign w:val="bottom"/>
            <w:shd w:val="clear" w:color="auto" w:fill="CCEEFF"/>
          </w:tcPr>
          <w:p>
            <w:pPr>
              <w:ind w:left="320"/>
              <w:spacing w:after="0" w:line="202" w:lineRule="exact"/>
              <w:rPr>
                <w:sz w:val="20"/>
                <w:szCs w:val="20"/>
                <w:color w:val="auto"/>
              </w:rPr>
            </w:pPr>
            <w:r>
              <w:rPr>
                <w:rFonts w:ascii="Arial" w:cs="Arial" w:eastAsia="Arial" w:hAnsi="Arial"/>
                <w:sz w:val="18"/>
                <w:szCs w:val="18"/>
                <w:color w:val="auto"/>
              </w:rPr>
              <w:t>Equity in income from unconsolidated affiliates</w:t>
            </w: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57</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319</w:t>
            </w: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376</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220" w:type="dxa"/>
            <w:vAlign w:val="bottom"/>
            <w:tcBorders>
              <w:top w:val="single" w:sz="8" w:color="CCEEFF"/>
            </w:tcBorders>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5220" w:type="dxa"/>
            <w:vAlign w:val="bottom"/>
            <w:shd w:val="clear" w:color="auto" w:fill="CCEEFF"/>
          </w:tcPr>
          <w:p>
            <w:pPr>
              <w:spacing w:after="0" w:line="202" w:lineRule="exact"/>
              <w:rPr>
                <w:sz w:val="20"/>
                <w:szCs w:val="20"/>
                <w:color w:val="auto"/>
              </w:rPr>
            </w:pPr>
            <w:r>
              <w:rPr>
                <w:rFonts w:ascii="Arial" w:cs="Arial" w:eastAsia="Arial" w:hAnsi="Arial"/>
                <w:sz w:val="17"/>
                <w:szCs w:val="17"/>
                <w:b w:val="1"/>
                <w:bCs w:val="1"/>
                <w:color w:val="auto"/>
              </w:rPr>
              <w:t xml:space="preserve">Adjusted Property EBITDA </w:t>
            </w:r>
            <w:r>
              <w:rPr>
                <w:rFonts w:ascii="Arial" w:cs="Arial" w:eastAsia="Arial" w:hAnsi="Arial"/>
                <w:sz w:val="23"/>
                <w:szCs w:val="23"/>
                <w:b w:val="1"/>
                <w:bCs w:val="1"/>
                <w:color w:val="auto"/>
                <w:vertAlign w:val="superscript"/>
              </w:rPr>
              <w:t>(1)</w:t>
            </w:r>
          </w:p>
        </w:tc>
        <w:tc>
          <w:tcPr>
            <w:tcW w:w="96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85,134</w:t>
            </w:r>
          </w:p>
        </w:tc>
        <w:tc>
          <w:tcPr>
            <w:tcW w:w="28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295,960</w:t>
            </w: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40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381,094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2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20" w:type="dxa"/>
            <w:vAlign w:val="bottom"/>
          </w:tcPr>
          <w:p>
            <w:pPr>
              <w:spacing w:after="0"/>
              <w:rPr>
                <w:sz w:val="24"/>
                <w:szCs w:val="24"/>
                <w:color w:val="auto"/>
              </w:rPr>
            </w:pPr>
          </w:p>
        </w:tc>
        <w:tc>
          <w:tcPr>
            <w:tcW w:w="5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300" w:type="dxa"/>
            <w:vAlign w:val="bottom"/>
            <w:tcBorders>
              <w:bottom w:val="single" w:sz="8" w:color="auto"/>
            </w:tcBorders>
            <w:gridSpan w:val="11"/>
          </w:tcPr>
          <w:p>
            <w:pPr>
              <w:jc w:val="right"/>
              <w:ind w:right="60"/>
              <w:spacing w:after="0"/>
              <w:rPr>
                <w:sz w:val="20"/>
                <w:szCs w:val="20"/>
                <w:color w:val="auto"/>
              </w:rPr>
            </w:pPr>
            <w:r>
              <w:rPr>
                <w:rFonts w:ascii="Arial" w:cs="Arial" w:eastAsia="Arial" w:hAnsi="Arial"/>
                <w:sz w:val="18"/>
                <w:szCs w:val="18"/>
                <w:b w:val="1"/>
                <w:bCs w:val="1"/>
                <w:color w:val="auto"/>
              </w:rPr>
              <w:t>Three Months Ended September 30, 2010</w:t>
            </w:r>
          </w:p>
        </w:tc>
        <w:tc>
          <w:tcPr>
            <w:tcW w:w="8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52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60" w:type="dxa"/>
            <w:vAlign w:val="bottom"/>
            <w:gridSpan w:val="2"/>
          </w:tcPr>
          <w:p>
            <w:pPr>
              <w:jc w:val="center"/>
              <w:ind w:right="400"/>
              <w:spacing w:after="0" w:line="173" w:lineRule="exact"/>
              <w:rPr>
                <w:sz w:val="20"/>
                <w:szCs w:val="20"/>
                <w:color w:val="auto"/>
              </w:rPr>
            </w:pPr>
            <w:r>
              <w:rPr>
                <w:rFonts w:ascii="Arial" w:cs="Arial" w:eastAsia="Arial" w:hAnsi="Arial"/>
                <w:sz w:val="18"/>
                <w:szCs w:val="18"/>
                <w:b w:val="1"/>
                <w:bCs w:val="1"/>
                <w:color w:val="auto"/>
                <w:w w:val="97"/>
              </w:rPr>
              <w:t>Wynn</w:t>
            </w: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gridSpan w:val="2"/>
          </w:tcPr>
          <w:p>
            <w:pPr>
              <w:jc w:val="center"/>
              <w:ind w:right="280"/>
              <w:spacing w:after="0" w:line="202" w:lineRule="exact"/>
              <w:rPr>
                <w:sz w:val="20"/>
                <w:szCs w:val="20"/>
                <w:color w:val="auto"/>
              </w:rPr>
            </w:pPr>
            <w:r>
              <w:rPr>
                <w:rFonts w:ascii="Arial" w:cs="Arial" w:eastAsia="Arial" w:hAnsi="Arial"/>
                <w:sz w:val="18"/>
                <w:szCs w:val="18"/>
                <w:b w:val="1"/>
                <w:bCs w:val="1"/>
                <w:color w:val="auto"/>
              </w:rPr>
              <w:t>Wynn Las</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gridSpan w:val="2"/>
          </w:tcPr>
          <w:p>
            <w:pPr>
              <w:jc w:val="center"/>
              <w:ind w:right="400"/>
              <w:spacing w:after="0" w:line="202" w:lineRule="exact"/>
              <w:rPr>
                <w:sz w:val="20"/>
                <w:szCs w:val="20"/>
                <w:color w:val="auto"/>
              </w:rPr>
            </w:pPr>
            <w:r>
              <w:rPr>
                <w:rFonts w:ascii="Arial" w:cs="Arial" w:eastAsia="Arial" w:hAnsi="Arial"/>
                <w:sz w:val="18"/>
                <w:szCs w:val="18"/>
                <w:b w:val="1"/>
                <w:bCs w:val="1"/>
                <w:color w:val="auto"/>
                <w:w w:val="98"/>
              </w:rPr>
              <w:t>Macau,</w:t>
            </w:r>
          </w:p>
        </w:tc>
        <w:tc>
          <w:tcPr>
            <w:tcW w:w="120" w:type="dxa"/>
            <w:vAlign w:val="bottom"/>
          </w:tcPr>
          <w:p>
            <w:pPr>
              <w:spacing w:after="0"/>
              <w:rPr>
                <w:sz w:val="17"/>
                <w:szCs w:val="17"/>
                <w:color w:val="auto"/>
              </w:rPr>
            </w:pPr>
          </w:p>
        </w:tc>
        <w:tc>
          <w:tcPr>
            <w:tcW w:w="1160" w:type="dxa"/>
            <w:vAlign w:val="bottom"/>
            <w:gridSpan w:val="2"/>
          </w:tcPr>
          <w:p>
            <w:pPr>
              <w:jc w:val="right"/>
              <w:ind w:right="280"/>
              <w:spacing w:after="0" w:line="202" w:lineRule="exact"/>
              <w:rPr>
                <w:sz w:val="20"/>
                <w:szCs w:val="20"/>
                <w:color w:val="auto"/>
              </w:rPr>
            </w:pPr>
            <w:r>
              <w:rPr>
                <w:rFonts w:ascii="Arial" w:cs="Arial" w:eastAsia="Arial" w:hAnsi="Arial"/>
                <w:sz w:val="18"/>
                <w:szCs w:val="18"/>
                <w:b w:val="1"/>
                <w:bCs w:val="1"/>
                <w:color w:val="auto"/>
                <w:w w:val="99"/>
              </w:rPr>
              <w:t>Corporate</w:t>
            </w: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52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7"/>
              </w:rPr>
              <w:t>Vegas</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9"/>
              </w:rPr>
              <w:t>Limited</w:t>
            </w:r>
          </w:p>
        </w:tc>
        <w:tc>
          <w:tcPr>
            <w:tcW w:w="120" w:type="dxa"/>
            <w:vAlign w:val="bottom"/>
          </w:tcPr>
          <w:p>
            <w:pPr>
              <w:spacing w:after="0"/>
              <w:rPr>
                <w:sz w:val="19"/>
                <w:szCs w:val="19"/>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and Other</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2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522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Operating income (loss)</w:t>
            </w:r>
          </w:p>
        </w:tc>
        <w:tc>
          <w:tcPr>
            <w:tcW w:w="96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(16,195)</w:t>
            </w:r>
          </w:p>
        </w:tc>
        <w:tc>
          <w:tcPr>
            <w:tcW w:w="28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124,745</w:t>
            </w: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23,399</w:t>
            </w:r>
          </w:p>
        </w:tc>
        <w:tc>
          <w:tcPr>
            <w:tcW w:w="40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131,949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220" w:type="dxa"/>
            <w:vAlign w:val="bottom"/>
            <w:shd w:val="clear" w:color="auto" w:fill="CCEEFF"/>
          </w:tcPr>
          <w:p>
            <w:pPr>
              <w:ind w:left="320"/>
              <w:spacing w:after="0" w:line="202" w:lineRule="exact"/>
              <w:rPr>
                <w:sz w:val="20"/>
                <w:szCs w:val="20"/>
                <w:color w:val="auto"/>
              </w:rPr>
            </w:pPr>
            <w:r>
              <w:rPr>
                <w:rFonts w:ascii="Arial" w:cs="Arial" w:eastAsia="Arial" w:hAnsi="Arial"/>
                <w:sz w:val="18"/>
                <w:szCs w:val="18"/>
                <w:color w:val="auto"/>
              </w:rPr>
              <w:t>Pre-opening costs</w:t>
            </w: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85</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220" w:type="dxa"/>
            <w:vAlign w:val="bottom"/>
          </w:tcPr>
          <w:p>
            <w:pPr>
              <w:ind w:left="320"/>
              <w:spacing w:after="0" w:line="202" w:lineRule="exact"/>
              <w:rPr>
                <w:sz w:val="20"/>
                <w:szCs w:val="20"/>
                <w:color w:val="auto"/>
              </w:rPr>
            </w:pPr>
            <w:r>
              <w:rPr>
                <w:rFonts w:ascii="Arial" w:cs="Arial" w:eastAsia="Arial" w:hAnsi="Arial"/>
                <w:sz w:val="18"/>
                <w:szCs w:val="18"/>
                <w:color w:val="auto"/>
              </w:rPr>
              <w:t>Depreciation and amortization</w:t>
            </w: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63,330</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35,406</w:t>
            </w:r>
          </w:p>
        </w:tc>
        <w:tc>
          <w:tcPr>
            <w:tcW w:w="120" w:type="dxa"/>
            <w:vAlign w:val="bottom"/>
          </w:tcPr>
          <w:p>
            <w:pPr>
              <w:spacing w:after="0"/>
              <w:rPr>
                <w:sz w:val="17"/>
                <w:szCs w:val="17"/>
                <w:color w:val="auto"/>
              </w:rPr>
            </w:pPr>
          </w:p>
        </w:tc>
        <w:tc>
          <w:tcPr>
            <w:tcW w:w="116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605</w:t>
            </w: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99,341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220" w:type="dxa"/>
            <w:vAlign w:val="bottom"/>
            <w:shd w:val="clear" w:color="auto" w:fill="CCEEFF"/>
          </w:tcPr>
          <w:p>
            <w:pPr>
              <w:ind w:left="320"/>
              <w:spacing w:after="0" w:line="202" w:lineRule="exact"/>
              <w:rPr>
                <w:sz w:val="20"/>
                <w:szCs w:val="20"/>
                <w:color w:val="auto"/>
              </w:rPr>
            </w:pPr>
            <w:r>
              <w:rPr>
                <w:rFonts w:ascii="Arial" w:cs="Arial" w:eastAsia="Arial" w:hAnsi="Arial"/>
                <w:sz w:val="18"/>
                <w:szCs w:val="18"/>
                <w:color w:val="auto"/>
              </w:rPr>
              <w:t>Property charges and other</w:t>
            </w: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16,552</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975</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17,527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220" w:type="dxa"/>
            <w:vAlign w:val="bottom"/>
          </w:tcPr>
          <w:p>
            <w:pPr>
              <w:ind w:left="320"/>
              <w:spacing w:after="0" w:line="202" w:lineRule="exact"/>
              <w:rPr>
                <w:sz w:val="20"/>
                <w:szCs w:val="20"/>
                <w:color w:val="auto"/>
              </w:rPr>
            </w:pPr>
            <w:r>
              <w:rPr>
                <w:rFonts w:ascii="Arial" w:cs="Arial" w:eastAsia="Arial" w:hAnsi="Arial"/>
                <w:sz w:val="18"/>
                <w:szCs w:val="18"/>
                <w:color w:val="auto"/>
              </w:rPr>
              <w:t>Management and royalty fees</w:t>
            </w: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5,020</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27,047</w:t>
            </w:r>
          </w:p>
        </w:tc>
        <w:tc>
          <w:tcPr>
            <w:tcW w:w="120" w:type="dxa"/>
            <w:vAlign w:val="bottom"/>
          </w:tcPr>
          <w:p>
            <w:pPr>
              <w:spacing w:after="0"/>
              <w:rPr>
                <w:sz w:val="17"/>
                <w:szCs w:val="17"/>
                <w:color w:val="auto"/>
              </w:rPr>
            </w:pPr>
          </w:p>
        </w:tc>
        <w:tc>
          <w:tcPr>
            <w:tcW w:w="116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(32,067)</w:t>
            </w: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220" w:type="dxa"/>
            <w:vAlign w:val="bottom"/>
            <w:shd w:val="clear" w:color="auto" w:fill="CCEEFF"/>
          </w:tcPr>
          <w:p>
            <w:pPr>
              <w:ind w:left="320"/>
              <w:spacing w:after="0" w:line="202" w:lineRule="exact"/>
              <w:rPr>
                <w:sz w:val="20"/>
                <w:szCs w:val="20"/>
                <w:color w:val="auto"/>
              </w:rPr>
            </w:pPr>
            <w:r>
              <w:rPr>
                <w:rFonts w:ascii="Arial" w:cs="Arial" w:eastAsia="Arial" w:hAnsi="Arial"/>
                <w:sz w:val="18"/>
                <w:szCs w:val="18"/>
                <w:color w:val="auto"/>
              </w:rPr>
              <w:t>Corporate expense and other</w:t>
            </w: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4,775</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8,686</w:t>
            </w:r>
          </w:p>
        </w:tc>
        <w:tc>
          <w:tcPr>
            <w:tcW w:w="12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5,299</w:t>
            </w: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18,760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220" w:type="dxa"/>
            <w:vAlign w:val="bottom"/>
          </w:tcPr>
          <w:p>
            <w:pPr>
              <w:ind w:left="320"/>
              <w:spacing w:after="0" w:line="202" w:lineRule="exact"/>
              <w:rPr>
                <w:sz w:val="20"/>
                <w:szCs w:val="20"/>
                <w:color w:val="auto"/>
              </w:rPr>
            </w:pPr>
            <w:r>
              <w:rPr>
                <w:rFonts w:ascii="Arial" w:cs="Arial" w:eastAsia="Arial" w:hAnsi="Arial"/>
                <w:sz w:val="18"/>
                <w:szCs w:val="18"/>
                <w:color w:val="auto"/>
              </w:rPr>
              <w:t>Stock-based compensation</w:t>
            </w: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2,821</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1,149</w:t>
            </w:r>
          </w:p>
        </w:tc>
        <w:tc>
          <w:tcPr>
            <w:tcW w:w="120" w:type="dxa"/>
            <w:vAlign w:val="bottom"/>
          </w:tcPr>
          <w:p>
            <w:pPr>
              <w:spacing w:after="0"/>
              <w:rPr>
                <w:sz w:val="17"/>
                <w:szCs w:val="17"/>
                <w:color w:val="auto"/>
              </w:rPr>
            </w:pPr>
          </w:p>
        </w:tc>
        <w:tc>
          <w:tcPr>
            <w:tcW w:w="116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2,785</w:t>
            </w: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6,755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220" w:type="dxa"/>
            <w:vAlign w:val="bottom"/>
            <w:shd w:val="clear" w:color="auto" w:fill="CCEEFF"/>
          </w:tcPr>
          <w:p>
            <w:pPr>
              <w:ind w:left="320"/>
              <w:spacing w:after="0" w:line="202" w:lineRule="exact"/>
              <w:rPr>
                <w:sz w:val="20"/>
                <w:szCs w:val="20"/>
                <w:color w:val="auto"/>
              </w:rPr>
            </w:pPr>
            <w:r>
              <w:rPr>
                <w:rFonts w:ascii="Arial" w:cs="Arial" w:eastAsia="Arial" w:hAnsi="Arial"/>
                <w:sz w:val="18"/>
                <w:szCs w:val="18"/>
                <w:color w:val="auto"/>
              </w:rPr>
              <w:t>Equity in income (loss) from unconsolidated affiliates</w:t>
            </w: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133</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(21)</w:t>
            </w: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112</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220" w:type="dxa"/>
            <w:vAlign w:val="bottom"/>
            <w:tcBorders>
              <w:top w:val="single" w:sz="8" w:color="CCEEFF"/>
            </w:tcBorders>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5220" w:type="dxa"/>
            <w:vAlign w:val="bottom"/>
            <w:shd w:val="clear" w:color="auto" w:fill="CCEEFF"/>
          </w:tcPr>
          <w:p>
            <w:pPr>
              <w:spacing w:after="0" w:line="202" w:lineRule="exact"/>
              <w:rPr>
                <w:sz w:val="20"/>
                <w:szCs w:val="20"/>
                <w:color w:val="auto"/>
              </w:rPr>
            </w:pPr>
            <w:r>
              <w:rPr>
                <w:rFonts w:ascii="Arial" w:cs="Arial" w:eastAsia="Arial" w:hAnsi="Arial"/>
                <w:sz w:val="17"/>
                <w:szCs w:val="17"/>
                <w:b w:val="1"/>
                <w:bCs w:val="1"/>
                <w:color w:val="auto"/>
              </w:rPr>
              <w:t xml:space="preserve">Adjusted Property EBITDA </w:t>
            </w:r>
            <w:r>
              <w:rPr>
                <w:rFonts w:ascii="Arial" w:cs="Arial" w:eastAsia="Arial" w:hAnsi="Arial"/>
                <w:sz w:val="23"/>
                <w:szCs w:val="23"/>
                <w:b w:val="1"/>
                <w:bCs w:val="1"/>
                <w:color w:val="auto"/>
                <w:vertAlign w:val="superscript"/>
              </w:rPr>
              <w:t>(1)</w:t>
            </w:r>
          </w:p>
        </w:tc>
        <w:tc>
          <w:tcPr>
            <w:tcW w:w="96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76,521</w:t>
            </w:r>
          </w:p>
        </w:tc>
        <w:tc>
          <w:tcPr>
            <w:tcW w:w="28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198,008</w:t>
            </w: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40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274,529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2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6"/>
        </w:trPr>
        <w:tc>
          <w:tcPr>
            <w:tcW w:w="20" w:type="dxa"/>
            <w:vAlign w:val="bottom"/>
          </w:tcPr>
          <w:p>
            <w:pPr>
              <w:spacing w:after="0"/>
              <w:rPr>
                <w:sz w:val="24"/>
                <w:szCs w:val="24"/>
                <w:color w:val="auto"/>
              </w:rPr>
            </w:pPr>
          </w:p>
        </w:tc>
        <w:tc>
          <w:tcPr>
            <w:tcW w:w="5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80" w:type="dxa"/>
            <w:vAlign w:val="bottom"/>
            <w:gridSpan w:val="6"/>
          </w:tcPr>
          <w:p>
            <w:pPr>
              <w:jc w:val="right"/>
              <w:ind w:right="460"/>
              <w:spacing w:after="0"/>
              <w:rPr>
                <w:sz w:val="20"/>
                <w:szCs w:val="20"/>
                <w:color w:val="auto"/>
              </w:rPr>
            </w:pPr>
            <w:r>
              <w:rPr>
                <w:rFonts w:ascii="Arial" w:cs="Arial" w:eastAsia="Arial" w:hAnsi="Arial"/>
                <w:sz w:val="18"/>
                <w:szCs w:val="18"/>
                <w:b w:val="1"/>
                <w:bCs w:val="1"/>
                <w:color w:val="auto"/>
              </w:rPr>
              <w:t>Three Months Ended</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52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80" w:type="dxa"/>
            <w:vAlign w:val="bottom"/>
            <w:gridSpan w:val="6"/>
          </w:tcPr>
          <w:p>
            <w:pPr>
              <w:jc w:val="right"/>
              <w:ind w:right="740"/>
              <w:spacing w:after="0"/>
              <w:rPr>
                <w:sz w:val="20"/>
                <w:szCs w:val="20"/>
                <w:color w:val="auto"/>
              </w:rPr>
            </w:pPr>
            <w:r>
              <w:rPr>
                <w:rFonts w:ascii="Arial" w:cs="Arial" w:eastAsia="Arial" w:hAnsi="Arial"/>
                <w:sz w:val="18"/>
                <w:szCs w:val="18"/>
                <w:b w:val="1"/>
                <w:bCs w:val="1"/>
                <w:color w:val="auto"/>
              </w:rPr>
              <w:t>September 30,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2011</w:t>
            </w:r>
          </w:p>
        </w:tc>
        <w:tc>
          <w:tcPr>
            <w:tcW w:w="14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2010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20" w:type="dxa"/>
            <w:vAlign w:val="bottom"/>
            <w:shd w:val="clear" w:color="auto" w:fill="CCEEFF"/>
          </w:tcPr>
          <w:p>
            <w:pPr>
              <w:spacing w:after="0" w:line="216" w:lineRule="exact"/>
              <w:rPr>
                <w:sz w:val="20"/>
                <w:szCs w:val="20"/>
                <w:color w:val="auto"/>
              </w:rPr>
            </w:pPr>
            <w:r>
              <w:rPr>
                <w:rFonts w:ascii="Arial" w:cs="Arial" w:eastAsia="Arial" w:hAnsi="Arial"/>
                <w:sz w:val="18"/>
                <w:szCs w:val="18"/>
                <w:b w:val="1"/>
                <w:bCs w:val="1"/>
                <w:color w:val="auto"/>
              </w:rPr>
              <w:t xml:space="preserve">Adjusted Property EBITDA </w:t>
            </w:r>
            <w:r>
              <w:rPr>
                <w:rFonts w:ascii="Arial" w:cs="Arial" w:eastAsia="Arial" w:hAnsi="Arial"/>
                <w:sz w:val="25"/>
                <w:szCs w:val="25"/>
                <w:b w:val="1"/>
                <w:bCs w:val="1"/>
                <w:color w:val="auto"/>
                <w:vertAlign w:val="superscript"/>
              </w:rPr>
              <w:t>(1)</w:t>
            </w: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381,094</w:t>
            </w:r>
          </w:p>
        </w:tc>
        <w:tc>
          <w:tcPr>
            <w:tcW w:w="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274,529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Pre-opening costs</w:t>
            </w: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tcPr>
          <w:p>
            <w:pPr>
              <w:ind w:left="320"/>
              <w:spacing w:after="0"/>
              <w:rPr>
                <w:sz w:val="20"/>
                <w:szCs w:val="20"/>
                <w:color w:val="auto"/>
              </w:rPr>
            </w:pPr>
            <w:r>
              <w:rPr>
                <w:rFonts w:ascii="Arial" w:cs="Arial" w:eastAsia="Arial" w:hAnsi="Arial"/>
                <w:sz w:val="18"/>
                <w:szCs w:val="18"/>
                <w:color w:val="auto"/>
              </w:rPr>
              <w:t>Depreciation and amortization</w:t>
            </w: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(100,522)</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(99,341)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Property charges and other</w:t>
            </w: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(9,662)</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(17,527)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tcPr>
          <w:p>
            <w:pPr>
              <w:ind w:left="320"/>
              <w:spacing w:after="0"/>
              <w:rPr>
                <w:sz w:val="20"/>
                <w:szCs w:val="20"/>
                <w:color w:val="auto"/>
              </w:rPr>
            </w:pPr>
            <w:r>
              <w:rPr>
                <w:rFonts w:ascii="Arial" w:cs="Arial" w:eastAsia="Arial" w:hAnsi="Arial"/>
                <w:sz w:val="18"/>
                <w:szCs w:val="18"/>
                <w:color w:val="auto"/>
              </w:rPr>
              <w:t>Corporate expenses and other</w:t>
            </w: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(25,047)</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(18,760)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Stock-based compensation</w:t>
            </w: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(5,642)</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(6,755)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tcPr>
          <w:p>
            <w:pPr>
              <w:ind w:left="320"/>
              <w:spacing w:after="0"/>
              <w:rPr>
                <w:sz w:val="20"/>
                <w:szCs w:val="20"/>
                <w:color w:val="auto"/>
              </w:rPr>
            </w:pPr>
            <w:r>
              <w:rPr>
                <w:rFonts w:ascii="Arial" w:cs="Arial" w:eastAsia="Arial" w:hAnsi="Arial"/>
                <w:sz w:val="18"/>
                <w:szCs w:val="18"/>
                <w:color w:val="auto"/>
              </w:rPr>
              <w:t>Interest income</w:t>
            </w: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2,663</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953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Interest expense, net of capitalized interest</w:t>
            </w: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(57,462)</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(60,341)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tcPr>
          <w:p>
            <w:pPr>
              <w:ind w:left="320"/>
              <w:spacing w:after="0"/>
              <w:rPr>
                <w:sz w:val="20"/>
                <w:szCs w:val="20"/>
                <w:color w:val="auto"/>
              </w:rPr>
            </w:pPr>
            <w:r>
              <w:rPr>
                <w:rFonts w:ascii="Arial" w:cs="Arial" w:eastAsia="Arial" w:hAnsi="Arial"/>
                <w:sz w:val="18"/>
                <w:szCs w:val="18"/>
                <w:color w:val="auto"/>
              </w:rPr>
              <w:t>Increase (decrease) in swap fair value</w:t>
            </w: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4,118</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(352)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Loss on extinguishment of debt/exchange offer</w:t>
            </w: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(64,215)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tcPr>
          <w:p>
            <w:pPr>
              <w:ind w:left="320"/>
              <w:spacing w:after="0"/>
              <w:rPr>
                <w:sz w:val="20"/>
                <w:szCs w:val="20"/>
                <w:color w:val="auto"/>
              </w:rPr>
            </w:pPr>
            <w:r>
              <w:rPr>
                <w:rFonts w:ascii="Arial" w:cs="Arial" w:eastAsia="Arial" w:hAnsi="Arial"/>
                <w:sz w:val="18"/>
                <w:szCs w:val="18"/>
                <w:color w:val="auto"/>
              </w:rPr>
              <w:t>Other</w:t>
            </w: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(85)</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(1,141)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220" w:type="dxa"/>
            <w:vAlign w:val="bottom"/>
            <w:shd w:val="clear" w:color="auto" w:fill="CCEEFF"/>
          </w:tcPr>
          <w:p>
            <w:pPr>
              <w:ind w:left="320"/>
              <w:spacing w:after="0" w:line="202" w:lineRule="exact"/>
              <w:rPr>
                <w:sz w:val="20"/>
                <w:szCs w:val="20"/>
                <w:color w:val="auto"/>
              </w:rPr>
            </w:pPr>
            <w:r>
              <w:rPr>
                <w:rFonts w:ascii="Arial" w:cs="Arial" w:eastAsia="Arial" w:hAnsi="Arial"/>
                <w:sz w:val="18"/>
                <w:szCs w:val="18"/>
                <w:color w:val="auto"/>
              </w:rPr>
              <w:t>Provision for income taxes</w:t>
            </w: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(4,270)</w:t>
            </w: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(9,019)</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220" w:type="dxa"/>
            <w:vAlign w:val="bottom"/>
            <w:tcBorders>
              <w:top w:val="single" w:sz="8" w:color="CCEEFF"/>
            </w:tcBorders>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4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96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 (loss)</w:t>
            </w: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185,185</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Less: Net income attributable to noncontrolling interests</w:t>
            </w: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(58,122)</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(31,454)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20" w:type="dxa"/>
            <w:vAlign w:val="bottom"/>
            <w:tcBorders>
              <w:top w:val="single" w:sz="8" w:color="CCEEFF"/>
            </w:tcBorders>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4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96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22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Net income (loss) attributable to Wynn Resorts, Limited</w:t>
            </w:r>
          </w:p>
        </w:tc>
        <w:tc>
          <w:tcPr>
            <w:tcW w:w="8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127,063</w:t>
            </w:r>
          </w:p>
        </w:tc>
        <w:tc>
          <w:tcPr>
            <w:tcW w:w="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(33,508)</w:t>
            </w:r>
          </w:p>
        </w:tc>
        <w:tc>
          <w:tcPr>
            <w:tcW w:w="0" w:type="dxa"/>
            <w:vAlign w:val="bottom"/>
          </w:tcPr>
          <w:p>
            <w:pPr>
              <w:spacing w:after="0"/>
              <w:rPr>
                <w:sz w:val="1"/>
                <w:szCs w:val="1"/>
                <w:color w:val="auto"/>
              </w:rPr>
            </w:pPr>
          </w:p>
        </w:tc>
      </w:tr>
      <w:tr>
        <w:trPr>
          <w:trHeight w:val="608"/>
        </w:trPr>
        <w:tc>
          <w:tcPr>
            <w:tcW w:w="20" w:type="dxa"/>
            <w:vAlign w:val="bottom"/>
          </w:tcPr>
          <w:p>
            <w:pPr>
              <w:spacing w:after="0"/>
              <w:rPr>
                <w:sz w:val="24"/>
                <w:szCs w:val="24"/>
                <w:color w:val="auto"/>
              </w:rPr>
            </w:pPr>
          </w:p>
        </w:tc>
        <w:tc>
          <w:tcPr>
            <w:tcW w:w="5220" w:type="dxa"/>
            <w:vAlign w:val="bottom"/>
            <w:tcBorders>
              <w:top w:val="single" w:sz="8" w:color="CCEEFF"/>
            </w:tcBorders>
          </w:tcPr>
          <w:p>
            <w:pPr>
              <w:spacing w:after="0"/>
              <w:rPr>
                <w:sz w:val="24"/>
                <w:szCs w:val="24"/>
                <w:color w:val="auto"/>
              </w:rPr>
            </w:pPr>
          </w:p>
        </w:tc>
        <w:tc>
          <w:tcPr>
            <w:tcW w:w="840" w:type="dxa"/>
            <w:vAlign w:val="bottom"/>
            <w:tcBorders>
              <w:top w:val="single" w:sz="8" w:color="CCEEFF"/>
            </w:tcBorders>
          </w:tcPr>
          <w:p>
            <w:pPr>
              <w:jc w:val="right"/>
              <w:ind w:right="230"/>
              <w:spacing w:after="0"/>
              <w:rPr>
                <w:sz w:val="20"/>
                <w:szCs w:val="20"/>
                <w:color w:val="auto"/>
              </w:rPr>
            </w:pPr>
            <w:r>
              <w:rPr>
                <w:rFonts w:ascii="Arial" w:cs="Arial" w:eastAsia="Arial" w:hAnsi="Arial"/>
                <w:sz w:val="18"/>
                <w:szCs w:val="18"/>
                <w:color w:val="auto"/>
              </w:rPr>
              <w:t>6</w:t>
            </w:r>
          </w:p>
        </w:tc>
        <w:tc>
          <w:tcPr>
            <w:tcW w:w="120" w:type="dxa"/>
            <w:vAlign w:val="bottom"/>
            <w:tcBorders>
              <w:top w:val="single" w:sz="8" w:color="CCEEFF"/>
            </w:tcBorders>
          </w:tcPr>
          <w:p>
            <w:pPr>
              <w:spacing w:after="0"/>
              <w:rPr>
                <w:sz w:val="24"/>
                <w:szCs w:val="24"/>
                <w:color w:val="auto"/>
              </w:rPr>
            </w:pPr>
          </w:p>
        </w:tc>
        <w:tc>
          <w:tcPr>
            <w:tcW w:w="1040" w:type="dxa"/>
            <w:vAlign w:val="bottom"/>
            <w:tcBorders>
              <w:top w:val="single" w:sz="8" w:color="CCEEFF"/>
            </w:tcBorders>
          </w:tcPr>
          <w:p>
            <w:pPr>
              <w:spacing w:after="0"/>
              <w:rPr>
                <w:sz w:val="24"/>
                <w:szCs w:val="24"/>
                <w:color w:val="auto"/>
              </w:rPr>
            </w:pPr>
          </w:p>
        </w:tc>
        <w:tc>
          <w:tcPr>
            <w:tcW w:w="14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180" w:type="dxa"/>
            <w:vAlign w:val="bottom"/>
            <w:tcBorders>
              <w:top w:val="single" w:sz="8" w:color="CCEEFF"/>
            </w:tcBorders>
          </w:tcPr>
          <w:p>
            <w:pPr>
              <w:spacing w:after="0"/>
              <w:rPr>
                <w:sz w:val="24"/>
                <w:szCs w:val="24"/>
                <w:color w:val="auto"/>
              </w:rPr>
            </w:pPr>
          </w:p>
        </w:tc>
        <w:tc>
          <w:tcPr>
            <w:tcW w:w="960" w:type="dxa"/>
            <w:vAlign w:val="bottom"/>
            <w:tcBorders>
              <w:top w:val="single" w:sz="8" w:color="CCEEFF"/>
            </w:tcBorders>
          </w:tcPr>
          <w:p>
            <w:pPr>
              <w:spacing w:after="0"/>
              <w:rPr>
                <w:sz w:val="24"/>
                <w:szCs w:val="24"/>
                <w:color w:val="auto"/>
              </w:rPr>
            </w:pPr>
          </w:p>
        </w:tc>
        <w:tc>
          <w:tcPr>
            <w:tcW w:w="200" w:type="dxa"/>
            <w:vAlign w:val="bottom"/>
            <w:tcBorders>
              <w:top w:val="single" w:sz="8" w:color="CCEEFF"/>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14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220" w:type="dxa"/>
            <w:vAlign w:val="bottom"/>
            <w:tcBorders>
              <w:bottom w:val="single" w:sz="8" w:color="808080"/>
            </w:tcBorders>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04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08" w:right="23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RECONCILIATION OF OPERATING INCOME (LOSS) TO ADJUSTED PROPERTY EBITDA</w:t>
      </w:r>
    </w:p>
    <w:p>
      <w:pPr>
        <w:jc w:val="center"/>
        <w:spacing w:after="0" w:line="234" w:lineRule="auto"/>
        <w:rPr>
          <w:sz w:val="20"/>
          <w:szCs w:val="20"/>
          <w:color w:val="auto"/>
        </w:rPr>
      </w:pPr>
      <w:r>
        <w:rPr>
          <w:rFonts w:ascii="Arial" w:cs="Arial" w:eastAsia="Arial" w:hAnsi="Arial"/>
          <w:sz w:val="18"/>
          <w:szCs w:val="18"/>
          <w:color w:val="auto"/>
        </w:rPr>
        <w:t>AND ADJUSTED PROPERTY EBITDA TO NET INCOME</w:t>
      </w:r>
    </w:p>
    <w:p>
      <w:pPr>
        <w:jc w:val="center"/>
        <w:spacing w:after="0" w:line="235" w:lineRule="auto"/>
        <w:rPr>
          <w:sz w:val="20"/>
          <w:szCs w:val="20"/>
          <w:color w:val="auto"/>
        </w:rPr>
      </w:pPr>
      <w:r>
        <w:rPr>
          <w:rFonts w:ascii="Arial" w:cs="Arial" w:eastAsia="Arial" w:hAnsi="Arial"/>
          <w:sz w:val="18"/>
          <w:szCs w:val="18"/>
          <w:color w:val="auto"/>
        </w:rPr>
        <w:t>(amounts in thousands)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20" w:type="dxa"/>
            <w:vAlign w:val="bottom"/>
          </w:tcPr>
          <w:p>
            <w:pPr>
              <w:spacing w:after="0"/>
              <w:rPr>
                <w:sz w:val="19"/>
                <w:szCs w:val="19"/>
                <w:color w:val="auto"/>
              </w:rPr>
            </w:pPr>
          </w:p>
        </w:tc>
        <w:tc>
          <w:tcPr>
            <w:tcW w:w="52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4260" w:type="dxa"/>
            <w:vAlign w:val="bottom"/>
            <w:tcBorders>
              <w:bottom w:val="single" w:sz="8" w:color="auto"/>
            </w:tcBorders>
            <w:gridSpan w:val="11"/>
          </w:tcPr>
          <w:p>
            <w:pPr>
              <w:jc w:val="right"/>
              <w:ind w:right="60"/>
              <w:spacing w:after="0"/>
              <w:rPr>
                <w:sz w:val="20"/>
                <w:szCs w:val="20"/>
                <w:color w:val="auto"/>
              </w:rPr>
            </w:pPr>
            <w:r>
              <w:rPr>
                <w:rFonts w:ascii="Arial" w:cs="Arial" w:eastAsia="Arial" w:hAnsi="Arial"/>
                <w:sz w:val="18"/>
                <w:szCs w:val="18"/>
                <w:b w:val="1"/>
                <w:bCs w:val="1"/>
                <w:color w:val="auto"/>
              </w:rPr>
              <w:t>Nine Months Ended September 30, 2011</w:t>
            </w:r>
          </w:p>
        </w:tc>
        <w:tc>
          <w:tcPr>
            <w:tcW w:w="8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52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60" w:type="dxa"/>
            <w:vAlign w:val="bottom"/>
            <w:gridSpan w:val="2"/>
          </w:tcPr>
          <w:p>
            <w:pPr>
              <w:jc w:val="center"/>
              <w:ind w:right="400"/>
              <w:spacing w:after="0" w:line="173" w:lineRule="exact"/>
              <w:rPr>
                <w:sz w:val="20"/>
                <w:szCs w:val="20"/>
                <w:color w:val="auto"/>
              </w:rPr>
            </w:pPr>
            <w:r>
              <w:rPr>
                <w:rFonts w:ascii="Arial" w:cs="Arial" w:eastAsia="Arial" w:hAnsi="Arial"/>
                <w:sz w:val="18"/>
                <w:szCs w:val="18"/>
                <w:b w:val="1"/>
                <w:bCs w:val="1"/>
                <w:color w:val="auto"/>
                <w:w w:val="97"/>
              </w:rPr>
              <w:t>Wynn</w:t>
            </w: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2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gridSpan w:val="2"/>
          </w:tcPr>
          <w:p>
            <w:pPr>
              <w:jc w:val="center"/>
              <w:ind w:right="280"/>
              <w:spacing w:after="0" w:line="202" w:lineRule="exact"/>
              <w:rPr>
                <w:sz w:val="20"/>
                <w:szCs w:val="20"/>
                <w:color w:val="auto"/>
              </w:rPr>
            </w:pPr>
            <w:r>
              <w:rPr>
                <w:rFonts w:ascii="Arial" w:cs="Arial" w:eastAsia="Arial" w:hAnsi="Arial"/>
                <w:sz w:val="18"/>
                <w:szCs w:val="18"/>
                <w:b w:val="1"/>
                <w:bCs w:val="1"/>
                <w:color w:val="auto"/>
              </w:rPr>
              <w:t>Wynn Las</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gridSpan w:val="2"/>
          </w:tcPr>
          <w:p>
            <w:pPr>
              <w:jc w:val="center"/>
              <w:ind w:right="400"/>
              <w:spacing w:after="0" w:line="202" w:lineRule="exact"/>
              <w:rPr>
                <w:sz w:val="20"/>
                <w:szCs w:val="20"/>
                <w:color w:val="auto"/>
              </w:rPr>
            </w:pPr>
            <w:r>
              <w:rPr>
                <w:rFonts w:ascii="Arial" w:cs="Arial" w:eastAsia="Arial" w:hAnsi="Arial"/>
                <w:sz w:val="18"/>
                <w:szCs w:val="18"/>
                <w:b w:val="1"/>
                <w:bCs w:val="1"/>
                <w:color w:val="auto"/>
                <w:w w:val="98"/>
              </w:rPr>
              <w:t>Macau,</w:t>
            </w:r>
          </w:p>
        </w:tc>
        <w:tc>
          <w:tcPr>
            <w:tcW w:w="120" w:type="dxa"/>
            <w:vAlign w:val="bottom"/>
          </w:tcPr>
          <w:p>
            <w:pPr>
              <w:spacing w:after="0"/>
              <w:rPr>
                <w:sz w:val="17"/>
                <w:szCs w:val="17"/>
                <w:color w:val="auto"/>
              </w:rPr>
            </w:pPr>
          </w:p>
        </w:tc>
        <w:tc>
          <w:tcPr>
            <w:tcW w:w="1160" w:type="dxa"/>
            <w:vAlign w:val="bottom"/>
            <w:gridSpan w:val="2"/>
          </w:tcPr>
          <w:p>
            <w:pPr>
              <w:jc w:val="right"/>
              <w:ind w:right="280"/>
              <w:spacing w:after="0" w:line="202" w:lineRule="exact"/>
              <w:rPr>
                <w:sz w:val="20"/>
                <w:szCs w:val="20"/>
                <w:color w:val="auto"/>
              </w:rPr>
            </w:pPr>
            <w:r>
              <w:rPr>
                <w:rFonts w:ascii="Arial" w:cs="Arial" w:eastAsia="Arial" w:hAnsi="Arial"/>
                <w:sz w:val="18"/>
                <w:szCs w:val="18"/>
                <w:b w:val="1"/>
                <w:bCs w:val="1"/>
                <w:color w:val="auto"/>
                <w:w w:val="99"/>
              </w:rPr>
              <w:t>Corporate</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52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7"/>
              </w:rPr>
              <w:t>Vegas</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9"/>
              </w:rPr>
              <w:t>Limited</w:t>
            </w:r>
          </w:p>
        </w:tc>
        <w:tc>
          <w:tcPr>
            <w:tcW w:w="120" w:type="dxa"/>
            <w:vAlign w:val="bottom"/>
          </w:tcPr>
          <w:p>
            <w:pPr>
              <w:spacing w:after="0"/>
              <w:rPr>
                <w:sz w:val="19"/>
                <w:szCs w:val="19"/>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and Other</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520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Operating income</w:t>
            </w:r>
          </w:p>
        </w:tc>
        <w:tc>
          <w:tcPr>
            <w:tcW w:w="98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97,368</w:t>
            </w:r>
          </w:p>
        </w:tc>
        <w:tc>
          <w:tcPr>
            <w:tcW w:w="28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531,233</w:t>
            </w: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104,833</w:t>
            </w:r>
          </w:p>
        </w:tc>
        <w:tc>
          <w:tcPr>
            <w:tcW w:w="36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733,434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200" w:type="dxa"/>
            <w:vAlign w:val="bottom"/>
            <w:shd w:val="clear" w:color="auto" w:fill="CCEEFF"/>
          </w:tcPr>
          <w:p>
            <w:pPr>
              <w:ind w:left="320"/>
              <w:spacing w:after="0" w:line="202" w:lineRule="exact"/>
              <w:rPr>
                <w:sz w:val="20"/>
                <w:szCs w:val="20"/>
                <w:color w:val="auto"/>
              </w:rPr>
            </w:pPr>
            <w:r>
              <w:rPr>
                <w:rFonts w:ascii="Arial" w:cs="Arial" w:eastAsia="Arial" w:hAnsi="Arial"/>
                <w:sz w:val="18"/>
                <w:szCs w:val="18"/>
                <w:color w:val="auto"/>
              </w:rPr>
              <w:t>Pre-opening costs</w:t>
            </w: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200" w:type="dxa"/>
            <w:vAlign w:val="bottom"/>
          </w:tcPr>
          <w:p>
            <w:pPr>
              <w:ind w:left="320"/>
              <w:spacing w:after="0" w:line="202" w:lineRule="exact"/>
              <w:rPr>
                <w:sz w:val="20"/>
                <w:szCs w:val="20"/>
                <w:color w:val="auto"/>
              </w:rPr>
            </w:pPr>
            <w:r>
              <w:rPr>
                <w:rFonts w:ascii="Arial" w:cs="Arial" w:eastAsia="Arial" w:hAnsi="Arial"/>
                <w:sz w:val="18"/>
                <w:szCs w:val="18"/>
                <w:color w:val="auto"/>
              </w:rPr>
              <w:t>Depreciation and amortization</w:t>
            </w: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198,594</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103,329</w:t>
            </w:r>
          </w:p>
        </w:tc>
        <w:tc>
          <w:tcPr>
            <w:tcW w:w="120" w:type="dxa"/>
            <w:vAlign w:val="bottom"/>
          </w:tcPr>
          <w:p>
            <w:pPr>
              <w:spacing w:after="0"/>
              <w:rPr>
                <w:sz w:val="17"/>
                <w:szCs w:val="17"/>
                <w:color w:val="auto"/>
              </w:rPr>
            </w:pPr>
          </w:p>
        </w:tc>
        <w:tc>
          <w:tcPr>
            <w:tcW w:w="116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1,998</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303,921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200" w:type="dxa"/>
            <w:vAlign w:val="bottom"/>
            <w:shd w:val="clear" w:color="auto" w:fill="CCEEFF"/>
          </w:tcPr>
          <w:p>
            <w:pPr>
              <w:ind w:left="320"/>
              <w:spacing w:after="0" w:line="202" w:lineRule="exact"/>
              <w:rPr>
                <w:sz w:val="20"/>
                <w:szCs w:val="20"/>
                <w:color w:val="auto"/>
              </w:rPr>
            </w:pPr>
            <w:r>
              <w:rPr>
                <w:rFonts w:ascii="Arial" w:cs="Arial" w:eastAsia="Arial" w:hAnsi="Arial"/>
                <w:sz w:val="18"/>
                <w:szCs w:val="18"/>
                <w:color w:val="auto"/>
              </w:rPr>
              <w:t>Property charges and other</w:t>
            </w: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11,236</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112,828</w:t>
            </w:r>
          </w:p>
        </w:tc>
        <w:tc>
          <w:tcPr>
            <w:tcW w:w="12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6</w:t>
            </w: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124,070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200" w:type="dxa"/>
            <w:vAlign w:val="bottom"/>
          </w:tcPr>
          <w:p>
            <w:pPr>
              <w:ind w:left="320"/>
              <w:spacing w:after="0" w:line="202" w:lineRule="exact"/>
              <w:rPr>
                <w:sz w:val="20"/>
                <w:szCs w:val="20"/>
                <w:color w:val="auto"/>
              </w:rPr>
            </w:pPr>
            <w:r>
              <w:rPr>
                <w:rFonts w:ascii="Arial" w:cs="Arial" w:eastAsia="Arial" w:hAnsi="Arial"/>
                <w:sz w:val="18"/>
                <w:szCs w:val="18"/>
                <w:color w:val="auto"/>
              </w:rPr>
              <w:t>Management and royalty fees</w:t>
            </w: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17,004</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112,550</w:t>
            </w:r>
          </w:p>
        </w:tc>
        <w:tc>
          <w:tcPr>
            <w:tcW w:w="120" w:type="dxa"/>
            <w:vAlign w:val="bottom"/>
          </w:tcPr>
          <w:p>
            <w:pPr>
              <w:spacing w:after="0"/>
              <w:rPr>
                <w:sz w:val="17"/>
                <w:szCs w:val="17"/>
                <w:color w:val="auto"/>
              </w:rPr>
            </w:pPr>
          </w:p>
        </w:tc>
        <w:tc>
          <w:tcPr>
            <w:tcW w:w="116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(129,554)</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200" w:type="dxa"/>
            <w:vAlign w:val="bottom"/>
            <w:shd w:val="clear" w:color="auto" w:fill="CCEEFF"/>
          </w:tcPr>
          <w:p>
            <w:pPr>
              <w:ind w:left="320"/>
              <w:spacing w:after="0" w:line="202" w:lineRule="exact"/>
              <w:rPr>
                <w:sz w:val="20"/>
                <w:szCs w:val="20"/>
                <w:color w:val="auto"/>
              </w:rPr>
            </w:pPr>
            <w:r>
              <w:rPr>
                <w:rFonts w:ascii="Arial" w:cs="Arial" w:eastAsia="Arial" w:hAnsi="Arial"/>
                <w:sz w:val="18"/>
                <w:szCs w:val="18"/>
                <w:color w:val="auto"/>
              </w:rPr>
              <w:t>Corporate expense and other</w:t>
            </w: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19,400</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18,928</w:t>
            </w:r>
          </w:p>
        </w:tc>
        <w:tc>
          <w:tcPr>
            <w:tcW w:w="12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13,780</w:t>
            </w: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52,108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200" w:type="dxa"/>
            <w:vAlign w:val="bottom"/>
          </w:tcPr>
          <w:p>
            <w:pPr>
              <w:ind w:left="320"/>
              <w:spacing w:after="0" w:line="202" w:lineRule="exact"/>
              <w:rPr>
                <w:sz w:val="20"/>
                <w:szCs w:val="20"/>
                <w:color w:val="auto"/>
              </w:rPr>
            </w:pPr>
            <w:r>
              <w:rPr>
                <w:rFonts w:ascii="Arial" w:cs="Arial" w:eastAsia="Arial" w:hAnsi="Arial"/>
                <w:sz w:val="18"/>
                <w:szCs w:val="18"/>
                <w:color w:val="auto"/>
              </w:rPr>
              <w:t>Stock-based compensation</w:t>
            </w: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6,041</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4,271</w:t>
            </w:r>
          </w:p>
        </w:tc>
        <w:tc>
          <w:tcPr>
            <w:tcW w:w="120" w:type="dxa"/>
            <w:vAlign w:val="bottom"/>
          </w:tcPr>
          <w:p>
            <w:pPr>
              <w:spacing w:after="0"/>
              <w:rPr>
                <w:sz w:val="17"/>
                <w:szCs w:val="17"/>
                <w:color w:val="auto"/>
              </w:rPr>
            </w:pPr>
          </w:p>
        </w:tc>
        <w:tc>
          <w:tcPr>
            <w:tcW w:w="116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8,006</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18,318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200" w:type="dxa"/>
            <w:vAlign w:val="bottom"/>
            <w:shd w:val="clear" w:color="auto" w:fill="CCEEFF"/>
          </w:tcPr>
          <w:p>
            <w:pPr>
              <w:ind w:left="320"/>
              <w:spacing w:after="0" w:line="202" w:lineRule="exact"/>
              <w:rPr>
                <w:sz w:val="20"/>
                <w:szCs w:val="20"/>
                <w:color w:val="auto"/>
              </w:rPr>
            </w:pPr>
            <w:r>
              <w:rPr>
                <w:rFonts w:ascii="Arial" w:cs="Arial" w:eastAsia="Arial" w:hAnsi="Arial"/>
                <w:sz w:val="18"/>
                <w:szCs w:val="18"/>
                <w:color w:val="auto"/>
              </w:rPr>
              <w:t>Equity in income from unconsolidated affiliates</w:t>
            </w: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311</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931</w:t>
            </w: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1,242</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200" w:type="dxa"/>
            <w:vAlign w:val="bottom"/>
            <w:tcBorders>
              <w:top w:val="single" w:sz="8" w:color="CCEEFF"/>
            </w:tcBorders>
          </w:tcPr>
          <w:p>
            <w:pPr>
              <w:spacing w:after="0"/>
              <w:rPr>
                <w:sz w:val="18"/>
                <w:szCs w:val="18"/>
                <w:color w:val="auto"/>
              </w:rPr>
            </w:pPr>
          </w:p>
        </w:tc>
        <w:tc>
          <w:tcPr>
            <w:tcW w:w="86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5200" w:type="dxa"/>
            <w:vAlign w:val="bottom"/>
            <w:shd w:val="clear" w:color="auto" w:fill="CCEEFF"/>
          </w:tcPr>
          <w:p>
            <w:pPr>
              <w:spacing w:after="0" w:line="202" w:lineRule="exact"/>
              <w:rPr>
                <w:sz w:val="20"/>
                <w:szCs w:val="20"/>
                <w:color w:val="auto"/>
              </w:rPr>
            </w:pPr>
            <w:r>
              <w:rPr>
                <w:rFonts w:ascii="Arial" w:cs="Arial" w:eastAsia="Arial" w:hAnsi="Arial"/>
                <w:sz w:val="17"/>
                <w:szCs w:val="17"/>
                <w:b w:val="1"/>
                <w:bCs w:val="1"/>
                <w:color w:val="auto"/>
              </w:rPr>
              <w:t xml:space="preserve">Adjusted Property EBITDA </w:t>
            </w:r>
            <w:r>
              <w:rPr>
                <w:rFonts w:ascii="Arial" w:cs="Arial" w:eastAsia="Arial" w:hAnsi="Arial"/>
                <w:sz w:val="23"/>
                <w:szCs w:val="23"/>
                <w:b w:val="1"/>
                <w:bCs w:val="1"/>
                <w:color w:val="auto"/>
                <w:vertAlign w:val="superscript"/>
              </w:rPr>
              <w:t>(1)</w:t>
            </w:r>
          </w:p>
        </w:tc>
        <w:tc>
          <w:tcPr>
            <w:tcW w:w="98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349,954</w:t>
            </w:r>
          </w:p>
        </w:tc>
        <w:tc>
          <w:tcPr>
            <w:tcW w:w="28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883,139</w:t>
            </w: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36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1,233,093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20" w:type="dxa"/>
            <w:vAlign w:val="bottom"/>
          </w:tcPr>
          <w:p>
            <w:pPr>
              <w:spacing w:after="0"/>
              <w:rPr>
                <w:sz w:val="24"/>
                <w:szCs w:val="24"/>
                <w:color w:val="auto"/>
              </w:rPr>
            </w:pPr>
          </w:p>
        </w:tc>
        <w:tc>
          <w:tcPr>
            <w:tcW w:w="5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260" w:type="dxa"/>
            <w:vAlign w:val="bottom"/>
            <w:tcBorders>
              <w:bottom w:val="single" w:sz="8" w:color="auto"/>
            </w:tcBorders>
            <w:gridSpan w:val="11"/>
          </w:tcPr>
          <w:p>
            <w:pPr>
              <w:jc w:val="right"/>
              <w:ind w:right="60"/>
              <w:spacing w:after="0"/>
              <w:rPr>
                <w:sz w:val="20"/>
                <w:szCs w:val="20"/>
                <w:color w:val="auto"/>
              </w:rPr>
            </w:pPr>
            <w:r>
              <w:rPr>
                <w:rFonts w:ascii="Arial" w:cs="Arial" w:eastAsia="Arial" w:hAnsi="Arial"/>
                <w:sz w:val="18"/>
                <w:szCs w:val="18"/>
                <w:b w:val="1"/>
                <w:bCs w:val="1"/>
                <w:color w:val="auto"/>
              </w:rPr>
              <w:t>Nine Months Ended September 30, 2010</w:t>
            </w:r>
          </w:p>
        </w:tc>
        <w:tc>
          <w:tcPr>
            <w:tcW w:w="8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52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60" w:type="dxa"/>
            <w:vAlign w:val="bottom"/>
            <w:gridSpan w:val="2"/>
          </w:tcPr>
          <w:p>
            <w:pPr>
              <w:jc w:val="center"/>
              <w:ind w:right="400"/>
              <w:spacing w:after="0" w:line="173" w:lineRule="exact"/>
              <w:rPr>
                <w:sz w:val="20"/>
                <w:szCs w:val="20"/>
                <w:color w:val="auto"/>
              </w:rPr>
            </w:pPr>
            <w:r>
              <w:rPr>
                <w:rFonts w:ascii="Arial" w:cs="Arial" w:eastAsia="Arial" w:hAnsi="Arial"/>
                <w:sz w:val="18"/>
                <w:szCs w:val="18"/>
                <w:b w:val="1"/>
                <w:bCs w:val="1"/>
                <w:color w:val="auto"/>
                <w:w w:val="97"/>
              </w:rPr>
              <w:t>Wynn</w:t>
            </w: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2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gridSpan w:val="2"/>
          </w:tcPr>
          <w:p>
            <w:pPr>
              <w:jc w:val="center"/>
              <w:ind w:right="280"/>
              <w:spacing w:after="0" w:line="202" w:lineRule="exact"/>
              <w:rPr>
                <w:sz w:val="20"/>
                <w:szCs w:val="20"/>
                <w:color w:val="auto"/>
              </w:rPr>
            </w:pPr>
            <w:r>
              <w:rPr>
                <w:rFonts w:ascii="Arial" w:cs="Arial" w:eastAsia="Arial" w:hAnsi="Arial"/>
                <w:sz w:val="18"/>
                <w:szCs w:val="18"/>
                <w:b w:val="1"/>
                <w:bCs w:val="1"/>
                <w:color w:val="auto"/>
              </w:rPr>
              <w:t>Wynn Las</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gridSpan w:val="2"/>
          </w:tcPr>
          <w:p>
            <w:pPr>
              <w:jc w:val="center"/>
              <w:ind w:right="400"/>
              <w:spacing w:after="0" w:line="202" w:lineRule="exact"/>
              <w:rPr>
                <w:sz w:val="20"/>
                <w:szCs w:val="20"/>
                <w:color w:val="auto"/>
              </w:rPr>
            </w:pPr>
            <w:r>
              <w:rPr>
                <w:rFonts w:ascii="Arial" w:cs="Arial" w:eastAsia="Arial" w:hAnsi="Arial"/>
                <w:sz w:val="18"/>
                <w:szCs w:val="18"/>
                <w:b w:val="1"/>
                <w:bCs w:val="1"/>
                <w:color w:val="auto"/>
                <w:w w:val="98"/>
              </w:rPr>
              <w:t>Macau,</w:t>
            </w:r>
          </w:p>
        </w:tc>
        <w:tc>
          <w:tcPr>
            <w:tcW w:w="120" w:type="dxa"/>
            <w:vAlign w:val="bottom"/>
          </w:tcPr>
          <w:p>
            <w:pPr>
              <w:spacing w:after="0"/>
              <w:rPr>
                <w:sz w:val="17"/>
                <w:szCs w:val="17"/>
                <w:color w:val="auto"/>
              </w:rPr>
            </w:pPr>
          </w:p>
        </w:tc>
        <w:tc>
          <w:tcPr>
            <w:tcW w:w="1160" w:type="dxa"/>
            <w:vAlign w:val="bottom"/>
            <w:gridSpan w:val="2"/>
          </w:tcPr>
          <w:p>
            <w:pPr>
              <w:jc w:val="right"/>
              <w:ind w:right="280"/>
              <w:spacing w:after="0" w:line="202" w:lineRule="exact"/>
              <w:rPr>
                <w:sz w:val="20"/>
                <w:szCs w:val="20"/>
                <w:color w:val="auto"/>
              </w:rPr>
            </w:pPr>
            <w:r>
              <w:rPr>
                <w:rFonts w:ascii="Arial" w:cs="Arial" w:eastAsia="Arial" w:hAnsi="Arial"/>
                <w:sz w:val="18"/>
                <w:szCs w:val="18"/>
                <w:b w:val="1"/>
                <w:bCs w:val="1"/>
                <w:color w:val="auto"/>
                <w:w w:val="99"/>
              </w:rPr>
              <w:t>Corporate</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52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7"/>
              </w:rPr>
              <w:t>Vegas</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9"/>
              </w:rPr>
              <w:t>Limited</w:t>
            </w:r>
          </w:p>
        </w:tc>
        <w:tc>
          <w:tcPr>
            <w:tcW w:w="120" w:type="dxa"/>
            <w:vAlign w:val="bottom"/>
          </w:tcPr>
          <w:p>
            <w:pPr>
              <w:spacing w:after="0"/>
              <w:rPr>
                <w:sz w:val="19"/>
                <w:szCs w:val="19"/>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and Other</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520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Operating income (loss)</w:t>
            </w:r>
          </w:p>
        </w:tc>
        <w:tc>
          <w:tcPr>
            <w:tcW w:w="98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(67,902)</w:t>
            </w:r>
          </w:p>
        </w:tc>
        <w:tc>
          <w:tcPr>
            <w:tcW w:w="28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389,927</w:t>
            </w: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72,918</w:t>
            </w:r>
          </w:p>
        </w:tc>
        <w:tc>
          <w:tcPr>
            <w:tcW w:w="36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394,943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200" w:type="dxa"/>
            <w:vAlign w:val="bottom"/>
            <w:shd w:val="clear" w:color="auto" w:fill="CCEEFF"/>
          </w:tcPr>
          <w:p>
            <w:pPr>
              <w:ind w:left="320"/>
              <w:spacing w:after="0" w:line="202" w:lineRule="exact"/>
              <w:rPr>
                <w:sz w:val="20"/>
                <w:szCs w:val="20"/>
                <w:color w:val="auto"/>
              </w:rPr>
            </w:pPr>
            <w:r>
              <w:rPr>
                <w:rFonts w:ascii="Arial" w:cs="Arial" w:eastAsia="Arial" w:hAnsi="Arial"/>
                <w:sz w:val="18"/>
                <w:szCs w:val="18"/>
                <w:color w:val="auto"/>
              </w:rPr>
              <w:t>Pre-opening costs</w:t>
            </w: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2,053</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7,018</w:t>
            </w:r>
          </w:p>
        </w:tc>
        <w:tc>
          <w:tcPr>
            <w:tcW w:w="12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9,071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200" w:type="dxa"/>
            <w:vAlign w:val="bottom"/>
          </w:tcPr>
          <w:p>
            <w:pPr>
              <w:ind w:left="320"/>
              <w:spacing w:after="0" w:line="202" w:lineRule="exact"/>
              <w:rPr>
                <w:sz w:val="20"/>
                <w:szCs w:val="20"/>
                <w:color w:val="auto"/>
              </w:rPr>
            </w:pPr>
            <w:r>
              <w:rPr>
                <w:rFonts w:ascii="Arial" w:cs="Arial" w:eastAsia="Arial" w:hAnsi="Arial"/>
                <w:sz w:val="18"/>
                <w:szCs w:val="18"/>
                <w:color w:val="auto"/>
              </w:rPr>
              <w:t>Depreciation and amortization</w:t>
            </w: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209,839</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93,283</w:t>
            </w:r>
          </w:p>
        </w:tc>
        <w:tc>
          <w:tcPr>
            <w:tcW w:w="120" w:type="dxa"/>
            <w:vAlign w:val="bottom"/>
          </w:tcPr>
          <w:p>
            <w:pPr>
              <w:spacing w:after="0"/>
              <w:rPr>
                <w:sz w:val="17"/>
                <w:szCs w:val="17"/>
                <w:color w:val="auto"/>
              </w:rPr>
            </w:pPr>
          </w:p>
        </w:tc>
        <w:tc>
          <w:tcPr>
            <w:tcW w:w="116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2,137</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305,259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200" w:type="dxa"/>
            <w:vAlign w:val="bottom"/>
            <w:shd w:val="clear" w:color="auto" w:fill="CCEEFF"/>
          </w:tcPr>
          <w:p>
            <w:pPr>
              <w:ind w:left="320"/>
              <w:spacing w:after="0" w:line="202" w:lineRule="exact"/>
              <w:rPr>
                <w:sz w:val="20"/>
                <w:szCs w:val="20"/>
                <w:color w:val="auto"/>
              </w:rPr>
            </w:pPr>
            <w:r>
              <w:rPr>
                <w:rFonts w:ascii="Arial" w:cs="Arial" w:eastAsia="Arial" w:hAnsi="Arial"/>
                <w:sz w:val="18"/>
                <w:szCs w:val="18"/>
                <w:color w:val="auto"/>
              </w:rPr>
              <w:t>Property charges and other</w:t>
            </w: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18,288</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3,922</w:t>
            </w:r>
          </w:p>
        </w:tc>
        <w:tc>
          <w:tcPr>
            <w:tcW w:w="12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164</w:t>
            </w: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22,374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200" w:type="dxa"/>
            <w:vAlign w:val="bottom"/>
          </w:tcPr>
          <w:p>
            <w:pPr>
              <w:ind w:left="320"/>
              <w:spacing w:after="0" w:line="202" w:lineRule="exact"/>
              <w:rPr>
                <w:sz w:val="20"/>
                <w:szCs w:val="20"/>
                <w:color w:val="auto"/>
              </w:rPr>
            </w:pPr>
            <w:r>
              <w:rPr>
                <w:rFonts w:ascii="Arial" w:cs="Arial" w:eastAsia="Arial" w:hAnsi="Arial"/>
                <w:sz w:val="18"/>
                <w:szCs w:val="18"/>
                <w:color w:val="auto"/>
              </w:rPr>
              <w:t>Management and royalty fees</w:t>
            </w: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14,581</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78,762</w:t>
            </w:r>
          </w:p>
        </w:tc>
        <w:tc>
          <w:tcPr>
            <w:tcW w:w="120" w:type="dxa"/>
            <w:vAlign w:val="bottom"/>
          </w:tcPr>
          <w:p>
            <w:pPr>
              <w:spacing w:after="0"/>
              <w:rPr>
                <w:sz w:val="17"/>
                <w:szCs w:val="17"/>
                <w:color w:val="auto"/>
              </w:rPr>
            </w:pPr>
          </w:p>
        </w:tc>
        <w:tc>
          <w:tcPr>
            <w:tcW w:w="116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(93,343)</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200" w:type="dxa"/>
            <w:vAlign w:val="bottom"/>
            <w:shd w:val="clear" w:color="auto" w:fill="CCEEFF"/>
          </w:tcPr>
          <w:p>
            <w:pPr>
              <w:ind w:left="320"/>
              <w:spacing w:after="0" w:line="202" w:lineRule="exact"/>
              <w:rPr>
                <w:sz w:val="20"/>
                <w:szCs w:val="20"/>
                <w:color w:val="auto"/>
              </w:rPr>
            </w:pPr>
            <w:r>
              <w:rPr>
                <w:rFonts w:ascii="Arial" w:cs="Arial" w:eastAsia="Arial" w:hAnsi="Arial"/>
                <w:sz w:val="18"/>
                <w:szCs w:val="18"/>
                <w:color w:val="auto"/>
              </w:rPr>
              <w:t>Corporate expense and other</w:t>
            </w: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16,081</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19,321</w:t>
            </w:r>
          </w:p>
        </w:tc>
        <w:tc>
          <w:tcPr>
            <w:tcW w:w="12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9,410</w:t>
            </w: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44,812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200" w:type="dxa"/>
            <w:vAlign w:val="bottom"/>
          </w:tcPr>
          <w:p>
            <w:pPr>
              <w:ind w:left="320"/>
              <w:spacing w:after="0" w:line="202" w:lineRule="exact"/>
              <w:rPr>
                <w:sz w:val="20"/>
                <w:szCs w:val="20"/>
                <w:color w:val="auto"/>
              </w:rPr>
            </w:pPr>
            <w:r>
              <w:rPr>
                <w:rFonts w:ascii="Arial" w:cs="Arial" w:eastAsia="Arial" w:hAnsi="Arial"/>
                <w:sz w:val="18"/>
                <w:szCs w:val="18"/>
                <w:color w:val="auto"/>
              </w:rPr>
              <w:t>Stock-based compensation</w:t>
            </w: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8,800</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3,613</w:t>
            </w:r>
          </w:p>
        </w:tc>
        <w:tc>
          <w:tcPr>
            <w:tcW w:w="120" w:type="dxa"/>
            <w:vAlign w:val="bottom"/>
          </w:tcPr>
          <w:p>
            <w:pPr>
              <w:spacing w:after="0"/>
              <w:rPr>
                <w:sz w:val="17"/>
                <w:szCs w:val="17"/>
                <w:color w:val="auto"/>
              </w:rPr>
            </w:pPr>
          </w:p>
        </w:tc>
        <w:tc>
          <w:tcPr>
            <w:tcW w:w="116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8,308</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20,721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200" w:type="dxa"/>
            <w:vAlign w:val="bottom"/>
            <w:shd w:val="clear" w:color="auto" w:fill="CCEEFF"/>
          </w:tcPr>
          <w:p>
            <w:pPr>
              <w:ind w:left="320"/>
              <w:spacing w:after="0" w:line="202" w:lineRule="exact"/>
              <w:rPr>
                <w:sz w:val="20"/>
                <w:szCs w:val="20"/>
                <w:color w:val="auto"/>
              </w:rPr>
            </w:pPr>
            <w:r>
              <w:rPr>
                <w:rFonts w:ascii="Arial" w:cs="Arial" w:eastAsia="Arial" w:hAnsi="Arial"/>
                <w:sz w:val="18"/>
                <w:szCs w:val="18"/>
                <w:color w:val="auto"/>
              </w:rPr>
              <w:t>Equity in income from unconsolidated affiliates</w:t>
            </w: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212</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406</w:t>
            </w: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618</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200" w:type="dxa"/>
            <w:vAlign w:val="bottom"/>
            <w:tcBorders>
              <w:top w:val="single" w:sz="8" w:color="CCEEFF"/>
            </w:tcBorders>
          </w:tcPr>
          <w:p>
            <w:pPr>
              <w:spacing w:after="0"/>
              <w:rPr>
                <w:sz w:val="18"/>
                <w:szCs w:val="18"/>
                <w:color w:val="auto"/>
              </w:rPr>
            </w:pPr>
          </w:p>
        </w:tc>
        <w:tc>
          <w:tcPr>
            <w:tcW w:w="86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5200" w:type="dxa"/>
            <w:vAlign w:val="bottom"/>
            <w:shd w:val="clear" w:color="auto" w:fill="CCEEFF"/>
          </w:tcPr>
          <w:p>
            <w:pPr>
              <w:spacing w:after="0" w:line="202" w:lineRule="exact"/>
              <w:rPr>
                <w:sz w:val="20"/>
                <w:szCs w:val="20"/>
                <w:color w:val="auto"/>
              </w:rPr>
            </w:pPr>
            <w:r>
              <w:rPr>
                <w:rFonts w:ascii="Arial" w:cs="Arial" w:eastAsia="Arial" w:hAnsi="Arial"/>
                <w:sz w:val="17"/>
                <w:szCs w:val="17"/>
                <w:b w:val="1"/>
                <w:bCs w:val="1"/>
                <w:color w:val="auto"/>
              </w:rPr>
              <w:t xml:space="preserve">Adjusted Property EBITDA </w:t>
            </w:r>
            <w:r>
              <w:rPr>
                <w:rFonts w:ascii="Arial" w:cs="Arial" w:eastAsia="Arial" w:hAnsi="Arial"/>
                <w:sz w:val="23"/>
                <w:szCs w:val="23"/>
                <w:b w:val="1"/>
                <w:bCs w:val="1"/>
                <w:color w:val="auto"/>
                <w:vertAlign w:val="superscript"/>
              </w:rPr>
              <w:t>(1)</w:t>
            </w:r>
          </w:p>
        </w:tc>
        <w:tc>
          <w:tcPr>
            <w:tcW w:w="98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201,952</w:t>
            </w:r>
          </w:p>
        </w:tc>
        <w:tc>
          <w:tcPr>
            <w:tcW w:w="28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595,846</w:t>
            </w: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36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797,798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7"/>
        </w:trPr>
        <w:tc>
          <w:tcPr>
            <w:tcW w:w="20" w:type="dxa"/>
            <w:vAlign w:val="bottom"/>
          </w:tcPr>
          <w:p>
            <w:pPr>
              <w:spacing w:after="0"/>
              <w:rPr>
                <w:sz w:val="24"/>
                <w:szCs w:val="24"/>
                <w:color w:val="auto"/>
              </w:rPr>
            </w:pPr>
          </w:p>
        </w:tc>
        <w:tc>
          <w:tcPr>
            <w:tcW w:w="5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80" w:type="dxa"/>
            <w:vAlign w:val="bottom"/>
            <w:gridSpan w:val="6"/>
          </w:tcPr>
          <w:p>
            <w:pPr>
              <w:jc w:val="right"/>
              <w:ind w:right="520"/>
              <w:spacing w:after="0"/>
              <w:rPr>
                <w:sz w:val="20"/>
                <w:szCs w:val="20"/>
                <w:color w:val="auto"/>
              </w:rPr>
            </w:pPr>
            <w:r>
              <w:rPr>
                <w:rFonts w:ascii="Arial" w:cs="Arial" w:eastAsia="Arial" w:hAnsi="Arial"/>
                <w:sz w:val="18"/>
                <w:szCs w:val="18"/>
                <w:b w:val="1"/>
                <w:bCs w:val="1"/>
                <w:color w:val="auto"/>
              </w:rPr>
              <w:t>Nine Months Ended</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52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80" w:type="dxa"/>
            <w:vAlign w:val="bottom"/>
            <w:gridSpan w:val="6"/>
          </w:tcPr>
          <w:p>
            <w:pPr>
              <w:jc w:val="right"/>
              <w:ind w:right="740"/>
              <w:spacing w:after="0"/>
              <w:rPr>
                <w:sz w:val="20"/>
                <w:szCs w:val="20"/>
                <w:color w:val="auto"/>
              </w:rPr>
            </w:pPr>
            <w:r>
              <w:rPr>
                <w:rFonts w:ascii="Arial" w:cs="Arial" w:eastAsia="Arial" w:hAnsi="Arial"/>
                <w:sz w:val="18"/>
                <w:szCs w:val="18"/>
                <w:b w:val="1"/>
                <w:bCs w:val="1"/>
                <w:color w:val="auto"/>
              </w:rPr>
              <w:t>September 30,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2011</w:t>
            </w:r>
          </w:p>
        </w:tc>
        <w:tc>
          <w:tcPr>
            <w:tcW w:w="14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2010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00" w:type="dxa"/>
            <w:vAlign w:val="bottom"/>
            <w:shd w:val="clear" w:color="auto" w:fill="CCEEFF"/>
          </w:tcPr>
          <w:p>
            <w:pPr>
              <w:spacing w:after="0" w:line="216" w:lineRule="exact"/>
              <w:rPr>
                <w:sz w:val="20"/>
                <w:szCs w:val="20"/>
                <w:color w:val="auto"/>
              </w:rPr>
            </w:pPr>
            <w:r>
              <w:rPr>
                <w:rFonts w:ascii="Arial" w:cs="Arial" w:eastAsia="Arial" w:hAnsi="Arial"/>
                <w:sz w:val="18"/>
                <w:szCs w:val="18"/>
                <w:b w:val="1"/>
                <w:bCs w:val="1"/>
                <w:color w:val="auto"/>
              </w:rPr>
              <w:t xml:space="preserve">Adjusted Property EBITDA </w:t>
            </w:r>
            <w:r>
              <w:rPr>
                <w:rFonts w:ascii="Arial" w:cs="Arial" w:eastAsia="Arial" w:hAnsi="Arial"/>
                <w:sz w:val="25"/>
                <w:szCs w:val="25"/>
                <w:b w:val="1"/>
                <w:bCs w:val="1"/>
                <w:color w:val="auto"/>
                <w:vertAlign w:val="superscript"/>
              </w:rPr>
              <w:t>(1)</w:t>
            </w: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1,233,093</w:t>
            </w:r>
          </w:p>
        </w:tc>
        <w:tc>
          <w:tcPr>
            <w:tcW w:w="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797,798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Pre-opening costs</w:t>
            </w: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(9,071)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tcPr>
          <w:p>
            <w:pPr>
              <w:ind w:left="320"/>
              <w:spacing w:after="0"/>
              <w:rPr>
                <w:sz w:val="20"/>
                <w:szCs w:val="20"/>
                <w:color w:val="auto"/>
              </w:rPr>
            </w:pPr>
            <w:r>
              <w:rPr>
                <w:rFonts w:ascii="Arial" w:cs="Arial" w:eastAsia="Arial" w:hAnsi="Arial"/>
                <w:sz w:val="18"/>
                <w:szCs w:val="18"/>
                <w:color w:val="auto"/>
              </w:rPr>
              <w:t>Depreciation and amortization</w:t>
            </w: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(303,921)</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(305,259)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Property charges and other</w:t>
            </w: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(124,070)</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(22,374)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tcPr>
          <w:p>
            <w:pPr>
              <w:ind w:left="320"/>
              <w:spacing w:after="0"/>
              <w:rPr>
                <w:sz w:val="20"/>
                <w:szCs w:val="20"/>
                <w:color w:val="auto"/>
              </w:rPr>
            </w:pPr>
            <w:r>
              <w:rPr>
                <w:rFonts w:ascii="Arial" w:cs="Arial" w:eastAsia="Arial" w:hAnsi="Arial"/>
                <w:sz w:val="18"/>
                <w:szCs w:val="18"/>
                <w:color w:val="auto"/>
              </w:rPr>
              <w:t>Corporate expenses and other</w:t>
            </w: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(52,108)</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(44,812)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Stock-based compensation</w:t>
            </w: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(18,318)</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(20,721)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tcPr>
          <w:p>
            <w:pPr>
              <w:ind w:left="320"/>
              <w:spacing w:after="0"/>
              <w:rPr>
                <w:sz w:val="20"/>
                <w:szCs w:val="20"/>
                <w:color w:val="auto"/>
              </w:rPr>
            </w:pPr>
            <w:r>
              <w:rPr>
                <w:rFonts w:ascii="Arial" w:cs="Arial" w:eastAsia="Arial" w:hAnsi="Arial"/>
                <w:sz w:val="18"/>
                <w:szCs w:val="18"/>
                <w:color w:val="auto"/>
              </w:rPr>
              <w:t>Interest income</w:t>
            </w: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4,639</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1,812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Interest expense, net of capitalized interest</w:t>
            </w: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(173,956)</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(163,200)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tcPr>
          <w:p>
            <w:pPr>
              <w:ind w:left="320"/>
              <w:spacing w:after="0"/>
              <w:rPr>
                <w:sz w:val="20"/>
                <w:szCs w:val="20"/>
                <w:color w:val="auto"/>
              </w:rPr>
            </w:pPr>
            <w:r>
              <w:rPr>
                <w:rFonts w:ascii="Arial" w:cs="Arial" w:eastAsia="Arial" w:hAnsi="Arial"/>
                <w:sz w:val="18"/>
                <w:szCs w:val="18"/>
                <w:color w:val="auto"/>
              </w:rPr>
              <w:t>Increase (decrease) in swap fair value</w:t>
            </w: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11,483</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(5,629)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Loss on extinguishment of debt/exchange offer</w:t>
            </w: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(67,367)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tcPr>
          <w:p>
            <w:pPr>
              <w:ind w:left="320"/>
              <w:spacing w:after="0"/>
              <w:rPr>
                <w:sz w:val="20"/>
                <w:szCs w:val="20"/>
                <w:color w:val="auto"/>
              </w:rPr>
            </w:pPr>
            <w:r>
              <w:rPr>
                <w:rFonts w:ascii="Arial" w:cs="Arial" w:eastAsia="Arial" w:hAnsi="Arial"/>
                <w:sz w:val="18"/>
                <w:szCs w:val="18"/>
                <w:color w:val="auto"/>
              </w:rPr>
              <w:t>Other</w:t>
            </w: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1,616</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(446)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200" w:type="dxa"/>
            <w:vAlign w:val="bottom"/>
            <w:shd w:val="clear" w:color="auto" w:fill="CCEEFF"/>
          </w:tcPr>
          <w:p>
            <w:pPr>
              <w:ind w:left="320"/>
              <w:spacing w:after="0" w:line="202" w:lineRule="exact"/>
              <w:rPr>
                <w:sz w:val="20"/>
                <w:szCs w:val="20"/>
                <w:color w:val="auto"/>
              </w:rPr>
            </w:pPr>
            <w:r>
              <w:rPr>
                <w:rFonts w:ascii="Arial" w:cs="Arial" w:eastAsia="Arial" w:hAnsi="Arial"/>
                <w:sz w:val="18"/>
                <w:szCs w:val="18"/>
                <w:color w:val="auto"/>
              </w:rPr>
              <w:t>Provision for income taxes</w:t>
            </w: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(11,607)</w:t>
            </w: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(16,009)</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200" w:type="dxa"/>
            <w:vAlign w:val="bottom"/>
            <w:tcBorders>
              <w:top w:val="single" w:sz="8" w:color="CCEEFF"/>
            </w:tcBorders>
          </w:tcPr>
          <w:p>
            <w:pPr>
              <w:spacing w:after="0"/>
              <w:rPr>
                <w:sz w:val="18"/>
                <w:szCs w:val="18"/>
                <w:color w:val="auto"/>
              </w:rPr>
            </w:pPr>
          </w:p>
        </w:tc>
        <w:tc>
          <w:tcPr>
            <w:tcW w:w="8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4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96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w:t>
            </w: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566,851</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144,722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200" w:type="dxa"/>
            <w:vAlign w:val="bottom"/>
            <w:shd w:val="clear" w:color="auto" w:fill="CCEEFF"/>
          </w:tcPr>
          <w:p>
            <w:pPr>
              <w:ind w:left="320"/>
              <w:spacing w:after="0" w:line="202" w:lineRule="exact"/>
              <w:rPr>
                <w:sz w:val="20"/>
                <w:szCs w:val="20"/>
                <w:color w:val="auto"/>
              </w:rPr>
            </w:pPr>
            <w:r>
              <w:rPr>
                <w:rFonts w:ascii="Arial" w:cs="Arial" w:eastAsia="Arial" w:hAnsi="Arial"/>
                <w:sz w:val="18"/>
                <w:szCs w:val="18"/>
                <w:color w:val="auto"/>
              </w:rPr>
              <w:t>Less: Net income attributable to noncontrolling interests</w:t>
            </w: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(143,953)</w:t>
            </w: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(98,837)</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200" w:type="dxa"/>
            <w:vAlign w:val="bottom"/>
            <w:tcBorders>
              <w:top w:val="single" w:sz="8" w:color="CCEEFF"/>
            </w:tcBorders>
          </w:tcPr>
          <w:p>
            <w:pPr>
              <w:spacing w:after="0"/>
              <w:rPr>
                <w:sz w:val="18"/>
                <w:szCs w:val="18"/>
                <w:color w:val="auto"/>
              </w:rPr>
            </w:pPr>
          </w:p>
        </w:tc>
        <w:tc>
          <w:tcPr>
            <w:tcW w:w="8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4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96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520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Net income attributable to Wynn Resorts, Limited</w:t>
            </w: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422,898</w:t>
            </w:r>
          </w:p>
        </w:tc>
        <w:tc>
          <w:tcPr>
            <w:tcW w:w="36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45,885</w:t>
            </w:r>
          </w:p>
        </w:tc>
        <w:tc>
          <w:tcPr>
            <w:tcW w:w="0" w:type="dxa"/>
            <w:vAlign w:val="bottom"/>
          </w:tcPr>
          <w:p>
            <w:pPr>
              <w:spacing w:after="0"/>
              <w:rPr>
                <w:sz w:val="1"/>
                <w:szCs w:val="1"/>
                <w:color w:val="auto"/>
              </w:rPr>
            </w:pPr>
          </w:p>
        </w:tc>
      </w:tr>
      <w:tr>
        <w:trPr>
          <w:trHeight w:val="608"/>
        </w:trPr>
        <w:tc>
          <w:tcPr>
            <w:tcW w:w="20" w:type="dxa"/>
            <w:vAlign w:val="bottom"/>
          </w:tcPr>
          <w:p>
            <w:pPr>
              <w:spacing w:after="0"/>
              <w:rPr>
                <w:sz w:val="24"/>
                <w:szCs w:val="24"/>
                <w:color w:val="auto"/>
              </w:rPr>
            </w:pPr>
          </w:p>
        </w:tc>
        <w:tc>
          <w:tcPr>
            <w:tcW w:w="5200" w:type="dxa"/>
            <w:vAlign w:val="bottom"/>
            <w:tcBorders>
              <w:top w:val="single" w:sz="8" w:color="CCEEFF"/>
            </w:tcBorders>
          </w:tcPr>
          <w:p>
            <w:pPr>
              <w:spacing w:after="0"/>
              <w:rPr>
                <w:sz w:val="24"/>
                <w:szCs w:val="24"/>
                <w:color w:val="auto"/>
              </w:rPr>
            </w:pPr>
          </w:p>
        </w:tc>
        <w:tc>
          <w:tcPr>
            <w:tcW w:w="860" w:type="dxa"/>
            <w:vAlign w:val="bottom"/>
            <w:tcBorders>
              <w:top w:val="single" w:sz="8" w:color="CCEEFF"/>
            </w:tcBorders>
          </w:tcPr>
          <w:p>
            <w:pPr>
              <w:jc w:val="right"/>
              <w:ind w:right="230"/>
              <w:spacing w:after="0"/>
              <w:rPr>
                <w:sz w:val="20"/>
                <w:szCs w:val="20"/>
                <w:color w:val="auto"/>
              </w:rPr>
            </w:pPr>
            <w:r>
              <w:rPr>
                <w:rFonts w:ascii="Arial" w:cs="Arial" w:eastAsia="Arial" w:hAnsi="Arial"/>
                <w:sz w:val="18"/>
                <w:szCs w:val="18"/>
                <w:color w:val="auto"/>
              </w:rPr>
              <w:t>7</w:t>
            </w:r>
          </w:p>
        </w:tc>
        <w:tc>
          <w:tcPr>
            <w:tcW w:w="120" w:type="dxa"/>
            <w:vAlign w:val="bottom"/>
            <w:tcBorders>
              <w:top w:val="single" w:sz="8" w:color="CCEEFF"/>
            </w:tcBorders>
          </w:tcPr>
          <w:p>
            <w:pPr>
              <w:spacing w:after="0"/>
              <w:rPr>
                <w:sz w:val="24"/>
                <w:szCs w:val="24"/>
                <w:color w:val="auto"/>
              </w:rPr>
            </w:pPr>
          </w:p>
        </w:tc>
        <w:tc>
          <w:tcPr>
            <w:tcW w:w="1040" w:type="dxa"/>
            <w:vAlign w:val="bottom"/>
            <w:tcBorders>
              <w:top w:val="single" w:sz="8" w:color="CCEEFF"/>
            </w:tcBorders>
          </w:tcPr>
          <w:p>
            <w:pPr>
              <w:spacing w:after="0"/>
              <w:rPr>
                <w:sz w:val="24"/>
                <w:szCs w:val="24"/>
                <w:color w:val="auto"/>
              </w:rPr>
            </w:pPr>
          </w:p>
        </w:tc>
        <w:tc>
          <w:tcPr>
            <w:tcW w:w="14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180" w:type="dxa"/>
            <w:vAlign w:val="bottom"/>
            <w:tcBorders>
              <w:top w:val="single" w:sz="8" w:color="CCEEFF"/>
            </w:tcBorders>
          </w:tcPr>
          <w:p>
            <w:pPr>
              <w:spacing w:after="0"/>
              <w:rPr>
                <w:sz w:val="24"/>
                <w:szCs w:val="24"/>
                <w:color w:val="auto"/>
              </w:rPr>
            </w:pPr>
          </w:p>
        </w:tc>
        <w:tc>
          <w:tcPr>
            <w:tcW w:w="960" w:type="dxa"/>
            <w:vAlign w:val="bottom"/>
            <w:tcBorders>
              <w:top w:val="single" w:sz="8" w:color="CCEEFF"/>
            </w:tcBorders>
          </w:tcPr>
          <w:p>
            <w:pPr>
              <w:spacing w:after="0"/>
              <w:rPr>
                <w:sz w:val="24"/>
                <w:szCs w:val="24"/>
                <w:color w:val="auto"/>
              </w:rPr>
            </w:pPr>
          </w:p>
        </w:tc>
        <w:tc>
          <w:tcPr>
            <w:tcW w:w="200" w:type="dxa"/>
            <w:vAlign w:val="bottom"/>
            <w:tcBorders>
              <w:top w:val="single" w:sz="8" w:color="CCEEFF"/>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14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200" w:type="dxa"/>
            <w:vAlign w:val="bottom"/>
            <w:tcBorders>
              <w:bottom w:val="single" w:sz="8" w:color="808080"/>
            </w:tcBorders>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04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08" w:right="23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SUPPLEMENTAL DATA SCHEDULE</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596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540" w:type="dxa"/>
            <w:vAlign w:val="bottom"/>
            <w:tcBorders>
              <w:bottom w:val="single" w:sz="8" w:color="auto"/>
            </w:tcBorders>
            <w:gridSpan w:val="3"/>
          </w:tcPr>
          <w:p>
            <w:pPr>
              <w:jc w:val="right"/>
              <w:ind w:right="390"/>
              <w:spacing w:after="0"/>
              <w:rPr>
                <w:sz w:val="20"/>
                <w:szCs w:val="20"/>
                <w:color w:val="auto"/>
              </w:rPr>
            </w:pPr>
            <w:r>
              <w:rPr>
                <w:rFonts w:ascii="Arial" w:cs="Arial" w:eastAsia="Arial" w:hAnsi="Arial"/>
                <w:sz w:val="18"/>
                <w:szCs w:val="18"/>
                <w:b w:val="1"/>
                <w:bCs w:val="1"/>
                <w:color w:val="auto"/>
              </w:rPr>
              <w:t>Three Months Ended</w:t>
            </w:r>
          </w:p>
        </w:tc>
        <w:tc>
          <w:tcPr>
            <w:tcW w:w="200" w:type="dxa"/>
            <w:vAlign w:val="bottom"/>
            <w:tcBorders>
              <w:bottom w:val="single" w:sz="8" w:color="auto"/>
            </w:tcBorders>
          </w:tcPr>
          <w:p>
            <w:pPr>
              <w:spacing w:after="0"/>
              <w:rPr>
                <w:sz w:val="19"/>
                <w:szCs w:val="19"/>
                <w:color w:val="auto"/>
              </w:rPr>
            </w:pPr>
          </w:p>
        </w:tc>
        <w:tc>
          <w:tcPr>
            <w:tcW w:w="2500" w:type="dxa"/>
            <w:vAlign w:val="bottom"/>
            <w:tcBorders>
              <w:bottom w:val="single" w:sz="8" w:color="auto"/>
            </w:tcBorders>
            <w:gridSpan w:val="3"/>
          </w:tcPr>
          <w:p>
            <w:pPr>
              <w:jc w:val="right"/>
              <w:ind w:right="430"/>
              <w:spacing w:after="0"/>
              <w:rPr>
                <w:sz w:val="20"/>
                <w:szCs w:val="20"/>
                <w:color w:val="auto"/>
              </w:rPr>
            </w:pPr>
            <w:r>
              <w:rPr>
                <w:rFonts w:ascii="Arial" w:cs="Arial" w:eastAsia="Arial" w:hAnsi="Arial"/>
                <w:sz w:val="18"/>
                <w:szCs w:val="18"/>
                <w:b w:val="1"/>
                <w:bCs w:val="1"/>
                <w:color w:val="auto"/>
              </w:rPr>
              <w:t>Nine Months Ended</w:t>
            </w:r>
          </w:p>
        </w:tc>
      </w:tr>
      <w:tr>
        <w:trPr>
          <w:trHeight w:val="173"/>
        </w:trPr>
        <w:tc>
          <w:tcPr>
            <w:tcW w:w="59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80" w:type="dxa"/>
            <w:vAlign w:val="bottom"/>
          </w:tcPr>
          <w:p>
            <w:pPr>
              <w:jc w:val="right"/>
              <w:ind w:right="150"/>
              <w:spacing w:after="0" w:line="173" w:lineRule="exact"/>
              <w:rPr>
                <w:sz w:val="20"/>
                <w:szCs w:val="20"/>
                <w:color w:val="auto"/>
              </w:rPr>
            </w:pPr>
            <w:r>
              <w:rPr>
                <w:rFonts w:ascii="Arial" w:cs="Arial" w:eastAsia="Arial" w:hAnsi="Arial"/>
                <w:sz w:val="18"/>
                <w:szCs w:val="18"/>
                <w:b w:val="1"/>
                <w:bCs w:val="1"/>
                <w:color w:val="auto"/>
                <w:w w:val="98"/>
              </w:rPr>
              <w:t>September</w:t>
            </w:r>
          </w:p>
        </w:tc>
        <w:tc>
          <w:tcPr>
            <w:tcW w:w="220" w:type="dxa"/>
            <w:vAlign w:val="bottom"/>
          </w:tcPr>
          <w:p>
            <w:pPr>
              <w:spacing w:after="0"/>
              <w:rPr>
                <w:sz w:val="15"/>
                <w:szCs w:val="15"/>
                <w:color w:val="auto"/>
              </w:rPr>
            </w:pPr>
          </w:p>
        </w:tc>
        <w:tc>
          <w:tcPr>
            <w:tcW w:w="1140" w:type="dxa"/>
            <w:vAlign w:val="bottom"/>
          </w:tcPr>
          <w:p>
            <w:pPr>
              <w:jc w:val="right"/>
              <w:ind w:right="130"/>
              <w:spacing w:after="0" w:line="173" w:lineRule="exact"/>
              <w:rPr>
                <w:sz w:val="20"/>
                <w:szCs w:val="20"/>
                <w:color w:val="auto"/>
              </w:rPr>
            </w:pPr>
            <w:r>
              <w:rPr>
                <w:rFonts w:ascii="Arial" w:cs="Arial" w:eastAsia="Arial" w:hAnsi="Arial"/>
                <w:sz w:val="18"/>
                <w:szCs w:val="18"/>
                <w:b w:val="1"/>
                <w:bCs w:val="1"/>
                <w:color w:val="auto"/>
                <w:w w:val="96"/>
              </w:rPr>
              <w:t>September</w:t>
            </w:r>
          </w:p>
        </w:tc>
        <w:tc>
          <w:tcPr>
            <w:tcW w:w="200" w:type="dxa"/>
            <w:vAlign w:val="bottom"/>
          </w:tcPr>
          <w:p>
            <w:pPr>
              <w:spacing w:after="0"/>
              <w:rPr>
                <w:sz w:val="15"/>
                <w:szCs w:val="15"/>
                <w:color w:val="auto"/>
              </w:rPr>
            </w:pPr>
          </w:p>
        </w:tc>
        <w:tc>
          <w:tcPr>
            <w:tcW w:w="1140" w:type="dxa"/>
            <w:vAlign w:val="bottom"/>
          </w:tcPr>
          <w:p>
            <w:pPr>
              <w:jc w:val="right"/>
              <w:ind w:right="110"/>
              <w:spacing w:after="0" w:line="173" w:lineRule="exact"/>
              <w:rPr>
                <w:sz w:val="20"/>
                <w:szCs w:val="20"/>
                <w:color w:val="auto"/>
              </w:rPr>
            </w:pPr>
            <w:r>
              <w:rPr>
                <w:rFonts w:ascii="Arial" w:cs="Arial" w:eastAsia="Arial" w:hAnsi="Arial"/>
                <w:sz w:val="18"/>
                <w:szCs w:val="18"/>
                <w:b w:val="1"/>
                <w:bCs w:val="1"/>
                <w:color w:val="auto"/>
                <w:w w:val="98"/>
              </w:rPr>
              <w:t>September</w:t>
            </w:r>
          </w:p>
        </w:tc>
        <w:tc>
          <w:tcPr>
            <w:tcW w:w="220" w:type="dxa"/>
            <w:vAlign w:val="bottom"/>
          </w:tcPr>
          <w:p>
            <w:pPr>
              <w:spacing w:after="0"/>
              <w:rPr>
                <w:sz w:val="15"/>
                <w:szCs w:val="15"/>
                <w:color w:val="auto"/>
              </w:rPr>
            </w:pPr>
          </w:p>
        </w:tc>
        <w:tc>
          <w:tcPr>
            <w:tcW w:w="1140" w:type="dxa"/>
            <w:vAlign w:val="bottom"/>
          </w:tcPr>
          <w:p>
            <w:pPr>
              <w:jc w:val="right"/>
              <w:ind w:right="110"/>
              <w:spacing w:after="0" w:line="173" w:lineRule="exact"/>
              <w:rPr>
                <w:sz w:val="20"/>
                <w:szCs w:val="20"/>
                <w:color w:val="auto"/>
              </w:rPr>
            </w:pPr>
            <w:r>
              <w:rPr>
                <w:rFonts w:ascii="Arial" w:cs="Arial" w:eastAsia="Arial" w:hAnsi="Arial"/>
                <w:sz w:val="18"/>
                <w:szCs w:val="18"/>
                <w:b w:val="1"/>
                <w:bCs w:val="1"/>
                <w:color w:val="auto"/>
                <w:w w:val="98"/>
              </w:rPr>
              <w:t>September</w:t>
            </w:r>
          </w:p>
        </w:tc>
      </w:tr>
      <w:tr>
        <w:trPr>
          <w:trHeight w:val="225"/>
        </w:trPr>
        <w:tc>
          <w:tcPr>
            <w:tcW w:w="596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30, 2011</w:t>
            </w:r>
          </w:p>
        </w:tc>
        <w:tc>
          <w:tcPr>
            <w:tcW w:w="2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30, 2010</w:t>
            </w:r>
          </w:p>
        </w:tc>
        <w:tc>
          <w:tcPr>
            <w:tcW w:w="2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30, 2011</w:t>
            </w:r>
          </w:p>
        </w:tc>
        <w:tc>
          <w:tcPr>
            <w:tcW w:w="2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30, 2010</w:t>
            </w:r>
          </w:p>
        </w:tc>
      </w:tr>
      <w:tr>
        <w:trPr>
          <w:trHeight w:val="210"/>
        </w:trPr>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Room Statistics for Las Vegas operations:</w:t>
            </w:r>
          </w:p>
        </w:tc>
        <w:tc>
          <w:tcPr>
            <w:tcW w:w="2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r>
      <w:tr>
        <w:trPr>
          <w:trHeight w:val="203"/>
        </w:trPr>
        <w:tc>
          <w:tcPr>
            <w:tcW w:w="5960" w:type="dxa"/>
            <w:vAlign w:val="bottom"/>
          </w:tcPr>
          <w:p>
            <w:pPr>
              <w:ind w:left="580"/>
              <w:spacing w:after="0" w:line="202" w:lineRule="exact"/>
              <w:rPr>
                <w:sz w:val="20"/>
                <w:szCs w:val="20"/>
                <w:color w:val="auto"/>
              </w:rPr>
            </w:pPr>
            <w:r>
              <w:rPr>
                <w:rFonts w:ascii="Arial" w:cs="Arial" w:eastAsia="Arial" w:hAnsi="Arial"/>
                <w:sz w:val="18"/>
                <w:szCs w:val="18"/>
                <w:color w:val="auto"/>
              </w:rPr>
              <w:t>Occupancy %</w:t>
            </w:r>
          </w:p>
        </w:tc>
        <w:tc>
          <w:tcPr>
            <w:tcW w:w="220" w:type="dxa"/>
            <w:vAlign w:val="bottom"/>
          </w:tcPr>
          <w:p>
            <w:pPr>
              <w:spacing w:after="0"/>
              <w:rPr>
                <w:sz w:val="17"/>
                <w:szCs w:val="17"/>
                <w:color w:val="auto"/>
              </w:rPr>
            </w:pPr>
          </w:p>
        </w:tc>
        <w:tc>
          <w:tcPr>
            <w:tcW w:w="1180" w:type="dxa"/>
            <w:vAlign w:val="bottom"/>
          </w:tcPr>
          <w:p>
            <w:pPr>
              <w:jc w:val="right"/>
              <w:ind w:right="30"/>
              <w:spacing w:after="0" w:line="202" w:lineRule="exact"/>
              <w:rPr>
                <w:sz w:val="20"/>
                <w:szCs w:val="20"/>
                <w:color w:val="auto"/>
              </w:rPr>
            </w:pPr>
            <w:r>
              <w:rPr>
                <w:rFonts w:ascii="Arial" w:cs="Arial" w:eastAsia="Arial" w:hAnsi="Arial"/>
                <w:sz w:val="18"/>
                <w:szCs w:val="18"/>
                <w:color w:val="auto"/>
              </w:rPr>
              <w:t>88.3%</w:t>
            </w:r>
          </w:p>
        </w:tc>
        <w:tc>
          <w:tcPr>
            <w:tcW w:w="220" w:type="dxa"/>
            <w:vAlign w:val="bottom"/>
          </w:tcPr>
          <w:p>
            <w:pPr>
              <w:spacing w:after="0"/>
              <w:rPr>
                <w:sz w:val="17"/>
                <w:szCs w:val="17"/>
                <w:color w:val="auto"/>
              </w:rPr>
            </w:pPr>
          </w:p>
        </w:tc>
        <w:tc>
          <w:tcPr>
            <w:tcW w:w="1140" w:type="dxa"/>
            <w:vAlign w:val="bottom"/>
          </w:tcPr>
          <w:p>
            <w:pPr>
              <w:jc w:val="right"/>
              <w:ind w:right="10"/>
              <w:spacing w:after="0" w:line="202" w:lineRule="exact"/>
              <w:rPr>
                <w:sz w:val="20"/>
                <w:szCs w:val="20"/>
                <w:color w:val="auto"/>
              </w:rPr>
            </w:pPr>
            <w:r>
              <w:rPr>
                <w:rFonts w:ascii="Arial" w:cs="Arial" w:eastAsia="Arial" w:hAnsi="Arial"/>
                <w:sz w:val="18"/>
                <w:szCs w:val="18"/>
                <w:color w:val="auto"/>
              </w:rPr>
              <w:t>87.8%</w:t>
            </w:r>
          </w:p>
        </w:tc>
        <w:tc>
          <w:tcPr>
            <w:tcW w:w="200" w:type="dxa"/>
            <w:vAlign w:val="bottom"/>
          </w:tcPr>
          <w:p>
            <w:pPr>
              <w:spacing w:after="0"/>
              <w:rPr>
                <w:sz w:val="17"/>
                <w:szCs w:val="17"/>
                <w:color w:val="auto"/>
              </w:rPr>
            </w:pPr>
          </w:p>
        </w:tc>
        <w:tc>
          <w:tcPr>
            <w:tcW w:w="1140" w:type="dxa"/>
            <w:vAlign w:val="bottom"/>
          </w:tcPr>
          <w:p>
            <w:pPr>
              <w:jc w:val="right"/>
              <w:ind w:right="10"/>
              <w:spacing w:after="0" w:line="202" w:lineRule="exact"/>
              <w:rPr>
                <w:sz w:val="20"/>
                <w:szCs w:val="20"/>
                <w:color w:val="auto"/>
              </w:rPr>
            </w:pPr>
            <w:r>
              <w:rPr>
                <w:rFonts w:ascii="Arial" w:cs="Arial" w:eastAsia="Arial" w:hAnsi="Arial"/>
                <w:sz w:val="18"/>
                <w:szCs w:val="18"/>
                <w:color w:val="auto"/>
              </w:rPr>
              <w:t>88.4%</w:t>
            </w:r>
          </w:p>
        </w:tc>
        <w:tc>
          <w:tcPr>
            <w:tcW w:w="220" w:type="dxa"/>
            <w:vAlign w:val="bottom"/>
          </w:tcPr>
          <w:p>
            <w:pPr>
              <w:spacing w:after="0"/>
              <w:rPr>
                <w:sz w:val="17"/>
                <w:szCs w:val="17"/>
                <w:color w:val="auto"/>
              </w:rPr>
            </w:pPr>
          </w:p>
        </w:tc>
        <w:tc>
          <w:tcPr>
            <w:tcW w:w="1140" w:type="dxa"/>
            <w:vAlign w:val="bottom"/>
          </w:tcPr>
          <w:p>
            <w:pPr>
              <w:jc w:val="right"/>
              <w:ind w:right="10"/>
              <w:spacing w:after="0" w:line="202" w:lineRule="exact"/>
              <w:rPr>
                <w:sz w:val="20"/>
                <w:szCs w:val="20"/>
                <w:color w:val="auto"/>
              </w:rPr>
            </w:pPr>
            <w:r>
              <w:rPr>
                <w:rFonts w:ascii="Arial" w:cs="Arial" w:eastAsia="Arial" w:hAnsi="Arial"/>
                <w:sz w:val="18"/>
                <w:szCs w:val="18"/>
                <w:color w:val="auto"/>
              </w:rPr>
              <w:t>90.0%</w:t>
            </w:r>
          </w:p>
        </w:tc>
      </w:tr>
      <w:tr>
        <w:trPr>
          <w:trHeight w:val="203"/>
        </w:trPr>
        <w:tc>
          <w:tcPr>
            <w:tcW w:w="5960" w:type="dxa"/>
            <w:vAlign w:val="bottom"/>
            <w:shd w:val="clear" w:color="auto" w:fill="CCEEFF"/>
          </w:tcPr>
          <w:p>
            <w:pPr>
              <w:ind w:left="580"/>
              <w:spacing w:after="0" w:line="202" w:lineRule="exact"/>
              <w:rPr>
                <w:sz w:val="20"/>
                <w:szCs w:val="20"/>
                <w:color w:val="auto"/>
              </w:rPr>
            </w:pPr>
            <w:r>
              <w:rPr>
                <w:rFonts w:ascii="Arial" w:cs="Arial" w:eastAsia="Arial" w:hAnsi="Arial"/>
                <w:sz w:val="17"/>
                <w:szCs w:val="17"/>
                <w:color w:val="auto"/>
              </w:rPr>
              <w:t>Average Daily Rate (ADR)</w:t>
            </w:r>
            <w:r>
              <w:rPr>
                <w:rFonts w:ascii="Arial" w:cs="Arial" w:eastAsia="Arial" w:hAnsi="Arial"/>
                <w:sz w:val="23"/>
                <w:szCs w:val="23"/>
                <w:color w:val="auto"/>
                <w:vertAlign w:val="superscript"/>
              </w:rPr>
              <w:t>1</w:t>
            </w:r>
          </w:p>
        </w:tc>
        <w:tc>
          <w:tcPr>
            <w:tcW w:w="2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rPr>
              <w:t>240</w:t>
            </w:r>
          </w:p>
        </w:tc>
        <w:tc>
          <w:tcPr>
            <w:tcW w:w="2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210</w:t>
            </w:r>
          </w:p>
        </w:tc>
        <w:tc>
          <w:tcPr>
            <w:tcW w:w="2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240</w:t>
            </w:r>
          </w:p>
        </w:tc>
        <w:tc>
          <w:tcPr>
            <w:tcW w:w="2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203</w:t>
            </w:r>
          </w:p>
        </w:tc>
      </w:tr>
      <w:tr>
        <w:trPr>
          <w:trHeight w:val="203"/>
        </w:trPr>
        <w:tc>
          <w:tcPr>
            <w:tcW w:w="5960" w:type="dxa"/>
            <w:vAlign w:val="bottom"/>
          </w:tcPr>
          <w:p>
            <w:pPr>
              <w:ind w:left="580"/>
              <w:spacing w:after="0" w:line="202" w:lineRule="exact"/>
              <w:rPr>
                <w:sz w:val="20"/>
                <w:szCs w:val="20"/>
                <w:color w:val="auto"/>
              </w:rPr>
            </w:pPr>
            <w:r>
              <w:rPr>
                <w:rFonts w:ascii="Arial" w:cs="Arial" w:eastAsia="Arial" w:hAnsi="Arial"/>
                <w:sz w:val="17"/>
                <w:szCs w:val="17"/>
                <w:color w:val="auto"/>
              </w:rPr>
              <w:t>Revenue per available room (REVPAR)</w:t>
            </w:r>
            <w:r>
              <w:rPr>
                <w:rFonts w:ascii="Arial" w:cs="Arial" w:eastAsia="Arial" w:hAnsi="Arial"/>
                <w:sz w:val="23"/>
                <w:szCs w:val="23"/>
                <w:color w:val="auto"/>
                <w:vertAlign w:val="superscript"/>
              </w:rPr>
              <w:t>2</w:t>
            </w:r>
          </w:p>
        </w:tc>
        <w:tc>
          <w:tcPr>
            <w:tcW w:w="2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180" w:type="dxa"/>
            <w:vAlign w:val="bottom"/>
          </w:tcPr>
          <w:p>
            <w:pPr>
              <w:jc w:val="right"/>
              <w:ind w:right="30"/>
              <w:spacing w:after="0" w:line="202" w:lineRule="exact"/>
              <w:rPr>
                <w:sz w:val="20"/>
                <w:szCs w:val="20"/>
                <w:color w:val="auto"/>
              </w:rPr>
            </w:pPr>
            <w:r>
              <w:rPr>
                <w:rFonts w:ascii="Arial" w:cs="Arial" w:eastAsia="Arial" w:hAnsi="Arial"/>
                <w:sz w:val="18"/>
                <w:szCs w:val="18"/>
                <w:color w:val="auto"/>
              </w:rPr>
              <w:t>212</w:t>
            </w:r>
          </w:p>
        </w:tc>
        <w:tc>
          <w:tcPr>
            <w:tcW w:w="2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14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184</w:t>
            </w:r>
          </w:p>
        </w:tc>
        <w:tc>
          <w:tcPr>
            <w:tcW w:w="2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140" w:type="dxa"/>
            <w:vAlign w:val="bottom"/>
          </w:tcPr>
          <w:p>
            <w:pPr>
              <w:jc w:val="right"/>
              <w:ind w:right="10"/>
              <w:spacing w:after="0" w:line="202" w:lineRule="exact"/>
              <w:rPr>
                <w:sz w:val="20"/>
                <w:szCs w:val="20"/>
                <w:color w:val="auto"/>
              </w:rPr>
            </w:pPr>
            <w:r>
              <w:rPr>
                <w:rFonts w:ascii="Arial" w:cs="Arial" w:eastAsia="Arial" w:hAnsi="Arial"/>
                <w:sz w:val="18"/>
                <w:szCs w:val="18"/>
                <w:color w:val="auto"/>
              </w:rPr>
              <w:t>212</w:t>
            </w:r>
          </w:p>
        </w:tc>
        <w:tc>
          <w:tcPr>
            <w:tcW w:w="2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14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183</w:t>
            </w:r>
          </w:p>
        </w:tc>
      </w:tr>
      <w:tr>
        <w:trPr>
          <w:trHeight w:val="216"/>
        </w:trPr>
        <w:tc>
          <w:tcPr>
            <w:tcW w:w="5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r>
      <w:tr>
        <w:trPr>
          <w:trHeight w:val="216"/>
        </w:trPr>
        <w:tc>
          <w:tcPr>
            <w:tcW w:w="5960" w:type="dxa"/>
            <w:vAlign w:val="bottom"/>
          </w:tcPr>
          <w:p>
            <w:pPr>
              <w:spacing w:after="0"/>
              <w:rPr>
                <w:sz w:val="20"/>
                <w:szCs w:val="20"/>
                <w:color w:val="auto"/>
              </w:rPr>
            </w:pPr>
            <w:r>
              <w:rPr>
                <w:rFonts w:ascii="Arial" w:cs="Arial" w:eastAsia="Arial" w:hAnsi="Arial"/>
                <w:sz w:val="18"/>
                <w:szCs w:val="18"/>
                <w:color w:val="auto"/>
              </w:rPr>
              <w:t>Other information for Las Vegas operations:</w:t>
            </w:r>
          </w:p>
        </w:tc>
        <w:tc>
          <w:tcPr>
            <w:tcW w:w="2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03"/>
        </w:trPr>
        <w:tc>
          <w:tcPr>
            <w:tcW w:w="5960" w:type="dxa"/>
            <w:vAlign w:val="bottom"/>
            <w:shd w:val="clear" w:color="auto" w:fill="CCEEFF"/>
          </w:tcPr>
          <w:p>
            <w:pPr>
              <w:ind w:left="520"/>
              <w:spacing w:after="0" w:line="202" w:lineRule="exact"/>
              <w:rPr>
                <w:sz w:val="20"/>
                <w:szCs w:val="20"/>
                <w:color w:val="auto"/>
              </w:rPr>
            </w:pPr>
            <w:r>
              <w:rPr>
                <w:rFonts w:ascii="Arial" w:cs="Arial" w:eastAsia="Arial" w:hAnsi="Arial"/>
                <w:sz w:val="17"/>
                <w:szCs w:val="17"/>
                <w:color w:val="auto"/>
              </w:rPr>
              <w:t>Table games win per unit per day</w:t>
            </w:r>
            <w:r>
              <w:rPr>
                <w:rFonts w:ascii="Arial" w:cs="Arial" w:eastAsia="Arial" w:hAnsi="Arial"/>
                <w:sz w:val="23"/>
                <w:szCs w:val="23"/>
                <w:color w:val="auto"/>
                <w:vertAlign w:val="superscript"/>
              </w:rPr>
              <w:t>3</w:t>
            </w:r>
          </w:p>
        </w:tc>
        <w:tc>
          <w:tcPr>
            <w:tcW w:w="2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rPr>
              <w:t>5,259</w:t>
            </w:r>
          </w:p>
        </w:tc>
        <w:tc>
          <w:tcPr>
            <w:tcW w:w="2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5,695</w:t>
            </w:r>
          </w:p>
        </w:tc>
        <w:tc>
          <w:tcPr>
            <w:tcW w:w="2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7,260</w:t>
            </w:r>
          </w:p>
        </w:tc>
        <w:tc>
          <w:tcPr>
            <w:tcW w:w="2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5,617</w:t>
            </w:r>
          </w:p>
        </w:tc>
      </w:tr>
      <w:tr>
        <w:trPr>
          <w:trHeight w:val="203"/>
        </w:trPr>
        <w:tc>
          <w:tcPr>
            <w:tcW w:w="5960" w:type="dxa"/>
            <w:vAlign w:val="bottom"/>
          </w:tcPr>
          <w:p>
            <w:pPr>
              <w:ind w:left="520"/>
              <w:spacing w:after="0" w:line="202" w:lineRule="exact"/>
              <w:rPr>
                <w:sz w:val="20"/>
                <w:szCs w:val="20"/>
                <w:color w:val="auto"/>
              </w:rPr>
            </w:pPr>
            <w:r>
              <w:rPr>
                <w:rFonts w:ascii="Arial" w:cs="Arial" w:eastAsia="Arial" w:hAnsi="Arial"/>
                <w:sz w:val="18"/>
                <w:szCs w:val="18"/>
                <w:color w:val="auto"/>
              </w:rPr>
              <w:t>Table Win %</w:t>
            </w:r>
          </w:p>
        </w:tc>
        <w:tc>
          <w:tcPr>
            <w:tcW w:w="220" w:type="dxa"/>
            <w:vAlign w:val="bottom"/>
          </w:tcPr>
          <w:p>
            <w:pPr>
              <w:spacing w:after="0"/>
              <w:rPr>
                <w:sz w:val="17"/>
                <w:szCs w:val="17"/>
                <w:color w:val="auto"/>
              </w:rPr>
            </w:pPr>
          </w:p>
        </w:tc>
        <w:tc>
          <w:tcPr>
            <w:tcW w:w="1180" w:type="dxa"/>
            <w:vAlign w:val="bottom"/>
          </w:tcPr>
          <w:p>
            <w:pPr>
              <w:jc w:val="right"/>
              <w:ind w:right="30"/>
              <w:spacing w:after="0" w:line="202" w:lineRule="exact"/>
              <w:rPr>
                <w:sz w:val="20"/>
                <w:szCs w:val="20"/>
                <w:color w:val="auto"/>
              </w:rPr>
            </w:pPr>
            <w:r>
              <w:rPr>
                <w:rFonts w:ascii="Arial" w:cs="Arial" w:eastAsia="Arial" w:hAnsi="Arial"/>
                <w:sz w:val="18"/>
                <w:szCs w:val="18"/>
                <w:color w:val="auto"/>
              </w:rPr>
              <w:t>18.3%</w:t>
            </w:r>
          </w:p>
        </w:tc>
        <w:tc>
          <w:tcPr>
            <w:tcW w:w="220" w:type="dxa"/>
            <w:vAlign w:val="bottom"/>
          </w:tcPr>
          <w:p>
            <w:pPr>
              <w:spacing w:after="0"/>
              <w:rPr>
                <w:sz w:val="17"/>
                <w:szCs w:val="17"/>
                <w:color w:val="auto"/>
              </w:rPr>
            </w:pPr>
          </w:p>
        </w:tc>
        <w:tc>
          <w:tcPr>
            <w:tcW w:w="1140" w:type="dxa"/>
            <w:vAlign w:val="bottom"/>
          </w:tcPr>
          <w:p>
            <w:pPr>
              <w:jc w:val="right"/>
              <w:ind w:right="10"/>
              <w:spacing w:after="0" w:line="202" w:lineRule="exact"/>
              <w:rPr>
                <w:sz w:val="20"/>
                <w:szCs w:val="20"/>
                <w:color w:val="auto"/>
              </w:rPr>
            </w:pPr>
            <w:r>
              <w:rPr>
                <w:rFonts w:ascii="Arial" w:cs="Arial" w:eastAsia="Arial" w:hAnsi="Arial"/>
                <w:sz w:val="18"/>
                <w:szCs w:val="18"/>
                <w:color w:val="auto"/>
              </w:rPr>
              <w:t>22.8%</w:t>
            </w:r>
          </w:p>
        </w:tc>
        <w:tc>
          <w:tcPr>
            <w:tcW w:w="200" w:type="dxa"/>
            <w:vAlign w:val="bottom"/>
          </w:tcPr>
          <w:p>
            <w:pPr>
              <w:spacing w:after="0"/>
              <w:rPr>
                <w:sz w:val="17"/>
                <w:szCs w:val="17"/>
                <w:color w:val="auto"/>
              </w:rPr>
            </w:pPr>
          </w:p>
        </w:tc>
        <w:tc>
          <w:tcPr>
            <w:tcW w:w="1140" w:type="dxa"/>
            <w:vAlign w:val="bottom"/>
          </w:tcPr>
          <w:p>
            <w:pPr>
              <w:jc w:val="right"/>
              <w:ind w:right="10"/>
              <w:spacing w:after="0" w:line="202" w:lineRule="exact"/>
              <w:rPr>
                <w:sz w:val="20"/>
                <w:szCs w:val="20"/>
                <w:color w:val="auto"/>
              </w:rPr>
            </w:pPr>
            <w:r>
              <w:rPr>
                <w:rFonts w:ascii="Arial" w:cs="Arial" w:eastAsia="Arial" w:hAnsi="Arial"/>
                <w:sz w:val="18"/>
                <w:szCs w:val="18"/>
                <w:color w:val="auto"/>
              </w:rPr>
              <w:t>25.4%</w:t>
            </w:r>
          </w:p>
        </w:tc>
        <w:tc>
          <w:tcPr>
            <w:tcW w:w="220" w:type="dxa"/>
            <w:vAlign w:val="bottom"/>
          </w:tcPr>
          <w:p>
            <w:pPr>
              <w:spacing w:after="0"/>
              <w:rPr>
                <w:sz w:val="17"/>
                <w:szCs w:val="17"/>
                <w:color w:val="auto"/>
              </w:rPr>
            </w:pPr>
          </w:p>
        </w:tc>
        <w:tc>
          <w:tcPr>
            <w:tcW w:w="1140" w:type="dxa"/>
            <w:vAlign w:val="bottom"/>
          </w:tcPr>
          <w:p>
            <w:pPr>
              <w:jc w:val="right"/>
              <w:ind w:right="10"/>
              <w:spacing w:after="0" w:line="202" w:lineRule="exact"/>
              <w:rPr>
                <w:sz w:val="20"/>
                <w:szCs w:val="20"/>
                <w:color w:val="auto"/>
              </w:rPr>
            </w:pPr>
            <w:r>
              <w:rPr>
                <w:rFonts w:ascii="Arial" w:cs="Arial" w:eastAsia="Arial" w:hAnsi="Arial"/>
                <w:sz w:val="18"/>
                <w:szCs w:val="18"/>
                <w:color w:val="auto"/>
              </w:rPr>
              <w:t>22.1%</w:t>
            </w:r>
          </w:p>
        </w:tc>
      </w:tr>
      <w:tr>
        <w:trPr>
          <w:trHeight w:val="203"/>
        </w:trPr>
        <w:tc>
          <w:tcPr>
            <w:tcW w:w="5960" w:type="dxa"/>
            <w:vAlign w:val="bottom"/>
            <w:shd w:val="clear" w:color="auto" w:fill="CCEEFF"/>
          </w:tcPr>
          <w:p>
            <w:pPr>
              <w:ind w:left="520"/>
              <w:spacing w:after="0" w:line="202" w:lineRule="exact"/>
              <w:rPr>
                <w:sz w:val="20"/>
                <w:szCs w:val="20"/>
                <w:color w:val="auto"/>
              </w:rPr>
            </w:pPr>
            <w:r>
              <w:rPr>
                <w:rFonts w:ascii="Arial" w:cs="Arial" w:eastAsia="Arial" w:hAnsi="Arial"/>
                <w:sz w:val="17"/>
                <w:szCs w:val="17"/>
                <w:color w:val="auto"/>
              </w:rPr>
              <w:t>Slot machine win per unit per day</w:t>
            </w:r>
            <w:r>
              <w:rPr>
                <w:rFonts w:ascii="Arial" w:cs="Arial" w:eastAsia="Arial" w:hAnsi="Arial"/>
                <w:sz w:val="23"/>
                <w:szCs w:val="23"/>
                <w:color w:val="auto"/>
                <w:vertAlign w:val="superscript"/>
              </w:rPr>
              <w:t>4</w:t>
            </w:r>
          </w:p>
        </w:tc>
        <w:tc>
          <w:tcPr>
            <w:tcW w:w="2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rPr>
              <w:t>187</w:t>
            </w:r>
          </w:p>
        </w:tc>
        <w:tc>
          <w:tcPr>
            <w:tcW w:w="2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158</w:t>
            </w:r>
          </w:p>
        </w:tc>
        <w:tc>
          <w:tcPr>
            <w:tcW w:w="2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181</w:t>
            </w:r>
          </w:p>
        </w:tc>
        <w:tc>
          <w:tcPr>
            <w:tcW w:w="2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160</w:t>
            </w:r>
          </w:p>
        </w:tc>
      </w:tr>
      <w:tr>
        <w:trPr>
          <w:trHeight w:val="203"/>
        </w:trPr>
        <w:tc>
          <w:tcPr>
            <w:tcW w:w="5960" w:type="dxa"/>
            <w:vAlign w:val="bottom"/>
          </w:tcPr>
          <w:p>
            <w:pPr>
              <w:ind w:left="520"/>
              <w:spacing w:after="0" w:line="202" w:lineRule="exact"/>
              <w:rPr>
                <w:sz w:val="20"/>
                <w:szCs w:val="20"/>
                <w:color w:val="auto"/>
              </w:rPr>
            </w:pPr>
            <w:r>
              <w:rPr>
                <w:rFonts w:ascii="Arial" w:cs="Arial" w:eastAsia="Arial" w:hAnsi="Arial"/>
                <w:sz w:val="18"/>
                <w:szCs w:val="18"/>
                <w:color w:val="auto"/>
              </w:rPr>
              <w:t>Average number of table games</w:t>
            </w:r>
          </w:p>
        </w:tc>
        <w:tc>
          <w:tcPr>
            <w:tcW w:w="220" w:type="dxa"/>
            <w:vAlign w:val="bottom"/>
          </w:tcPr>
          <w:p>
            <w:pPr>
              <w:spacing w:after="0"/>
              <w:rPr>
                <w:sz w:val="17"/>
                <w:szCs w:val="17"/>
                <w:color w:val="auto"/>
              </w:rPr>
            </w:pPr>
          </w:p>
        </w:tc>
        <w:tc>
          <w:tcPr>
            <w:tcW w:w="1180" w:type="dxa"/>
            <w:vAlign w:val="bottom"/>
          </w:tcPr>
          <w:p>
            <w:pPr>
              <w:jc w:val="right"/>
              <w:ind w:right="30"/>
              <w:spacing w:after="0" w:line="202" w:lineRule="exact"/>
              <w:rPr>
                <w:sz w:val="20"/>
                <w:szCs w:val="20"/>
                <w:color w:val="auto"/>
              </w:rPr>
            </w:pPr>
            <w:r>
              <w:rPr>
                <w:rFonts w:ascii="Arial" w:cs="Arial" w:eastAsia="Arial" w:hAnsi="Arial"/>
                <w:sz w:val="18"/>
                <w:szCs w:val="18"/>
                <w:color w:val="auto"/>
              </w:rPr>
              <w:t>228</w:t>
            </w:r>
          </w:p>
        </w:tc>
        <w:tc>
          <w:tcPr>
            <w:tcW w:w="220" w:type="dxa"/>
            <w:vAlign w:val="bottom"/>
          </w:tcPr>
          <w:p>
            <w:pPr>
              <w:spacing w:after="0"/>
              <w:rPr>
                <w:sz w:val="17"/>
                <w:szCs w:val="17"/>
                <w:color w:val="auto"/>
              </w:rPr>
            </w:pPr>
          </w:p>
        </w:tc>
        <w:tc>
          <w:tcPr>
            <w:tcW w:w="1140" w:type="dxa"/>
            <w:vAlign w:val="bottom"/>
          </w:tcPr>
          <w:p>
            <w:pPr>
              <w:jc w:val="right"/>
              <w:ind w:right="10"/>
              <w:spacing w:after="0" w:line="202" w:lineRule="exact"/>
              <w:rPr>
                <w:sz w:val="20"/>
                <w:szCs w:val="20"/>
                <w:color w:val="auto"/>
              </w:rPr>
            </w:pPr>
            <w:r>
              <w:rPr>
                <w:rFonts w:ascii="Arial" w:cs="Arial" w:eastAsia="Arial" w:hAnsi="Arial"/>
                <w:sz w:val="18"/>
                <w:szCs w:val="18"/>
                <w:color w:val="auto"/>
              </w:rPr>
              <w:t>237</w:t>
            </w:r>
          </w:p>
        </w:tc>
        <w:tc>
          <w:tcPr>
            <w:tcW w:w="200" w:type="dxa"/>
            <w:vAlign w:val="bottom"/>
          </w:tcPr>
          <w:p>
            <w:pPr>
              <w:spacing w:after="0"/>
              <w:rPr>
                <w:sz w:val="17"/>
                <w:szCs w:val="17"/>
                <w:color w:val="auto"/>
              </w:rPr>
            </w:pPr>
          </w:p>
        </w:tc>
        <w:tc>
          <w:tcPr>
            <w:tcW w:w="1140" w:type="dxa"/>
            <w:vAlign w:val="bottom"/>
          </w:tcPr>
          <w:p>
            <w:pPr>
              <w:jc w:val="right"/>
              <w:ind w:right="10"/>
              <w:spacing w:after="0" w:line="202" w:lineRule="exact"/>
              <w:rPr>
                <w:sz w:val="20"/>
                <w:szCs w:val="20"/>
                <w:color w:val="auto"/>
              </w:rPr>
            </w:pPr>
            <w:r>
              <w:rPr>
                <w:rFonts w:ascii="Arial" w:cs="Arial" w:eastAsia="Arial" w:hAnsi="Arial"/>
                <w:sz w:val="18"/>
                <w:szCs w:val="18"/>
                <w:color w:val="auto"/>
              </w:rPr>
              <w:t>227</w:t>
            </w:r>
          </w:p>
        </w:tc>
        <w:tc>
          <w:tcPr>
            <w:tcW w:w="220" w:type="dxa"/>
            <w:vAlign w:val="bottom"/>
          </w:tcPr>
          <w:p>
            <w:pPr>
              <w:spacing w:after="0"/>
              <w:rPr>
                <w:sz w:val="17"/>
                <w:szCs w:val="17"/>
                <w:color w:val="auto"/>
              </w:rPr>
            </w:pPr>
          </w:p>
        </w:tc>
        <w:tc>
          <w:tcPr>
            <w:tcW w:w="1140" w:type="dxa"/>
            <w:vAlign w:val="bottom"/>
          </w:tcPr>
          <w:p>
            <w:pPr>
              <w:jc w:val="right"/>
              <w:ind w:right="10"/>
              <w:spacing w:after="0" w:line="202" w:lineRule="exact"/>
              <w:rPr>
                <w:sz w:val="20"/>
                <w:szCs w:val="20"/>
                <w:color w:val="auto"/>
              </w:rPr>
            </w:pPr>
            <w:r>
              <w:rPr>
                <w:rFonts w:ascii="Arial" w:cs="Arial" w:eastAsia="Arial" w:hAnsi="Arial"/>
                <w:sz w:val="18"/>
                <w:szCs w:val="18"/>
                <w:color w:val="auto"/>
              </w:rPr>
              <w:t>229</w:t>
            </w:r>
          </w:p>
        </w:tc>
      </w:tr>
      <w:tr>
        <w:trPr>
          <w:trHeight w:val="203"/>
        </w:trPr>
        <w:tc>
          <w:tcPr>
            <w:tcW w:w="5960" w:type="dxa"/>
            <w:vAlign w:val="bottom"/>
            <w:shd w:val="clear" w:color="auto" w:fill="CCEEFF"/>
          </w:tcPr>
          <w:p>
            <w:pPr>
              <w:ind w:left="520"/>
              <w:spacing w:after="0" w:line="202" w:lineRule="exact"/>
              <w:rPr>
                <w:sz w:val="20"/>
                <w:szCs w:val="20"/>
                <w:color w:val="auto"/>
              </w:rPr>
            </w:pPr>
            <w:r>
              <w:rPr>
                <w:rFonts w:ascii="Arial" w:cs="Arial" w:eastAsia="Arial" w:hAnsi="Arial"/>
                <w:sz w:val="18"/>
                <w:szCs w:val="18"/>
                <w:color w:val="auto"/>
              </w:rPr>
              <w:t>Average number of slot machines</w:t>
            </w:r>
          </w:p>
        </w:tc>
        <w:tc>
          <w:tcPr>
            <w:tcW w:w="220" w:type="dxa"/>
            <w:vAlign w:val="bottom"/>
            <w:shd w:val="clear" w:color="auto" w:fill="CCEEFF"/>
          </w:tcPr>
          <w:p>
            <w:pPr>
              <w:spacing w:after="0"/>
              <w:rPr>
                <w:sz w:val="17"/>
                <w:szCs w:val="17"/>
                <w:color w:val="auto"/>
              </w:rPr>
            </w:pPr>
          </w:p>
        </w:tc>
        <w:tc>
          <w:tcPr>
            <w:tcW w:w="1180" w:type="dxa"/>
            <w:vAlign w:val="bottom"/>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rPr>
              <w:t>2,514</w:t>
            </w: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2,664</w:t>
            </w:r>
          </w:p>
        </w:tc>
        <w:tc>
          <w:tcPr>
            <w:tcW w:w="200" w:type="dxa"/>
            <w:vAlign w:val="bottom"/>
            <w:shd w:val="clear" w:color="auto" w:fill="CCEEFF"/>
          </w:tcPr>
          <w:p>
            <w:pPr>
              <w:spacing w:after="0"/>
              <w:rPr>
                <w:sz w:val="17"/>
                <w:szCs w:val="17"/>
                <w:color w:val="auto"/>
              </w:rPr>
            </w:pPr>
          </w:p>
        </w:tc>
        <w:tc>
          <w:tcPr>
            <w:tcW w:w="114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2,568</w:t>
            </w: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2,670</w:t>
            </w:r>
          </w:p>
        </w:tc>
      </w:tr>
      <w:tr>
        <w:trPr>
          <w:trHeight w:val="216"/>
        </w:trPr>
        <w:tc>
          <w:tcPr>
            <w:tcW w:w="5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Room Statistics for Macau:</w:t>
            </w:r>
          </w:p>
        </w:tc>
        <w:tc>
          <w:tcPr>
            <w:tcW w:w="2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r>
      <w:tr>
        <w:trPr>
          <w:trHeight w:val="203"/>
        </w:trPr>
        <w:tc>
          <w:tcPr>
            <w:tcW w:w="5960" w:type="dxa"/>
            <w:vAlign w:val="bottom"/>
          </w:tcPr>
          <w:p>
            <w:pPr>
              <w:ind w:left="580"/>
              <w:spacing w:after="0" w:line="202" w:lineRule="exact"/>
              <w:rPr>
                <w:sz w:val="20"/>
                <w:szCs w:val="20"/>
                <w:color w:val="auto"/>
              </w:rPr>
            </w:pPr>
            <w:r>
              <w:rPr>
                <w:rFonts w:ascii="Arial" w:cs="Arial" w:eastAsia="Arial" w:hAnsi="Arial"/>
                <w:sz w:val="18"/>
                <w:szCs w:val="18"/>
                <w:color w:val="auto"/>
              </w:rPr>
              <w:t>Occupancy %</w:t>
            </w:r>
          </w:p>
        </w:tc>
        <w:tc>
          <w:tcPr>
            <w:tcW w:w="220" w:type="dxa"/>
            <w:vAlign w:val="bottom"/>
          </w:tcPr>
          <w:p>
            <w:pPr>
              <w:spacing w:after="0"/>
              <w:rPr>
                <w:sz w:val="17"/>
                <w:szCs w:val="17"/>
                <w:color w:val="auto"/>
              </w:rPr>
            </w:pPr>
          </w:p>
        </w:tc>
        <w:tc>
          <w:tcPr>
            <w:tcW w:w="1180" w:type="dxa"/>
            <w:vAlign w:val="bottom"/>
          </w:tcPr>
          <w:p>
            <w:pPr>
              <w:jc w:val="right"/>
              <w:ind w:right="30"/>
              <w:spacing w:after="0" w:line="202" w:lineRule="exact"/>
              <w:rPr>
                <w:sz w:val="20"/>
                <w:szCs w:val="20"/>
                <w:color w:val="auto"/>
              </w:rPr>
            </w:pPr>
            <w:r>
              <w:rPr>
                <w:rFonts w:ascii="Arial" w:cs="Arial" w:eastAsia="Arial" w:hAnsi="Arial"/>
                <w:sz w:val="18"/>
                <w:szCs w:val="18"/>
                <w:color w:val="auto"/>
              </w:rPr>
              <w:t>93.7%</w:t>
            </w:r>
          </w:p>
        </w:tc>
        <w:tc>
          <w:tcPr>
            <w:tcW w:w="220" w:type="dxa"/>
            <w:vAlign w:val="bottom"/>
          </w:tcPr>
          <w:p>
            <w:pPr>
              <w:spacing w:after="0"/>
              <w:rPr>
                <w:sz w:val="17"/>
                <w:szCs w:val="17"/>
                <w:color w:val="auto"/>
              </w:rPr>
            </w:pPr>
          </w:p>
        </w:tc>
        <w:tc>
          <w:tcPr>
            <w:tcW w:w="1140" w:type="dxa"/>
            <w:vAlign w:val="bottom"/>
          </w:tcPr>
          <w:p>
            <w:pPr>
              <w:jc w:val="right"/>
              <w:ind w:right="10"/>
              <w:spacing w:after="0" w:line="202" w:lineRule="exact"/>
              <w:rPr>
                <w:sz w:val="20"/>
                <w:szCs w:val="20"/>
                <w:color w:val="auto"/>
              </w:rPr>
            </w:pPr>
            <w:r>
              <w:rPr>
                <w:rFonts w:ascii="Arial" w:cs="Arial" w:eastAsia="Arial" w:hAnsi="Arial"/>
                <w:sz w:val="18"/>
                <w:szCs w:val="18"/>
                <w:color w:val="auto"/>
              </w:rPr>
              <w:t>87.6%</w:t>
            </w:r>
          </w:p>
        </w:tc>
        <w:tc>
          <w:tcPr>
            <w:tcW w:w="200" w:type="dxa"/>
            <w:vAlign w:val="bottom"/>
          </w:tcPr>
          <w:p>
            <w:pPr>
              <w:spacing w:after="0"/>
              <w:rPr>
                <w:sz w:val="17"/>
                <w:szCs w:val="17"/>
                <w:color w:val="auto"/>
              </w:rPr>
            </w:pPr>
          </w:p>
        </w:tc>
        <w:tc>
          <w:tcPr>
            <w:tcW w:w="1140" w:type="dxa"/>
            <w:vAlign w:val="bottom"/>
          </w:tcPr>
          <w:p>
            <w:pPr>
              <w:jc w:val="right"/>
              <w:ind w:right="10"/>
              <w:spacing w:after="0" w:line="202" w:lineRule="exact"/>
              <w:rPr>
                <w:sz w:val="20"/>
                <w:szCs w:val="20"/>
                <w:color w:val="auto"/>
              </w:rPr>
            </w:pPr>
            <w:r>
              <w:rPr>
                <w:rFonts w:ascii="Arial" w:cs="Arial" w:eastAsia="Arial" w:hAnsi="Arial"/>
                <w:sz w:val="18"/>
                <w:szCs w:val="18"/>
                <w:color w:val="auto"/>
              </w:rPr>
              <w:t>91.0%</w:t>
            </w:r>
          </w:p>
        </w:tc>
        <w:tc>
          <w:tcPr>
            <w:tcW w:w="220" w:type="dxa"/>
            <w:vAlign w:val="bottom"/>
          </w:tcPr>
          <w:p>
            <w:pPr>
              <w:spacing w:after="0"/>
              <w:rPr>
                <w:sz w:val="17"/>
                <w:szCs w:val="17"/>
                <w:color w:val="auto"/>
              </w:rPr>
            </w:pPr>
          </w:p>
        </w:tc>
        <w:tc>
          <w:tcPr>
            <w:tcW w:w="1140" w:type="dxa"/>
            <w:vAlign w:val="bottom"/>
          </w:tcPr>
          <w:p>
            <w:pPr>
              <w:jc w:val="right"/>
              <w:ind w:right="10"/>
              <w:spacing w:after="0" w:line="202" w:lineRule="exact"/>
              <w:rPr>
                <w:sz w:val="20"/>
                <w:szCs w:val="20"/>
                <w:color w:val="auto"/>
              </w:rPr>
            </w:pPr>
            <w:r>
              <w:rPr>
                <w:rFonts w:ascii="Arial" w:cs="Arial" w:eastAsia="Arial" w:hAnsi="Arial"/>
                <w:sz w:val="18"/>
                <w:szCs w:val="18"/>
                <w:color w:val="auto"/>
              </w:rPr>
              <w:t>86.0%</w:t>
            </w:r>
          </w:p>
        </w:tc>
      </w:tr>
      <w:tr>
        <w:trPr>
          <w:trHeight w:val="203"/>
        </w:trPr>
        <w:tc>
          <w:tcPr>
            <w:tcW w:w="5960" w:type="dxa"/>
            <w:vAlign w:val="bottom"/>
            <w:shd w:val="clear" w:color="auto" w:fill="CCEEFF"/>
          </w:tcPr>
          <w:p>
            <w:pPr>
              <w:ind w:left="580"/>
              <w:spacing w:after="0" w:line="202" w:lineRule="exact"/>
              <w:rPr>
                <w:sz w:val="20"/>
                <w:szCs w:val="20"/>
                <w:color w:val="auto"/>
              </w:rPr>
            </w:pPr>
            <w:r>
              <w:rPr>
                <w:rFonts w:ascii="Arial" w:cs="Arial" w:eastAsia="Arial" w:hAnsi="Arial"/>
                <w:sz w:val="17"/>
                <w:szCs w:val="17"/>
                <w:color w:val="auto"/>
              </w:rPr>
              <w:t>Average Daily Rate (ADR)</w:t>
            </w:r>
            <w:r>
              <w:rPr>
                <w:rFonts w:ascii="Arial" w:cs="Arial" w:eastAsia="Arial" w:hAnsi="Arial"/>
                <w:sz w:val="23"/>
                <w:szCs w:val="23"/>
                <w:color w:val="auto"/>
                <w:vertAlign w:val="superscript"/>
              </w:rPr>
              <w:t>1</w:t>
            </w:r>
          </w:p>
        </w:tc>
        <w:tc>
          <w:tcPr>
            <w:tcW w:w="2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rPr>
              <w:t>315</w:t>
            </w:r>
          </w:p>
        </w:tc>
        <w:tc>
          <w:tcPr>
            <w:tcW w:w="2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287</w:t>
            </w:r>
          </w:p>
        </w:tc>
        <w:tc>
          <w:tcPr>
            <w:tcW w:w="2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312</w:t>
            </w:r>
          </w:p>
        </w:tc>
        <w:tc>
          <w:tcPr>
            <w:tcW w:w="2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286</w:t>
            </w:r>
          </w:p>
        </w:tc>
      </w:tr>
      <w:tr>
        <w:trPr>
          <w:trHeight w:val="203"/>
        </w:trPr>
        <w:tc>
          <w:tcPr>
            <w:tcW w:w="5960" w:type="dxa"/>
            <w:vAlign w:val="bottom"/>
          </w:tcPr>
          <w:p>
            <w:pPr>
              <w:ind w:left="580"/>
              <w:spacing w:after="0" w:line="202" w:lineRule="exact"/>
              <w:rPr>
                <w:sz w:val="20"/>
                <w:szCs w:val="20"/>
                <w:color w:val="auto"/>
              </w:rPr>
            </w:pPr>
            <w:r>
              <w:rPr>
                <w:rFonts w:ascii="Arial" w:cs="Arial" w:eastAsia="Arial" w:hAnsi="Arial"/>
                <w:sz w:val="17"/>
                <w:szCs w:val="17"/>
                <w:color w:val="auto"/>
              </w:rPr>
              <w:t>Revenue per available room (REVPAR)</w:t>
            </w:r>
            <w:r>
              <w:rPr>
                <w:rFonts w:ascii="Arial" w:cs="Arial" w:eastAsia="Arial" w:hAnsi="Arial"/>
                <w:sz w:val="23"/>
                <w:szCs w:val="23"/>
                <w:color w:val="auto"/>
                <w:vertAlign w:val="superscript"/>
              </w:rPr>
              <w:t>2</w:t>
            </w:r>
          </w:p>
        </w:tc>
        <w:tc>
          <w:tcPr>
            <w:tcW w:w="2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180" w:type="dxa"/>
            <w:vAlign w:val="bottom"/>
          </w:tcPr>
          <w:p>
            <w:pPr>
              <w:jc w:val="right"/>
              <w:ind w:right="30"/>
              <w:spacing w:after="0" w:line="202" w:lineRule="exact"/>
              <w:rPr>
                <w:sz w:val="20"/>
                <w:szCs w:val="20"/>
                <w:color w:val="auto"/>
              </w:rPr>
            </w:pPr>
            <w:r>
              <w:rPr>
                <w:rFonts w:ascii="Arial" w:cs="Arial" w:eastAsia="Arial" w:hAnsi="Arial"/>
                <w:sz w:val="18"/>
                <w:szCs w:val="18"/>
                <w:color w:val="auto"/>
              </w:rPr>
              <w:t>295</w:t>
            </w:r>
          </w:p>
        </w:tc>
        <w:tc>
          <w:tcPr>
            <w:tcW w:w="2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140" w:type="dxa"/>
            <w:vAlign w:val="bottom"/>
          </w:tcPr>
          <w:p>
            <w:pPr>
              <w:jc w:val="right"/>
              <w:ind w:right="10"/>
              <w:spacing w:after="0" w:line="202" w:lineRule="exact"/>
              <w:rPr>
                <w:sz w:val="20"/>
                <w:szCs w:val="20"/>
                <w:color w:val="auto"/>
              </w:rPr>
            </w:pPr>
            <w:r>
              <w:rPr>
                <w:rFonts w:ascii="Arial" w:cs="Arial" w:eastAsia="Arial" w:hAnsi="Arial"/>
                <w:sz w:val="18"/>
                <w:szCs w:val="18"/>
                <w:color w:val="auto"/>
              </w:rPr>
              <w:t>251</w:t>
            </w:r>
          </w:p>
        </w:tc>
        <w:tc>
          <w:tcPr>
            <w:tcW w:w="2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140" w:type="dxa"/>
            <w:vAlign w:val="bottom"/>
          </w:tcPr>
          <w:p>
            <w:pPr>
              <w:jc w:val="right"/>
              <w:ind w:right="10"/>
              <w:spacing w:after="0" w:line="202" w:lineRule="exact"/>
              <w:rPr>
                <w:sz w:val="20"/>
                <w:szCs w:val="20"/>
                <w:color w:val="auto"/>
              </w:rPr>
            </w:pPr>
            <w:r>
              <w:rPr>
                <w:rFonts w:ascii="Arial" w:cs="Arial" w:eastAsia="Arial" w:hAnsi="Arial"/>
                <w:sz w:val="18"/>
                <w:szCs w:val="18"/>
                <w:color w:val="auto"/>
              </w:rPr>
              <w:t>284</w:t>
            </w:r>
          </w:p>
        </w:tc>
        <w:tc>
          <w:tcPr>
            <w:tcW w:w="2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140" w:type="dxa"/>
            <w:vAlign w:val="bottom"/>
          </w:tcPr>
          <w:p>
            <w:pPr>
              <w:jc w:val="right"/>
              <w:ind w:right="10"/>
              <w:spacing w:after="0" w:line="202" w:lineRule="exact"/>
              <w:rPr>
                <w:sz w:val="20"/>
                <w:szCs w:val="20"/>
                <w:color w:val="auto"/>
              </w:rPr>
            </w:pPr>
            <w:r>
              <w:rPr>
                <w:rFonts w:ascii="Arial" w:cs="Arial" w:eastAsia="Arial" w:hAnsi="Arial"/>
                <w:sz w:val="18"/>
                <w:szCs w:val="18"/>
                <w:color w:val="auto"/>
              </w:rPr>
              <w:t>246</w:t>
            </w:r>
          </w:p>
        </w:tc>
      </w:tr>
      <w:tr>
        <w:trPr>
          <w:trHeight w:val="216"/>
        </w:trPr>
        <w:tc>
          <w:tcPr>
            <w:tcW w:w="5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r>
      <w:tr>
        <w:trPr>
          <w:trHeight w:val="216"/>
        </w:trPr>
        <w:tc>
          <w:tcPr>
            <w:tcW w:w="5960" w:type="dxa"/>
            <w:vAlign w:val="bottom"/>
          </w:tcPr>
          <w:p>
            <w:pPr>
              <w:spacing w:after="0"/>
              <w:rPr>
                <w:sz w:val="20"/>
                <w:szCs w:val="20"/>
                <w:color w:val="auto"/>
              </w:rPr>
            </w:pPr>
            <w:r>
              <w:rPr>
                <w:rFonts w:ascii="Arial" w:cs="Arial" w:eastAsia="Arial" w:hAnsi="Arial"/>
                <w:sz w:val="18"/>
                <w:szCs w:val="18"/>
                <w:color w:val="auto"/>
              </w:rPr>
              <w:t>Other information for Macau:</w:t>
            </w:r>
          </w:p>
        </w:tc>
        <w:tc>
          <w:tcPr>
            <w:tcW w:w="2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03"/>
        </w:trPr>
        <w:tc>
          <w:tcPr>
            <w:tcW w:w="5960" w:type="dxa"/>
            <w:vAlign w:val="bottom"/>
            <w:shd w:val="clear" w:color="auto" w:fill="CCEEFF"/>
          </w:tcPr>
          <w:p>
            <w:pPr>
              <w:ind w:left="520"/>
              <w:spacing w:after="0" w:line="202" w:lineRule="exact"/>
              <w:rPr>
                <w:sz w:val="20"/>
                <w:szCs w:val="20"/>
                <w:color w:val="auto"/>
              </w:rPr>
            </w:pPr>
            <w:r>
              <w:rPr>
                <w:rFonts w:ascii="Arial" w:cs="Arial" w:eastAsia="Arial" w:hAnsi="Arial"/>
                <w:sz w:val="17"/>
                <w:szCs w:val="17"/>
                <w:color w:val="auto"/>
              </w:rPr>
              <w:t>Table games win per unit per day</w:t>
            </w:r>
            <w:r>
              <w:rPr>
                <w:rFonts w:ascii="Arial" w:cs="Arial" w:eastAsia="Arial" w:hAnsi="Arial"/>
                <w:sz w:val="23"/>
                <w:szCs w:val="23"/>
                <w:color w:val="auto"/>
                <w:vertAlign w:val="superscript"/>
              </w:rPr>
              <w:t>3</w:t>
            </w:r>
          </w:p>
        </w:tc>
        <w:tc>
          <w:tcPr>
            <w:tcW w:w="2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rPr>
              <w:t>25,134</w:t>
            </w:r>
          </w:p>
        </w:tc>
        <w:tc>
          <w:tcPr>
            <w:tcW w:w="2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17,940</w:t>
            </w:r>
          </w:p>
        </w:tc>
        <w:tc>
          <w:tcPr>
            <w:tcW w:w="2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24,776</w:t>
            </w:r>
          </w:p>
        </w:tc>
        <w:tc>
          <w:tcPr>
            <w:tcW w:w="2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19,059</w:t>
            </w:r>
          </w:p>
        </w:tc>
      </w:tr>
      <w:tr>
        <w:trPr>
          <w:trHeight w:val="203"/>
        </w:trPr>
        <w:tc>
          <w:tcPr>
            <w:tcW w:w="5960" w:type="dxa"/>
            <w:vAlign w:val="bottom"/>
          </w:tcPr>
          <w:p>
            <w:pPr>
              <w:ind w:left="520"/>
              <w:spacing w:after="0" w:line="202" w:lineRule="exact"/>
              <w:rPr>
                <w:sz w:val="20"/>
                <w:szCs w:val="20"/>
                <w:color w:val="auto"/>
              </w:rPr>
            </w:pPr>
            <w:r>
              <w:rPr>
                <w:rFonts w:ascii="Arial" w:cs="Arial" w:eastAsia="Arial" w:hAnsi="Arial"/>
                <w:sz w:val="17"/>
                <w:szCs w:val="17"/>
                <w:color w:val="auto"/>
              </w:rPr>
              <w:t>Slot machine win per unit per day</w:t>
            </w:r>
            <w:r>
              <w:rPr>
                <w:rFonts w:ascii="Arial" w:cs="Arial" w:eastAsia="Arial" w:hAnsi="Arial"/>
                <w:sz w:val="23"/>
                <w:szCs w:val="23"/>
                <w:color w:val="auto"/>
                <w:vertAlign w:val="superscript"/>
              </w:rPr>
              <w:t>4</w:t>
            </w:r>
          </w:p>
        </w:tc>
        <w:tc>
          <w:tcPr>
            <w:tcW w:w="2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180" w:type="dxa"/>
            <w:vAlign w:val="bottom"/>
          </w:tcPr>
          <w:p>
            <w:pPr>
              <w:jc w:val="right"/>
              <w:ind w:right="30"/>
              <w:spacing w:after="0" w:line="202" w:lineRule="exact"/>
              <w:rPr>
                <w:sz w:val="20"/>
                <w:szCs w:val="20"/>
                <w:color w:val="auto"/>
              </w:rPr>
            </w:pPr>
            <w:r>
              <w:rPr>
                <w:rFonts w:ascii="Arial" w:cs="Arial" w:eastAsia="Arial" w:hAnsi="Arial"/>
                <w:sz w:val="18"/>
                <w:szCs w:val="18"/>
                <w:color w:val="auto"/>
              </w:rPr>
              <w:t>696</w:t>
            </w:r>
          </w:p>
        </w:tc>
        <w:tc>
          <w:tcPr>
            <w:tcW w:w="2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140" w:type="dxa"/>
            <w:vAlign w:val="bottom"/>
          </w:tcPr>
          <w:p>
            <w:pPr>
              <w:jc w:val="right"/>
              <w:ind w:right="10"/>
              <w:spacing w:after="0" w:line="202" w:lineRule="exact"/>
              <w:rPr>
                <w:sz w:val="20"/>
                <w:szCs w:val="20"/>
                <w:color w:val="auto"/>
              </w:rPr>
            </w:pPr>
            <w:r>
              <w:rPr>
                <w:rFonts w:ascii="Arial" w:cs="Arial" w:eastAsia="Arial" w:hAnsi="Arial"/>
                <w:sz w:val="18"/>
                <w:szCs w:val="18"/>
                <w:color w:val="auto"/>
              </w:rPr>
              <w:t>538</w:t>
            </w:r>
          </w:p>
        </w:tc>
        <w:tc>
          <w:tcPr>
            <w:tcW w:w="2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140" w:type="dxa"/>
            <w:vAlign w:val="bottom"/>
          </w:tcPr>
          <w:p>
            <w:pPr>
              <w:jc w:val="right"/>
              <w:ind w:right="10"/>
              <w:spacing w:after="0" w:line="202" w:lineRule="exact"/>
              <w:rPr>
                <w:sz w:val="20"/>
                <w:szCs w:val="20"/>
                <w:color w:val="auto"/>
              </w:rPr>
            </w:pPr>
            <w:r>
              <w:rPr>
                <w:rFonts w:ascii="Arial" w:cs="Arial" w:eastAsia="Arial" w:hAnsi="Arial"/>
                <w:sz w:val="18"/>
                <w:szCs w:val="18"/>
                <w:color w:val="auto"/>
              </w:rPr>
              <w:t>763</w:t>
            </w:r>
          </w:p>
        </w:tc>
        <w:tc>
          <w:tcPr>
            <w:tcW w:w="2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140" w:type="dxa"/>
            <w:vAlign w:val="bottom"/>
          </w:tcPr>
          <w:p>
            <w:pPr>
              <w:jc w:val="right"/>
              <w:ind w:right="10"/>
              <w:spacing w:after="0" w:line="202" w:lineRule="exact"/>
              <w:rPr>
                <w:sz w:val="20"/>
                <w:szCs w:val="20"/>
                <w:color w:val="auto"/>
              </w:rPr>
            </w:pPr>
            <w:r>
              <w:rPr>
                <w:rFonts w:ascii="Arial" w:cs="Arial" w:eastAsia="Arial" w:hAnsi="Arial"/>
                <w:sz w:val="18"/>
                <w:szCs w:val="18"/>
                <w:color w:val="auto"/>
              </w:rPr>
              <w:t>482</w:t>
            </w:r>
          </w:p>
        </w:tc>
      </w:tr>
      <w:tr>
        <w:trPr>
          <w:trHeight w:val="203"/>
        </w:trPr>
        <w:tc>
          <w:tcPr>
            <w:tcW w:w="5960" w:type="dxa"/>
            <w:vAlign w:val="bottom"/>
            <w:shd w:val="clear" w:color="auto" w:fill="CCEEFF"/>
          </w:tcPr>
          <w:p>
            <w:pPr>
              <w:ind w:left="520"/>
              <w:spacing w:after="0" w:line="202" w:lineRule="exact"/>
              <w:rPr>
                <w:sz w:val="20"/>
                <w:szCs w:val="20"/>
                <w:color w:val="auto"/>
              </w:rPr>
            </w:pPr>
            <w:r>
              <w:rPr>
                <w:rFonts w:ascii="Arial" w:cs="Arial" w:eastAsia="Arial" w:hAnsi="Arial"/>
                <w:sz w:val="18"/>
                <w:szCs w:val="18"/>
                <w:color w:val="auto"/>
              </w:rPr>
              <w:t>Average number of table games</w:t>
            </w:r>
          </w:p>
        </w:tc>
        <w:tc>
          <w:tcPr>
            <w:tcW w:w="220" w:type="dxa"/>
            <w:vAlign w:val="bottom"/>
            <w:shd w:val="clear" w:color="auto" w:fill="CCEEFF"/>
          </w:tcPr>
          <w:p>
            <w:pPr>
              <w:spacing w:after="0"/>
              <w:rPr>
                <w:sz w:val="17"/>
                <w:szCs w:val="17"/>
                <w:color w:val="auto"/>
              </w:rPr>
            </w:pPr>
          </w:p>
        </w:tc>
        <w:tc>
          <w:tcPr>
            <w:tcW w:w="1180" w:type="dxa"/>
            <w:vAlign w:val="bottom"/>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rPr>
              <w:t>485</w:t>
            </w: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462</w:t>
            </w:r>
          </w:p>
        </w:tc>
        <w:tc>
          <w:tcPr>
            <w:tcW w:w="200" w:type="dxa"/>
            <w:vAlign w:val="bottom"/>
            <w:shd w:val="clear" w:color="auto" w:fill="CCEEFF"/>
          </w:tcPr>
          <w:p>
            <w:pPr>
              <w:spacing w:after="0"/>
              <w:rPr>
                <w:sz w:val="17"/>
                <w:szCs w:val="17"/>
                <w:color w:val="auto"/>
              </w:rPr>
            </w:pPr>
          </w:p>
        </w:tc>
        <w:tc>
          <w:tcPr>
            <w:tcW w:w="114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478</w:t>
            </w: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432</w:t>
            </w:r>
          </w:p>
        </w:tc>
      </w:tr>
      <w:tr>
        <w:trPr>
          <w:trHeight w:val="217"/>
        </w:trPr>
        <w:tc>
          <w:tcPr>
            <w:tcW w:w="5960" w:type="dxa"/>
            <w:vAlign w:val="bottom"/>
          </w:tcPr>
          <w:p>
            <w:pPr>
              <w:ind w:left="520"/>
              <w:spacing w:after="0"/>
              <w:rPr>
                <w:sz w:val="20"/>
                <w:szCs w:val="20"/>
                <w:color w:val="auto"/>
              </w:rPr>
            </w:pPr>
            <w:r>
              <w:rPr>
                <w:rFonts w:ascii="Arial" w:cs="Arial" w:eastAsia="Arial" w:hAnsi="Arial"/>
                <w:sz w:val="18"/>
                <w:szCs w:val="18"/>
                <w:color w:val="auto"/>
              </w:rPr>
              <w:t>Average number of slot machines</w:t>
            </w:r>
          </w:p>
        </w:tc>
        <w:tc>
          <w:tcPr>
            <w:tcW w:w="220" w:type="dxa"/>
            <w:vAlign w:val="bottom"/>
          </w:tcPr>
          <w:p>
            <w:pPr>
              <w:spacing w:after="0"/>
              <w:rPr>
                <w:sz w:val="18"/>
                <w:szCs w:val="18"/>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1,008</w:t>
            </w:r>
          </w:p>
        </w:tc>
        <w:tc>
          <w:tcPr>
            <w:tcW w:w="220" w:type="dxa"/>
            <w:vAlign w:val="bottom"/>
          </w:tcPr>
          <w:p>
            <w:pPr>
              <w:spacing w:after="0"/>
              <w:rPr>
                <w:sz w:val="18"/>
                <w:szCs w:val="18"/>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1,182</w:t>
            </w:r>
          </w:p>
        </w:tc>
        <w:tc>
          <w:tcPr>
            <w:tcW w:w="200" w:type="dxa"/>
            <w:vAlign w:val="bottom"/>
          </w:tcPr>
          <w:p>
            <w:pPr>
              <w:spacing w:after="0"/>
              <w:rPr>
                <w:sz w:val="18"/>
                <w:szCs w:val="18"/>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1,020</w:t>
            </w:r>
          </w:p>
        </w:tc>
        <w:tc>
          <w:tcPr>
            <w:tcW w:w="220" w:type="dxa"/>
            <w:vAlign w:val="bottom"/>
          </w:tcPr>
          <w:p>
            <w:pPr>
              <w:spacing w:after="0"/>
              <w:rPr>
                <w:sz w:val="18"/>
                <w:szCs w:val="18"/>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1,181</w:t>
            </w:r>
          </w:p>
        </w:tc>
      </w:tr>
    </w:tbl>
    <w:p>
      <w:pPr>
        <w:spacing w:after="0" w:line="200" w:lineRule="exact"/>
        <w:rPr>
          <w:sz w:val="20"/>
          <w:szCs w:val="20"/>
          <w:color w:val="auto"/>
        </w:rPr>
      </w:pPr>
    </w:p>
    <w:p>
      <w:pPr>
        <w:spacing w:after="0" w:line="271" w:lineRule="exact"/>
        <w:rPr>
          <w:sz w:val="20"/>
          <w:szCs w:val="20"/>
          <w:color w:val="auto"/>
        </w:rPr>
      </w:pPr>
    </w:p>
    <w:p>
      <w:pPr>
        <w:ind w:left="280" w:hanging="272"/>
        <w:spacing w:after="0"/>
        <w:tabs>
          <w:tab w:leader="none" w:pos="280" w:val="left"/>
        </w:tabs>
        <w:numPr>
          <w:ilvl w:val="0"/>
          <w:numId w:val="4"/>
        </w:numPr>
        <w:rPr>
          <w:rFonts w:ascii="Arial" w:cs="Arial" w:eastAsia="Arial" w:hAnsi="Arial"/>
          <w:sz w:val="18"/>
          <w:szCs w:val="18"/>
          <w:color w:val="auto"/>
        </w:rPr>
      </w:pPr>
      <w:r>
        <w:rPr>
          <w:rFonts w:ascii="Arial" w:cs="Arial" w:eastAsia="Arial" w:hAnsi="Arial"/>
          <w:sz w:val="18"/>
          <w:szCs w:val="18"/>
          <w:color w:val="auto"/>
        </w:rPr>
        <w:t>ADR is Average Daily Rate and is calculated by dividing total room revenue (less service charges, if any) by total rooms occupied.</w:t>
      </w:r>
    </w:p>
    <w:p>
      <w:pPr>
        <w:spacing w:after="0" w:line="238" w:lineRule="exact"/>
        <w:rPr>
          <w:rFonts w:ascii="Arial" w:cs="Arial" w:eastAsia="Arial" w:hAnsi="Arial"/>
          <w:sz w:val="18"/>
          <w:szCs w:val="18"/>
          <w:color w:val="auto"/>
        </w:rPr>
      </w:pPr>
    </w:p>
    <w:p>
      <w:pPr>
        <w:ind w:right="500" w:firstLine="8"/>
        <w:spacing w:after="0" w:line="246" w:lineRule="auto"/>
        <w:tabs>
          <w:tab w:leader="none" w:pos="27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REVPAR is Revenue per Available Room and is calculated by dividing total room revenue (less service charges, if any) by total rooms available.</w:t>
      </w:r>
    </w:p>
    <w:p>
      <w:pPr>
        <w:spacing w:after="0" w:line="223" w:lineRule="exact"/>
        <w:rPr>
          <w:rFonts w:ascii="Arial" w:cs="Arial" w:eastAsia="Arial" w:hAnsi="Arial"/>
          <w:sz w:val="18"/>
          <w:szCs w:val="18"/>
          <w:color w:val="auto"/>
        </w:rPr>
      </w:pPr>
    </w:p>
    <w:p>
      <w:pPr>
        <w:ind w:left="280" w:hanging="272"/>
        <w:spacing w:after="0"/>
        <w:tabs>
          <w:tab w:leader="none" w:pos="2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Table games win per unit per day is shown before discounts and commissions.</w:t>
      </w:r>
    </w:p>
    <w:p>
      <w:pPr>
        <w:spacing w:after="0" w:line="238" w:lineRule="exact"/>
        <w:rPr>
          <w:rFonts w:ascii="Arial" w:cs="Arial" w:eastAsia="Arial" w:hAnsi="Arial"/>
          <w:sz w:val="18"/>
          <w:szCs w:val="18"/>
          <w:color w:val="auto"/>
        </w:rPr>
      </w:pPr>
    </w:p>
    <w:p>
      <w:pPr>
        <w:ind w:left="280" w:hanging="272"/>
        <w:spacing w:after="0"/>
        <w:tabs>
          <w:tab w:leader="none" w:pos="280" w:val="left"/>
        </w:tabs>
        <w:numPr>
          <w:ilvl w:val="0"/>
          <w:numId w:val="4"/>
        </w:numPr>
        <w:rPr>
          <w:rFonts w:ascii="Arial" w:cs="Arial" w:eastAsia="Arial" w:hAnsi="Arial"/>
          <w:sz w:val="18"/>
          <w:szCs w:val="18"/>
          <w:color w:val="auto"/>
        </w:rPr>
      </w:pPr>
      <w:r>
        <w:rPr>
          <w:rFonts w:ascii="Arial" w:cs="Arial" w:eastAsia="Arial" w:hAnsi="Arial"/>
          <w:sz w:val="18"/>
          <w:szCs w:val="18"/>
          <w:color w:val="auto"/>
        </w:rPr>
        <w:t>Slot machine win per unit per day is calculated as gross slot win minus progressive accruals and free play.</w:t>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color w:val="auto"/>
        </w:rPr>
        <w:t>SOURCE:</w:t>
      </w:r>
    </w:p>
    <w:p>
      <w:pPr>
        <w:spacing w:after="0" w:line="234" w:lineRule="auto"/>
        <w:rPr>
          <w:sz w:val="20"/>
          <w:szCs w:val="20"/>
          <w:color w:val="auto"/>
        </w:rPr>
      </w:pPr>
      <w:r>
        <w:rPr>
          <w:rFonts w:ascii="Arial" w:cs="Arial" w:eastAsia="Arial" w:hAnsi="Arial"/>
          <w:sz w:val="18"/>
          <w:szCs w:val="18"/>
          <w:color w:val="auto"/>
        </w:rPr>
        <w:t>Wynn Resorts, Limited</w:t>
      </w:r>
    </w:p>
    <w:p>
      <w:pPr>
        <w:spacing w:after="0" w:line="235" w:lineRule="auto"/>
        <w:rPr>
          <w:sz w:val="20"/>
          <w:szCs w:val="20"/>
          <w:color w:val="auto"/>
        </w:rPr>
      </w:pPr>
      <w:r>
        <w:rPr>
          <w:rFonts w:ascii="Arial" w:cs="Arial" w:eastAsia="Arial" w:hAnsi="Arial"/>
          <w:sz w:val="18"/>
          <w:szCs w:val="18"/>
          <w:color w:val="auto"/>
        </w:rPr>
        <w:t>CONTACT:</w:t>
      </w:r>
    </w:p>
    <w:p>
      <w:pPr>
        <w:spacing w:after="0" w:line="235" w:lineRule="auto"/>
        <w:rPr>
          <w:sz w:val="20"/>
          <w:szCs w:val="20"/>
          <w:color w:val="auto"/>
        </w:rPr>
      </w:pPr>
      <w:r>
        <w:rPr>
          <w:rFonts w:ascii="Arial" w:cs="Arial" w:eastAsia="Arial" w:hAnsi="Arial"/>
          <w:sz w:val="18"/>
          <w:szCs w:val="18"/>
          <w:color w:val="auto"/>
        </w:rPr>
        <w:t>Samanta Stewart, 702-770-7555</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investorrelations@wynnresorts.com</w:t>
      </w: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w:t>
      </w:r>
    </w:p>
    <w:sectPr>
      <w:pgSz w:w="11900" w:h="16838" w:orient="portrait"/>
      <w:cols w:equalWidth="0" w:num="1">
        <w:col w:w="11420"/>
      </w:cols>
      <w:pgMar w:left="240" w:top="508"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1)"/>
      <w:numFmt w:val="lowerLetter"/>
      <w:start w:val="4"/>
    </w:lvl>
  </w:abstractNum>
  <w:abstractNum w:abstractNumId="2">
    <w:nsid w:val="2AE8944A"/>
    <w:multiLevelType w:val="hybridMultilevel"/>
    <w:lvl w:ilvl="0">
      <w:lvlJc w:val="left"/>
      <w:lvlText w:val="(%1)"/>
      <w:numFmt w:val="decimal"/>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2019-12-10T22:10:49Z</dcterms:created>
  <dcterms:modified xsi:type="dcterms:W3CDTF">2019-12-10T22:10:49Z</dcterms:modified>
</cp:coreProperties>
</file>