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365125</wp:posOffset>
            </wp:positionV>
            <wp:extent cx="2847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91440</wp:posOffset>
            </wp:positionV>
            <wp:extent cx="2847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January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247015</wp:posOffset>
            </wp:positionV>
            <wp:extent cx="2847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2"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45"/>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Arial" w:cs="Arial" w:eastAsia="Arial" w:hAnsi="Arial"/>
                <w:sz w:val="17"/>
                <w:szCs w:val="17"/>
                <w:b w:val="1"/>
                <w:bCs w:val="1"/>
                <w:color w:val="auto"/>
                <w:w w:val="94"/>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Arial" w:cs="Arial" w:eastAsia="Arial" w:hAnsi="Arial"/>
                <w:sz w:val="17"/>
                <w:szCs w:val="17"/>
                <w:b w:val="1"/>
                <w:bCs w:val="1"/>
                <w:color w:val="auto"/>
                <w:w w:val="94"/>
              </w:rPr>
              <w:t>Not Applicable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76835</wp:posOffset>
            </wp:positionV>
            <wp:extent cx="2847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020" w:type="dxa"/>
            <w:vAlign w:val="bottom"/>
            <w:gridSpan w:val="2"/>
          </w:tcPr>
          <w:p>
            <w:pPr>
              <w:jc w:val="center"/>
              <w:ind w:right="1680"/>
              <w:spacing w:after="0"/>
              <w:rPr>
                <w:sz w:val="20"/>
                <w:szCs w:val="20"/>
                <w:color w:val="auto"/>
              </w:rPr>
            </w:pPr>
            <w:r>
              <w:rPr>
                <w:rFonts w:ascii="Arial" w:cs="Arial" w:eastAsia="Arial" w:hAnsi="Arial"/>
                <w:sz w:val="17"/>
                <w:szCs w:val="17"/>
                <w:b w:val="1"/>
                <w:bCs w:val="1"/>
                <w:color w:val="auto"/>
                <w:w w:val="88"/>
              </w:rPr>
              <w:t>Title of each class</w:t>
            </w:r>
          </w:p>
        </w:tc>
        <w:tc>
          <w:tcPr>
            <w:tcW w:w="228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3"/>
              </w:rPr>
              <w:t>Trading Symbol(s)</w:t>
            </w:r>
          </w:p>
        </w:tc>
        <w:tc>
          <w:tcPr>
            <w:tcW w:w="4140" w:type="dxa"/>
            <w:vAlign w:val="bottom"/>
            <w:gridSpan w:val="2"/>
          </w:tcPr>
          <w:p>
            <w:pPr>
              <w:jc w:val="center"/>
              <w:ind w:left="81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9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3880" w:type="dxa"/>
            <w:vAlign w:val="bottom"/>
            <w:gridSpan w:val="3"/>
          </w:tcPr>
          <w:p>
            <w:pPr>
              <w:jc w:val="center"/>
              <w:ind w:right="840"/>
              <w:spacing w:after="0"/>
              <w:rPr>
                <w:sz w:val="20"/>
                <w:szCs w:val="20"/>
                <w:color w:val="auto"/>
              </w:rPr>
            </w:pPr>
            <w:r>
              <w:rPr>
                <w:rFonts w:ascii="Arial" w:cs="Arial" w:eastAsia="Arial" w:hAnsi="Arial"/>
                <w:sz w:val="17"/>
                <w:szCs w:val="17"/>
                <w:color w:val="auto"/>
                <w:w w:val="93"/>
              </w:rPr>
              <w:t>Common stock, par value $0.01</w:t>
            </w:r>
          </w:p>
        </w:tc>
        <w:tc>
          <w:tcPr>
            <w:tcW w:w="2280" w:type="dxa"/>
            <w:vAlign w:val="bottom"/>
            <w:gridSpan w:val="2"/>
          </w:tcPr>
          <w:p>
            <w:pPr>
              <w:jc w:val="center"/>
              <w:ind w:right="900"/>
              <w:spacing w:after="0"/>
              <w:rPr>
                <w:sz w:val="20"/>
                <w:szCs w:val="20"/>
                <w:color w:val="auto"/>
              </w:rPr>
            </w:pPr>
            <w:r>
              <w:rPr>
                <w:rFonts w:ascii="Arial" w:cs="Arial" w:eastAsia="Arial" w:hAnsi="Arial"/>
                <w:sz w:val="17"/>
                <w:szCs w:val="17"/>
                <w:color w:val="auto"/>
              </w:rPr>
              <w:t>WYNN</w:t>
            </w:r>
          </w:p>
        </w:tc>
        <w:tc>
          <w:tcPr>
            <w:tcW w:w="9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4"/>
              </w:rPr>
              <w:t>Nasdaq Global Select Market</w:t>
            </w:r>
          </w:p>
        </w:tc>
        <w:tc>
          <w:tcPr>
            <w:tcW w:w="940" w:type="dxa"/>
            <w:vAlign w:val="bottom"/>
          </w:tcPr>
          <w:p>
            <w:pPr>
              <w:spacing w:after="0"/>
              <w:rPr>
                <w:sz w:val="21"/>
                <w:szCs w:val="21"/>
                <w:color w:val="auto"/>
              </w:rPr>
            </w:pPr>
          </w:p>
        </w:tc>
      </w:tr>
      <w:tr>
        <w:trPr>
          <w:trHeight w:val="203"/>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60"/>
        <w:spacing w:after="0" w:line="281" w:lineRule="auto"/>
        <w:rPr>
          <w:sz w:val="20"/>
          <w:szCs w:val="20"/>
          <w:color w:val="auto"/>
        </w:rPr>
      </w:pP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20"/>
            <w:col w:w="9900"/>
          </w:cols>
          <w:pgMar w:left="320" w:top="908" w:right="339" w:bottom="1440" w:gutter="0" w:footer="0" w:header="0"/>
        </w:sectPr>
      </w:pPr>
    </w:p>
    <w:p>
      <w:pPr>
        <w:spacing w:after="0" w:line="83" w:lineRule="exact"/>
        <w:rPr>
          <w:sz w:val="20"/>
          <w:szCs w:val="20"/>
          <w:color w:val="auto"/>
        </w:rPr>
      </w:pPr>
    </w:p>
    <w:p>
      <w:pPr>
        <w:jc w:val="both"/>
        <w:ind w:firstLine="393"/>
        <w:spacing w:after="0" w:line="233" w:lineRule="auto"/>
        <w:rPr>
          <w:sz w:val="20"/>
          <w:szCs w:val="20"/>
          <w:color w:val="auto"/>
        </w:rPr>
      </w:pPr>
      <w:r>
        <w:rPr>
          <w:rFonts w:ascii="Arial" w:cs="Arial" w:eastAsia="Arial" w:hAnsi="Arial"/>
          <w:sz w:val="17"/>
          <w:szCs w:val="17"/>
          <w:color w:val="auto"/>
        </w:rPr>
        <w:t>On January 12, 2022, Wynn Resorts, Limited (the "Company") entered into an amended and restated employment agreement (the "Employment Agreement") with Ellen F. Whittemore, Executive Vice President and General Counsel of the Company. The Employment Agreement is effective as of January 12, 2022 and provides for the following compensation changes: (i) an increase to her annual base salary from $700,000 to $900,000, and (ii) an annual target equity grant of restricted stock equal to 175% of her base salary. Equity awards granted to Ms. Whittemore previously under her existing agreement with the Company pursuant to the 2014 Omnibus Incentive Plan remain unchanged. The Employment Agreement also contains certain non-competition, non-solicitation and confidentiality provisions and has a term that ends on January 31, 2025.</w:t>
      </w:r>
    </w:p>
    <w:p>
      <w:pPr>
        <w:spacing w:after="0" w:line="21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foregoing description does not purport to be complete and is qualified in its entirety by reference to the full text of the Employment Agreement, which will be filed as an exhibit to the Company’s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803910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8220"/>
        <w:spacing w:after="0"/>
        <w:rPr>
          <w:sz w:val="20"/>
          <w:szCs w:val="20"/>
          <w:color w:val="auto"/>
        </w:rPr>
      </w:pPr>
      <w:r>
        <w:rPr>
          <w:rFonts w:ascii="Arial" w:cs="Arial" w:eastAsia="Arial" w:hAnsi="Arial"/>
          <w:sz w:val="17"/>
          <w:szCs w:val="17"/>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8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Dated: January 14, 2022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24130</wp:posOffset>
            </wp:positionV>
            <wp:extent cx="2343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315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5980" w:space="720"/>
            <w:col w:w="800" w:space="720"/>
            <w:col w:w="3020"/>
          </w:cols>
          <w:pgMar w:left="320" w:top="869" w:right="339" w:bottom="1440" w:gutter="0" w:footer="0" w:header="0"/>
          <w:type w:val="continuous"/>
        </w:sectPr>
      </w:pPr>
    </w:p>
    <w:p>
      <w:pPr>
        <w:ind w:left="6820"/>
        <w:spacing w:after="0"/>
        <w:rPr>
          <w:sz w:val="20"/>
          <w:szCs w:val="20"/>
          <w:color w:val="auto"/>
        </w:rPr>
      </w:pPr>
      <w:r>
        <w:rPr>
          <w:rFonts w:ascii="Arial" w:cs="Arial" w:eastAsia="Arial" w:hAnsi="Arial"/>
          <w:sz w:val="17"/>
          <w:szCs w:val="17"/>
          <w:color w:val="auto"/>
        </w:rPr>
        <w:t>Craig S. Billings</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6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2022-01-14T16:06:21Z</dcterms:created>
  <dcterms:modified xsi:type="dcterms:W3CDTF">2022-01-14T16:06:21Z</dcterms:modified>
</cp:coreProperties>
</file>