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365125</wp:posOffset>
            </wp:positionV>
            <wp:extent cx="2797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224155</wp:posOffset>
            </wp:positionV>
            <wp:extent cx="27978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May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247015</wp:posOffset>
            </wp:positionV>
            <wp:extent cx="2797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WYNN RESORTS, LIMITED</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62"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2"/>
              </w:rPr>
              <w:t>Nevada</w:t>
            </w:r>
          </w:p>
        </w:tc>
        <w:tc>
          <w:tcPr>
            <w:tcW w:w="3680" w:type="dxa"/>
            <w:vAlign w:val="bottom"/>
          </w:tcPr>
          <w:p>
            <w:pPr>
              <w:ind w:left="1240"/>
              <w:spacing w:after="0"/>
              <w:rPr>
                <w:sz w:val="20"/>
                <w:szCs w:val="20"/>
                <w:color w:val="auto"/>
              </w:rPr>
            </w:pPr>
            <w:r>
              <w:rPr>
                <w:rFonts w:ascii="Arial" w:cs="Arial" w:eastAsia="Arial" w:hAnsi="Arial"/>
                <w:sz w:val="17"/>
                <w:szCs w:val="17"/>
                <w:b w:val="1"/>
                <w:bCs w:val="1"/>
                <w:color w:val="auto"/>
              </w:rPr>
              <w:t>000-50028</w:t>
            </w:r>
          </w:p>
        </w:tc>
        <w:tc>
          <w:tcPr>
            <w:tcW w:w="1500" w:type="dxa"/>
            <w:vAlign w:val="bottom"/>
          </w:tcPr>
          <w:p>
            <w:pPr>
              <w:jc w:val="right"/>
              <w:ind w:right="43"/>
              <w:spacing w:after="0"/>
              <w:rPr>
                <w:sz w:val="20"/>
                <w:szCs w:val="20"/>
                <w:color w:val="auto"/>
              </w:rPr>
            </w:pPr>
            <w:r>
              <w:rPr>
                <w:rFonts w:ascii="Arial" w:cs="Arial" w:eastAsia="Arial" w:hAnsi="Arial"/>
                <w:sz w:val="17"/>
                <w:szCs w:val="17"/>
                <w:b w:val="1"/>
                <w:bCs w:val="1"/>
                <w:color w:val="auto"/>
              </w:rPr>
              <w:t>46-0484987</w:t>
            </w:r>
          </w:p>
        </w:tc>
      </w:tr>
      <w:tr>
        <w:trPr>
          <w:trHeight w:val="197"/>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(State or other jurisdiction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1"/>
              </w:rPr>
              <w:t>Identification No.)</w:t>
            </w:r>
          </w:p>
        </w:tc>
      </w:tr>
      <w:tr>
        <w:trPr>
          <w:trHeight w:val="245"/>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1"/>
              </w:rPr>
              <w:t>3131 Las Vegas Boulevard South</w:t>
            </w:r>
          </w:p>
        </w:tc>
        <w:tc>
          <w:tcPr>
            <w:tcW w:w="36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9"/>
        </w:trPr>
        <w:tc>
          <w:tcPr>
            <w:tcW w:w="2560" w:type="dxa"/>
            <w:vAlign w:val="bottom"/>
          </w:tcPr>
          <w:p>
            <w:pPr>
              <w:ind w:left="400"/>
              <w:spacing w:after="0"/>
              <w:rPr>
                <w:sz w:val="20"/>
                <w:szCs w:val="20"/>
                <w:color w:val="auto"/>
              </w:rPr>
            </w:pPr>
            <w:r>
              <w:rPr>
                <w:rFonts w:ascii="Arial" w:cs="Arial" w:eastAsia="Arial" w:hAnsi="Arial"/>
                <w:sz w:val="17"/>
                <w:szCs w:val="17"/>
                <w:b w:val="1"/>
                <w:bCs w:val="1"/>
                <w:color w:val="auto"/>
              </w:rPr>
              <w:t>Las Vegas, Nevada</w:t>
            </w:r>
          </w:p>
        </w:tc>
        <w:tc>
          <w:tcPr>
            <w:tcW w:w="3680" w:type="dxa"/>
            <w:vAlign w:val="bottom"/>
          </w:tcPr>
          <w:p>
            <w:pPr>
              <w:spacing w:after="0"/>
              <w:rPr>
                <w:sz w:val="19"/>
                <w:szCs w:val="19"/>
                <w:color w:val="auto"/>
              </w:rPr>
            </w:pPr>
          </w:p>
        </w:tc>
        <w:tc>
          <w:tcPr>
            <w:tcW w:w="1500" w:type="dxa"/>
            <w:vAlign w:val="bottom"/>
          </w:tcPr>
          <w:p>
            <w:pPr>
              <w:jc w:val="right"/>
              <w:ind w:right="243"/>
              <w:spacing w:after="0"/>
              <w:rPr>
                <w:sz w:val="20"/>
                <w:szCs w:val="20"/>
                <w:color w:val="auto"/>
              </w:rPr>
            </w:pPr>
            <w:r>
              <w:rPr>
                <w:rFonts w:ascii="Arial" w:cs="Arial" w:eastAsia="Arial" w:hAnsi="Arial"/>
                <w:sz w:val="17"/>
                <w:szCs w:val="17"/>
                <w:b w:val="1"/>
                <w:bCs w:val="1"/>
                <w:color w:val="auto"/>
              </w:rPr>
              <w:t>89109</w:t>
            </w:r>
          </w:p>
        </w:tc>
      </w:tr>
      <w:tr>
        <w:trPr>
          <w:trHeight w:val="209"/>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8"/>
                <w:szCs w:val="18"/>
                <w:color w:val="auto"/>
              </w:rPr>
            </w:pP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(Zip Code)</w:t>
            </w:r>
          </w:p>
        </w:tc>
      </w:tr>
      <w:tr>
        <w:trPr>
          <w:trHeight w:val="709"/>
        </w:trPr>
        <w:tc>
          <w:tcPr>
            <w:tcW w:w="2560" w:type="dxa"/>
            <w:vAlign w:val="bottom"/>
          </w:tcPr>
          <w:p>
            <w:pPr>
              <w:spacing w:after="0"/>
              <w:rPr>
                <w:sz w:val="24"/>
                <w:szCs w:val="24"/>
                <w:color w:val="auto"/>
              </w:rPr>
            </w:pPr>
          </w:p>
        </w:tc>
        <w:tc>
          <w:tcPr>
            <w:tcW w:w="3680" w:type="dxa"/>
            <w:vAlign w:val="bottom"/>
          </w:tcPr>
          <w:p>
            <w:pPr>
              <w:jc w:val="center"/>
              <w:ind w:right="221"/>
              <w:spacing w:after="0"/>
              <w:rPr>
                <w:sz w:val="20"/>
                <w:szCs w:val="20"/>
                <w:color w:val="auto"/>
              </w:rPr>
            </w:pPr>
            <w:r>
              <w:rPr>
                <w:rFonts w:ascii="Arial" w:cs="Arial" w:eastAsia="Arial" w:hAnsi="Arial"/>
                <w:sz w:val="17"/>
                <w:szCs w:val="17"/>
                <w:b w:val="1"/>
                <w:bCs w:val="1"/>
                <w:color w:val="auto"/>
                <w:w w:val="94"/>
              </w:rPr>
              <w:t>(702) 770-7555</w:t>
            </w:r>
          </w:p>
        </w:tc>
        <w:tc>
          <w:tcPr>
            <w:tcW w:w="150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00" w:type="dxa"/>
            <w:vAlign w:val="bottom"/>
          </w:tcPr>
          <w:p>
            <w:pPr>
              <w:spacing w:after="0"/>
              <w:rPr>
                <w:sz w:val="15"/>
                <w:szCs w:val="15"/>
                <w:color w:val="auto"/>
              </w:rPr>
            </w:pPr>
          </w:p>
        </w:tc>
      </w:tr>
      <w:tr>
        <w:trPr>
          <w:trHeight w:val="410"/>
        </w:trPr>
        <w:tc>
          <w:tcPr>
            <w:tcW w:w="2560" w:type="dxa"/>
            <w:vAlign w:val="bottom"/>
          </w:tcPr>
          <w:p>
            <w:pPr>
              <w:spacing w:after="0"/>
              <w:rPr>
                <w:sz w:val="24"/>
                <w:szCs w:val="24"/>
                <w:color w:val="auto"/>
              </w:rPr>
            </w:pPr>
          </w:p>
        </w:tc>
        <w:tc>
          <w:tcPr>
            <w:tcW w:w="3680" w:type="dxa"/>
            <w:vAlign w:val="bottom"/>
          </w:tcPr>
          <w:p>
            <w:pPr>
              <w:jc w:val="center"/>
              <w:ind w:right="241"/>
              <w:spacing w:after="0"/>
              <w:rPr>
                <w:sz w:val="20"/>
                <w:szCs w:val="20"/>
                <w:color w:val="auto"/>
              </w:rPr>
            </w:pPr>
            <w:r>
              <w:rPr>
                <w:rFonts w:ascii="Arial" w:cs="Arial" w:eastAsia="Arial" w:hAnsi="Arial"/>
                <w:sz w:val="17"/>
                <w:szCs w:val="17"/>
                <w:b w:val="1"/>
                <w:bCs w:val="1"/>
                <w:color w:val="auto"/>
                <w:w w:val="94"/>
              </w:rPr>
              <w:t>Not Applicable</w:t>
            </w:r>
          </w:p>
        </w:tc>
        <w:tc>
          <w:tcPr>
            <w:tcW w:w="150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76835</wp:posOffset>
            </wp:positionV>
            <wp:extent cx="2797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33" w:lineRule="exact"/>
        <w:rPr>
          <w:sz w:val="24"/>
          <w:szCs w:val="24"/>
          <w:color w:val="auto"/>
        </w:rPr>
      </w:pPr>
    </w:p>
    <w:tbl>
      <w:tblPr>
        <w:tblLayout w:type="fixed"/>
        <w:tblInd w:w="100" w:type="dxa"/>
        <w:tblCellMar>
          <w:top w:w="0" w:type="dxa"/>
          <w:left w:w="0" w:type="dxa"/>
          <w:bottom w:w="0" w:type="dxa"/>
          <w:right w:w="0" w:type="dxa"/>
        </w:tblCellMar>
      </w:tblPr>
      <w:tr>
        <w:trPr>
          <w:trHeight w:val="195"/>
        </w:trPr>
        <w:tc>
          <w:tcPr>
            <w:tcW w:w="8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0"/>
              </w:rPr>
              <w:t>Title of each class</w:t>
            </w:r>
          </w:p>
        </w:tc>
        <w:tc>
          <w:tcPr>
            <w:tcW w:w="1040" w:type="dxa"/>
            <w:vAlign w:val="bottom"/>
          </w:tcPr>
          <w:p>
            <w:pPr>
              <w:spacing w:after="0"/>
              <w:rPr>
                <w:sz w:val="16"/>
                <w:szCs w:val="16"/>
                <w:color w:val="auto"/>
              </w:rPr>
            </w:pPr>
          </w:p>
        </w:tc>
        <w:tc>
          <w:tcPr>
            <w:tcW w:w="3700" w:type="dxa"/>
            <w:vAlign w:val="bottom"/>
            <w:gridSpan w:val="3"/>
          </w:tcPr>
          <w:p>
            <w:pPr>
              <w:jc w:val="center"/>
              <w:ind w:right="1120"/>
              <w:spacing w:after="0"/>
              <w:rPr>
                <w:sz w:val="20"/>
                <w:szCs w:val="20"/>
                <w:color w:val="auto"/>
              </w:rPr>
            </w:pPr>
            <w:r>
              <w:rPr>
                <w:rFonts w:ascii="Arial" w:cs="Arial" w:eastAsia="Arial" w:hAnsi="Arial"/>
                <w:sz w:val="17"/>
                <w:szCs w:val="17"/>
                <w:b w:val="1"/>
                <w:bCs w:val="1"/>
                <w:color w:val="auto"/>
                <w:w w:val="92"/>
              </w:rPr>
              <w:t>Trading Symbol(s)</w:t>
            </w:r>
          </w:p>
        </w:tc>
        <w:tc>
          <w:tcPr>
            <w:tcW w:w="4160" w:type="dxa"/>
            <w:vAlign w:val="bottom"/>
            <w:gridSpan w:val="2"/>
          </w:tcPr>
          <w:p>
            <w:pPr>
              <w:jc w:val="center"/>
              <w:ind w:right="920"/>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2"/>
        </w:trPr>
        <w:tc>
          <w:tcPr>
            <w:tcW w:w="320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Common stock, par value $0.01</w:t>
            </w:r>
          </w:p>
        </w:tc>
        <w:tc>
          <w:tcPr>
            <w:tcW w:w="600" w:type="dxa"/>
            <w:vAlign w:val="bottom"/>
          </w:tcPr>
          <w:p>
            <w:pPr>
              <w:spacing w:after="0"/>
              <w:rPr>
                <w:sz w:val="21"/>
                <w:szCs w:val="21"/>
                <w:color w:val="auto"/>
              </w:rPr>
            </w:pPr>
          </w:p>
        </w:tc>
        <w:tc>
          <w:tcPr>
            <w:tcW w:w="3100" w:type="dxa"/>
            <w:vAlign w:val="bottom"/>
            <w:gridSpan w:val="2"/>
          </w:tcPr>
          <w:p>
            <w:pPr>
              <w:jc w:val="center"/>
              <w:ind w:right="1720"/>
              <w:spacing w:after="0"/>
              <w:rPr>
                <w:sz w:val="20"/>
                <w:szCs w:val="20"/>
                <w:color w:val="auto"/>
              </w:rPr>
            </w:pPr>
            <w:r>
              <w:rPr>
                <w:rFonts w:ascii="Arial" w:cs="Arial" w:eastAsia="Arial" w:hAnsi="Arial"/>
                <w:sz w:val="17"/>
                <w:szCs w:val="17"/>
                <w:color w:val="auto"/>
              </w:rPr>
              <w:t>WYNN</w:t>
            </w:r>
          </w:p>
        </w:tc>
        <w:tc>
          <w:tcPr>
            <w:tcW w:w="4160" w:type="dxa"/>
            <w:vAlign w:val="bottom"/>
            <w:gridSpan w:val="2"/>
          </w:tcPr>
          <w:p>
            <w:pPr>
              <w:jc w:val="center"/>
              <w:ind w:right="900"/>
              <w:spacing w:after="0"/>
              <w:rPr>
                <w:sz w:val="20"/>
                <w:szCs w:val="20"/>
                <w:color w:val="auto"/>
              </w:rPr>
            </w:pPr>
            <w:r>
              <w:rPr>
                <w:rFonts w:ascii="Arial" w:cs="Arial" w:eastAsia="Arial" w:hAnsi="Arial"/>
                <w:sz w:val="17"/>
                <w:szCs w:val="17"/>
                <w:color w:val="auto"/>
                <w:w w:val="93"/>
              </w:rPr>
              <w:t>Nasdaq Global Select Market</w:t>
            </w:r>
          </w:p>
        </w:tc>
      </w:tr>
      <w:tr>
        <w:trPr>
          <w:trHeight w:val="203"/>
        </w:trPr>
        <w:tc>
          <w:tcPr>
            <w:tcW w:w="8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15" w:lineRule="exact"/>
        <w:rPr>
          <w:sz w:val="24"/>
          <w:szCs w:val="24"/>
          <w:color w:val="auto"/>
        </w:rPr>
      </w:pPr>
    </w:p>
    <w:p>
      <w:pPr>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7" w:lineRule="exact"/>
        <w:rPr>
          <w:sz w:val="24"/>
          <w:szCs w:val="24"/>
          <w:color w:val="auto"/>
        </w:rPr>
      </w:pPr>
    </w:p>
    <w:p>
      <w:pPr>
        <w:spacing w:after="0" w:line="25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 w:lineRule="exact"/>
        <w:rPr>
          <w:sz w:val="24"/>
          <w:szCs w:val="24"/>
          <w:color w:val="auto"/>
        </w:rPr>
      </w:pPr>
    </w:p>
    <w:p>
      <w:pPr>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ind w:left="40"/>
        <w:spacing w:after="0"/>
        <w:tabs>
          <w:tab w:leader="none" w:pos="1600" w:val="left"/>
        </w:tabs>
        <w:rPr>
          <w:sz w:val="20"/>
          <w:szCs w:val="20"/>
          <w:color w:val="auto"/>
        </w:rPr>
      </w:pPr>
      <w:r>
        <w:rPr>
          <w:rFonts w:ascii="Arial" w:cs="Arial" w:eastAsia="Arial" w:hAnsi="Arial"/>
          <w:sz w:val="17"/>
          <w:szCs w:val="17"/>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56" w:lineRule="exact"/>
        <w:rPr>
          <w:sz w:val="20"/>
          <w:szCs w:val="20"/>
          <w:color w:val="auto"/>
        </w:rPr>
      </w:pPr>
    </w:p>
    <w:p>
      <w:pPr>
        <w:ind w:right="180" w:firstLine="472"/>
        <w:spacing w:after="0" w:line="273" w:lineRule="auto"/>
        <w:rPr>
          <w:sz w:val="20"/>
          <w:szCs w:val="20"/>
          <w:color w:val="auto"/>
        </w:rPr>
      </w:pPr>
      <w:r>
        <w:rPr>
          <w:rFonts w:ascii="Arial" w:cs="Arial" w:eastAsia="Arial" w:hAnsi="Arial"/>
          <w:sz w:val="17"/>
          <w:szCs w:val="17"/>
          <w:color w:val="auto"/>
        </w:rPr>
        <w:t>On May 5, 2021, Wynn Resorts, Limited (the "Company") held its 2021 Annual Meeting of Stockholders (the "Annual Meeting"). The proposals voted upon at the Annual Meeting and the final results of the stockholder vote on each proposal, as certified by American Election Services, LLC, the independent inspector of elections for the Annual Meeting, were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1: Election of Directors</w:t>
      </w:r>
    </w:p>
    <w:p>
      <w:pPr>
        <w:spacing w:after="0" w:line="25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 elect four Class I directors, each to serve until the 2024 Annual Meeting of Stockholders: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Director Nominees</w:t>
            </w:r>
          </w:p>
        </w:tc>
        <w:tc>
          <w:tcPr>
            <w:tcW w:w="1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Votes For</w:t>
            </w:r>
          </w:p>
        </w:tc>
        <w:tc>
          <w:tcPr>
            <w:tcW w:w="100" w:type="dxa"/>
            <w:vAlign w:val="bottom"/>
          </w:tcPr>
          <w:p>
            <w:pPr>
              <w:spacing w:after="0"/>
              <w:rPr>
                <w:sz w:val="19"/>
                <w:szCs w:val="19"/>
                <w:color w:val="auto"/>
              </w:rPr>
            </w:pPr>
          </w:p>
        </w:tc>
        <w:tc>
          <w:tcPr>
            <w:tcW w:w="192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Votes Withheld</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Broker Non-Votes</w:t>
            </w:r>
          </w:p>
        </w:tc>
      </w:tr>
      <w:tr>
        <w:trPr>
          <w:trHeight w:val="216"/>
        </w:trPr>
        <w:tc>
          <w:tcPr>
            <w:tcW w:w="5220" w:type="dxa"/>
            <w:vAlign w:val="bottom"/>
            <w:gridSpan w:val="2"/>
          </w:tcPr>
          <w:p>
            <w:pPr>
              <w:spacing w:after="0"/>
              <w:rPr>
                <w:sz w:val="20"/>
                <w:szCs w:val="20"/>
                <w:color w:val="auto"/>
              </w:rPr>
            </w:pPr>
            <w:r>
              <w:rPr>
                <w:rFonts w:ascii="Arial" w:cs="Arial" w:eastAsia="Arial" w:hAnsi="Arial"/>
                <w:sz w:val="17"/>
                <w:szCs w:val="17"/>
                <w:color w:val="auto"/>
              </w:rPr>
              <w:t>Betsy S. Atkins</w:t>
            </w:r>
          </w:p>
        </w:tc>
        <w:tc>
          <w:tcPr>
            <w:tcW w:w="1900" w:type="dxa"/>
            <w:vAlign w:val="bottom"/>
          </w:tcPr>
          <w:p>
            <w:pPr>
              <w:jc w:val="center"/>
              <w:spacing w:after="0"/>
              <w:rPr>
                <w:sz w:val="20"/>
                <w:szCs w:val="20"/>
                <w:color w:val="auto"/>
              </w:rPr>
            </w:pPr>
            <w:r>
              <w:rPr>
                <w:rFonts w:ascii="Arial" w:cs="Arial" w:eastAsia="Arial" w:hAnsi="Arial"/>
                <w:sz w:val="17"/>
                <w:szCs w:val="17"/>
                <w:color w:val="auto"/>
                <w:w w:val="91"/>
              </w:rPr>
              <w:t>83,462,482</w:t>
            </w: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7"/>
                <w:szCs w:val="17"/>
                <w:color w:val="auto"/>
                <w:w w:val="92"/>
              </w:rPr>
              <w:t>2,549,919</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w w:val="91"/>
              </w:rPr>
              <w:t>12,144,439</w:t>
            </w:r>
          </w:p>
        </w:tc>
      </w:tr>
      <w:tr>
        <w:trPr>
          <w:trHeight w:val="223"/>
        </w:trPr>
        <w:tc>
          <w:tcPr>
            <w:tcW w:w="5220" w:type="dxa"/>
            <w:vAlign w:val="bottom"/>
            <w:gridSpan w:val="2"/>
          </w:tcPr>
          <w:p>
            <w:pPr>
              <w:spacing w:after="0"/>
              <w:rPr>
                <w:sz w:val="20"/>
                <w:szCs w:val="20"/>
                <w:color w:val="auto"/>
              </w:rPr>
            </w:pPr>
            <w:r>
              <w:rPr>
                <w:rFonts w:ascii="Arial" w:cs="Arial" w:eastAsia="Arial" w:hAnsi="Arial"/>
                <w:sz w:val="17"/>
                <w:szCs w:val="17"/>
                <w:color w:val="auto"/>
              </w:rPr>
              <w:t>Matthew O. Maddox</w:t>
            </w:r>
          </w:p>
        </w:tc>
        <w:tc>
          <w:tcPr>
            <w:tcW w:w="1900" w:type="dxa"/>
            <w:vAlign w:val="bottom"/>
          </w:tcPr>
          <w:p>
            <w:pPr>
              <w:jc w:val="center"/>
              <w:spacing w:after="0"/>
              <w:rPr>
                <w:sz w:val="20"/>
                <w:szCs w:val="20"/>
                <w:color w:val="auto"/>
              </w:rPr>
            </w:pPr>
            <w:r>
              <w:rPr>
                <w:rFonts w:ascii="Arial" w:cs="Arial" w:eastAsia="Arial" w:hAnsi="Arial"/>
                <w:sz w:val="17"/>
                <w:szCs w:val="17"/>
                <w:color w:val="auto"/>
                <w:w w:val="91"/>
              </w:rPr>
              <w:t>85,761,460</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7"/>
                <w:szCs w:val="17"/>
                <w:color w:val="auto"/>
                <w:w w:val="94"/>
              </w:rPr>
              <w:t>250,941</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w w:val="91"/>
              </w:rPr>
              <w:t>12,144,439</w:t>
            </w:r>
          </w:p>
        </w:tc>
      </w:tr>
      <w:tr>
        <w:trPr>
          <w:trHeight w:val="223"/>
        </w:trPr>
        <w:tc>
          <w:tcPr>
            <w:tcW w:w="5220" w:type="dxa"/>
            <w:vAlign w:val="bottom"/>
            <w:gridSpan w:val="2"/>
          </w:tcPr>
          <w:p>
            <w:pPr>
              <w:spacing w:after="0"/>
              <w:rPr>
                <w:sz w:val="20"/>
                <w:szCs w:val="20"/>
                <w:color w:val="auto"/>
              </w:rPr>
            </w:pPr>
            <w:r>
              <w:rPr>
                <w:rFonts w:ascii="Arial" w:cs="Arial" w:eastAsia="Arial" w:hAnsi="Arial"/>
                <w:sz w:val="17"/>
                <w:szCs w:val="17"/>
                <w:color w:val="auto"/>
              </w:rPr>
              <w:t>Philip G. Satre</w:t>
            </w:r>
          </w:p>
        </w:tc>
        <w:tc>
          <w:tcPr>
            <w:tcW w:w="1900" w:type="dxa"/>
            <w:vAlign w:val="bottom"/>
          </w:tcPr>
          <w:p>
            <w:pPr>
              <w:jc w:val="center"/>
              <w:spacing w:after="0"/>
              <w:rPr>
                <w:sz w:val="20"/>
                <w:szCs w:val="20"/>
                <w:color w:val="auto"/>
              </w:rPr>
            </w:pPr>
            <w:r>
              <w:rPr>
                <w:rFonts w:ascii="Arial" w:cs="Arial" w:eastAsia="Arial" w:hAnsi="Arial"/>
                <w:sz w:val="17"/>
                <w:szCs w:val="17"/>
                <w:color w:val="auto"/>
                <w:w w:val="91"/>
              </w:rPr>
              <w:t>85,263,628</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7"/>
                <w:szCs w:val="17"/>
                <w:color w:val="auto"/>
                <w:w w:val="94"/>
              </w:rPr>
              <w:t>748,773</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w w:val="91"/>
              </w:rPr>
              <w:t>12,144,439</w:t>
            </w:r>
          </w:p>
        </w:tc>
      </w:tr>
      <w:tr>
        <w:trPr>
          <w:trHeight w:val="223"/>
        </w:trPr>
        <w:tc>
          <w:tcPr>
            <w:tcW w:w="5220" w:type="dxa"/>
            <w:vAlign w:val="bottom"/>
            <w:gridSpan w:val="2"/>
          </w:tcPr>
          <w:p>
            <w:pPr>
              <w:spacing w:after="0"/>
              <w:rPr>
                <w:sz w:val="20"/>
                <w:szCs w:val="20"/>
                <w:color w:val="auto"/>
              </w:rPr>
            </w:pPr>
            <w:r>
              <w:rPr>
                <w:rFonts w:ascii="Arial" w:cs="Arial" w:eastAsia="Arial" w:hAnsi="Arial"/>
                <w:sz w:val="17"/>
                <w:szCs w:val="17"/>
                <w:color w:val="auto"/>
              </w:rPr>
              <w:t>Darnell O. Strom</w:t>
            </w:r>
          </w:p>
        </w:tc>
        <w:tc>
          <w:tcPr>
            <w:tcW w:w="1900" w:type="dxa"/>
            <w:vAlign w:val="bottom"/>
          </w:tcPr>
          <w:p>
            <w:pPr>
              <w:jc w:val="center"/>
              <w:spacing w:after="0"/>
              <w:rPr>
                <w:sz w:val="20"/>
                <w:szCs w:val="20"/>
                <w:color w:val="auto"/>
              </w:rPr>
            </w:pPr>
            <w:r>
              <w:rPr>
                <w:rFonts w:ascii="Arial" w:cs="Arial" w:eastAsia="Arial" w:hAnsi="Arial"/>
                <w:sz w:val="17"/>
                <w:szCs w:val="17"/>
                <w:color w:val="auto"/>
                <w:w w:val="91"/>
              </w:rPr>
              <w:t>85,792,356</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7"/>
                <w:szCs w:val="17"/>
                <w:color w:val="auto"/>
                <w:w w:val="94"/>
              </w:rPr>
              <w:t>220,045</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7"/>
                <w:szCs w:val="17"/>
                <w:color w:val="auto"/>
                <w:w w:val="91"/>
              </w:rPr>
              <w:t>12,144,439</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2: Ratification of Appointment of Independent Auditors</w:t>
      </w:r>
    </w:p>
    <w:p>
      <w:pPr>
        <w:spacing w:after="0" w:line="250" w:lineRule="exact"/>
        <w:rPr>
          <w:sz w:val="20"/>
          <w:szCs w:val="20"/>
          <w:color w:val="auto"/>
        </w:rPr>
      </w:pPr>
    </w:p>
    <w:p>
      <w:pPr>
        <w:ind w:right="140" w:firstLine="472"/>
        <w:spacing w:after="0" w:line="289" w:lineRule="auto"/>
        <w:rPr>
          <w:sz w:val="20"/>
          <w:szCs w:val="20"/>
          <w:color w:val="auto"/>
        </w:rPr>
      </w:pPr>
      <w:r>
        <w:rPr>
          <w:rFonts w:ascii="Arial" w:cs="Arial" w:eastAsia="Arial" w:hAnsi="Arial"/>
          <w:sz w:val="17"/>
          <w:szCs w:val="17"/>
          <w:color w:val="auto"/>
        </w:rPr>
        <w:t>To ratify the Audit Committee’s appointment of Ernst &amp; Young LLP as the Company’s independent registered public accounting firm for the fiscal year ending December 31, 2021:</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Votes For</w:t>
            </w:r>
          </w:p>
        </w:tc>
        <w:tc>
          <w:tcPr>
            <w:tcW w:w="28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Votes Against</w:t>
            </w:r>
          </w:p>
        </w:tc>
        <w:tc>
          <w:tcPr>
            <w:tcW w:w="2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Abstain</w:t>
            </w: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92"/>
              </w:rPr>
              <w:t>Broker Non-Votes</w:t>
            </w:r>
          </w:p>
        </w:tc>
      </w:tr>
      <w:tr>
        <w:trPr>
          <w:trHeight w:val="216"/>
        </w:trPr>
        <w:tc>
          <w:tcPr>
            <w:tcW w:w="2720" w:type="dxa"/>
            <w:vAlign w:val="bottom"/>
            <w:tcBorders>
              <w:top w:val="single" w:sz="8" w:color="auto"/>
            </w:tcBorders>
          </w:tcPr>
          <w:p>
            <w:pPr>
              <w:jc w:val="right"/>
              <w:ind w:right="893"/>
              <w:spacing w:after="0"/>
              <w:rPr>
                <w:sz w:val="20"/>
                <w:szCs w:val="20"/>
                <w:color w:val="auto"/>
              </w:rPr>
            </w:pPr>
            <w:r>
              <w:rPr>
                <w:rFonts w:ascii="Arial" w:cs="Arial" w:eastAsia="Arial" w:hAnsi="Arial"/>
                <w:sz w:val="17"/>
                <w:szCs w:val="17"/>
                <w:color w:val="auto"/>
              </w:rPr>
              <w:t>97,861,278</w:t>
            </w:r>
          </w:p>
        </w:tc>
        <w:tc>
          <w:tcPr>
            <w:tcW w:w="100" w:type="dxa"/>
            <w:vAlign w:val="bottom"/>
          </w:tcPr>
          <w:p>
            <w:pPr>
              <w:spacing w:after="0"/>
              <w:rPr>
                <w:sz w:val="18"/>
                <w:szCs w:val="18"/>
                <w:color w:val="auto"/>
              </w:rPr>
            </w:pPr>
          </w:p>
        </w:tc>
        <w:tc>
          <w:tcPr>
            <w:tcW w:w="2720" w:type="dxa"/>
            <w:vAlign w:val="bottom"/>
            <w:tcBorders>
              <w:top w:val="single" w:sz="8" w:color="auto"/>
            </w:tcBorders>
          </w:tcPr>
          <w:p>
            <w:pPr>
              <w:jc w:val="right"/>
              <w:ind w:right="993"/>
              <w:spacing w:after="0"/>
              <w:rPr>
                <w:sz w:val="20"/>
                <w:szCs w:val="20"/>
                <w:color w:val="auto"/>
              </w:rPr>
            </w:pPr>
            <w:r>
              <w:rPr>
                <w:rFonts w:ascii="Arial" w:cs="Arial" w:eastAsia="Arial" w:hAnsi="Arial"/>
                <w:sz w:val="17"/>
                <w:szCs w:val="17"/>
                <w:color w:val="auto"/>
              </w:rPr>
              <w:t>207,233</w:t>
            </w:r>
          </w:p>
        </w:tc>
        <w:tc>
          <w:tcPr>
            <w:tcW w:w="100" w:type="dxa"/>
            <w:vAlign w:val="bottom"/>
          </w:tcPr>
          <w:p>
            <w:pPr>
              <w:spacing w:after="0"/>
              <w:rPr>
                <w:sz w:val="18"/>
                <w:szCs w:val="18"/>
                <w:color w:val="auto"/>
              </w:rPr>
            </w:pPr>
          </w:p>
        </w:tc>
        <w:tc>
          <w:tcPr>
            <w:tcW w:w="2740" w:type="dxa"/>
            <w:vAlign w:val="bottom"/>
            <w:tcBorders>
              <w:top w:val="single" w:sz="8" w:color="auto"/>
            </w:tcBorders>
          </w:tcPr>
          <w:p>
            <w:pPr>
              <w:jc w:val="right"/>
              <w:ind w:right="1033"/>
              <w:spacing w:after="0"/>
              <w:rPr>
                <w:sz w:val="20"/>
                <w:szCs w:val="20"/>
                <w:color w:val="auto"/>
              </w:rPr>
            </w:pPr>
            <w:r>
              <w:rPr>
                <w:rFonts w:ascii="Arial" w:cs="Arial" w:eastAsia="Arial" w:hAnsi="Arial"/>
                <w:sz w:val="17"/>
                <w:szCs w:val="17"/>
                <w:color w:val="auto"/>
              </w:rPr>
              <w:t>88,329</w:t>
            </w:r>
          </w:p>
        </w:tc>
        <w:tc>
          <w:tcPr>
            <w:tcW w:w="100" w:type="dxa"/>
            <w:vAlign w:val="bottom"/>
          </w:tcPr>
          <w:p>
            <w:pPr>
              <w:spacing w:after="0"/>
              <w:rPr>
                <w:sz w:val="18"/>
                <w:szCs w:val="18"/>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3: Advisory Vote to Approve the Compensation of Named Executive Officers</w:t>
      </w:r>
    </w:p>
    <w:p>
      <w:pPr>
        <w:spacing w:after="0" w:line="25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 approve, on a non-binding advisory basis, the compensation of the Company’s named executive officers as described in the Proxy Statement: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Votes For</w:t>
            </w:r>
          </w:p>
        </w:tc>
        <w:tc>
          <w:tcPr>
            <w:tcW w:w="100" w:type="dxa"/>
            <w:vAlign w:val="bottom"/>
          </w:tcPr>
          <w:p>
            <w:pPr>
              <w:spacing w:after="0"/>
              <w:rPr>
                <w:sz w:val="19"/>
                <w:szCs w:val="19"/>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Votes Against</w:t>
            </w:r>
          </w:p>
        </w:tc>
        <w:tc>
          <w:tcPr>
            <w:tcW w:w="100" w:type="dxa"/>
            <w:vAlign w:val="bottom"/>
          </w:tcPr>
          <w:p>
            <w:pPr>
              <w:spacing w:after="0"/>
              <w:rPr>
                <w:sz w:val="19"/>
                <w:szCs w:val="19"/>
                <w:color w:val="auto"/>
              </w:rPr>
            </w:pPr>
          </w:p>
        </w:tc>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7"/>
                <w:szCs w:val="17"/>
                <w:b w:val="1"/>
                <w:bCs w:val="1"/>
                <w:color w:val="auto"/>
              </w:rPr>
              <w:t>Abstain</w:t>
            </w:r>
          </w:p>
        </w:tc>
        <w:tc>
          <w:tcPr>
            <w:tcW w:w="100" w:type="dxa"/>
            <w:vAlign w:val="bottom"/>
          </w:tcPr>
          <w:p>
            <w:pPr>
              <w:spacing w:after="0"/>
              <w:rPr>
                <w:sz w:val="19"/>
                <w:szCs w:val="19"/>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Broker Non-Votes</w:t>
            </w:r>
          </w:p>
        </w:tc>
        <w:tc>
          <w:tcPr>
            <w:tcW w:w="40" w:type="dxa"/>
            <w:vAlign w:val="bottom"/>
          </w:tcPr>
          <w:p>
            <w:pPr>
              <w:spacing w:after="0"/>
              <w:rPr>
                <w:sz w:val="19"/>
                <w:szCs w:val="19"/>
                <w:color w:val="auto"/>
              </w:rPr>
            </w:pPr>
          </w:p>
        </w:tc>
      </w:tr>
      <w:tr>
        <w:trPr>
          <w:trHeight w:val="216"/>
        </w:trPr>
        <w:tc>
          <w:tcPr>
            <w:tcW w:w="2740" w:type="dxa"/>
            <w:vAlign w:val="bottom"/>
            <w:gridSpan w:val="2"/>
          </w:tcPr>
          <w:p>
            <w:pPr>
              <w:jc w:val="right"/>
              <w:ind w:right="873"/>
              <w:spacing w:after="0"/>
              <w:rPr>
                <w:sz w:val="20"/>
                <w:szCs w:val="20"/>
                <w:color w:val="auto"/>
              </w:rPr>
            </w:pPr>
            <w:r>
              <w:rPr>
                <w:rFonts w:ascii="Arial" w:cs="Arial" w:eastAsia="Arial" w:hAnsi="Arial"/>
                <w:sz w:val="17"/>
                <w:szCs w:val="17"/>
                <w:color w:val="auto"/>
              </w:rPr>
              <w:t>54,962,127</w:t>
            </w:r>
          </w:p>
        </w:tc>
        <w:tc>
          <w:tcPr>
            <w:tcW w:w="100" w:type="dxa"/>
            <w:vAlign w:val="bottom"/>
          </w:tcPr>
          <w:p>
            <w:pPr>
              <w:spacing w:after="0"/>
              <w:rPr>
                <w:sz w:val="18"/>
                <w:szCs w:val="18"/>
                <w:color w:val="auto"/>
              </w:rPr>
            </w:pPr>
          </w:p>
        </w:tc>
        <w:tc>
          <w:tcPr>
            <w:tcW w:w="2720" w:type="dxa"/>
            <w:vAlign w:val="bottom"/>
          </w:tcPr>
          <w:p>
            <w:pPr>
              <w:jc w:val="right"/>
              <w:ind w:right="893"/>
              <w:spacing w:after="0"/>
              <w:rPr>
                <w:sz w:val="20"/>
                <w:szCs w:val="20"/>
                <w:color w:val="auto"/>
              </w:rPr>
            </w:pPr>
            <w:r>
              <w:rPr>
                <w:rFonts w:ascii="Arial" w:cs="Arial" w:eastAsia="Arial" w:hAnsi="Arial"/>
                <w:sz w:val="17"/>
                <w:szCs w:val="17"/>
                <w:color w:val="auto"/>
              </w:rPr>
              <w:t>30,937,606</w:t>
            </w:r>
          </w:p>
        </w:tc>
        <w:tc>
          <w:tcPr>
            <w:tcW w:w="100" w:type="dxa"/>
            <w:vAlign w:val="bottom"/>
          </w:tcPr>
          <w:p>
            <w:pPr>
              <w:spacing w:after="0"/>
              <w:rPr>
                <w:sz w:val="18"/>
                <w:szCs w:val="18"/>
                <w:color w:val="auto"/>
              </w:rPr>
            </w:pPr>
          </w:p>
        </w:tc>
        <w:tc>
          <w:tcPr>
            <w:tcW w:w="2720" w:type="dxa"/>
            <w:vAlign w:val="bottom"/>
          </w:tcPr>
          <w:p>
            <w:pPr>
              <w:ind w:left="1080"/>
              <w:spacing w:after="0"/>
              <w:rPr>
                <w:sz w:val="20"/>
                <w:szCs w:val="20"/>
                <w:color w:val="auto"/>
              </w:rPr>
            </w:pPr>
            <w:r>
              <w:rPr>
                <w:rFonts w:ascii="Arial" w:cs="Arial" w:eastAsia="Arial" w:hAnsi="Arial"/>
                <w:sz w:val="17"/>
                <w:szCs w:val="17"/>
                <w:color w:val="auto"/>
              </w:rPr>
              <w:t>112,668</w:t>
            </w:r>
          </w:p>
        </w:tc>
        <w:tc>
          <w:tcPr>
            <w:tcW w:w="100" w:type="dxa"/>
            <w:vAlign w:val="bottom"/>
          </w:tcPr>
          <w:p>
            <w:pPr>
              <w:spacing w:after="0"/>
              <w:rPr>
                <w:sz w:val="18"/>
                <w:szCs w:val="18"/>
                <w:color w:val="auto"/>
              </w:rPr>
            </w:pPr>
          </w:p>
        </w:tc>
        <w:tc>
          <w:tcPr>
            <w:tcW w:w="2720" w:type="dxa"/>
            <w:vAlign w:val="bottom"/>
          </w:tcPr>
          <w:p>
            <w:pPr>
              <w:jc w:val="right"/>
              <w:ind w:right="893"/>
              <w:spacing w:after="0"/>
              <w:rPr>
                <w:sz w:val="20"/>
                <w:szCs w:val="20"/>
                <w:color w:val="auto"/>
              </w:rPr>
            </w:pPr>
            <w:r>
              <w:rPr>
                <w:rFonts w:ascii="Arial" w:cs="Arial" w:eastAsia="Arial" w:hAnsi="Arial"/>
                <w:sz w:val="17"/>
                <w:szCs w:val="17"/>
                <w:color w:val="auto"/>
              </w:rPr>
              <w:t>12,144,439</w:t>
            </w:r>
          </w:p>
        </w:tc>
        <w:tc>
          <w:tcPr>
            <w:tcW w:w="40" w:type="dxa"/>
            <w:vAlign w:val="bottom"/>
          </w:tcPr>
          <w:p>
            <w:pPr>
              <w:spacing w:after="0"/>
              <w:rPr>
                <w:sz w:val="18"/>
                <w:szCs w:val="18"/>
                <w:color w:val="auto"/>
              </w:rPr>
            </w:pPr>
          </w:p>
        </w:tc>
      </w:tr>
      <w:tr>
        <w:trPr>
          <w:trHeight w:val="1554"/>
        </w:trPr>
        <w:tc>
          <w:tcPr>
            <w:tcW w:w="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tbl>
      <w:tblPr>
        <w:tblLayout w:type="fixed"/>
        <w:tblInd w:w="88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ind w:left="560"/>
              <w:spacing w:after="0"/>
              <w:rPr>
                <w:sz w:val="20"/>
                <w:szCs w:val="20"/>
                <w:color w:val="auto"/>
              </w:rPr>
            </w:pPr>
            <w:r>
              <w:rPr>
                <w:rFonts w:ascii="Arial" w:cs="Arial" w:eastAsia="Arial" w:hAnsi="Arial"/>
                <w:sz w:val="17"/>
                <w:szCs w:val="17"/>
                <w:b w:val="1"/>
                <w:bCs w:val="1"/>
                <w:color w:val="auto"/>
              </w:rPr>
              <w:t>WYNN RESORTS, LIMITED</w:t>
            </w:r>
          </w:p>
        </w:tc>
      </w:tr>
      <w:tr>
        <w:trPr>
          <w:trHeight w:val="276"/>
        </w:trPr>
        <w:tc>
          <w:tcPr>
            <w:tcW w:w="3480" w:type="dxa"/>
            <w:vAlign w:val="bottom"/>
          </w:tcPr>
          <w:p>
            <w:pPr>
              <w:spacing w:after="0"/>
              <w:rPr>
                <w:sz w:val="20"/>
                <w:szCs w:val="20"/>
                <w:color w:val="auto"/>
              </w:rPr>
            </w:pPr>
            <w:r>
              <w:rPr>
                <w:rFonts w:ascii="Arial" w:cs="Arial" w:eastAsia="Arial" w:hAnsi="Arial"/>
                <w:sz w:val="17"/>
                <w:szCs w:val="17"/>
                <w:color w:val="auto"/>
              </w:rPr>
              <w:t>Dated: May 6, 2021</w:t>
            </w:r>
          </w:p>
        </w:tc>
        <w:tc>
          <w:tcPr>
            <w:tcW w:w="2840" w:type="dxa"/>
            <w:vAlign w:val="bottom"/>
          </w:tcPr>
          <w:p>
            <w:pPr>
              <w:ind w:left="2080"/>
              <w:spacing w:after="0"/>
              <w:rPr>
                <w:sz w:val="20"/>
                <w:szCs w:val="20"/>
                <w:color w:val="auto"/>
              </w:rPr>
            </w:pPr>
            <w:r>
              <w:rPr>
                <w:rFonts w:ascii="Arial" w:cs="Arial" w:eastAsia="Arial" w:hAnsi="Arial"/>
                <w:sz w:val="17"/>
                <w:szCs w:val="17"/>
                <w:color w:val="auto"/>
              </w:rPr>
              <w:t>By:</w:t>
            </w:r>
          </w:p>
        </w:tc>
        <w:tc>
          <w:tcPr>
            <w:tcW w:w="41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/s/ Ellen F. Whittemore</w:t>
            </w:r>
          </w:p>
        </w:tc>
      </w:tr>
      <w:tr>
        <w:trPr>
          <w:trHeight w:val="216"/>
        </w:trPr>
        <w:tc>
          <w:tcPr>
            <w:tcW w:w="34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140" w:type="dxa"/>
            <w:vAlign w:val="bottom"/>
          </w:tcPr>
          <w:p>
            <w:pPr>
              <w:ind w:left="560"/>
              <w:spacing w:after="0"/>
              <w:rPr>
                <w:sz w:val="20"/>
                <w:szCs w:val="20"/>
                <w:color w:val="auto"/>
              </w:rPr>
            </w:pPr>
            <w:r>
              <w:rPr>
                <w:rFonts w:ascii="Arial" w:cs="Arial" w:eastAsia="Arial" w:hAnsi="Arial"/>
                <w:sz w:val="17"/>
                <w:szCs w:val="17"/>
                <w:color w:val="auto"/>
              </w:rPr>
              <w:t>Ellen F. Whittemore</w:t>
            </w:r>
          </w:p>
        </w:tc>
      </w:tr>
      <w:tr>
        <w:trPr>
          <w:trHeight w:val="223"/>
        </w:trPr>
        <w:tc>
          <w:tcPr>
            <w:tcW w:w="34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ind w:left="560"/>
              <w:spacing w:after="0"/>
              <w:rPr>
                <w:sz w:val="20"/>
                <w:szCs w:val="20"/>
                <w:color w:val="auto"/>
              </w:rPr>
            </w:pPr>
            <w:r>
              <w:rPr>
                <w:rFonts w:ascii="Arial" w:cs="Arial" w:eastAsia="Arial" w:hAnsi="Arial"/>
                <w:sz w:val="17"/>
                <w:szCs w:val="17"/>
                <w:color w:val="auto"/>
                <w:w w:val="93"/>
              </w:rPr>
              <w:t>Executive Vice President, General Counsel &amp; Secr</w:t>
            </w:r>
          </w:p>
        </w:tc>
      </w:tr>
    </w:tbl>
    <w:p>
      <w:pPr>
        <w:spacing w:after="0" w:line="1" w:lineRule="exact"/>
        <w:rPr>
          <w:sz w:val="20"/>
          <w:szCs w:val="20"/>
          <w:color w:val="auto"/>
        </w:rPr>
      </w:pP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2021-05-06T16:03:43Z</dcterms:created>
  <dcterms:modified xsi:type="dcterms:W3CDTF">2021-05-06T16:03:43Z</dcterms:modified>
</cp:coreProperties>
</file>