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left="3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240.13d-1(b), (c) AND (d) AND AMENDMENTS THERETO FILED PURSUANT TO § 240.13d-2.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Wynn Resorts, Limited</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620" w:hanging="410"/>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620" w:hanging="410"/>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rFonts w:ascii="MS PGothic" w:cs="MS PGothic" w:eastAsia="MS PGothic" w:hAnsi="MS PGothic"/>
          <w:sz w:val="18"/>
          <w:szCs w:val="18"/>
          <w:color w:val="auto"/>
        </w:rPr>
      </w:pPr>
    </w:p>
    <w:p>
      <w:pPr>
        <w:ind w:left="620" w:hanging="410"/>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5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w:t>
      </w:r>
    </w:p>
    <w:p>
      <w:pPr>
        <w:spacing w:after="0" w:line="31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460" w:right="814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-828040</wp:posOffset>
            </wp:positionV>
            <wp:extent cx="6549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-1008380</wp:posOffset>
            </wp:positionV>
            <wp:extent cx="6549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-1522730</wp:posOffset>
            </wp:positionV>
            <wp:extent cx="68408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781 (1)</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080" w:type="dxa"/>
            <w:vAlign w:val="bottom"/>
            <w:vMerge w:val="continue"/>
          </w:tcPr>
          <w:p>
            <w:pPr>
              <w:spacing w:after="0"/>
              <w:rPr>
                <w:sz w:val="24"/>
                <w:szCs w:val="24"/>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1"/>
                <w:szCs w:val="21"/>
                <w:color w:val="auto"/>
              </w:rPr>
            </w:pPr>
          </w:p>
        </w:tc>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6,166,194 (1)</w:t>
            </w:r>
          </w:p>
        </w:tc>
        <w:tc>
          <w:tcPr>
            <w:tcW w:w="0" w:type="dxa"/>
            <w:vAlign w:val="bottom"/>
          </w:tcPr>
          <w:p>
            <w:pPr>
              <w:spacing w:after="0"/>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781 (1)</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600" w:right="7780" w:hanging="337"/>
        <w:spacing w:after="0" w:line="282" w:lineRule="auto"/>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6,166,194 (1)</w:t>
      </w:r>
    </w:p>
    <w:p>
      <w:pPr>
        <w:spacing w:after="0" w:line="269" w:lineRule="exact"/>
        <w:rPr>
          <w:rFonts w:ascii="Times New Roman" w:cs="Times New Roman" w:eastAsia="Times New Roman" w:hAnsi="Times New Roman"/>
          <w:sz w:val="18"/>
          <w:szCs w:val="18"/>
          <w:color w:val="auto"/>
        </w:rPr>
      </w:pPr>
    </w:p>
    <w:p>
      <w:pPr>
        <w:ind w:left="460" w:right="598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6,166,194 (1)</w:t>
      </w:r>
    </w:p>
    <w:p>
      <w:pPr>
        <w:spacing w:after="0" w:line="228"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3" w:lineRule="exact"/>
        <w:rPr>
          <w:rFonts w:ascii="Times New Roman" w:cs="Times New Roman" w:eastAsia="Times New Roman" w:hAnsi="Times New Roman"/>
          <w:sz w:val="18"/>
          <w:szCs w:val="18"/>
          <w:color w:val="auto"/>
        </w:rPr>
      </w:pPr>
    </w:p>
    <w:p>
      <w:pPr>
        <w:ind w:left="460" w:right="698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69" w:lineRule="exact"/>
        <w:rPr>
          <w:rFonts w:ascii="Times New Roman" w:cs="Times New Roman" w:eastAsia="Times New Roman" w:hAnsi="Times New Roman"/>
          <w:sz w:val="18"/>
          <w:szCs w:val="18"/>
          <w:color w:val="auto"/>
        </w:rPr>
      </w:pPr>
    </w:p>
    <w:p>
      <w:pPr>
        <w:ind w:left="460" w:right="760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-965200</wp:posOffset>
            </wp:positionV>
            <wp:extent cx="6840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840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-1788160</wp:posOffset>
            </wp:positionV>
            <wp:extent cx="6120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36" w:lineRule="exact"/>
        <w:rPr>
          <w:sz w:val="20"/>
          <w:szCs w:val="20"/>
          <w:color w:val="auto"/>
        </w:rPr>
      </w:pPr>
    </w:p>
    <w:p>
      <w:pPr>
        <w:ind w:right="120" w:firstLine="8"/>
        <w:spacing w:after="0" w:line="25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 SIG 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52" w:lineRule="exact"/>
        <w:rPr>
          <w:sz w:val="20"/>
          <w:szCs w:val="20"/>
          <w:color w:val="auto"/>
        </w:rPr>
      </w:pPr>
    </w:p>
    <w:p>
      <w:pPr>
        <w:ind w:left="460" w:right="870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SIG Brokerage, LP</w:t>
      </w:r>
    </w:p>
    <w:p>
      <w:pPr>
        <w:spacing w:after="0" w:line="26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460" w:right="814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-828040</wp:posOffset>
            </wp:positionV>
            <wp:extent cx="6549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-1008380</wp:posOffset>
            </wp:positionV>
            <wp:extent cx="65493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-1522730</wp:posOffset>
            </wp:positionV>
            <wp:extent cx="68408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9,000 (1)</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080" w:type="dxa"/>
            <w:vAlign w:val="bottom"/>
            <w:vMerge w:val="continue"/>
          </w:tcPr>
          <w:p>
            <w:pPr>
              <w:spacing w:after="0"/>
              <w:rPr>
                <w:sz w:val="24"/>
                <w:szCs w:val="24"/>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1"/>
                <w:szCs w:val="21"/>
                <w:color w:val="auto"/>
              </w:rPr>
            </w:pPr>
          </w:p>
        </w:tc>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6,166,194 (1)</w:t>
            </w:r>
          </w:p>
        </w:tc>
        <w:tc>
          <w:tcPr>
            <w:tcW w:w="0" w:type="dxa"/>
            <w:vAlign w:val="bottom"/>
          </w:tcPr>
          <w:p>
            <w:pPr>
              <w:spacing w:after="0"/>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9,000 (1)</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600" w:right="7780" w:hanging="337"/>
        <w:spacing w:after="0" w:line="282"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6,166,194 (1)</w:t>
      </w:r>
    </w:p>
    <w:p>
      <w:pPr>
        <w:spacing w:after="0" w:line="269" w:lineRule="exact"/>
        <w:rPr>
          <w:rFonts w:ascii="Times New Roman" w:cs="Times New Roman" w:eastAsia="Times New Roman" w:hAnsi="Times New Roman"/>
          <w:sz w:val="18"/>
          <w:szCs w:val="18"/>
          <w:color w:val="auto"/>
        </w:rPr>
      </w:pPr>
    </w:p>
    <w:p>
      <w:pPr>
        <w:ind w:left="460" w:right="598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6,166,194 (1)</w:t>
      </w:r>
    </w:p>
    <w:p>
      <w:pPr>
        <w:spacing w:after="0" w:line="228"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3" w:lineRule="exact"/>
        <w:rPr>
          <w:rFonts w:ascii="Times New Roman" w:cs="Times New Roman" w:eastAsia="Times New Roman" w:hAnsi="Times New Roman"/>
          <w:sz w:val="18"/>
          <w:szCs w:val="18"/>
          <w:color w:val="auto"/>
        </w:rPr>
      </w:pPr>
    </w:p>
    <w:p>
      <w:pPr>
        <w:ind w:left="460" w:right="698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69" w:lineRule="exact"/>
        <w:rPr>
          <w:rFonts w:ascii="Times New Roman" w:cs="Times New Roman" w:eastAsia="Times New Roman" w:hAnsi="Times New Roman"/>
          <w:sz w:val="18"/>
          <w:szCs w:val="18"/>
          <w:color w:val="auto"/>
        </w:rPr>
      </w:pPr>
    </w:p>
    <w:p>
      <w:pPr>
        <w:ind w:left="460" w:right="760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BD,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-965200</wp:posOffset>
            </wp:positionV>
            <wp:extent cx="6840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840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-1788160</wp:posOffset>
            </wp:positionV>
            <wp:extent cx="6120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36" w:lineRule="exact"/>
        <w:rPr>
          <w:sz w:val="20"/>
          <w:szCs w:val="20"/>
          <w:color w:val="auto"/>
        </w:rPr>
      </w:pPr>
    </w:p>
    <w:p>
      <w:pPr>
        <w:ind w:right="120" w:firstLine="8"/>
        <w:spacing w:after="0" w:line="258"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 SIG 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5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Susquehanna Fundamental Investments, LLC</w:t>
      </w:r>
    </w:p>
    <w:p>
      <w:pPr>
        <w:spacing w:after="0" w:line="31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460" w:right="814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-828040</wp:posOffset>
            </wp:positionV>
            <wp:extent cx="65493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-1008380</wp:posOffset>
            </wp:positionV>
            <wp:extent cx="65493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-1522730</wp:posOffset>
            </wp:positionV>
            <wp:extent cx="6840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66,908 (1)</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080" w:type="dxa"/>
            <w:vAlign w:val="bottom"/>
            <w:vMerge w:val="continue"/>
          </w:tcPr>
          <w:p>
            <w:pPr>
              <w:spacing w:after="0"/>
              <w:rPr>
                <w:sz w:val="24"/>
                <w:szCs w:val="24"/>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1"/>
                <w:szCs w:val="21"/>
                <w:color w:val="auto"/>
              </w:rPr>
            </w:pPr>
          </w:p>
        </w:tc>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6,166,194 (1)</w:t>
            </w:r>
          </w:p>
        </w:tc>
        <w:tc>
          <w:tcPr>
            <w:tcW w:w="0" w:type="dxa"/>
            <w:vAlign w:val="bottom"/>
          </w:tcPr>
          <w:p>
            <w:pPr>
              <w:spacing w:after="0"/>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66,908 (1)</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600" w:right="7780" w:hanging="337"/>
        <w:spacing w:after="0" w:line="282" w:lineRule="auto"/>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6,166,194 (1)</w:t>
      </w:r>
    </w:p>
    <w:p>
      <w:pPr>
        <w:spacing w:after="0" w:line="269" w:lineRule="exact"/>
        <w:rPr>
          <w:rFonts w:ascii="Times New Roman" w:cs="Times New Roman" w:eastAsia="Times New Roman" w:hAnsi="Times New Roman"/>
          <w:sz w:val="18"/>
          <w:szCs w:val="18"/>
          <w:color w:val="auto"/>
        </w:rPr>
      </w:pPr>
    </w:p>
    <w:p>
      <w:pPr>
        <w:ind w:left="460" w:right="5980" w:hanging="452"/>
        <w:spacing w:after="0" w:line="28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6,166,194 (1)</w:t>
      </w:r>
    </w:p>
    <w:p>
      <w:pPr>
        <w:spacing w:after="0" w:line="228"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3" w:lineRule="exact"/>
        <w:rPr>
          <w:rFonts w:ascii="Times New Roman" w:cs="Times New Roman" w:eastAsia="Times New Roman" w:hAnsi="Times New Roman"/>
          <w:sz w:val="18"/>
          <w:szCs w:val="18"/>
          <w:color w:val="auto"/>
        </w:rPr>
      </w:pPr>
    </w:p>
    <w:p>
      <w:pPr>
        <w:ind w:left="460" w:right="6980" w:hanging="452"/>
        <w:spacing w:after="0" w:line="28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6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22860</wp:posOffset>
            </wp:positionV>
            <wp:extent cx="6840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-456565</wp:posOffset>
            </wp:positionV>
            <wp:extent cx="68408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-936625</wp:posOffset>
            </wp:positionV>
            <wp:extent cx="6840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-1279525</wp:posOffset>
            </wp:positionV>
            <wp:extent cx="6840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-1759585</wp:posOffset>
            </wp:positionV>
            <wp:extent cx="6120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81" w:lineRule="exact"/>
        <w:rPr>
          <w:sz w:val="20"/>
          <w:szCs w:val="20"/>
          <w:color w:val="auto"/>
        </w:rPr>
      </w:pPr>
    </w:p>
    <w:p>
      <w:pPr>
        <w:ind w:right="120" w:firstLine="8"/>
        <w:spacing w:after="0" w:line="258"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 SIG 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52" w:lineRule="exact"/>
        <w:rPr>
          <w:sz w:val="20"/>
          <w:szCs w:val="20"/>
          <w:color w:val="auto"/>
        </w:rPr>
      </w:pPr>
    </w:p>
    <w:p>
      <w:pPr>
        <w:ind w:left="460" w:right="8480" w:hanging="452"/>
        <w:spacing w:after="0" w:line="312" w:lineRule="auto"/>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Susquehanna Investment Group</w:t>
      </w:r>
    </w:p>
    <w:p>
      <w:pPr>
        <w:spacing w:after="0" w:line="247"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460" w:right="814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-828040</wp:posOffset>
            </wp:positionV>
            <wp:extent cx="6549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-1008380</wp:posOffset>
            </wp:positionV>
            <wp:extent cx="65493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-1522730</wp:posOffset>
            </wp:positionV>
            <wp:extent cx="6840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332,200 (1)</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080" w:type="dxa"/>
            <w:vAlign w:val="bottom"/>
            <w:vMerge w:val="continue"/>
          </w:tcPr>
          <w:p>
            <w:pPr>
              <w:spacing w:after="0"/>
              <w:rPr>
                <w:sz w:val="24"/>
                <w:szCs w:val="24"/>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1"/>
                <w:szCs w:val="21"/>
                <w:color w:val="auto"/>
              </w:rPr>
            </w:pPr>
          </w:p>
        </w:tc>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6,166,194 (1)</w:t>
            </w:r>
          </w:p>
        </w:tc>
        <w:tc>
          <w:tcPr>
            <w:tcW w:w="0" w:type="dxa"/>
            <w:vAlign w:val="bottom"/>
          </w:tcPr>
          <w:p>
            <w:pPr>
              <w:spacing w:after="0"/>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332,200 (1)</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600" w:right="7780" w:hanging="337"/>
        <w:spacing w:after="0" w:line="282" w:lineRule="auto"/>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6,166,194 (1)</w:t>
      </w:r>
    </w:p>
    <w:p>
      <w:pPr>
        <w:spacing w:after="0" w:line="269" w:lineRule="exact"/>
        <w:rPr>
          <w:rFonts w:ascii="Times New Roman" w:cs="Times New Roman" w:eastAsia="Times New Roman" w:hAnsi="Times New Roman"/>
          <w:sz w:val="18"/>
          <w:szCs w:val="18"/>
          <w:color w:val="auto"/>
        </w:rPr>
      </w:pPr>
    </w:p>
    <w:p>
      <w:pPr>
        <w:ind w:left="460" w:right="598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6,166,194 (1)</w:t>
      </w:r>
    </w:p>
    <w:p>
      <w:pPr>
        <w:spacing w:after="0" w:line="228"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3" w:lineRule="exact"/>
        <w:rPr>
          <w:rFonts w:ascii="Times New Roman" w:cs="Times New Roman" w:eastAsia="Times New Roman" w:hAnsi="Times New Roman"/>
          <w:sz w:val="18"/>
          <w:szCs w:val="18"/>
          <w:color w:val="auto"/>
        </w:rPr>
      </w:pPr>
    </w:p>
    <w:p>
      <w:pPr>
        <w:ind w:left="460" w:right="698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69" w:lineRule="exact"/>
        <w:rPr>
          <w:rFonts w:ascii="Times New Roman" w:cs="Times New Roman" w:eastAsia="Times New Roman" w:hAnsi="Times New Roman"/>
          <w:sz w:val="18"/>
          <w:szCs w:val="18"/>
          <w:color w:val="auto"/>
        </w:rPr>
      </w:pPr>
    </w:p>
    <w:p>
      <w:pPr>
        <w:ind w:left="460" w:right="760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BD,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-965200</wp:posOffset>
            </wp:positionV>
            <wp:extent cx="6840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840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-1788160</wp:posOffset>
            </wp:positionV>
            <wp:extent cx="6120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36" w:lineRule="exact"/>
        <w:rPr>
          <w:sz w:val="20"/>
          <w:szCs w:val="20"/>
          <w:color w:val="auto"/>
        </w:rPr>
      </w:pPr>
    </w:p>
    <w:p>
      <w:pPr>
        <w:ind w:right="120" w:firstLine="8"/>
        <w:spacing w:after="0" w:line="258"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 SIG 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52" w:lineRule="exact"/>
        <w:rPr>
          <w:sz w:val="20"/>
          <w:szCs w:val="20"/>
          <w:color w:val="auto"/>
        </w:rPr>
      </w:pPr>
    </w:p>
    <w:p>
      <w:pPr>
        <w:ind w:left="460" w:right="864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Susquehanna Securities, LLC</w:t>
      </w:r>
    </w:p>
    <w:p>
      <w:pPr>
        <w:spacing w:after="0" w:line="26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color w:val="auto"/>
        </w:rPr>
      </w:pPr>
    </w:p>
    <w:p>
      <w:pPr>
        <w:ind w:left="920" w:hanging="453"/>
        <w:spacing w:after="0" w:line="207" w:lineRule="exact"/>
        <w:tabs>
          <w:tab w:leader="none" w:pos="92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33" w:lineRule="exact"/>
        <w:rPr>
          <w:rFonts w:ascii="Times New Roman" w:cs="Times New Roman" w:eastAsia="Times New Roman" w:hAnsi="Times New Roman"/>
          <w:sz w:val="18"/>
          <w:szCs w:val="18"/>
          <w:color w:val="auto"/>
        </w:rPr>
      </w:pPr>
    </w:p>
    <w:p>
      <w:pPr>
        <w:ind w:left="460" w:right="814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-828040</wp:posOffset>
            </wp:positionV>
            <wp:extent cx="65493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-1008380</wp:posOffset>
            </wp:positionV>
            <wp:extent cx="65493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-1522730</wp:posOffset>
            </wp:positionV>
            <wp:extent cx="6840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5,757,305 (1)</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
                <w:szCs w:val="2"/>
                <w:color w:val="auto"/>
              </w:rPr>
            </w:pPr>
          </w:p>
        </w:tc>
        <w:tc>
          <w:tcPr>
            <w:tcW w:w="9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080" w:type="dxa"/>
            <w:vAlign w:val="bottom"/>
            <w:vMerge w:val="continue"/>
          </w:tcPr>
          <w:p>
            <w:pPr>
              <w:spacing w:after="0"/>
              <w:rPr>
                <w:sz w:val="24"/>
                <w:szCs w:val="24"/>
                <w:color w:val="auto"/>
              </w:rPr>
            </w:pP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1"/>
                <w:szCs w:val="21"/>
                <w:color w:val="auto"/>
              </w:rPr>
            </w:pPr>
          </w:p>
        </w:tc>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6,166,194 (1)</w:t>
            </w:r>
          </w:p>
        </w:tc>
        <w:tc>
          <w:tcPr>
            <w:tcW w:w="0" w:type="dxa"/>
            <w:vAlign w:val="bottom"/>
          </w:tcPr>
          <w:p>
            <w:pPr>
              <w:spacing w:after="0"/>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5,757,305 (1)</w:t>
            </w:r>
          </w:p>
        </w:tc>
        <w:tc>
          <w:tcPr>
            <w:tcW w:w="0" w:type="dxa"/>
            <w:vAlign w:val="bottom"/>
          </w:tcPr>
          <w:p>
            <w:pPr>
              <w:spacing w:after="0"/>
              <w:rPr>
                <w:sz w:val="1"/>
                <w:szCs w:val="1"/>
                <w:color w:val="auto"/>
              </w:rPr>
            </w:pPr>
          </w:p>
        </w:tc>
      </w:tr>
      <w:tr>
        <w:trPr>
          <w:trHeight w:val="8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600" w:right="7780" w:hanging="337"/>
        <w:spacing w:after="0" w:line="282" w:lineRule="auto"/>
        <w:tabs>
          <w:tab w:leader="none" w:pos="1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6,166,194 (1)</w:t>
      </w:r>
    </w:p>
    <w:p>
      <w:pPr>
        <w:spacing w:after="0" w:line="269" w:lineRule="exact"/>
        <w:rPr>
          <w:rFonts w:ascii="Times New Roman" w:cs="Times New Roman" w:eastAsia="Times New Roman" w:hAnsi="Times New Roman"/>
          <w:sz w:val="18"/>
          <w:szCs w:val="18"/>
          <w:color w:val="auto"/>
        </w:rPr>
      </w:pPr>
    </w:p>
    <w:p>
      <w:pPr>
        <w:ind w:left="460" w:right="598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6,166,194 (1)</w:t>
      </w:r>
    </w:p>
    <w:p>
      <w:pPr>
        <w:spacing w:after="0" w:line="228"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3" w:lineRule="exact"/>
        <w:rPr>
          <w:rFonts w:ascii="Times New Roman" w:cs="Times New Roman" w:eastAsia="Times New Roman" w:hAnsi="Times New Roman"/>
          <w:sz w:val="18"/>
          <w:szCs w:val="18"/>
          <w:color w:val="auto"/>
        </w:rPr>
      </w:pPr>
    </w:p>
    <w:p>
      <w:pPr>
        <w:ind w:left="460" w:right="698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spacing w:after="0" w:line="269" w:lineRule="exact"/>
        <w:rPr>
          <w:rFonts w:ascii="Times New Roman" w:cs="Times New Roman" w:eastAsia="Times New Roman" w:hAnsi="Times New Roman"/>
          <w:sz w:val="18"/>
          <w:szCs w:val="18"/>
          <w:color w:val="auto"/>
        </w:rPr>
      </w:pPr>
    </w:p>
    <w:p>
      <w:pPr>
        <w:ind w:left="460" w:right="760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68408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-485140</wp:posOffset>
            </wp:positionV>
            <wp:extent cx="68408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-965200</wp:posOffset>
            </wp:positionV>
            <wp:extent cx="6840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840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-1788160</wp:posOffset>
            </wp:positionV>
            <wp:extent cx="6120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36" w:lineRule="exact"/>
        <w:rPr>
          <w:sz w:val="20"/>
          <w:szCs w:val="20"/>
          <w:color w:val="auto"/>
        </w:rPr>
      </w:pPr>
    </w:p>
    <w:p>
      <w:pPr>
        <w:ind w:right="120" w:firstLine="8"/>
        <w:spacing w:after="0" w:line="258"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G1 Execution Services, LLC, SIG 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CUSIP No: 983134107</w:t>
      </w:r>
    </w:p>
    <w:p>
      <w:pPr>
        <w:sectPr>
          <w:pgSz w:w="11900" w:h="16838" w:orient="portrait"/>
          <w:cols w:equalWidth="0" w:num="1">
            <w:col w:w="11240"/>
          </w:cols>
          <w:pgMar w:left="320" w:top="904" w:right="3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450" w:hanging="450"/>
        <w:spacing w:after="0"/>
        <w:tabs>
          <w:tab w:leader="none" w:pos="4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4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Limited (the “Company”)</w:t>
      </w:r>
    </w:p>
    <w:p>
      <w:pPr>
        <w:spacing w:after="0" w:line="76" w:lineRule="exact"/>
        <w:rPr>
          <w:rFonts w:ascii="Times New Roman" w:cs="Times New Roman" w:eastAsia="Times New Roman" w:hAnsi="Times New Roman"/>
          <w:sz w:val="18"/>
          <w:szCs w:val="18"/>
          <w:color w:val="auto"/>
        </w:rPr>
      </w:pPr>
    </w:p>
    <w:p>
      <w:pPr>
        <w:ind w:left="450" w:hanging="450"/>
        <w:spacing w:after="0"/>
        <w:tabs>
          <w:tab w:leader="none" w:pos="4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450" w:right="7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3131 Las Vegas Boulevard South Las Vegas, Nevada 89109</w:t>
      </w:r>
    </w:p>
    <w:p>
      <w:pPr>
        <w:spacing w:after="0" w:line="269" w:lineRule="exact"/>
        <w:rPr>
          <w:rFonts w:ascii="Times New Roman" w:cs="Times New Roman" w:eastAsia="Times New Roman" w:hAnsi="Times New Roman"/>
          <w:sz w:val="18"/>
          <w:szCs w:val="18"/>
          <w:color w:val="auto"/>
        </w:rPr>
      </w:pPr>
    </w:p>
    <w:p>
      <w:pPr>
        <w:ind w:left="4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-307975</wp:posOffset>
            </wp:positionV>
            <wp:extent cx="60521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-899160</wp:posOffset>
            </wp:positionV>
            <wp:extent cx="60521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205" w:lineRule="exact"/>
        <w:rPr>
          <w:sz w:val="20"/>
          <w:szCs w:val="20"/>
          <w:color w:val="auto"/>
        </w:rPr>
      </w:pPr>
    </w:p>
    <w:p>
      <w:pPr>
        <w:ind w:left="450" w:right="40"/>
        <w:spacing w:after="0" w:line="282" w:lineRule="auto"/>
        <w:rPr>
          <w:sz w:val="20"/>
          <w:szCs w:val="20"/>
          <w:color w:val="auto"/>
        </w:rPr>
      </w:pPr>
      <w:r>
        <w:rPr>
          <w:rFonts w:ascii="Times New Roman" w:cs="Times New Roman" w:eastAsia="Times New Roman" w:hAnsi="Times New Roman"/>
          <w:sz w:val="18"/>
          <w:szCs w:val="18"/>
          <w:color w:val="auto"/>
        </w:rPr>
        <w:t>This statement is filed by the entities listed below, who are collectively referred to herein as “Reporting Persons” with respect to the shares of Common stock, par value $0.01, of the Company (the “Shares”).</w:t>
      </w:r>
    </w:p>
    <w:p>
      <w:pPr>
        <w:spacing w:after="0" w:line="162" w:lineRule="exact"/>
        <w:rPr>
          <w:sz w:val="20"/>
          <w:szCs w:val="20"/>
          <w:color w:val="auto"/>
        </w:rPr>
      </w:pPr>
    </w:p>
    <w:p>
      <w:pPr>
        <w:ind w:left="790"/>
        <w:spacing w:after="0"/>
        <w:rPr>
          <w:sz w:val="20"/>
          <w:szCs w:val="20"/>
          <w:color w:val="auto"/>
        </w:rPr>
      </w:pPr>
      <w:r>
        <w:rPr>
          <w:rFonts w:ascii="Times New Roman" w:cs="Times New Roman" w:eastAsia="Times New Roman" w:hAnsi="Times New Roman"/>
          <w:sz w:val="18"/>
          <w:szCs w:val="18"/>
          <w:color w:val="auto"/>
        </w:rPr>
        <w:t>(i)       G1 Execution Services, LLC</w:t>
      </w:r>
    </w:p>
    <w:p>
      <w:pPr>
        <w:spacing w:after="0" w:line="27" w:lineRule="exact"/>
        <w:rPr>
          <w:sz w:val="20"/>
          <w:szCs w:val="20"/>
          <w:color w:val="auto"/>
        </w:rPr>
      </w:pPr>
    </w:p>
    <w:p>
      <w:pPr>
        <w:ind w:left="790"/>
        <w:spacing w:after="0"/>
        <w:rPr>
          <w:sz w:val="20"/>
          <w:szCs w:val="20"/>
          <w:color w:val="auto"/>
        </w:rPr>
      </w:pPr>
      <w:r>
        <w:rPr>
          <w:rFonts w:ascii="Times New Roman" w:cs="Times New Roman" w:eastAsia="Times New Roman" w:hAnsi="Times New Roman"/>
          <w:sz w:val="18"/>
          <w:szCs w:val="18"/>
          <w:color w:val="auto"/>
        </w:rPr>
        <w:t>(ii)      SIG Brokerage, LP</w:t>
      </w:r>
    </w:p>
    <w:p>
      <w:pPr>
        <w:spacing w:after="0" w:line="9" w:lineRule="exact"/>
        <w:rPr>
          <w:sz w:val="20"/>
          <w:szCs w:val="20"/>
          <w:color w:val="auto"/>
        </w:rPr>
      </w:pPr>
    </w:p>
    <w:p>
      <w:pPr>
        <w:ind w:left="790"/>
        <w:spacing w:after="0"/>
        <w:rPr>
          <w:sz w:val="20"/>
          <w:szCs w:val="20"/>
          <w:color w:val="auto"/>
        </w:rPr>
      </w:pPr>
      <w:r>
        <w:rPr>
          <w:rFonts w:ascii="Times New Roman" w:cs="Times New Roman" w:eastAsia="Times New Roman" w:hAnsi="Times New Roman"/>
          <w:sz w:val="18"/>
          <w:szCs w:val="18"/>
          <w:color w:val="auto"/>
        </w:rPr>
        <w:t>(iii)     Susquehanna Fundamental Investments, LLC</w:t>
      </w:r>
    </w:p>
    <w:p>
      <w:pPr>
        <w:spacing w:after="0" w:line="9" w:lineRule="exact"/>
        <w:rPr>
          <w:sz w:val="20"/>
          <w:szCs w:val="20"/>
          <w:color w:val="auto"/>
        </w:rPr>
      </w:pPr>
    </w:p>
    <w:p>
      <w:pPr>
        <w:ind w:left="790"/>
        <w:spacing w:after="0"/>
        <w:rPr>
          <w:sz w:val="20"/>
          <w:szCs w:val="20"/>
          <w:color w:val="auto"/>
        </w:rPr>
      </w:pPr>
      <w:r>
        <w:rPr>
          <w:rFonts w:ascii="Times New Roman" w:cs="Times New Roman" w:eastAsia="Times New Roman" w:hAnsi="Times New Roman"/>
          <w:sz w:val="18"/>
          <w:szCs w:val="18"/>
          <w:color w:val="auto"/>
        </w:rPr>
        <w:t>(iv)    Susquehanna Investment Group</w:t>
      </w:r>
    </w:p>
    <w:p>
      <w:pPr>
        <w:spacing w:after="0" w:line="9" w:lineRule="exact"/>
        <w:rPr>
          <w:sz w:val="20"/>
          <w:szCs w:val="20"/>
          <w:color w:val="auto"/>
        </w:rPr>
      </w:pPr>
    </w:p>
    <w:p>
      <w:pPr>
        <w:ind w:left="790"/>
        <w:spacing w:after="0"/>
        <w:rPr>
          <w:sz w:val="20"/>
          <w:szCs w:val="20"/>
          <w:color w:val="auto"/>
        </w:rPr>
      </w:pPr>
      <w:r>
        <w:rPr>
          <w:rFonts w:ascii="Times New Roman" w:cs="Times New Roman" w:eastAsia="Times New Roman" w:hAnsi="Times New Roman"/>
          <w:sz w:val="18"/>
          <w:szCs w:val="18"/>
          <w:color w:val="auto"/>
        </w:rPr>
        <w:t>(v)       Susquehanna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22860</wp:posOffset>
            </wp:positionV>
            <wp:extent cx="60521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38"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p>
      <w:pPr>
        <w:spacing w:after="0" w:line="22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The address of the principal business office of G1 Execution Services, LLC is:</w:t>
      </w:r>
    </w:p>
    <w:p>
      <w:pPr>
        <w:spacing w:after="0" w:line="22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175 W. Jackson Blvd.</w:t>
      </w:r>
    </w:p>
    <w:p>
      <w:pPr>
        <w:spacing w:after="0" w:line="2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Suite 1700</w:t>
      </w:r>
    </w:p>
    <w:p>
      <w:pPr>
        <w:spacing w:after="0" w:line="9"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Chicago, IL 60604</w:t>
      </w:r>
    </w:p>
    <w:p>
      <w:pPr>
        <w:spacing w:after="0" w:line="207" w:lineRule="exact"/>
        <w:rPr>
          <w:sz w:val="20"/>
          <w:szCs w:val="20"/>
          <w:color w:val="auto"/>
        </w:rPr>
      </w:pPr>
    </w:p>
    <w:p>
      <w:pPr>
        <w:ind w:left="450" w:right="82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SIG Brokerage, LP, Susquehanna Fundamental Investments, LLC, Susquehanna Investment Group and Susquehanna Securities, LLC is:</w:t>
      </w:r>
    </w:p>
    <w:p>
      <w:pPr>
        <w:spacing w:after="0" w:line="162"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401 E. City Avenue</w:t>
      </w:r>
    </w:p>
    <w:p>
      <w:pPr>
        <w:spacing w:after="0" w:line="2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160020</wp:posOffset>
            </wp:positionV>
            <wp:extent cx="60521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2185" cy="8890"/>
                    </a:xfrm>
                    <a:prstGeom prst="rect">
                      <a:avLst/>
                    </a:prstGeom>
                    <a:noFill/>
                  </pic:spPr>
                </pic:pic>
              </a:graphicData>
            </a:graphic>
          </wp:anchor>
        </w:drawing>
      </w:r>
    </w:p>
    <w:p>
      <w:pPr>
        <w:spacing w:after="0" w:line="254"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ind w:left="450"/>
        <w:spacing w:after="0" w:line="260" w:lineRule="auto"/>
        <w:rPr>
          <w:sz w:val="20"/>
          <w:szCs w:val="20"/>
          <w:color w:val="auto"/>
        </w:rPr>
      </w:pPr>
      <w:r>
        <w:rPr>
          <w:rFonts w:ascii="Times New Roman" w:cs="Times New Roman" w:eastAsia="Times New Roman" w:hAnsi="Times New Roman"/>
          <w:sz w:val="18"/>
          <w:szCs w:val="18"/>
          <w:color w:val="auto"/>
        </w:rPr>
        <w:t>Citizenship is set forth in Row 4 of the cover page for each Reporting Person hereto and is incorporated herein by reference for each such Reporting Person.</w:t>
      </w:r>
    </w:p>
    <w:p>
      <w:pPr>
        <w:spacing w:after="0" w:line="1" w:lineRule="exact"/>
        <w:rPr>
          <w:sz w:val="20"/>
          <w:szCs w:val="20"/>
          <w:color w:val="auto"/>
        </w:rPr>
      </w:pPr>
    </w:p>
    <w:p>
      <w:pPr>
        <w:sectPr>
          <w:pgSz w:w="11900" w:h="16838" w:orient="portrait"/>
          <w:cols w:equalWidth="0" w:num="2">
            <w:col w:w="760" w:space="490"/>
            <w:col w:w="999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0" w:type="dxa"/>
            <w:vAlign w:val="bottom"/>
          </w:tcPr>
          <w:p>
            <w:pPr>
              <w:spacing w:after="0"/>
              <w:rPr>
                <w:sz w:val="1"/>
                <w:szCs w:val="1"/>
                <w:color w:val="auto"/>
              </w:rPr>
            </w:pPr>
          </w:p>
        </w:tc>
      </w:tr>
      <w:tr>
        <w:trPr>
          <w:trHeight w:val="27"/>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983134107</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3"/>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75"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94" w:lineRule="exact"/>
        <w:rPr>
          <w:sz w:val="20"/>
          <w:szCs w:val="20"/>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980" w:right="680" w:hanging="906"/>
        <w:spacing w:after="0" w:line="245" w:lineRule="exact"/>
        <w:tabs>
          <w:tab w:leader="none" w:pos="1622"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620" w:hanging="546"/>
        <w:spacing w:after="0" w:line="207" w:lineRule="exact"/>
        <w:tabs>
          <w:tab w:leader="none" w:pos="162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158" w:lineRule="exact"/>
        <w:rPr>
          <w:sz w:val="20"/>
          <w:szCs w:val="20"/>
          <w:color w:val="auto"/>
        </w:rPr>
      </w:pPr>
    </w:p>
    <w:p>
      <w:pPr>
        <w:ind w:left="1920" w:right="1800"/>
        <w:spacing w:after="0" w:line="282" w:lineRule="auto"/>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-48260</wp:posOffset>
            </wp:positionV>
            <wp:extent cx="1599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Reporting Person hereto and is incorporated herein by reference for each such Reporting Person.</w:t>
      </w:r>
    </w:p>
    <w:p>
      <w:pPr>
        <w:spacing w:after="0" w:line="162"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The number of Shares reported as beneficially owned by SIG Brokerage, LP consists of options to buy 9,000 Shares. The number of Shares reported as beneficially owned by Susquehanna Investment Group consists of options to buy 332,200 Shares. The number of Shares reported as beneficially owned by Susquehanna Securities includes options to buy 3,302,000 Shares.</w:t>
      </w:r>
    </w:p>
    <w:p>
      <w:pPr>
        <w:spacing w:after="0" w:line="176" w:lineRule="exact"/>
        <w:rPr>
          <w:sz w:val="20"/>
          <w:szCs w:val="20"/>
          <w:color w:val="auto"/>
        </w:rPr>
      </w:pPr>
    </w:p>
    <w:p>
      <w:pPr>
        <w:ind w:left="460" w:right="220"/>
        <w:spacing w:after="0" w:line="282" w:lineRule="auto"/>
        <w:rPr>
          <w:sz w:val="20"/>
          <w:szCs w:val="20"/>
          <w:color w:val="auto"/>
        </w:rPr>
      </w:pPr>
      <w:r>
        <w:rPr>
          <w:rFonts w:ascii="Times New Roman" w:cs="Times New Roman" w:eastAsia="Times New Roman" w:hAnsi="Times New Roman"/>
          <w:sz w:val="18"/>
          <w:szCs w:val="18"/>
          <w:color w:val="auto"/>
        </w:rPr>
        <w:t>The Company’s Quarterly Report on Form 10-Q, filed on August 6, 2024, indicates that there were 110,991,627 Shares outstanding as of July 31, 2024.</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08"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48" w:lineRule="exact"/>
        <w:rPr>
          <w:sz w:val="20"/>
          <w:szCs w:val="20"/>
          <w:color w:val="auto"/>
        </w:rPr>
      </w:pPr>
    </w:p>
    <w:p>
      <w:pPr>
        <w:ind w:left="102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G1 EXECUTION SERVICES, LLC</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 BROKERAGE,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102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SUSQUEHANNA FUNDAMNETAL INVESTMENTS, LLC</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SUSQUEHANNA INVESTMENT GROUP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102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SUSQUEHANNA SECURITIES,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Sopinsky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068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Sopinsky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80"/>
        <w:spacing w:after="0"/>
        <w:tabs>
          <w:tab w:leader="none" w:pos="54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1" w:lineRule="exact"/>
        <w:rPr>
          <w:sz w:val="20"/>
          <w:szCs w:val="20"/>
          <w:color w:val="auto"/>
        </w:rPr>
      </w:pPr>
    </w:p>
    <w:p>
      <w:pPr>
        <w:ind w:left="1020" w:hanging="590"/>
        <w:spacing w:after="0"/>
        <w:tabs>
          <w:tab w:leader="none" w:pos="1020"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983134107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of Wynn Resorts, Limited, par value $0.01,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G1 EXECUTION SERVICES, LLC</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 BROKERAGE,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102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SUSQUEHANNA FUNDAMNETAL INVESTMENTS, LLC</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SUSQUEHANNA INVESTMENT GROUP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102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SUSQUEHANNA SECURITIES, LLC</w:t>
            </w:r>
          </w:p>
        </w:tc>
        <w:tc>
          <w:tcPr>
            <w:tcW w:w="10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Sopinsky</w:t>
            </w:r>
          </w:p>
        </w:tc>
        <w:tc>
          <w:tcPr>
            <w:tcW w:w="10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Sopinsky</w:t>
            </w:r>
          </w:p>
        </w:tc>
        <w:tc>
          <w:tcPr>
            <w:tcW w:w="102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0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abstractNum>
  <w:abstractNum w:abstractNumId="3">
    <w:nsid w:val="7FDCC233"/>
    <w:multiLevelType w:val="hybridMultilevel"/>
    <w:lvl w:ilvl="0">
      <w:lvlJc w:val="left"/>
      <w:lvlText w:val="%1"/>
      <w:numFmt w:val="decimal"/>
      <w:start w:val="1"/>
    </w:lvl>
    <w:lvl w:ilvl="1">
      <w:lvlJc w:val="left"/>
      <w:lvlText w:val="(%2)"/>
      <w:numFmt w:val="decimal"/>
      <w:start w:val="8"/>
    </w:lvl>
  </w:abstractNum>
  <w:abstractNum w:abstractNumId="4">
    <w:nsid w:val="1BEFD79F"/>
    <w:multiLevelType w:val="hybridMultilevel"/>
    <w:lvl w:ilvl="0">
      <w:lvlJc w:val="left"/>
      <w:lvlText w:val="(%1)"/>
      <w:numFmt w:val="decimal"/>
      <w:start w:val="9"/>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lvl w:ilvl="1">
      <w:lvlJc w:val="left"/>
      <w:lvlText w:val="(%2)"/>
      <w:numFmt w:val="lowerLetter"/>
      <w:start w:val="1"/>
    </w:lvl>
  </w:abstractNum>
  <w:abstractNum w:abstractNumId="7">
    <w:nsid w:val="4E6AFB66"/>
    <w:multiLevelType w:val="hybridMultilevel"/>
    <w:lvl w:ilvl="0">
      <w:lvlJc w:val="left"/>
      <w:lvlText w:val="%1"/>
      <w:numFmt w:val="decimal"/>
      <w:start w:val="1"/>
    </w:lvl>
    <w:lvl w:ilvl="1">
      <w:lvlJc w:val="left"/>
      <w:lvlText w:val="(%2)"/>
      <w:numFmt w:val="decimal"/>
      <w:start w:val="8"/>
    </w:lvl>
  </w:abstractNum>
  <w:abstractNum w:abstractNumId="8">
    <w:nsid w:val="25E45D32"/>
    <w:multiLevelType w:val="hybridMultilevel"/>
    <w:lvl w:ilvl="0">
      <w:lvlJc w:val="left"/>
      <w:lvlText w:val="(%1)"/>
      <w:numFmt w:val="decimal"/>
      <w:start w:val="9"/>
    </w:lvl>
    <w:lvl w:ilvl="1">
      <w:lvlJc w:val="left"/>
      <w:lvlText w:val="%2"/>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lvl w:ilvl="1">
      <w:lvlJc w:val="left"/>
      <w:lvlText w:val="(%2)"/>
      <w:numFmt w:val="decimal"/>
      <w:start w:val="8"/>
    </w:lvl>
  </w:abstractNum>
  <w:abstractNum w:abstractNumId="12">
    <w:nsid w:val="7C83E458"/>
    <w:multiLevelType w:val="hybridMultilevel"/>
    <w:lvl w:ilvl="0">
      <w:lvlJc w:val="left"/>
      <w:lvlText w:val="(%1)"/>
      <w:numFmt w:val="decimal"/>
      <w:start w:val="9"/>
    </w:lvl>
    <w:lvl w:ilvl="1">
      <w:lvlJc w:val="left"/>
      <w:lvlText w:val="%2"/>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decimal"/>
      <w:start w:val="1"/>
    </w:lvl>
    <w:lvl w:ilvl="1">
      <w:lvlJc w:val="left"/>
      <w:lvlText w:val="(%2)"/>
      <w:numFmt w:val="decimal"/>
      <w:start w:val="8"/>
    </w:lvl>
  </w:abstractNum>
  <w:abstractNum w:abstractNumId="16">
    <w:nsid w:val="628C895D"/>
    <w:multiLevelType w:val="hybridMultilevel"/>
    <w:lvl w:ilvl="0">
      <w:lvlJc w:val="left"/>
      <w:lvlText w:val="(%1)"/>
      <w:numFmt w:val="decimal"/>
      <w:start w:val="9"/>
    </w:lvl>
    <w:lvl w:ilvl="1">
      <w:lvlJc w:val="left"/>
      <w:lvlText w:val="%2"/>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decimal"/>
      <w:start w:val="8"/>
    </w:lvl>
  </w:abstractNum>
  <w:abstractNum w:abstractNumId="20">
    <w:nsid w:val="2D1D5AE9"/>
    <w:multiLevelType w:val="hybridMultilevel"/>
    <w:lvl w:ilvl="0">
      <w:lvlJc w:val="left"/>
      <w:lvlText w:val="(%1)"/>
      <w:numFmt w:val="decimal"/>
      <w:start w:val="9"/>
    </w:lvl>
    <w:lvl w:ilvl="1">
      <w:lvlJc w:val="left"/>
      <w:lvlText w:val="%2"/>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2024-11-14T12:07:50Z</dcterms:created>
  <dcterms:modified xsi:type="dcterms:W3CDTF">2024-11-14T12:07:50Z</dcterms:modified>
</cp:coreProperties>
</file>