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381635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247015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ind w:left="2860"/>
        <w:spacing w:after="0"/>
        <w:rPr>
          <w:sz w:val="20"/>
          <w:szCs w:val="20"/>
          <w:color w:val="auto"/>
        </w:rPr>
      </w:pPr>
      <w:r>
        <w:rPr>
          <w:rFonts w:ascii="Arial" w:cs="Arial" w:eastAsia="Arial" w:hAnsi="Arial"/>
          <w:sz w:val="22"/>
          <w:szCs w:val="22"/>
          <w:b w:val="1"/>
          <w:bCs w:val="1"/>
          <w:color w:val="auto"/>
        </w:rPr>
        <w:t>Date of Report (Date of earliest event reported): July 29,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259715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1140" w:type="dxa"/>
        <w:tblCellMar>
          <w:top w:w="0" w:type="dxa"/>
          <w:left w:w="0" w:type="dxa"/>
          <w:bottom w:w="0" w:type="dxa"/>
          <w:right w:w="0" w:type="dxa"/>
        </w:tblCellMar>
      </w:tblPr>
      <w:tr>
        <w:trPr>
          <w:trHeight w:val="234"/>
        </w:trPr>
        <w:tc>
          <w:tcPr>
            <w:tcW w:w="2940" w:type="dxa"/>
            <w:vAlign w:val="bottom"/>
          </w:tcPr>
          <w:p>
            <w:pPr>
              <w:jc w:val="center"/>
              <w:ind w:right="1242"/>
              <w:spacing w:after="0"/>
              <w:rPr>
                <w:sz w:val="20"/>
                <w:szCs w:val="20"/>
                <w:color w:val="auto"/>
              </w:rPr>
            </w:pPr>
            <w:r>
              <w:rPr>
                <w:rFonts w:ascii="Arial" w:cs="Arial" w:eastAsia="Arial" w:hAnsi="Arial"/>
                <w:sz w:val="18"/>
                <w:szCs w:val="18"/>
                <w:b w:val="1"/>
                <w:bCs w:val="1"/>
                <w:color w:val="auto"/>
                <w:w w:val="90"/>
              </w:rPr>
              <w:t>Nevada</w:t>
            </w:r>
          </w:p>
        </w:tc>
        <w:tc>
          <w:tcPr>
            <w:tcW w:w="3500" w:type="dxa"/>
            <w:vAlign w:val="bottom"/>
          </w:tcPr>
          <w:p>
            <w:pPr>
              <w:ind w:left="1320"/>
              <w:spacing w:after="0"/>
              <w:rPr>
                <w:sz w:val="20"/>
                <w:szCs w:val="20"/>
                <w:color w:val="auto"/>
              </w:rPr>
            </w:pPr>
            <w:r>
              <w:rPr>
                <w:rFonts w:ascii="Arial" w:cs="Arial" w:eastAsia="Arial" w:hAnsi="Arial"/>
                <w:sz w:val="18"/>
                <w:szCs w:val="18"/>
                <w:b w:val="1"/>
                <w:bCs w:val="1"/>
                <w:color w:val="auto"/>
              </w:rPr>
              <w:t>000-50028</w:t>
            </w:r>
          </w:p>
        </w:tc>
        <w:tc>
          <w:tcPr>
            <w:tcW w:w="2520" w:type="dxa"/>
            <w:vAlign w:val="bottom"/>
          </w:tcPr>
          <w:p>
            <w:pPr>
              <w:jc w:val="center"/>
              <w:ind w:left="1322"/>
              <w:spacing w:after="0"/>
              <w:rPr>
                <w:sz w:val="20"/>
                <w:szCs w:val="20"/>
                <w:color w:val="auto"/>
              </w:rPr>
            </w:pPr>
            <w:r>
              <w:rPr>
                <w:rFonts w:ascii="Arial" w:cs="Arial" w:eastAsia="Arial" w:hAnsi="Arial"/>
                <w:sz w:val="18"/>
                <w:szCs w:val="18"/>
                <w:b w:val="1"/>
                <w:bCs w:val="1"/>
                <w:color w:val="auto"/>
                <w:w w:val="91"/>
              </w:rPr>
              <w:t>46-0484987</w:t>
            </w:r>
          </w:p>
        </w:tc>
      </w:tr>
      <w:tr>
        <w:trPr>
          <w:trHeight w:val="180"/>
        </w:trPr>
        <w:tc>
          <w:tcPr>
            <w:tcW w:w="2940" w:type="dxa"/>
            <w:vAlign w:val="bottom"/>
          </w:tcPr>
          <w:p>
            <w:pPr>
              <w:jc w:val="center"/>
              <w:ind w:right="1222"/>
              <w:spacing w:after="0"/>
              <w:rPr>
                <w:sz w:val="20"/>
                <w:szCs w:val="20"/>
                <w:color w:val="auto"/>
              </w:rPr>
            </w:pPr>
            <w:r>
              <w:rPr>
                <w:rFonts w:ascii="Arial" w:cs="Arial" w:eastAsia="Arial" w:hAnsi="Arial"/>
                <w:sz w:val="14"/>
                <w:szCs w:val="14"/>
                <w:b w:val="1"/>
                <w:bCs w:val="1"/>
                <w:color w:val="auto"/>
                <w:w w:val="93"/>
              </w:rPr>
              <w:t>(State or other jurisdiction</w:t>
            </w:r>
          </w:p>
        </w:tc>
        <w:tc>
          <w:tcPr>
            <w:tcW w:w="3500" w:type="dxa"/>
            <w:vAlign w:val="bottom"/>
          </w:tcPr>
          <w:p>
            <w:pPr>
              <w:ind w:left="1300"/>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940" w:type="dxa"/>
            <w:vAlign w:val="bottom"/>
          </w:tcPr>
          <w:p>
            <w:pPr>
              <w:jc w:val="center"/>
              <w:ind w:right="1242"/>
              <w:spacing w:after="0"/>
              <w:rPr>
                <w:sz w:val="20"/>
                <w:szCs w:val="20"/>
                <w:color w:val="auto"/>
              </w:rPr>
            </w:pPr>
            <w:r>
              <w:rPr>
                <w:rFonts w:ascii="Arial" w:cs="Arial" w:eastAsia="Arial" w:hAnsi="Arial"/>
                <w:sz w:val="14"/>
                <w:szCs w:val="14"/>
                <w:b w:val="1"/>
                <w:bCs w:val="1"/>
                <w:color w:val="auto"/>
                <w:w w:val="94"/>
              </w:rPr>
              <w:t>of incorporation)</w:t>
            </w:r>
          </w:p>
        </w:tc>
        <w:tc>
          <w:tcPr>
            <w:tcW w:w="3500" w:type="dxa"/>
            <w:vAlign w:val="bottom"/>
          </w:tcPr>
          <w:p>
            <w:pPr>
              <w:ind w:left="128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8"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WYNN LAS VEGAS, LLC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304800</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40" w:type="dxa"/>
        <w:tblCellMar>
          <w:top w:w="0" w:type="dxa"/>
          <w:left w:w="0" w:type="dxa"/>
          <w:bottom w:w="0" w:type="dxa"/>
          <w:right w:w="0" w:type="dxa"/>
        </w:tblCellMar>
      </w:tblPr>
      <w:tr>
        <w:trPr>
          <w:trHeight w:val="234"/>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4460" w:type="dxa"/>
            <w:vAlign w:val="bottom"/>
          </w:tcPr>
          <w:p>
            <w:pPr>
              <w:jc w:val="center"/>
              <w:ind w:right="440"/>
              <w:spacing w:after="0"/>
              <w:rPr>
                <w:sz w:val="20"/>
                <w:szCs w:val="20"/>
                <w:color w:val="auto"/>
              </w:rPr>
            </w:pPr>
            <w:r>
              <w:rPr>
                <w:rFonts w:ascii="Arial" w:cs="Arial" w:eastAsia="Arial" w:hAnsi="Arial"/>
                <w:sz w:val="18"/>
                <w:szCs w:val="18"/>
                <w:b w:val="1"/>
                <w:bCs w:val="1"/>
                <w:color w:val="auto"/>
                <w:w w:val="89"/>
              </w:rPr>
              <w:t>333-100768</w:t>
            </w:r>
          </w:p>
        </w:tc>
        <w:tc>
          <w:tcPr>
            <w:tcW w:w="1700" w:type="dxa"/>
            <w:vAlign w:val="bottom"/>
          </w:tcPr>
          <w:p>
            <w:pPr>
              <w:jc w:val="right"/>
              <w:ind w:right="61"/>
              <w:spacing w:after="0"/>
              <w:rPr>
                <w:sz w:val="20"/>
                <w:szCs w:val="20"/>
                <w:color w:val="auto"/>
              </w:rPr>
            </w:pPr>
            <w:r>
              <w:rPr>
                <w:rFonts w:ascii="Arial" w:cs="Arial" w:eastAsia="Arial" w:hAnsi="Arial"/>
                <w:sz w:val="18"/>
                <w:szCs w:val="18"/>
                <w:b w:val="1"/>
                <w:bCs w:val="1"/>
                <w:color w:val="auto"/>
              </w:rPr>
              <w:t>88-0494875</w:t>
            </w:r>
          </w:p>
        </w:tc>
      </w:tr>
      <w:tr>
        <w:trPr>
          <w:trHeight w:val="180"/>
        </w:trPr>
        <w:tc>
          <w:tcPr>
            <w:tcW w:w="3580" w:type="dxa"/>
            <w:vAlign w:val="bottom"/>
          </w:tcPr>
          <w:p>
            <w:pPr>
              <w:jc w:val="center"/>
              <w:ind w:right="19"/>
              <w:spacing w:after="0"/>
              <w:rPr>
                <w:sz w:val="20"/>
                <w:szCs w:val="20"/>
                <w:color w:val="auto"/>
              </w:rPr>
            </w:pPr>
            <w:r>
              <w:rPr>
                <w:rFonts w:ascii="Arial" w:cs="Arial" w:eastAsia="Arial" w:hAnsi="Arial"/>
                <w:sz w:val="14"/>
                <w:szCs w:val="14"/>
                <w:b w:val="1"/>
                <w:bCs w:val="1"/>
                <w:color w:val="auto"/>
                <w:w w:val="93"/>
              </w:rPr>
              <w:t>(State or other jurisdiction</w:t>
            </w:r>
          </w:p>
        </w:tc>
        <w:tc>
          <w:tcPr>
            <w:tcW w:w="4460" w:type="dxa"/>
            <w:vAlign w:val="bottom"/>
          </w:tcPr>
          <w:p>
            <w:pPr>
              <w:jc w:val="center"/>
              <w:ind w:right="440"/>
              <w:spacing w:after="0"/>
              <w:rPr>
                <w:sz w:val="20"/>
                <w:szCs w:val="20"/>
                <w:color w:val="auto"/>
              </w:rPr>
            </w:pPr>
            <w:r>
              <w:rPr>
                <w:rFonts w:ascii="Arial" w:cs="Arial" w:eastAsia="Arial" w:hAnsi="Arial"/>
                <w:sz w:val="14"/>
                <w:szCs w:val="14"/>
                <w:b w:val="1"/>
                <w:bCs w:val="1"/>
                <w:color w:val="auto"/>
                <w:w w:val="92"/>
              </w:rPr>
              <w:t>(Commission</w:t>
            </w: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4"/>
              </w:rPr>
              <w:t>of incorporation)</w:t>
            </w:r>
          </w:p>
        </w:tc>
        <w:tc>
          <w:tcPr>
            <w:tcW w:w="4460" w:type="dxa"/>
            <w:vAlign w:val="bottom"/>
          </w:tcPr>
          <w:p>
            <w:pPr>
              <w:jc w:val="center"/>
              <w:ind w:right="440"/>
              <w:spacing w:after="0"/>
              <w:rPr>
                <w:sz w:val="20"/>
                <w:szCs w:val="20"/>
                <w:color w:val="auto"/>
              </w:rPr>
            </w:pPr>
            <w:r>
              <w:rPr>
                <w:rFonts w:ascii="Arial" w:cs="Arial" w:eastAsia="Arial" w:hAnsi="Arial"/>
                <w:sz w:val="14"/>
                <w:szCs w:val="14"/>
                <w:b w:val="1"/>
                <w:bCs w:val="1"/>
                <w:color w:val="auto"/>
                <w:w w:val="95"/>
              </w:rPr>
              <w:t>File Number)</w:t>
            </w: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3580" w:type="dxa"/>
            <w:vAlign w:val="bottom"/>
          </w:tcPr>
          <w:p>
            <w:pPr>
              <w:jc w:val="center"/>
              <w:ind w:right="19"/>
              <w:spacing w:after="0"/>
              <w:rPr>
                <w:sz w:val="20"/>
                <w:szCs w:val="20"/>
                <w:color w:val="auto"/>
              </w:rPr>
            </w:pPr>
            <w:r>
              <w:rPr>
                <w:rFonts w:ascii="Arial" w:cs="Arial" w:eastAsia="Arial" w:hAnsi="Arial"/>
                <w:sz w:val="18"/>
                <w:szCs w:val="18"/>
                <w:b w:val="1"/>
                <w:bCs w:val="1"/>
                <w:color w:val="auto"/>
                <w:w w:val="88"/>
              </w:rPr>
              <w:t>3131 Las Vegas Boulevard South</w:t>
            </w:r>
          </w:p>
        </w:tc>
        <w:tc>
          <w:tcPr>
            <w:tcW w:w="44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4"/>
        </w:trPr>
        <w:tc>
          <w:tcPr>
            <w:tcW w:w="3580" w:type="dxa"/>
            <w:vAlign w:val="bottom"/>
          </w:tcPr>
          <w:p>
            <w:pPr>
              <w:jc w:val="center"/>
              <w:ind w:right="19"/>
              <w:spacing w:after="0"/>
              <w:rPr>
                <w:sz w:val="20"/>
                <w:szCs w:val="20"/>
                <w:color w:val="auto"/>
              </w:rPr>
            </w:pPr>
            <w:r>
              <w:rPr>
                <w:rFonts w:ascii="Arial" w:cs="Arial" w:eastAsia="Arial" w:hAnsi="Arial"/>
                <w:sz w:val="18"/>
                <w:szCs w:val="18"/>
                <w:b w:val="1"/>
                <w:bCs w:val="1"/>
                <w:color w:val="auto"/>
                <w:w w:val="88"/>
              </w:rPr>
              <w:t>Las Vegas, Nevada</w:t>
            </w:r>
          </w:p>
        </w:tc>
        <w:tc>
          <w:tcPr>
            <w:tcW w:w="4460" w:type="dxa"/>
            <w:vAlign w:val="bottom"/>
          </w:tcPr>
          <w:p>
            <w:pPr>
              <w:spacing w:after="0"/>
              <w:rPr>
                <w:sz w:val="20"/>
                <w:szCs w:val="20"/>
                <w:color w:val="auto"/>
              </w:rPr>
            </w:pPr>
          </w:p>
        </w:tc>
        <w:tc>
          <w:tcPr>
            <w:tcW w:w="17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 of each registrant)</w:t>
            </w:r>
          </w:p>
        </w:tc>
        <w:tc>
          <w:tcPr>
            <w:tcW w:w="4460" w:type="dxa"/>
            <w:vAlign w:val="bottom"/>
          </w:tcPr>
          <w:p>
            <w:pPr>
              <w:spacing w:after="0"/>
              <w:rPr>
                <w:sz w:val="18"/>
                <w:szCs w:val="18"/>
                <w:color w:val="auto"/>
              </w:rPr>
            </w:pP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5"/>
              </w:rPr>
              <w:t>(Zip Code)</w:t>
            </w:r>
          </w:p>
        </w:tc>
      </w:tr>
      <w:tr>
        <w:trPr>
          <w:trHeight w:val="489"/>
        </w:trPr>
        <w:tc>
          <w:tcPr>
            <w:tcW w:w="3580" w:type="dxa"/>
            <w:vAlign w:val="bottom"/>
          </w:tcPr>
          <w:p>
            <w:pPr>
              <w:spacing w:after="0"/>
              <w:rPr>
                <w:sz w:val="24"/>
                <w:szCs w:val="24"/>
                <w:color w:val="auto"/>
              </w:rPr>
            </w:pPr>
          </w:p>
        </w:tc>
        <w:tc>
          <w:tcPr>
            <w:tcW w:w="4460" w:type="dxa"/>
            <w:vAlign w:val="bottom"/>
          </w:tcPr>
          <w:p>
            <w:pPr>
              <w:jc w:val="center"/>
              <w:ind w:right="380"/>
              <w:spacing w:after="0"/>
              <w:rPr>
                <w:sz w:val="20"/>
                <w:szCs w:val="20"/>
                <w:color w:val="auto"/>
              </w:rPr>
            </w:pPr>
            <w:r>
              <w:rPr>
                <w:rFonts w:ascii="Arial" w:cs="Arial" w:eastAsia="Arial" w:hAnsi="Arial"/>
                <w:sz w:val="18"/>
                <w:szCs w:val="18"/>
                <w:b w:val="1"/>
                <w:bCs w:val="1"/>
                <w:color w:val="auto"/>
                <w:w w:val="90"/>
              </w:rPr>
              <w:t>(702) 770-7555</w:t>
            </w:r>
          </w:p>
        </w:tc>
        <w:tc>
          <w:tcPr>
            <w:tcW w:w="1700" w:type="dxa"/>
            <w:vAlign w:val="bottom"/>
          </w:tcPr>
          <w:p>
            <w:pPr>
              <w:spacing w:after="0"/>
              <w:rPr>
                <w:sz w:val="24"/>
                <w:szCs w:val="24"/>
                <w:color w:val="auto"/>
              </w:rPr>
            </w:pPr>
          </w:p>
        </w:tc>
      </w:tr>
      <w:tr>
        <w:trPr>
          <w:trHeight w:val="186"/>
        </w:trPr>
        <w:tc>
          <w:tcPr>
            <w:tcW w:w="3580" w:type="dxa"/>
            <w:vAlign w:val="bottom"/>
          </w:tcPr>
          <w:p>
            <w:pPr>
              <w:spacing w:after="0"/>
              <w:rPr>
                <w:sz w:val="16"/>
                <w:szCs w:val="16"/>
                <w:color w:val="auto"/>
              </w:rPr>
            </w:pPr>
          </w:p>
        </w:tc>
        <w:tc>
          <w:tcPr>
            <w:tcW w:w="4460" w:type="dxa"/>
            <w:vAlign w:val="bottom"/>
          </w:tcPr>
          <w:p>
            <w:pPr>
              <w:jc w:val="center"/>
              <w:ind w:right="4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00" w:type="dxa"/>
            <w:vAlign w:val="bottom"/>
          </w:tcPr>
          <w:p>
            <w:pPr>
              <w:spacing w:after="0"/>
              <w:rPr>
                <w:sz w:val="16"/>
                <w:szCs w:val="16"/>
                <w:color w:val="auto"/>
              </w:rPr>
            </w:pPr>
          </w:p>
        </w:tc>
      </w:tr>
      <w:tr>
        <w:trPr>
          <w:trHeight w:val="408"/>
        </w:trPr>
        <w:tc>
          <w:tcPr>
            <w:tcW w:w="3580" w:type="dxa"/>
            <w:vAlign w:val="bottom"/>
          </w:tcPr>
          <w:p>
            <w:pPr>
              <w:spacing w:after="0"/>
              <w:rPr>
                <w:sz w:val="24"/>
                <w:szCs w:val="24"/>
                <w:color w:val="auto"/>
              </w:rPr>
            </w:pPr>
          </w:p>
        </w:tc>
        <w:tc>
          <w:tcPr>
            <w:tcW w:w="4460" w:type="dxa"/>
            <w:vAlign w:val="bottom"/>
          </w:tcPr>
          <w:p>
            <w:pPr>
              <w:jc w:val="center"/>
              <w:ind w:right="380"/>
              <w:spacing w:after="0"/>
              <w:rPr>
                <w:sz w:val="20"/>
                <w:szCs w:val="20"/>
                <w:color w:val="auto"/>
              </w:rPr>
            </w:pPr>
            <w:r>
              <w:rPr>
                <w:rFonts w:ascii="Arial" w:cs="Arial" w:eastAsia="Arial" w:hAnsi="Arial"/>
                <w:sz w:val="18"/>
                <w:szCs w:val="18"/>
                <w:b w:val="1"/>
                <w:bCs w:val="1"/>
                <w:color w:val="auto"/>
                <w:w w:val="92"/>
              </w:rPr>
              <w:t>Not Applicable</w:t>
            </w:r>
          </w:p>
        </w:tc>
        <w:tc>
          <w:tcPr>
            <w:tcW w:w="1700" w:type="dxa"/>
            <w:vAlign w:val="bottom"/>
          </w:tcPr>
          <w:p>
            <w:pPr>
              <w:spacing w:after="0"/>
              <w:rPr>
                <w:sz w:val="24"/>
                <w:szCs w:val="24"/>
                <w:color w:val="auto"/>
              </w:rPr>
            </w:pPr>
          </w:p>
        </w:tc>
      </w:tr>
      <w:tr>
        <w:trPr>
          <w:trHeight w:val="186"/>
        </w:trPr>
        <w:tc>
          <w:tcPr>
            <w:tcW w:w="3580" w:type="dxa"/>
            <w:vAlign w:val="bottom"/>
          </w:tcPr>
          <w:p>
            <w:pPr>
              <w:spacing w:after="0"/>
              <w:rPr>
                <w:sz w:val="16"/>
                <w:szCs w:val="16"/>
                <w:color w:val="auto"/>
              </w:rPr>
            </w:pPr>
          </w:p>
        </w:tc>
        <w:tc>
          <w:tcPr>
            <w:tcW w:w="4460" w:type="dxa"/>
            <w:vAlign w:val="bottom"/>
          </w:tcPr>
          <w:p>
            <w:pPr>
              <w:jc w:val="center"/>
              <w:ind w:right="38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700" w:type="dxa"/>
            <w:vAlign w:val="bottom"/>
          </w:tcPr>
          <w:p>
            <w:pPr>
              <w:spacing w:after="0"/>
              <w:rPr>
                <w:sz w:val="16"/>
                <w:szCs w:val="16"/>
                <w:color w:val="auto"/>
              </w:rPr>
            </w:pPr>
          </w:p>
        </w:tc>
      </w:tr>
    </w:tbl>
    <w:p>
      <w:pPr>
        <w:spacing w:after="0" w:line="20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3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ectPr>
          <w:pgSz w:w="11900" w:h="16838" w:orient="portrait"/>
          <w:cols w:equalWidth="0" w:num="1">
            <w:col w:w="10860"/>
          </w:cols>
          <w:pgMar w:left="240" w:top="747" w:right="799" w:bottom="1440" w:gutter="0" w:footer="0" w:header="0"/>
        </w:sectPr>
      </w:pPr>
    </w:p>
    <w:bookmarkStart w:id="1" w:name="page2"/>
    <w:bookmarkEnd w:id="1"/>
    <w:p>
      <w:pPr>
        <w:ind w:left="40"/>
        <w:spacing w:after="0"/>
        <w:tabs>
          <w:tab w:leader="none" w:pos="14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48"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On July 29, 2015 Wynn Resorts, Limited issued a press release announcing its results of operations for the second quarter ended June 30, 2015. The press release is furnished herewith as Exhibit 99.1. The information in this Current Report on Form 8-K,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00" w:lineRule="exact"/>
        <w:rPr>
          <w:sz w:val="20"/>
          <w:szCs w:val="20"/>
          <w:color w:val="auto"/>
        </w:rPr>
      </w:pPr>
    </w:p>
    <w:p>
      <w:pPr>
        <w:spacing w:after="0" w:line="292"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under Item 2.02 of this report is incorporated herein by reference.</w:t>
      </w:r>
    </w:p>
    <w:p>
      <w:pPr>
        <w:spacing w:after="0" w:line="200" w:lineRule="exact"/>
        <w:rPr>
          <w:sz w:val="20"/>
          <w:szCs w:val="20"/>
          <w:color w:val="auto"/>
        </w:rPr>
      </w:pPr>
    </w:p>
    <w:p>
      <w:pPr>
        <w:spacing w:after="0" w:line="345"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48"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On July 29, 2015, Wynn Resorts, Limited, announced a cash dividend of $0.50 per share of its outstanding common stock. This cash dividend will be payable on August 20, 2015 to stockholders of record on August 11, 2015.</w:t>
      </w: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365"/>
        </w:trPr>
        <w:tc>
          <w:tcPr>
            <w:tcW w:w="1380" w:type="dxa"/>
            <w:vAlign w:val="bottom"/>
            <w:gridSpan w:val="2"/>
          </w:tcPr>
          <w:p>
            <w:pPr>
              <w:ind w:left="180"/>
              <w:spacing w:after="0"/>
              <w:rPr>
                <w:sz w:val="20"/>
                <w:szCs w:val="20"/>
                <w:color w:val="auto"/>
              </w:rPr>
            </w:pPr>
            <w:r>
              <w:rPr>
                <w:rFonts w:ascii="Arial" w:cs="Arial" w:eastAsia="Arial" w:hAnsi="Arial"/>
                <w:sz w:val="18"/>
                <w:szCs w:val="18"/>
                <w:color w:val="auto"/>
              </w:rPr>
              <w:t>(d) Exhibits.</w:t>
            </w:r>
          </w:p>
        </w:tc>
        <w:tc>
          <w:tcPr>
            <w:tcW w:w="7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97"/>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385"/>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w w:val="89"/>
              </w:rPr>
              <w:t>Press release, dated July 29, 2015, of Wynn Resorts, Limited.</w:t>
            </w:r>
          </w:p>
        </w:tc>
      </w:tr>
    </w:tbl>
    <w:p>
      <w:pPr>
        <w:sectPr>
          <w:pgSz w:w="11900" w:h="16838" w:orient="portrait"/>
          <w:cols w:equalWidth="0" w:num="1">
            <w:col w:w="11360"/>
          </w:cols>
          <w:pgMar w:left="240" w:top="958" w:right="29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1"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July 29,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Stephen Cootey</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780"/>
          </w:cols>
          <w:pgMar w:left="240" w:top="796" w:right="8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Arial" w:cs="Arial" w:eastAsia="Arial" w:hAnsi="Arial"/>
                <w:sz w:val="18"/>
                <w:szCs w:val="18"/>
                <w:b w:val="1"/>
                <w:bCs w:val="1"/>
                <w:color w:val="auto"/>
              </w:rPr>
              <w:t>WYNN LAS VEGAS, LLC</w:t>
            </w:r>
          </w:p>
        </w:tc>
      </w:tr>
      <w:tr>
        <w:trPr>
          <w:trHeight w:val="392"/>
        </w:trPr>
        <w:tc>
          <w:tcPr>
            <w:tcW w:w="4060" w:type="dxa"/>
            <w:vAlign w:val="bottom"/>
          </w:tcPr>
          <w:p>
            <w:pPr>
              <w:spacing w:after="0"/>
              <w:rPr>
                <w:sz w:val="20"/>
                <w:szCs w:val="20"/>
                <w:color w:val="auto"/>
              </w:rPr>
            </w:pPr>
            <w:r>
              <w:rPr>
                <w:rFonts w:ascii="Arial" w:cs="Arial" w:eastAsia="Arial" w:hAnsi="Arial"/>
                <w:sz w:val="18"/>
                <w:szCs w:val="18"/>
                <w:color w:val="auto"/>
              </w:rPr>
              <w:t>Dated: July 29, 2015</w:t>
            </w:r>
          </w:p>
        </w:tc>
        <w:tc>
          <w:tcPr>
            <w:tcW w:w="3100" w:type="dxa"/>
            <w:vAlign w:val="bottom"/>
          </w:tcPr>
          <w:p>
            <w:pPr>
              <w:ind w:left="2560"/>
              <w:spacing w:after="0"/>
              <w:rPr>
                <w:sz w:val="20"/>
                <w:szCs w:val="20"/>
                <w:color w:val="auto"/>
              </w:rPr>
            </w:pPr>
            <w:r>
              <w:rPr>
                <w:rFonts w:ascii="Arial" w:cs="Arial" w:eastAsia="Arial" w:hAnsi="Arial"/>
                <w:sz w:val="18"/>
                <w:szCs w:val="18"/>
                <w:color w:val="auto"/>
              </w:rPr>
              <w:t>By:</w:t>
            </w:r>
          </w:p>
        </w:tc>
        <w:tc>
          <w:tcPr>
            <w:tcW w:w="4220" w:type="dxa"/>
            <w:vAlign w:val="bottom"/>
          </w:tcPr>
          <w:p>
            <w:pPr>
              <w:ind w:left="160"/>
              <w:spacing w:after="0"/>
              <w:rPr>
                <w:sz w:val="20"/>
                <w:szCs w:val="20"/>
                <w:color w:val="auto"/>
              </w:rPr>
            </w:pPr>
            <w:r>
              <w:rPr>
                <w:rFonts w:ascii="Arial" w:cs="Arial" w:eastAsia="Arial" w:hAnsi="Arial"/>
                <w:sz w:val="18"/>
                <w:szCs w:val="18"/>
                <w:color w:val="auto"/>
              </w:rPr>
              <w:t>Wynn Resorts Holdings, LLC</w:t>
            </w:r>
          </w:p>
        </w:tc>
      </w:tr>
      <w:tr>
        <w:trPr>
          <w:trHeight w:val="270"/>
        </w:trPr>
        <w:tc>
          <w:tcPr>
            <w:tcW w:w="406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its sole member</w:t>
            </w:r>
          </w:p>
        </w:tc>
      </w:tr>
      <w:tr>
        <w:trPr>
          <w:trHeight w:val="567"/>
        </w:trPr>
        <w:tc>
          <w:tcPr>
            <w:tcW w:w="4060" w:type="dxa"/>
            <w:vAlign w:val="bottom"/>
          </w:tcPr>
          <w:p>
            <w:pPr>
              <w:spacing w:after="0"/>
              <w:rPr>
                <w:sz w:val="24"/>
                <w:szCs w:val="24"/>
                <w:color w:val="auto"/>
              </w:rPr>
            </w:pPr>
          </w:p>
        </w:tc>
        <w:tc>
          <w:tcPr>
            <w:tcW w:w="3100" w:type="dxa"/>
            <w:vAlign w:val="bottom"/>
          </w:tcPr>
          <w:p>
            <w:pPr>
              <w:ind w:left="2560"/>
              <w:spacing w:after="0"/>
              <w:rPr>
                <w:sz w:val="20"/>
                <w:szCs w:val="20"/>
                <w:color w:val="auto"/>
              </w:rPr>
            </w:pPr>
            <w:r>
              <w:rPr>
                <w:rFonts w:ascii="Arial" w:cs="Arial" w:eastAsia="Arial" w:hAnsi="Arial"/>
                <w:sz w:val="18"/>
                <w:szCs w:val="18"/>
                <w:color w:val="auto"/>
              </w:rPr>
              <w:t>By:</w:t>
            </w:r>
          </w:p>
        </w:tc>
        <w:tc>
          <w:tcPr>
            <w:tcW w:w="4220" w:type="dxa"/>
            <w:vAlign w:val="bottom"/>
          </w:tcPr>
          <w:p>
            <w:pPr>
              <w:ind w:left="160"/>
              <w:spacing w:after="0"/>
              <w:rPr>
                <w:sz w:val="20"/>
                <w:szCs w:val="20"/>
                <w:color w:val="auto"/>
              </w:rPr>
            </w:pPr>
            <w:r>
              <w:rPr>
                <w:rFonts w:ascii="Arial" w:cs="Arial" w:eastAsia="Arial" w:hAnsi="Arial"/>
                <w:sz w:val="18"/>
                <w:szCs w:val="18"/>
                <w:color w:val="auto"/>
              </w:rPr>
              <w:t>Wynn Resorts, Limited</w:t>
            </w:r>
          </w:p>
        </w:tc>
      </w:tr>
      <w:tr>
        <w:trPr>
          <w:trHeight w:val="270"/>
        </w:trPr>
        <w:tc>
          <w:tcPr>
            <w:tcW w:w="406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its sole member</w:t>
            </w:r>
          </w:p>
        </w:tc>
      </w:tr>
      <w:tr>
        <w:trPr>
          <w:trHeight w:val="864"/>
        </w:trPr>
        <w:tc>
          <w:tcPr>
            <w:tcW w:w="4060" w:type="dxa"/>
            <w:vAlign w:val="bottom"/>
          </w:tcPr>
          <w:p>
            <w:pPr>
              <w:spacing w:after="0"/>
              <w:rPr>
                <w:sz w:val="24"/>
                <w:szCs w:val="24"/>
                <w:color w:val="auto"/>
              </w:rPr>
            </w:pPr>
          </w:p>
        </w:tc>
        <w:tc>
          <w:tcPr>
            <w:tcW w:w="3100" w:type="dxa"/>
            <w:vAlign w:val="bottom"/>
          </w:tcPr>
          <w:p>
            <w:pPr>
              <w:ind w:left="2560"/>
              <w:spacing w:after="0"/>
              <w:rPr>
                <w:sz w:val="20"/>
                <w:szCs w:val="20"/>
                <w:color w:val="auto"/>
              </w:rPr>
            </w:pPr>
            <w:r>
              <w:rPr>
                <w:rFonts w:ascii="Arial" w:cs="Arial" w:eastAsia="Arial" w:hAnsi="Arial"/>
                <w:sz w:val="18"/>
                <w:szCs w:val="18"/>
                <w:color w:val="auto"/>
              </w:rPr>
              <w:t>By:</w:t>
            </w:r>
          </w:p>
        </w:tc>
        <w:tc>
          <w:tcPr>
            <w:tcW w:w="4220" w:type="dxa"/>
            <w:vAlign w:val="bottom"/>
          </w:tcPr>
          <w:p>
            <w:pPr>
              <w:ind w:left="160"/>
              <w:spacing w:after="0"/>
              <w:rPr>
                <w:sz w:val="20"/>
                <w:szCs w:val="20"/>
                <w:color w:val="auto"/>
              </w:rPr>
            </w:pPr>
            <w:r>
              <w:rPr>
                <w:rFonts w:ascii="Arial" w:cs="Arial" w:eastAsia="Arial" w:hAnsi="Arial"/>
                <w:sz w:val="18"/>
                <w:szCs w:val="18"/>
                <w:color w:val="auto"/>
              </w:rPr>
              <w:t>/s/ Stephen Cootey</w:t>
            </w:r>
          </w:p>
        </w:tc>
      </w:tr>
      <w:tr>
        <w:trPr>
          <w:trHeight w:val="27"/>
        </w:trPr>
        <w:tc>
          <w:tcPr>
            <w:tcW w:w="4060" w:type="dxa"/>
            <w:vAlign w:val="bottom"/>
          </w:tcPr>
          <w:p>
            <w:pPr>
              <w:spacing w:after="0"/>
              <w:rPr>
                <w:sz w:val="2"/>
                <w:szCs w:val="2"/>
                <w:color w:val="auto"/>
              </w:rPr>
            </w:pPr>
          </w:p>
        </w:tc>
        <w:tc>
          <w:tcPr>
            <w:tcW w:w="7320" w:type="dxa"/>
            <w:vAlign w:val="bottom"/>
            <w:gridSpan w:val="2"/>
          </w:tcPr>
          <w:p>
            <w:pPr>
              <w:spacing w:after="0"/>
              <w:rPr>
                <w:sz w:val="2"/>
                <w:szCs w:val="2"/>
                <w:color w:val="auto"/>
              </w:rPr>
            </w:pPr>
          </w:p>
        </w:tc>
      </w:tr>
      <w:tr>
        <w:trPr>
          <w:trHeight w:val="224"/>
        </w:trPr>
        <w:tc>
          <w:tcPr>
            <w:tcW w:w="4060" w:type="dxa"/>
            <w:vAlign w:val="bottom"/>
          </w:tcPr>
          <w:p>
            <w:pPr>
              <w:spacing w:after="0"/>
              <w:rPr>
                <w:sz w:val="19"/>
                <w:szCs w:val="19"/>
                <w:color w:val="auto"/>
              </w:rPr>
            </w:pPr>
          </w:p>
        </w:tc>
        <w:tc>
          <w:tcPr>
            <w:tcW w:w="3100" w:type="dxa"/>
            <w:vAlign w:val="bottom"/>
          </w:tcPr>
          <w:p>
            <w:pPr>
              <w:ind w:left="2560"/>
              <w:spacing w:after="0"/>
              <w:rPr>
                <w:sz w:val="20"/>
                <w:szCs w:val="20"/>
                <w:color w:val="auto"/>
              </w:rPr>
            </w:pPr>
            <w:r>
              <w:rPr>
                <w:rFonts w:ascii="Arial" w:cs="Arial" w:eastAsia="Arial" w:hAnsi="Arial"/>
                <w:sz w:val="18"/>
                <w:szCs w:val="18"/>
                <w:color w:val="auto"/>
                <w:w w:val="77"/>
              </w:rPr>
              <w:t>Stephen</w:t>
            </w:r>
          </w:p>
        </w:tc>
        <w:tc>
          <w:tcPr>
            <w:tcW w:w="42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Cootey</w:t>
            </w:r>
          </w:p>
        </w:tc>
      </w:tr>
    </w:tbl>
    <w:p>
      <w:pPr>
        <w:spacing w:after="0" w:line="3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796"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300" w:type="dxa"/>
            <w:vAlign w:val="bottom"/>
          </w:tcPr>
          <w:p>
            <w:pPr>
              <w:ind w:left="2900"/>
              <w:spacing w:after="0"/>
              <w:rPr>
                <w:sz w:val="20"/>
                <w:szCs w:val="20"/>
                <w:color w:val="auto"/>
              </w:rPr>
            </w:pPr>
            <w:r>
              <w:rPr>
                <w:rFonts w:ascii="Arial" w:cs="Arial" w:eastAsia="Arial" w:hAnsi="Arial"/>
                <w:sz w:val="18"/>
                <w:szCs w:val="18"/>
                <w:b w:val="1"/>
                <w:bCs w:val="1"/>
                <w:color w:val="auto"/>
              </w:rPr>
              <w:t>EXHIBIT INDEX</w:t>
            </w:r>
          </w:p>
        </w:tc>
      </w:tr>
      <w:tr>
        <w:trPr>
          <w:trHeight w:val="554"/>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385"/>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Press release, dated July 29, 2015, of Wynn Resorts, Limited.</w:t>
            </w:r>
          </w:p>
        </w:tc>
      </w:tr>
    </w:tbl>
    <w:p>
      <w:pPr>
        <w:sectPr>
          <w:pgSz w:w="11900" w:h="16838" w:orient="portrait"/>
          <w:cols w:equalWidth="0" w:num="1">
            <w:col w:w="10179"/>
          </w:cols>
          <w:pgMar w:left="280" w:top="796"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Reports Second Quarter 2015 Results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LAS VEGAS, July 29, 2015 — Wynn Resorts, Limited (Nasdaq: WYNN) today reported financial results for the second quarter ended June 30, 2015.</w:t>
      </w:r>
    </w:p>
    <w:p>
      <w:pPr>
        <w:spacing w:after="0" w:line="23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Net revenues for the second quarter of 2015 were $1,040.5 million, compared to $1,412.1 million in the second quarter of 2014. The decline was the result of a 35.8% net revenue decrease from our Macau Operations and a 6.2% decrease in net revenues from our Las Vegas Operations. Adjusted property EBITDA (1) was $295.4 million for the second quarter of 2015, a 36.8% decrease from $467.4 million in the second quarter of 2014.</w:t>
      </w:r>
    </w:p>
    <w:p>
      <w:pPr>
        <w:spacing w:after="0" w:line="166"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On a US GAAP basis, net income attributable to Wynn Resorts, Limited for the second quarter of 2015 was $56.5 million, or $0.56 per diluted share, compared to net income attributable to Wynn Resorts, Limited of $203.9 million, or $2.00 per diluted share, in the second quarter of 2014.</w:t>
      </w:r>
    </w:p>
    <w:p>
      <w:pPr>
        <w:spacing w:after="0" w:line="124"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Adjusted net income attributable to Wynn Resorts, Limited (2) in the second quarter of 2015 was $75.0 million, or $0.74 per diluted share (adjusted EPS), compared to an adjusted net income attributable to Wynn Resorts, Limited of $215.1 million, or $2.11 per diluted share, in the second quarter of 2014.</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Wynn Resorts, Limited also announced today that the Company has approved a cash dividend of $0.50 per common share. This dividend will be payable on August 20, 2015, to stockholders of record on August 11,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Operations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the second quarter of 2015, net revenues were $617.0 million, a 35.8% decrease from the $960.6 million generated in the second quarter of 2014. Adjusted property EBITDA in the second quarter of 2015 was $173.4 million, down 43.5% from $307.0 million in the second quarter of 2014, due primarily to weakness in the gaming segment.</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Table games turnover in the VIP segment was $15.5 billion for the second quarter of 2015, a 41.1% decrease from $26.4 billion in the second quarter of 2014. VIP table games win as a percentage of turnover (calculated before commissions) for the quarter was 2.92%, within the expected range of 2.7% to 3.0% and flat compared to the 2.93% experienced in the second quarter of 2014. The average number of VIP tables decreased to 247 units in the second quarter of 2015 from 263 units in the prior year's second quarter.</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has determined that it will now include the amount of cash that is deposited in a gaming table's drop box plus cash chips purchased at the casino cage in the calculation of table drop in accordance with standard Macau industry practice. Table drop in the mass market segment was $1.2 billion in the second quarter of 2015, down 16.5% from the 2014 second quarter. Table games win in the mass market segment decreased by 32.9% to $208.6 million in the second quarter of 2015. The mass market win percentage of 17.5% in the second quarter of 2015 was below the 21.8% in the second quarter of 2014 and below the 20.5% over the trailing twelve months ended June 30,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Slot machine handle for the second quarter of 2015 declined 29.5% from the 2014 period to $1,027.6 million, and slot win decreased by 22.5%.</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For the second quarter of 2015, total non-casino revenues, before promotional allowances, decreased 22.3% during the quarter to $78.1 million. We achieved an average daily rate (ADR) of $321, down 3.9% compared to the $334 reported in the 2014 second quarter. Occupancy at Wynn Macau of 96.4% compares to 98.4% in the prior-year period. Revenue per available room (REVPAR) decreased 5.8% to $310 in the 2015 quarter from $329 in last year’s second quarter.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Operations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quarter ended June 30, 2015, net revenues were $423.5 million, a 6.2% decrease from $451.4 million in the second quarter of 2014. Adjusted property EBITDA was $122.0 million, down 23.9% compared to the prior year.</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Net casino revenues in the second quarter of 2015 were $134.7 million, a 26.2% decrease from the second quarter of 2014. Table games drop of $509.3 million was down 19.0% from $629.0 million in the 2014 quarter. Table games win percentage was 19.5%, outside the property’s expected range of 21% to 24% and below the 27.4% reported in the 2014 quarter. Slot machine handle of $712.1 million was 0.7% above the $706.9 million in the comparable period of 2014, and net slot win was up 10.6%.</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For the second quarter of 2015, total non-casino revenues, before promotional allowances, increased 5.3% from the second quarter of 2014 to $330.3 million.</w:t>
      </w:r>
    </w:p>
    <w:p>
      <w:pPr>
        <w:spacing w:after="0" w:line="248"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Room revenues increased 0.9% to $108.8 million during the quarter, versus $107.9 million in the second quarter of 2014. Occupancy was flat at 88.4% and ADR increased 2.1% to $289 from $283. REVPAR was $255 in the 2015 second quarter, 1.6% above the $251 reported in the prior-year quarter.</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Food and beverage revenues in the second quarter of 2015 were $162.0 million, up 8.7% compared to the 2014 second quarter. Entertainment, retail and other revenues improved 4.8% from last year’s quarter to $59.4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Palace Project in Macau</w:t>
      </w:r>
    </w:p>
    <w:p>
      <w:pPr>
        <w:spacing w:after="0" w:line="229"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The Company is currently constructing Wynn Palace, an integrated resort containing a 1,700-room hotel, a performance lake, meeting space, a casino, a spa, retail offerings, and food-and-beverage outlets in the Cotai area of Macau. In July 2013, we signed a $2.6 billion guaranteed maximum price (GMP) contract for the project’s construction costs. The total project budget, including construction costs, capitalized interest, pre-opening expenses, land costs and financing fees, is approximately $4.1 billion. We expect to open our resort on Cotai in the first half of 2016.</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second quarter of 2015, we invested approximately $431.4 million in our Cotai project, taking the total investment to $2.7 billion through June 30,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Project in Massachusetts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November 2014, we were awarded a gaming license to develop and construct an integrated resort in Everett, Massachusetts, outside of Boston. On January 2, 2015, we purchased 33 acres of land in Everett, along the Mystic River. On this land, we intend to develop and construct an integrated resort containing a hotel, a waterfront boardwalk, meeting space, a casino, a spa, retail offerings, and food-and-beverage outlets.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Other</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cash and cash equivalents, restricted cash and investment securities at June 30, 2015 was $1.8 billion. Total debt outstanding at the end of the quarter was $8.1 billion, including $3.3 billion of Wynn Las Vegas debt, $2.9 billion of Wynn Macau debt and $1.9 billion at the parent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will hold a conference call to discuss its results on July 29, 2015 at 1:30 p.m. PT (4:30 p.m. ET). Interested parties are invited to join the call by accessing a live audio webcast at http://www.wynnresorts.com.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our dependence on existing management, results of regulatory or enforcement actions and probity investigations, pending or future legal proceedings, uncertainties over the development and success of new gaming and resort properties, adverse tourism trends, general global macroeconomic conditions, changes in gaming laws or regulations, volatility and weakness in world-wide credit and financial markets, and our substantial indebtedness and leverage. Additional information concerning potential factors that could affect the Company’s financial results is included in the Company’s Annual Report on Form 10-K for the year ended December 31, 2014 and the Company’s other periodic reports filed with the Securities and Exchange Commission. The Company is under no obligation to (and expressly disclaims any such obligation to) update or revise its forward-looking statements as a result of new information, future events or otherwise.</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800"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firstLine="8"/>
        <w:spacing w:after="0" w:line="267" w:lineRule="auto"/>
        <w:tabs>
          <w:tab w:leader="none" w:pos="255" w:val="left"/>
        </w:tabs>
        <w:numPr>
          <w:ilvl w:val="0"/>
          <w:numId w:val="2"/>
        </w:numPr>
        <w:rPr>
          <w:rFonts w:ascii="Arial" w:cs="Arial" w:eastAsia="Arial" w:hAnsi="Arial"/>
          <w:sz w:val="17"/>
          <w:szCs w:val="17"/>
          <w:color w:val="auto"/>
        </w:rPr>
      </w:pPr>
      <w:r>
        <w:rPr>
          <w:rFonts w:ascii="Arial" w:cs="Arial" w:eastAsia="Arial" w:hAnsi="Arial"/>
          <w:sz w:val="17"/>
          <w:szCs w:val="17"/>
          <w:color w:val="auto"/>
        </w:rPr>
        <w:t>“Adjusted property EBITDA” is net income before interest, taxes, depreciation, amortization, pre-opening costs, property charges and other, management and license fees, corporate expenses and other, intercompany golf course and water rights leases, stock-based compensation, loss on extinguishment of debt, change in interest rate swap fair value,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192" w:lineRule="exact"/>
        <w:rPr>
          <w:rFonts w:ascii="Arial" w:cs="Arial" w:eastAsia="Arial" w:hAnsi="Arial"/>
          <w:sz w:val="17"/>
          <w:szCs w:val="17"/>
          <w:color w:val="auto"/>
        </w:rPr>
      </w:pPr>
    </w:p>
    <w:p>
      <w:pPr>
        <w:ind w:firstLine="8"/>
        <w:spacing w:after="0" w:line="270" w:lineRule="auto"/>
        <w:tabs>
          <w:tab w:leader="none" w:pos="255" w:val="left"/>
        </w:tabs>
        <w:numPr>
          <w:ilvl w:val="0"/>
          <w:numId w:val="2"/>
        </w:numPr>
        <w:rPr>
          <w:rFonts w:ascii="Arial" w:cs="Arial" w:eastAsia="Arial" w:hAnsi="Arial"/>
          <w:sz w:val="17"/>
          <w:szCs w:val="17"/>
          <w:color w:val="auto"/>
        </w:rPr>
      </w:pPr>
      <w:r>
        <w:rPr>
          <w:rFonts w:ascii="Arial" w:cs="Arial" w:eastAsia="Arial" w:hAnsi="Arial"/>
          <w:sz w:val="17"/>
          <w:szCs w:val="17"/>
          <w:color w:val="auto"/>
        </w:rPr>
        <w:t>"Adjusted net income attributable to Wynn Resorts, Limited" is net income before pre-opening costs, loss on extinguishment of debt, change in interest rate swap fair value, property charges and other, net of noncontrolling interest and taxes in respective jurisdictions. Adjusted net income attributable to Wynn Resorts, Limited and adjusted net income attributable to Wynn Resorts, Limited per diluted share (“adjusted EPS”) are presented as supplemental disclosures because management believes that these non-GAAP financial measures are widely used to measure the performance, and as a principal basis for valuation, of gaming companies. These measures are used by management and/or evaluated by some investors, in addition to income and EPS computed in accordance with GAAP, as an additional basis for assessing period-to-period results of our business. Adjusted net income attributable to Wynn Resorts, Limited and adjusted net income attributable to Wynn Resorts, Limited per diluted share may be different from the calculation methods used by other companies and, therefore, comparability may be limited. Adjusted net income attributable to Wynn Resorts, Limited for the six months ended June 30, 2015 reflects a revision to the effective tax rate previously applied to the loss on extinguishment of debt, net for the three months ended March 31, 2015 to reflect the same assumed effective U.S. tax rate applied to other adjustments to net income.</w:t>
      </w:r>
    </w:p>
    <w:p>
      <w:pPr>
        <w:spacing w:after="0" w:line="17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has included schedules in the tables that accompany this release that reconcile (i) net income attributable to Wynn Resorts, Limited to adjusted net income attributable to Wynn Resorts, Limited, (ii) operating income to adjusted property EBITDA, and (iii) adjusted property EBITDA to net income attributable to Wynn Resorts, Limited.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9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Casino</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714,208</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1,091,595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1,540,307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2,317,728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139,912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141,355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271,967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277,831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181,016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174,308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317,029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316,145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87,459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98,635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177,835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205,495</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Gross revenues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1,122,595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1,505,893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2,307,138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3,117,199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promotional allowances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(82,137)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(174,442)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(191,523)</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Net revenues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1,040,458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1,412,063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2,132,696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2,925,676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costs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Casino</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466,535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681,236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990,588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1,464,970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37,584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74,270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73,004</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110,952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100,686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187,358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175,639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38,997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79,291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84,413</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113,707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128,520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235,907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239,797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(benefit) for doubtful accounts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(5,438)</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16,875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32,966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8,074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81,913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78,351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164,779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155,010</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12,034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costs and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871,337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1,070,721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1,778,516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2,207,503</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169,121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341,342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354,180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718,173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1,498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5,505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10,258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(153,219)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(157,021)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Decrease in swap fair value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Equity in income (loss) from unconsolidated affiliates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(78,620)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(82,176)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(274,384)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(153,355)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90,501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259,166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79,796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564,818</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(13,298)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(3,373)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77,203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258,402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561,445</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Less: net income attributable to noncontrolling interest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(20,743)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(54,496)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(51,442)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(130,643)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56,460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203,906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430,802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and diluted income per common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Wynn Resorts, Limited: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0.56</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101,157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101,146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100,869</w:t>
            </w: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101,710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102,018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101,795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101,979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declared per common share: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0.50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80" w:right="239" w:bottom="1440" w:gutter="0" w:footer="0" w:header="0"/>
          <w:type w:val="continuous"/>
        </w:sectPr>
      </w:pPr>
    </w:p>
    <w:bookmarkStart w:id="9" w:name="page10"/>
    <w:bookmarkEnd w:id="9"/>
    <w:p>
      <w:pPr>
        <w:jc w:val="center"/>
        <w:spacing w:after="0" w:line="261" w:lineRule="auto"/>
        <w:rPr>
          <w:sz w:val="20"/>
          <w:szCs w:val="20"/>
          <w:color w:val="auto"/>
        </w:rPr>
      </w:pPr>
      <w:r>
        <w:rPr>
          <w:rFonts w:ascii="Arial" w:cs="Arial" w:eastAsia="Arial" w:hAnsi="Arial"/>
          <w:sz w:val="18"/>
          <w:szCs w:val="18"/>
          <w:b w:val="1"/>
          <w:bCs w:val="1"/>
          <w:color w:val="auto"/>
        </w:rPr>
        <w:t>WYNN RESORTS, LIMITED AND SUBSIDIARIES RECONCILIATION OF NET INCOME ATTRIBUTABLE TO WYNN RESORTS, LIMITED TO ADJUSTED NET INCOME ATTRIBUTABLE TO WYNN RESORTS, LIMITED (in thousands, except per share data)</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0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56,460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203,906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430,802</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Pre-opening costs, net</w:t>
            </w:r>
          </w:p>
        </w:tc>
        <w:tc>
          <w:tcPr>
            <w:tcW w:w="30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13,804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3,615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27,251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5,837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 net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3,839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120,033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3,783</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Decrease in swap fair value, net</w:t>
            </w:r>
          </w:p>
        </w:tc>
        <w:tc>
          <w:tcPr>
            <w:tcW w:w="30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3,831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4,131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2,754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charges and other, net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8,650</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Adjusted net income attributable to Wynn Resorts, Limited (2)</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74,972</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215,142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165,779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451,826</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516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w w:val="92"/>
              </w:rPr>
              <w:t>Adjusted net income attributable to Wynn Resorts, Limited per diluted</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0.74</w:t>
            </w:r>
          </w:p>
        </w:tc>
        <w:tc>
          <w:tcPr>
            <w:tcW w:w="12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101,710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102,018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101,795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101,979</w:t>
            </w:r>
          </w:p>
        </w:tc>
        <w:tc>
          <w:tcPr>
            <w:tcW w:w="0" w:type="dxa"/>
            <w:vAlign w:val="bottom"/>
          </w:tcPr>
          <w:p>
            <w:pPr>
              <w:spacing w:after="0"/>
              <w:rPr>
                <w:sz w:val="1"/>
                <w:szCs w:val="1"/>
                <w:color w:val="auto"/>
              </w:rPr>
            </w:pPr>
          </w:p>
        </w:tc>
      </w:tr>
      <w:tr>
        <w:trPr>
          <w:trHeight w:val="675"/>
        </w:trPr>
        <w:tc>
          <w:tcPr>
            <w:tcW w:w="5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ind w:right="81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TO ADJUSTED PROPERTY EBITDA AND ADJUSTED PROPERTY EBITDA TO NET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ATTRIBUTABLE TO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Three Months Ended June 30, 2015</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6"/>
              </w:rPr>
              <w:t>Macau</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9"/>
              </w:rPr>
              <w:t>Las Vegas</w:t>
            </w:r>
          </w:p>
        </w:tc>
        <w:tc>
          <w:tcPr>
            <w:tcW w:w="220" w:type="dxa"/>
            <w:vAlign w:val="bottom"/>
          </w:tcPr>
          <w:p>
            <w:pPr>
              <w:spacing w:after="0"/>
              <w:rPr>
                <w:sz w:val="13"/>
                <w:szCs w:val="13"/>
                <w:color w:val="auto"/>
              </w:rPr>
            </w:pPr>
          </w:p>
        </w:tc>
        <w:tc>
          <w:tcPr>
            <w:tcW w:w="11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Corporate</w:t>
            </w:r>
          </w:p>
        </w:tc>
        <w:tc>
          <w:tcPr>
            <w:tcW w:w="300" w:type="dxa"/>
            <w:vAlign w:val="bottom"/>
          </w:tcPr>
          <w:p>
            <w:pPr>
              <w:spacing w:after="0"/>
              <w:rPr>
                <w:sz w:val="13"/>
                <w:szCs w:val="13"/>
                <w:color w:val="auto"/>
              </w:rPr>
            </w:pPr>
          </w:p>
        </w:tc>
        <w:tc>
          <w:tcPr>
            <w:tcW w:w="9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Operations</w:t>
            </w: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Operations</w:t>
            </w: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and Other</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93,347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58,502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17,272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169,121</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11,041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5,834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16,875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34,357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45,249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81,913</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1,461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Management and license fees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13,323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Corporate expense and other</w:t>
            </w: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5,291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5,135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6,412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16,838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10,336</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Equity in loss from unconsolidated affiliates</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Property EBITDA(1)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173,391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122,037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295,428</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60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Three Months Ended June 30, 2014</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6"/>
              </w:rPr>
              <w:t>Macau</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9"/>
              </w:rPr>
              <w:t>Las Vegas</w:t>
            </w:r>
          </w:p>
        </w:tc>
        <w:tc>
          <w:tcPr>
            <w:tcW w:w="220" w:type="dxa"/>
            <w:vAlign w:val="bottom"/>
          </w:tcPr>
          <w:p>
            <w:pPr>
              <w:spacing w:after="0"/>
              <w:rPr>
                <w:sz w:val="13"/>
                <w:szCs w:val="13"/>
                <w:color w:val="auto"/>
              </w:rPr>
            </w:pPr>
          </w:p>
        </w:tc>
        <w:tc>
          <w:tcPr>
            <w:tcW w:w="11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Corporate</w:t>
            </w:r>
          </w:p>
        </w:tc>
        <w:tc>
          <w:tcPr>
            <w:tcW w:w="300" w:type="dxa"/>
            <w:vAlign w:val="bottom"/>
          </w:tcPr>
          <w:p>
            <w:pPr>
              <w:spacing w:after="0"/>
              <w:rPr>
                <w:sz w:val="13"/>
                <w:szCs w:val="13"/>
                <w:color w:val="auto"/>
              </w:rPr>
            </w:pPr>
          </w:p>
        </w:tc>
        <w:tc>
          <w:tcPr>
            <w:tcW w:w="9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Operations</w:t>
            </w: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Operations</w:t>
            </w: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and Other</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217,710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97,424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26,208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341,342</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5,001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5,001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32,107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44,726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78,351</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2,033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Management and license fees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37,620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Corporate expense and other</w:t>
            </w: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10,946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10,379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10,584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31,909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8,424</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Property EBITDA(1)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307,001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160,424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467,425</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Property EBITDA(1)</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295,428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467,425</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(78,351)</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expenses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(31,909)</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(8,424)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5,505</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(75,236)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(81,765)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in swap fair value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(4,653)</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77,203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258,402</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Less: net income attributable to noncontrolling interests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(20,743)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(54,496)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56,460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203,906</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796"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TO ADJUSTED PROPERTY EBITDA AND ADJUSTED PROPERTY EBITDA TO NET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ATTRIBUTABLE TO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Six Months Ended June 30, 2015</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6"/>
              </w:rPr>
              <w:t>Macau</w:t>
            </w:r>
          </w:p>
        </w:tc>
        <w:tc>
          <w:tcPr>
            <w:tcW w:w="200" w:type="dxa"/>
            <w:vAlign w:val="bottom"/>
          </w:tcPr>
          <w:p>
            <w:pPr>
              <w:spacing w:after="0"/>
              <w:rPr>
                <w:sz w:val="13"/>
                <w:szCs w:val="13"/>
                <w:color w:val="auto"/>
              </w:rPr>
            </w:pPr>
          </w:p>
        </w:tc>
        <w:tc>
          <w:tcPr>
            <w:tcW w:w="11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Las Vegas</w:t>
            </w:r>
          </w:p>
        </w:tc>
        <w:tc>
          <w:tcPr>
            <w:tcW w:w="220" w:type="dxa"/>
            <w:vAlign w:val="bottom"/>
          </w:tcPr>
          <w:p>
            <w:pPr>
              <w:spacing w:after="0"/>
              <w:rPr>
                <w:sz w:val="13"/>
                <w:szCs w:val="13"/>
                <w:color w:val="auto"/>
              </w:rPr>
            </w:pPr>
          </w:p>
        </w:tc>
        <w:tc>
          <w:tcPr>
            <w:tcW w:w="11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Corporate</w:t>
            </w:r>
          </w:p>
        </w:tc>
        <w:tc>
          <w:tcPr>
            <w:tcW w:w="300" w:type="dxa"/>
            <w:vAlign w:val="bottom"/>
          </w:tcPr>
          <w:p>
            <w:pPr>
              <w:spacing w:after="0"/>
              <w:rPr>
                <w:sz w:val="13"/>
                <w:szCs w:val="13"/>
                <w:color w:val="auto"/>
              </w:rPr>
            </w:pPr>
          </w:p>
        </w:tc>
        <w:tc>
          <w:tcPr>
            <w:tcW w:w="9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Operations</w:t>
            </w:r>
          </w:p>
        </w:tc>
        <w:tc>
          <w:tcPr>
            <w:tcW w:w="20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Operations</w:t>
            </w: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and Other</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224,293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106,102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23,785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354,180</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20,540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12,426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32,966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68,558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91,489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164,779</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1,695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2,976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Management and license fees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50,933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21,454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Corporate expense and other</w:t>
            </w: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11,279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11,098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20,103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42,480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20,996</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Equity in income (loss) from unconsolidated affiliates</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Property EBITDA(1)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385,733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232,714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618,447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60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Six Months Ended June 30, 2014</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6"/>
              </w:rPr>
              <w:t>Macau</w:t>
            </w:r>
          </w:p>
        </w:tc>
        <w:tc>
          <w:tcPr>
            <w:tcW w:w="200" w:type="dxa"/>
            <w:vAlign w:val="bottom"/>
          </w:tcPr>
          <w:p>
            <w:pPr>
              <w:spacing w:after="0"/>
              <w:rPr>
                <w:sz w:val="13"/>
                <w:szCs w:val="13"/>
                <w:color w:val="auto"/>
              </w:rPr>
            </w:pPr>
          </w:p>
        </w:tc>
        <w:tc>
          <w:tcPr>
            <w:tcW w:w="11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Las Vegas</w:t>
            </w:r>
          </w:p>
        </w:tc>
        <w:tc>
          <w:tcPr>
            <w:tcW w:w="220" w:type="dxa"/>
            <w:vAlign w:val="bottom"/>
          </w:tcPr>
          <w:p>
            <w:pPr>
              <w:spacing w:after="0"/>
              <w:rPr>
                <w:sz w:val="13"/>
                <w:szCs w:val="13"/>
                <w:color w:val="auto"/>
              </w:rPr>
            </w:pPr>
          </w:p>
        </w:tc>
        <w:tc>
          <w:tcPr>
            <w:tcW w:w="11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Corporate</w:t>
            </w:r>
          </w:p>
        </w:tc>
        <w:tc>
          <w:tcPr>
            <w:tcW w:w="300" w:type="dxa"/>
            <w:vAlign w:val="bottom"/>
          </w:tcPr>
          <w:p>
            <w:pPr>
              <w:spacing w:after="0"/>
              <w:rPr>
                <w:sz w:val="13"/>
                <w:szCs w:val="13"/>
                <w:color w:val="auto"/>
              </w:rPr>
            </w:pPr>
          </w:p>
        </w:tc>
        <w:tc>
          <w:tcPr>
            <w:tcW w:w="9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Operations</w:t>
            </w:r>
          </w:p>
        </w:tc>
        <w:tc>
          <w:tcPr>
            <w:tcW w:w="20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Operations</w:t>
            </w: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and Other</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502,640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148,938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66,595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718,173</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8,074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8,074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63,266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88,716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155,010</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12,213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12,034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Management and license fees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82,375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Corporate expense and other</w:t>
            </w: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19,867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18,570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17,362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55,799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12,345</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Property EBITDA(1)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691,329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270,712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962,041</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Property EBITDA(1)</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618,447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962,041</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(32,966)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(8,074)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(164,779)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(155,010)</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(12,034)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expenses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(55,799)</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(20,996)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(12,345)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10,258</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(153,219)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(157,021)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in swap fair value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(120,033)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(3,783)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(3,373)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63,301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561,445</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Less: net income attributable to noncontrolling interests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(51,442)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(130,643)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11,859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430,802</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796"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SUPPLEMENTAL DATA SCHEDULE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8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86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94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2014</w:t>
            </w: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380"/>
              <w:spacing w:after="0"/>
              <w:rPr>
                <w:sz w:val="20"/>
                <w:szCs w:val="20"/>
                <w:color w:val="auto"/>
              </w:rPr>
            </w:pPr>
            <w:r>
              <w:rPr>
                <w:rFonts w:ascii="Arial" w:cs="Arial" w:eastAsia="Arial" w:hAnsi="Arial"/>
                <w:sz w:val="18"/>
                <w:szCs w:val="18"/>
                <w:b w:val="1"/>
                <w:bCs w:val="1"/>
                <w:color w:val="auto"/>
              </w:rPr>
              <w:t>VIP</w:t>
            </w: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271</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VIP turnover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15,537,003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26,361,791</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32,664,669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62,359,507</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453,203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771,152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933,568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1,774,388</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VIP win as a % of turnover</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2.85%</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 (a)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20,177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32,176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20,665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36,157</w:t>
            </w:r>
          </w:p>
        </w:tc>
      </w:tr>
      <w:tr>
        <w:trPr>
          <w:trHeight w:val="243"/>
        </w:trPr>
        <w:tc>
          <w:tcPr>
            <w:tcW w:w="4940" w:type="dxa"/>
            <w:vAlign w:val="bottom"/>
          </w:tcPr>
          <w:p>
            <w:pPr>
              <w:ind w:left="380"/>
              <w:spacing w:after="0"/>
              <w:rPr>
                <w:sz w:val="20"/>
                <w:szCs w:val="20"/>
                <w:color w:val="auto"/>
              </w:rPr>
            </w:pPr>
            <w:r>
              <w:rPr>
                <w:rFonts w:ascii="Arial" w:cs="Arial" w:eastAsia="Arial" w:hAnsi="Arial"/>
                <w:sz w:val="18"/>
                <w:szCs w:val="18"/>
                <w:b w:val="1"/>
                <w:bCs w:val="1"/>
                <w:color w:val="auto"/>
              </w:rPr>
              <w:t>Mass market</w:t>
            </w: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202</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Table drop (b)</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1,193,916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1,429,987</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2,474,260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2,799,783</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208,620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311,049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488,180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611,758</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Table games win %</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 (a)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10,274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17,852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12,339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16,722</w:t>
            </w:r>
          </w:p>
        </w:tc>
      </w:tr>
      <w:tr>
        <w:trPr>
          <w:trHeight w:val="297"/>
        </w:trPr>
        <w:tc>
          <w:tcPr>
            <w:tcW w:w="4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732</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1,027,557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1,457,653</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2,067,172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2,856,543</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51,138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65,983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98,916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135,420</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Slot machine win per unit per day (c)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1,163</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1,022</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4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940" w:type="dxa"/>
            <w:vAlign w:val="bottom"/>
          </w:tcPr>
          <w:p>
            <w:pPr>
              <w:ind w:left="380"/>
              <w:spacing w:after="0"/>
              <w:rPr>
                <w:sz w:val="20"/>
                <w:szCs w:val="20"/>
                <w:color w:val="auto"/>
              </w:rPr>
            </w:pPr>
            <w:r>
              <w:rPr>
                <w:rFonts w:ascii="Arial" w:cs="Arial" w:eastAsia="Arial" w:hAnsi="Arial"/>
                <w:sz w:val="18"/>
                <w:szCs w:val="18"/>
                <w:b w:val="1"/>
                <w:bCs w:val="1"/>
                <w:color w:val="auto"/>
              </w:rPr>
              <w:t>Room statistics</w:t>
            </w: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Occupancy</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ADR (d)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336</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REVPAR (e)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330</w:t>
            </w:r>
          </w:p>
        </w:tc>
      </w:tr>
      <w:tr>
        <w:trPr>
          <w:trHeight w:val="297"/>
        </w:trPr>
        <w:tc>
          <w:tcPr>
            <w:tcW w:w="4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32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232</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drop (b)</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509,309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629,047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1,082,921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1,276,483</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Table games win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99,313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172,054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234,992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305,788</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Table games win per unit per day (a)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4,650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8,130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5,501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7,281</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4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Average number of slot machines</w:t>
            </w:r>
          </w:p>
        </w:tc>
        <w:tc>
          <w:tcPr>
            <w:tcW w:w="32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1,868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1,837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1,861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1,851</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712,147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706,870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1,474,331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1,450,668</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Slot machine win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51,010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46,131</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99,427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91,632</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 (c)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274</w:t>
            </w:r>
          </w:p>
        </w:tc>
      </w:tr>
      <w:tr>
        <w:trPr>
          <w:trHeight w:val="297"/>
        </w:trPr>
        <w:tc>
          <w:tcPr>
            <w:tcW w:w="4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Room statistics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Occupancy</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88.1%</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ADR (d)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279</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REVPAR (e)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246</w:t>
            </w:r>
          </w:p>
        </w:tc>
      </w:tr>
    </w:tbl>
    <w:p>
      <w:pPr>
        <w:spacing w:after="0" w:line="269"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Table games win per unit per day is shown before discounts and commissions, as applicable.</w:t>
      </w:r>
    </w:p>
    <w:p>
      <w:pPr>
        <w:spacing w:after="0" w:line="23"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Macau, table drop is the amount of cash that is deposited in a gaming table’s drop box plus cash chips purchased at the casino cage. In Las Vegas, table drop is the amount of cash and net markers issued that are deposited in a gaming table’s drop box.</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Slot machine win per unit per day is calculated as gross slot win minus progressive accruals and free play.</w:t>
      </w:r>
    </w:p>
    <w:p>
      <w:pPr>
        <w:sectPr>
          <w:pgSz w:w="11900" w:h="16838" w:orient="portrait"/>
          <w:cols w:equalWidth="0" w:num="1">
            <w:col w:w="11420"/>
          </w:cols>
          <w:pgMar w:left="240" w:top="580"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580" w:right="239" w:bottom="1440" w:gutter="0" w:footer="0" w:header="0"/>
          <w:type w:val="continuous"/>
        </w:sectPr>
      </w:pPr>
    </w:p>
    <w:bookmarkStart w:id="13" w:name="page14"/>
    <w:bookmarkEnd w:id="13"/>
    <w:p>
      <w:pPr>
        <w:ind w:left="340" w:hanging="332"/>
        <w:spacing w:after="0" w:line="258"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ADR is average daily rate and is calculated by dividing total room revenue including the retail value of promotional allowances (less service charges, if any) by total rooms occupied including complimentary rooms.</w:t>
      </w:r>
    </w:p>
    <w:p>
      <w:pPr>
        <w:spacing w:after="0" w:line="1" w:lineRule="exact"/>
        <w:rPr>
          <w:rFonts w:ascii="Arial" w:cs="Arial" w:eastAsia="Arial" w:hAnsi="Arial"/>
          <w:sz w:val="18"/>
          <w:szCs w:val="18"/>
          <w:color w:val="auto"/>
        </w:rPr>
      </w:pPr>
    </w:p>
    <w:p>
      <w:pPr>
        <w:ind w:left="340" w:right="340" w:hanging="332"/>
        <w:spacing w:after="0" w:line="261"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REVPAR is revenue per available room and is calculated by dividing total room revenue including the retail value of promotional allowances (less service charges, if any) by total rooms available.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Strawn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200" w:lineRule="exact"/>
        <w:rPr>
          <w:sz w:val="20"/>
          <w:szCs w:val="20"/>
          <w:color w:val="auto"/>
        </w:rPr>
      </w:pPr>
    </w:p>
    <w:p>
      <w:pPr>
        <w:spacing w:after="0" w:line="2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sectPr>
      <w:pgSz w:w="11900" w:h="16838" w:orient="portrait"/>
      <w:cols w:equalWidth="0" w:num="1">
        <w:col w:w="11240"/>
      </w:cols>
      <w:pgMar w:left="240" w:top="58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2019-12-08T02:06:12Z</dcterms:created>
  <dcterms:modified xsi:type="dcterms:W3CDTF">2019-12-08T02:06:12Z</dcterms:modified>
</cp:coreProperties>
</file>