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February 13, 2025</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2025, Wynn Resorts, Limited (the "Company) issued a press release announcing its results of operations for the fourth quarter and year ended December 31, 2024.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2025, the Company announced that its Board of Directors declared a quarterly cash dividend of $0.25 per share, payable on March 5, 2025 to stockholders of record as of February 24, 2025.</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41"/>
        <w:gridCol w:w="2641"/>
        <w:gridCol w:w="376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ye2024pressrelease.htm">
              <w:r>
                <w:rPr>
                  <w:rStyle w:val="InternetLink"/>
                  <w:rFonts w:ascii="Times New Roman;sans-serif" w:hAnsi="Times New Roman;sans-serif"/>
                  <w:b w:val="false"/>
                  <w:color w:val="000080"/>
                  <w:sz w:val="20"/>
                  <w:u w:val="single"/>
                </w:rPr>
                <w:t xml:space="preserve">Press release, dated February </w:t>
              </w:r>
            </w:hyperlink>
            <w:hyperlink w:anchor="ex991wrlye2024pressrelease.htm">
              <w:r>
                <w:rPr>
                  <w:rStyle w:val="InternetLink"/>
                  <w:rFonts w:ascii="Times New Roman;sans-serif" w:hAnsi="Times New Roman;sans-serif"/>
                  <w:b w:val="false"/>
                  <w:color w:val="000080"/>
                  <w:sz w:val="20"/>
                  <w:u w:val="single"/>
                </w:rPr>
                <w:t>13</w:t>
              </w:r>
            </w:hyperlink>
            <w:hyperlink w:anchor="ex991wrlye2024pressrelease.htm">
              <w:r>
                <w:rPr>
                  <w:rStyle w:val="InternetLink"/>
                  <w:rFonts w:ascii="Times New Roman;sans-serif" w:hAnsi="Times New Roman;sans-serif"/>
                  <w:b w:val="false"/>
                  <w:color w:val="000080"/>
                  <w:sz w:val="20"/>
                  <w:u w:val="single"/>
                </w:rPr>
                <w:t>, 2025,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902" w:type="dxa"/>
        <w:jc w:val="left"/>
        <w:tblInd w:w="0" w:type="dxa"/>
        <w:tblLayout w:type="fixed"/>
        <w:tblCellMar>
          <w:top w:w="28" w:type="dxa"/>
          <w:left w:w="28" w:type="dxa"/>
          <w:bottom w:w="28" w:type="dxa"/>
          <w:right w:w="28" w:type="dxa"/>
        </w:tblCellMar>
      </w:tblPr>
      <w:tblGrid>
        <w:gridCol w:w="792"/>
        <w:gridCol w:w="696"/>
        <w:gridCol w:w="702"/>
        <w:gridCol w:w="109"/>
        <w:gridCol w:w="109"/>
        <w:gridCol w:w="109"/>
        <w:gridCol w:w="134"/>
        <w:gridCol w:w="134"/>
        <w:gridCol w:w="136"/>
        <w:gridCol w:w="109"/>
        <w:gridCol w:w="109"/>
        <w:gridCol w:w="109"/>
        <w:gridCol w:w="777"/>
        <w:gridCol w:w="777"/>
        <w:gridCol w:w="1100"/>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 Reports Fourth Quarter and Year End 2024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February 13, 2025 — Wynn Resorts, Limited (NASDAQ: WYNN) ("Wynn Resorts" or the "Company") today reported financial results for the fourth quarter ended December 31, 2024.</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Operating revenues were $1.84 billion for the fourth quarter of 2024, flat compared to operating revenues of $1.84 billion for the fourth quarter of 2023. Net income attributable to Wynn Resorts, Limited was $277.0 million for the fourth quarter of 2024, compared to net income attributable to Wynn Resorts, Limited of $729.2 million for the fourth quarter of 2023. Net income attributable to Wynn Resorts, Limited for the fourth quarter of 2023 included an income tax benefit of $474.2 million related to the release of valuation allowance on certain deferred tax assets. Diluted net income per share was $2.29 for the fourth quarter of 2024, compared to diluted net income per share of $6.19 for the fourth quarter of 2023. Adjusted Property EBITDAR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$619.1 million for the fourth quarter of 2024, compared to Adjusted Property EBITDAR of $630.4 million for the fourth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fourth quarter and full year results reflect continued strength throughout our business, setting another full-year record for Adjusted Property EBITDAR for the Company in 2024, with another annual record in Las Vegas," said Craig Billings, CEO of Wynn Resorts, Limited. "We delivered strong quarterly performance in Las Vegas on very tough comparables and drove healthy market share in Macau led by strength in both premium mass and VIP. In addition, construction of the Wynn Al Marjan Island project in the UAE continued to advance, and the thirty-fifth floor of the hotel tower was recently completed. We are confident the resort will be a 'must see' tourism destination in the UAE and will support strong long-term free cash flow growth. At the same time, during the fourth quarter, we continued to focus on the return of capital to shareholders through both a cash dividend and the repurchase of $200 million of our stock."</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were $1.84 billion for the fourth quarter of 2024, flat compared to operating revenues of $1.84 billion for the fourth quarter of 2023. For the fourth quarter of 2024, operating revenues increased $38.6 million and $2.7 million at Wynn Palace and our Las Vegas Operations, respectively, and decreased $22.5 million and $4.5 million at Wynn Macau and Encore Boston Harbor, respectively, from the fourth quarter of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income attributable to Wynn Resorts, Limited was $277.0 million for the fourth quarter of 2024, compared to net income attributable to Wynn Resorts, Limited of $729.2 million for the fourth quarter of 2023. Net income attributable to Wynn Resorts, Limited for the fourth quarter of 2023 included an income tax benefit of $474.2 million related to the release of valuation allowance on certain deferred tax assets. Diluted net income per share was $2.29 for the fourth quarter of 2024, compared to diluted net income per share of $6.19 for the fourth quarter of 2023. Adjusted net income attributable to Wynn Resorts, Limited</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was $263.3 million, or $2.42 per diluted share, for the fourth quarter of 2024, compared to adjusted net income attributable to Wynn Resorts, Limited of $213.7 million, or $1.91 per diluted share, for the fourth quarter of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was $619.1 million for the fourth quarter of 2024, a decrease of $11.3 million compared to Adjusted Property EBITDAR of $630.4 million for the fourth quarter of 2023. For the fourth quarter of 2024, Adjusted Property EBITDAR increased $13.5 million at Wynn Palace, and decreased $17.7 million, $5.5 million, and $3.3 million at Wynn Macau, Encore Boston Harbor, and our Las Vegas Operations, respectively, from the fourth quarter of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were $7.13 billion for the year ended December 31, 2024, an increase of $596.1 million compared to operating revenues of $6.53 billion for the year ended December 31, 2023. For the year ended December 31, 2024, operating revenues increased $330.8 million, $251.1 million, and $91.3 million at Wynn Palace, Wynn Macau, and our Las Vegas Operations, respectively, and decreased $8.6 million at Encore Boston Harbor, from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 was $501.1 million for the year ended December 31, 2024, compared to net income attributable to Wynn Resorts, Limited of $730.0 million for the year ended December 31, 2023. Net income attributable to Wynn Resorts, Limited for the fourth quarter of 2023 included an income tax benefit of $474.2 million related to the release of valuation allowance on certain deferred tax assets. Diluted net income per share was $4.35 for the year ended December 31, 2024, compared to diluted net income per share of $6.32 for the year ended December 31, 2023. Adjusted net income attributable to Wynn Resorts, Limited was $663.5 million, or $6.02 per diluted share, for the year ended December 31, 2024, compared to adjusted net income attributable to Wynn Resorts, Limited of $462.3 million, or $4.10 per diluted share, for the year ended December 31, 2023.</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was $2.36 billion for the year ended December 31, 2024, an increase of $250.0 million compared to Adjusted Property EBITDAR of $2.11 billion for the year ended December 31, 2023. For the year ended December 31, 2024, Adjusted Property EBITDAR increased $117.9 million, $103.8 million, and $0.5 million at Wynn Palace, Wynn Macau, and our Las Vegas Operations, respectively, and decreased $10.3 million at Encore Boston Harbor, from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also announced today that its Board of Directors has declared a cash dividend of $0.25 per share, payable on March 5, 2025 to stockholders of record as of February 24, 2025.</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Property Results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Macau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Palace were $562.9 million for the fourth quarter of 2024, an increase of $38.6 million from $524.4 million for the fourth quarter of 2023. Adjusted Property EBITDAR from Wynn Palace was $184.6 million for the fourth quarter of 2024, compared to $171.1 million for the fourth quarter of 2023. Table games win percentage in mass market operations was 26.0%, above the 23.6% experienced in the fourth quarter of 2023. VIP table games win as a percentage of turnover was 3.51%, above the property's expected range of 3.1% to 3.4% and above the 2.97% experienced in the fourth quarter of 2023.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Wynn Macau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Macau were $363.7 million for the fourth quarter of 2024, a decrease of $22.5 million from $386.2 million for the fourth quarter of 2023. Adjusted Property EBITDAR from Wynn Macau was $108.2 million for the fourth quarter of 2024, compared to $125.8 million for the fourth quarter of 2023. Table games win percentage in mass market operations was 17.9%, below the 19.1% experienced in the fourth quarter of 2023. VIP table games win as a percentage of turnover was 5.01%, above the property's expected range of 3.1% to 3.4% and above the 4.37% experienced in the fourth quarter of 2023.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Las Vegas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our Las Vegas Operations were $699.5 million for the fourth quarter of 2024, an increase of $2.7 million from $696.8 million for the fourth quarter of 2023. Adjusted Property EBITDAR from our Las Vegas Operations for the fourth quarter of 2024 was $267.4 million, compared to $270.8 million for the fourth quarter of 2023. Table games win percentage for the fourth quarter of 2024 was 30.9%, above the property's expected range of 22% to 26% and above the 25.4% experienced in the fourth quarter of 2023.</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Encore Boston Harbor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Encore Boston Harbor were $212.7 million for the fourth quarter of 2024, a decrease of $4.5 million from $217.1 million for the fourth quarter of 2023. Adjusted Property EBITDAR from Encore Boston Harbor for the fourth quarter of 2024 was $58.8 million, compared to $64.4 million for the fourth quarter of 2023. Table games win percentage for the fourth quarter of 2024 was 20.7%, within the property's expected range of 18% to 22% and below the 22.0% experienced in the fourth quarter of 2023. </w:t>
      </w:r>
    </w:p>
    <w:p>
      <w:pPr>
        <w:pStyle w:val="TextBody"/>
        <w:bidi w:val="0"/>
        <w:spacing w:before="0" w:after="0"/>
        <w:jc w:val="both"/>
        <w:rPr/>
      </w:pPr>
      <w:r>
        <w:rPr/>
      </w:r>
    </w:p>
    <w:p>
      <w:pPr>
        <w:pStyle w:val="TextBody"/>
        <w:bidi w:val="0"/>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Wynn Al Marjan Island Development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the Company contributed $99.0 million of cash into a 40%-owned joint venture that is constructing the Wynn Al Marjan Island development in the UAE, bringing our life-to-date cash contributions to the project to $631.7 million. Wynn Al Marjan Island is currently expected to open in 2027.</w:t>
      </w:r>
    </w:p>
    <w:p>
      <w:pPr>
        <w:pStyle w:val="TextBody"/>
        <w:bidi w:val="0"/>
        <w:spacing w:before="0" w:after="0"/>
        <w:jc w:val="both"/>
        <w:rPr/>
      </w:pPr>
      <w:r>
        <w:rPr/>
      </w:r>
    </w:p>
    <w:p>
      <w:pPr>
        <w:pStyle w:val="TextBody"/>
        <w:bidi w:val="0"/>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as of December 31, 2024 totaled $2.43 billion, comprised of $1.46 billion held by Wynn Macau, Limited ("WML") and subsidiaries, $437.9 million held by Wynn Resorts Finance, LLC ("WRF") and subsidiaries excluding WML, and $528.4 million held at Corporate and other. As of December 31, 2024, the available borrowing capacity under the WRF Revolver and the WM Cayman II Revolver was $735.3 million and $353.8 million, respectively.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and long-term debt outstanding at December 31, 2024 was $10.54 billion, comprised of $5.78 billion of Macau related debt, $3.29 billion of WRF debt, $874.2 million of Wynn Las Vegas debt, and $597.3 million of debt held by the retail joint venture which we consolidate.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the Company repurchased 2,143,666 shares of its common stock under its publicly announced equity repurchase program at an average price of $93.44 per share, for an aggregate cost of $200.3 million, bringing the total repurchases by the Company for the year ended December 31, 2024 to 4,349,779 shares of its common stock for an aggregate cost of $386.0 million. As of December 31, 2024, the Company had $813.0 million in repurchase authority remaining under the equity repurchase program.</w:t>
      </w:r>
    </w:p>
    <w:p>
      <w:pPr>
        <w:pStyle w:val="TextBody"/>
        <w:bidi w:val="0"/>
        <w:spacing w:before="0" w:after="0"/>
        <w:jc w:val="both"/>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Conference Call and Other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hold a conference call to discuss its results, including the results of Wynn Resorts Finance, LLC and Wynn Las Vegas, LLC, on February 13, 2025 at 1:30 p.m. PT (4:30 p.m. ET). Interested parties are invited to join the call by accessing a live audio webcast at http://www.wynnresorts.com. On or before March 31, 2025, the Company will make Wynn Resorts Finance, LLC and Wynn Las Vegas, LLC financial information for the quarter ended December 31, 2024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2023,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"Adjusted Property EBITDAR" is net income before interest, income taxes, depreciation and amortization, pre-opening expenses,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"Adjusted net income attributable to Wynn Resorts, Limited" is net income attributable to Wynn Resorts, Limited before pre-opening expenses, impairment of goodwill and intangible assets, property charges and other expenses, change in derivatives fair value, loss on debt financing transactions, foreign currency remeasurement and other, and nonrecurring income tax benefit from release of valuation allowance, net of noncontrolling interests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schedules in the tables that accompany this release that reconcile (i) net income attributable to Wynn Resorts, Limited to adjusted net income attributable to Wynn Resorts, Limited, (ii) operating income (loss) to Adjusted Property EBITDAR, and (iii) net income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90"/>
        <w:gridCol w:w="1250"/>
        <w:gridCol w:w="125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9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1,838,797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1,840,460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7,127,961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6,531,897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2,238,671 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1,471,902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1,482,735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5,995,230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5,691,726</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366,895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357,725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1,132,731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840,171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(85,929)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(489,333)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(554,788)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274,369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643,398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285,383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322,360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773,777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639,716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782,217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501,078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729,994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ADJUSTED NET INCOME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20"/>
        <w:gridCol w:w="1403"/>
        <w:gridCol w:w="141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72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remeasurement and 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 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income tax benefit from release of valuation allowance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impact 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263,339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663,547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462,348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attributable to Wynn Resorts, Limited per diluted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w:t>
            </w: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57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160,817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366,895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73,669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151,284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8,857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38,437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14,823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35,449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184,598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108,161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292,759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267,447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58,844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619,050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57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169,756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357,725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75,048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176,527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28,811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44,088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15,376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35,404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171,133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125,817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296,950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270,785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64,393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630,378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93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672,282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1,132,731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9,355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300,992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658,895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215,095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116,474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148,236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59,029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141,576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733,710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441,852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1,175,562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946,762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247,128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2,364,917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90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465,667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840,171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299,757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687,270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94,490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130,877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98,396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46,405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146,430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64,515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Triple-net operating lease rent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141,722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615,846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338,091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953,937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946,243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257,409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(42,646)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2,114,943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ATTRIBUTABLE TO WYNN RESORTS, LIMITED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PROPERTY EBITDAR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34"/>
        <w:gridCol w:w="1346"/>
        <w:gridCol w:w="1354"/>
        <w:gridCol w:w="211"/>
        <w:gridCol w:w="84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5"/>
      </w:tblGrid>
      <w:tr>
        <w:trPr/>
        <w:tc>
          <w:tcPr>
            <w:tcW w:w="15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r>
      <w:tr>
        <w:trPr/>
        <w:tc>
          <w:tcPr>
            <w:tcW w:w="4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Property EBITDAR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619,050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630,378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2,364,917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2,114,943</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77"/>
        <w:gridCol w:w="682"/>
        <w:gridCol w:w="686"/>
        <w:gridCol w:w="273"/>
        <w:gridCol w:w="246"/>
        <w:gridCol w:w="580"/>
        <w:gridCol w:w="143"/>
        <w:gridCol w:w="143"/>
        <w:gridCol w:w="143"/>
        <w:gridCol w:w="273"/>
        <w:gridCol w:w="246"/>
        <w:gridCol w:w="580"/>
        <w:gridCol w:w="109"/>
        <w:gridCol w:w="109"/>
        <w:gridCol w:w="109"/>
        <w:gridCol w:w="322"/>
        <w:gridCol w:w="297"/>
        <w:gridCol w:w="298"/>
        <w:gridCol w:w="109"/>
        <w:gridCol w:w="109"/>
        <w:gridCol w:w="109"/>
        <w:gridCol w:w="196"/>
        <w:gridCol w:w="272"/>
        <w:gridCol w:w="644"/>
        <w:gridCol w:w="109"/>
        <w:gridCol w:w="109"/>
        <w:gridCol w:w="109"/>
        <w:gridCol w:w="196"/>
        <w:gridCol w:w="272"/>
        <w:gridCol w:w="644"/>
        <w:gridCol w:w="109"/>
        <w:gridCol w:w="109"/>
        <w:gridCol w:w="109"/>
        <w:gridCol w:w="316"/>
        <w:gridCol w:w="273"/>
        <w:gridCol w:w="395"/>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Palace Supplemental Information</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458,816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49,649</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31,993</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22,473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562,931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524,358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w:t>
            </w: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2,217,671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1,886,844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17.5</w:t>
            </w: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184,598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171,133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7.9</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733,710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615,846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19.1</w:t>
            </w: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3,060,994</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12,991,235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11,363,248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6"/>
              </w:rPr>
              <w:t>(1)</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20,935</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 market:</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1,678,073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6,893,092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6,126,841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435,465</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19,214</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704,360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25,698</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83"/>
        <w:gridCol w:w="600"/>
        <w:gridCol w:w="603"/>
        <w:gridCol w:w="256"/>
        <w:gridCol w:w="246"/>
        <w:gridCol w:w="580"/>
        <w:gridCol w:w="132"/>
        <w:gridCol w:w="132"/>
        <w:gridCol w:w="132"/>
        <w:gridCol w:w="256"/>
        <w:gridCol w:w="246"/>
        <w:gridCol w:w="580"/>
        <w:gridCol w:w="109"/>
        <w:gridCol w:w="109"/>
        <w:gridCol w:w="109"/>
        <w:gridCol w:w="303"/>
        <w:gridCol w:w="273"/>
        <w:gridCol w:w="274"/>
        <w:gridCol w:w="109"/>
        <w:gridCol w:w="109"/>
        <w:gridCol w:w="109"/>
        <w:gridCol w:w="196"/>
        <w:gridCol w:w="886"/>
        <w:gridCol w:w="256"/>
        <w:gridCol w:w="109"/>
        <w:gridCol w:w="109"/>
        <w:gridCol w:w="109"/>
        <w:gridCol w:w="196"/>
        <w:gridCol w:w="886"/>
        <w:gridCol w:w="256"/>
        <w:gridCol w:w="109"/>
        <w:gridCol w:w="109"/>
        <w:gridCol w:w="109"/>
        <w:gridCol w:w="303"/>
        <w:gridCol w:w="253"/>
        <w:gridCol w:w="36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Macau Supplemental Information</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306,500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1,230,351 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363,676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386,199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1,464,646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1,213,534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20.7</w:t>
            </w:r>
            <w:r>
              <w:rPr>
                <w:color w:val="000000"/>
              </w:rPr>
              <w:t>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108,161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125,817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(14.0)</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441,852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338,091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30.7</w:t>
            </w: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VIP: </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1,092,611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Mass market: </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1,543,261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6,344,794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276,817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785,967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Slot machine win per unit per day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Poker rake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Room statistics: </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34"/>
        <w:gridCol w:w="733"/>
        <w:gridCol w:w="737"/>
        <w:gridCol w:w="293"/>
        <w:gridCol w:w="246"/>
        <w:gridCol w:w="580"/>
        <w:gridCol w:w="139"/>
        <w:gridCol w:w="139"/>
        <w:gridCol w:w="139"/>
        <w:gridCol w:w="293"/>
        <w:gridCol w:w="246"/>
        <w:gridCol w:w="580"/>
        <w:gridCol w:w="109"/>
        <w:gridCol w:w="109"/>
        <w:gridCol w:w="109"/>
        <w:gridCol w:w="315"/>
        <w:gridCol w:w="288"/>
        <w:gridCol w:w="289"/>
        <w:gridCol w:w="109"/>
        <w:gridCol w:w="109"/>
        <w:gridCol w:w="109"/>
        <w:gridCol w:w="206"/>
        <w:gridCol w:w="260"/>
        <w:gridCol w:w="580"/>
        <w:gridCol w:w="109"/>
        <w:gridCol w:w="109"/>
        <w:gridCol w:w="109"/>
        <w:gridCol w:w="206"/>
        <w:gridCol w:w="260"/>
        <w:gridCol w:w="580"/>
        <w:gridCol w:w="109"/>
        <w:gridCol w:w="109"/>
        <w:gridCol w:w="109"/>
        <w:gridCol w:w="301"/>
        <w:gridCol w:w="266"/>
        <w:gridCol w:w="387"/>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 Supplemental Information</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190,065</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228,589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184,734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96,151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699,539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696,804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0.4</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2,571,913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2,480,606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w:t>
            </w:r>
            <w:r>
              <w:rPr>
                <w:color w:val="000000"/>
              </w:rPr>
              <w:t>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267,447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270,785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946,762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946,243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655,038</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2,376,473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2,425,621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202,326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1,912,711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6,752,952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123,609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7,948</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REVPAR</w:t>
            </w:r>
            <w:r>
              <w:rPr>
                <w:color w:val="000000"/>
              </w:rPr>
              <w:t xml:space="preserve"> </w:t>
            </w:r>
            <w:r>
              <w:rPr>
                <w:rFonts w:ascii="Times New Roman;sans-serif" w:hAnsi="Times New Roman;sans-serif"/>
                <w:b w:val="false"/>
                <w:color w:val="000000"/>
                <w:sz w:val="16"/>
              </w:rPr>
              <w:t>(5)</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4"/>
        <w:gridCol w:w="722"/>
        <w:gridCol w:w="726"/>
        <w:gridCol w:w="297"/>
        <w:gridCol w:w="246"/>
        <w:gridCol w:w="580"/>
        <w:gridCol w:w="143"/>
        <w:gridCol w:w="143"/>
        <w:gridCol w:w="143"/>
        <w:gridCol w:w="297"/>
        <w:gridCol w:w="246"/>
        <w:gridCol w:w="580"/>
        <w:gridCol w:w="109"/>
        <w:gridCol w:w="109"/>
        <w:gridCol w:w="109"/>
        <w:gridCol w:w="321"/>
        <w:gridCol w:w="296"/>
        <w:gridCol w:w="298"/>
        <w:gridCol w:w="109"/>
        <w:gridCol w:w="109"/>
        <w:gridCol w:w="109"/>
        <w:gridCol w:w="206"/>
        <w:gridCol w:w="260"/>
        <w:gridCol w:w="580"/>
        <w:gridCol w:w="109"/>
        <w:gridCol w:w="109"/>
        <w:gridCol w:w="109"/>
        <w:gridCol w:w="206"/>
        <w:gridCol w:w="260"/>
        <w:gridCol w:w="580"/>
        <w:gridCol w:w="109"/>
        <w:gridCol w:w="109"/>
        <w:gridCol w:w="109"/>
        <w:gridCol w:w="273"/>
        <w:gridCol w:w="273"/>
        <w:gridCol w:w="397"/>
      </w:tblGrid>
      <w:tr>
        <w:trPr/>
        <w:tc>
          <w:tcPr>
            <w:tcW w:w="8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Encore Boston Harbor Supplemental Information </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156,810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22,605</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12,018</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212,651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217,145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857,164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865,786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58,844</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247,128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257,409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(4.0)</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Table drop</w:t>
            </w:r>
            <w:r>
              <w:rPr>
                <w:color w:val="000000"/>
              </w:rPr>
              <w:t xml:space="preserve"> </w:t>
            </w:r>
            <w:r>
              <w:rPr>
                <w:rFonts w:ascii="Times New Roman;sans-serif" w:hAnsi="Times New Roman;sans-serif"/>
                <w:b w:val="false"/>
                <w:color w:val="000000"/>
                <w:sz w:val="16"/>
              </w:rPr>
              <w:t>(2)</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337,570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69,873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1,402,942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108,379</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(3)Slot machine win is calculated as gross slot machine win minus progressive accruals and free play.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(6)Refer to accompanying reconciliations of Operating Income (Loss) to Adjusted Property EBITDAR and Net Income Attributable to Wynn Resorts, Limited to Adjusted Property EBITDAR.</w:t>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SOURCE: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Lauren Seiler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702-770-7555</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5875</Words>
  <Characters>31356</Characters>
  <CharactersWithSpaces>36206</CharactersWithSpaces>
  <Paragraphs>1880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