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313055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Amendment</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10, 2020, WRF and certain of its subsidiaries entered into an amendment (the “Credit Agreement Amendment”) to its existing credit agreement (the “Credit Agreement”) among Deutsche Bank AG New York Branch, as administrative agent and collateral agent, and the other lenders party thereto.</w:t>
      </w:r>
    </w:p>
    <w:p>
      <w:pPr>
        <w:spacing w:after="0" w:line="2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The Credit Agreement Amendment amends the Credit Agreement to, among other things: (i) implement a financial covenant relief period (the “Financial Covenant Relief Period”) through April 1, 2021 (unless earlier terminated by WRF), (ii)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(iii) amend the definition of “Consolidated EBITDA” in the Credit Agreement during the Financial Covenant Increase Period, (iv) amend WRF’s financial reporting obligations (including extensions to certain deadlines), (v) add certain restrictions on restricted payments (including restrictions on a portion of dividends received from WRF’s subsidiaries) during the Financial Covenant Relief Period and the Financial Covenant Increase Period, and (vi) amend the definition of “Material Adverse Effect” in the Credit Agreement to take into consideration COVID-19.</w:t>
      </w:r>
    </w:p>
    <w:p>
      <w:pPr>
        <w:spacing w:after="0" w:line="20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Financial Covenant Relief Period, the existing consolidated first lien net leverage ratio financial covenant will be replaced with a minimum liquidity financial covenant that requires WRF and its restricted subsidiaries to maintain liquidity of at least $300.0 million at all times (with liquidity being the sum of (x) unrestricted cash and cash equivalents and (y) the availability of the revolving facility under the Credit Agreement). Following the Financial Covenant Relief Period and for as long as the Financial Covenant Increase Period is in effect, WRF may not permit the consolidated first lien net leverage ratio as of the last day of any fiscal quarter to exceed (w) for the first fiscal quarter of the Financial Covenant Increase Period, 4.50 to 1.00, (x) for the second fiscal quarter of the Financial Covenant Increase Period, 4.25 to 1.00, (y) for the third fiscal quarter of the Financial Covenant Increase Period, 4.00 to 1.00, and (z) for each subsequent fiscal quarter thereafter (including from and including the first fiscal quarter during which the Financial Covenant Increase Period has been terminated by WRF), 3.75 to 1.00.</w:t>
      </w:r>
    </w:p>
    <w:p>
      <w:pPr>
        <w:spacing w:after="0" w:line="20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foregoing description of the Credit Agreement Amendment is qualified in its entirety by reference to the full text of the Credit Agreement Amendment, which will be filed as an exhibit to the Registrant’s Quarterly Report on Form 10-Q for the quarter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April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2020-04-15T15:27:17Z</dcterms:created>
  <dcterms:modified xsi:type="dcterms:W3CDTF">2020-04-15T15:27:17Z</dcterms:modified>
</cp:coreProperties>
</file>