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66"/>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271"/>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149"/>
        </w:trPr>
        <w:tc>
          <w:tcPr>
            <w:tcW w:w="26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78"/>
        </w:trPr>
        <w:tc>
          <w:tcPr>
            <w:tcW w:w="2600" w:type="dxa"/>
            <w:vAlign w:val="bottom"/>
          </w:tcPr>
          <w:p>
            <w:pPr>
              <w:spacing w:after="0"/>
              <w:rPr>
                <w:sz w:val="24"/>
                <w:szCs w:val="24"/>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6"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22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1580" w:space="720"/>
            <w:col w:w="5340" w:space="720"/>
            <w:col w:w="2120" w:space="720"/>
            <w:col w:w="22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4">
            <w:col w:w="8400" w:space="160"/>
            <w:col w:w="260" w:space="80"/>
            <w:col w:w="160" w:space="180"/>
            <w:col w:w="218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12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Wynn Resorts Holdings, LLC owns all of the membership interests of the Registrant as of November 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Borders>
              <w:bottom w:val="single" w:sz="8" w:color="0000EE"/>
            </w:tcBorders>
            <w:gridSpan w:val="3"/>
          </w:tcPr>
          <w:p>
            <w:pPr>
              <w:spacing w:after="0"/>
              <w:rPr>
                <w:rFonts w:ascii="Arial" w:cs="Arial" w:eastAsia="Arial" w:hAnsi="Arial"/>
                <w:sz w:val="18"/>
                <w:szCs w:val="18"/>
                <w:b w:val="1"/>
                <w:bCs w:val="1"/>
                <w:color w:val="0000EE"/>
                <w:w w:val="95"/>
              </w:rPr>
            </w:pPr>
            <w:hyperlink w:anchor="page3">
              <w:r>
                <w:rPr>
                  <w:rFonts w:ascii="Arial" w:cs="Arial" w:eastAsia="Arial" w:hAnsi="Arial"/>
                  <w:sz w:val="18"/>
                  <w:szCs w:val="18"/>
                  <w:b w:val="1"/>
                  <w:bCs w:val="1"/>
                  <w:color w:val="0000EE"/>
                  <w:w w:val="95"/>
                </w:rPr>
                <w:t>Part I.  Financial Information</w:t>
              </w:r>
            </w:hyperlink>
          </w:p>
        </w:tc>
        <w:tc>
          <w:tcPr>
            <w:tcW w:w="7340" w:type="dxa"/>
            <w:vAlign w:val="bottom"/>
            <w:gridSpan w:val="8"/>
          </w:tcPr>
          <w:p>
            <w:pPr>
              <w:spacing w:after="0"/>
              <w:rPr>
                <w:sz w:val="17"/>
                <w:szCs w:val="17"/>
                <w:color w:val="auto"/>
              </w:rPr>
            </w:pPr>
          </w:p>
        </w:tc>
        <w:tc>
          <w:tcPr>
            <w:tcW w:w="1640" w:type="dxa"/>
            <w:vAlign w:val="bottom"/>
          </w:tcPr>
          <w:p>
            <w:pPr>
              <w:spacing w:after="0"/>
              <w:rPr>
                <w:sz w:val="17"/>
                <w:szCs w:val="17"/>
                <w:color w:val="auto"/>
              </w:rPr>
            </w:pPr>
          </w:p>
        </w:tc>
      </w:tr>
      <w:tr>
        <w:trPr>
          <w:trHeight w:val="304"/>
        </w:trPr>
        <w:tc>
          <w:tcPr>
            <w:tcW w:w="1020" w:type="dxa"/>
            <w:vAlign w:val="bottom"/>
            <w:gridSpan w:val="2"/>
          </w:tcPr>
          <w:p>
            <w:pPr>
              <w:ind w:left="440"/>
              <w:spacing w:after="0"/>
              <w:rPr>
                <w:sz w:val="20"/>
                <w:szCs w:val="20"/>
                <w:color w:val="auto"/>
              </w:rPr>
            </w:pPr>
            <w:r>
              <w:rPr>
                <w:rFonts w:ascii="Arial" w:cs="Arial" w:eastAsia="Arial" w:hAnsi="Arial"/>
                <w:sz w:val="18"/>
                <w:szCs w:val="18"/>
                <w:color w:val="auto"/>
                <w:w w:val="98"/>
              </w:rPr>
              <w:t>Item 1.</w:t>
            </w:r>
          </w:p>
        </w:tc>
        <w:tc>
          <w:tcPr>
            <w:tcW w:w="866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4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880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September 30, 2011 and December 31, 2010</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88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 – Three and nine months ended September 30, 2011 and 2010</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880" w:type="dxa"/>
            <w:vAlign w:val="bottom"/>
          </w:tcPr>
          <w:p>
            <w:pPr>
              <w:spacing w:after="0"/>
              <w:rPr>
                <w:sz w:val="24"/>
                <w:szCs w:val="24"/>
                <w:color w:val="auto"/>
              </w:rPr>
            </w:pPr>
          </w:p>
        </w:tc>
        <w:tc>
          <w:tcPr>
            <w:tcW w:w="8800" w:type="dxa"/>
            <w:vAlign w:val="bottom"/>
            <w:gridSpan w:val="10"/>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(unaudited) – Nine months ended September 30, 2011 and 2010</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80" w:type="dxa"/>
            <w:vAlign w:val="bottom"/>
          </w:tcPr>
          <w:p>
            <w:pPr>
              <w:spacing w:after="0"/>
              <w:rPr>
                <w:sz w:val="24"/>
                <w:szCs w:val="24"/>
                <w:color w:val="auto"/>
              </w:rPr>
            </w:pPr>
          </w:p>
        </w:tc>
        <w:tc>
          <w:tcPr>
            <w:tcW w:w="8140" w:type="dxa"/>
            <w:vAlign w:val="bottom"/>
            <w:tcBorders>
              <w:top w:val="single" w:sz="8" w:color="0000EE"/>
            </w:tcBorders>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6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9680" w:type="dxa"/>
            <w:vAlign w:val="bottom"/>
            <w:gridSpan w:val="11"/>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1">
              <w:r>
                <w:rPr>
                  <w:rFonts w:ascii="Arial" w:cs="Arial" w:eastAsia="Arial" w:hAnsi="Arial"/>
                  <w:sz w:val="18"/>
                  <w:szCs w:val="18"/>
                  <w:color w:val="0000EE"/>
                </w:rPr>
                <w:t>Management’s Discussion and Analysis of Financial Condition and Results of Operations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020" w:type="dxa"/>
            <w:vAlign w:val="bottom"/>
            <w:gridSpan w:val="2"/>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1020" w:type="dxa"/>
            <w:vAlign w:val="bottom"/>
            <w:gridSpan w:val="2"/>
          </w:tcPr>
          <w:p>
            <w:pPr>
              <w:ind w:left="440"/>
              <w:spacing w:after="0"/>
              <w:rPr>
                <w:sz w:val="20"/>
                <w:szCs w:val="20"/>
                <w:color w:val="auto"/>
              </w:rPr>
            </w:pPr>
            <w:r>
              <w:rPr>
                <w:rFonts w:ascii="Arial" w:cs="Arial" w:eastAsia="Arial" w:hAnsi="Arial"/>
                <w:sz w:val="18"/>
                <w:szCs w:val="18"/>
                <w:color w:val="auto"/>
                <w:w w:val="98"/>
              </w:rPr>
              <w:t>Item 3.</w:t>
            </w:r>
          </w:p>
        </w:tc>
        <w:tc>
          <w:tcPr>
            <w:tcW w:w="42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4440" w:type="dxa"/>
            <w:vAlign w:val="bottom"/>
            <w:gridSpan w:val="5"/>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020" w:type="dxa"/>
            <w:vAlign w:val="bottom"/>
            <w:gridSpan w:val="2"/>
          </w:tcPr>
          <w:p>
            <w:pPr>
              <w:ind w:left="440"/>
              <w:spacing w:after="0"/>
              <w:rPr>
                <w:sz w:val="20"/>
                <w:szCs w:val="20"/>
                <w:color w:val="auto"/>
              </w:rPr>
            </w:pPr>
            <w:r>
              <w:rPr>
                <w:rFonts w:ascii="Arial" w:cs="Arial" w:eastAsia="Arial" w:hAnsi="Arial"/>
                <w:sz w:val="18"/>
                <w:szCs w:val="18"/>
                <w:color w:val="auto"/>
                <w:w w:val="98"/>
              </w:rPr>
              <w:t>Item 4.</w:t>
            </w:r>
          </w:p>
        </w:tc>
        <w:tc>
          <w:tcPr>
            <w:tcW w:w="8660" w:type="dxa"/>
            <w:vAlign w:val="bottom"/>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8"/>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5880" w:type="dxa"/>
            <w:vAlign w:val="bottom"/>
          </w:tcPr>
          <w:p>
            <w:pPr>
              <w:spacing w:after="0"/>
              <w:rPr>
                <w:sz w:val="17"/>
                <w:szCs w:val="17"/>
                <w:color w:val="auto"/>
              </w:rPr>
            </w:pPr>
          </w:p>
        </w:tc>
      </w:tr>
      <w:tr>
        <w:trPr>
          <w:trHeight w:val="304"/>
        </w:trPr>
        <w:tc>
          <w:tcPr>
            <w:tcW w:w="2140" w:type="dxa"/>
            <w:vAlign w:val="bottom"/>
            <w:tcBorders>
              <w:top w:val="single" w:sz="8" w:color="0000EE"/>
            </w:tcBorders>
            <w:gridSpan w:val="6"/>
          </w:tcPr>
          <w:p>
            <w:pPr>
              <w:ind w:left="440"/>
              <w:spacing w:after="0"/>
              <w:rPr>
                <w:rFonts w:ascii="Arial" w:cs="Arial" w:eastAsia="Arial" w:hAnsi="Arial"/>
                <w:sz w:val="18"/>
                <w:szCs w:val="18"/>
                <w:color w:val="auto"/>
                <w:w w:val="97"/>
              </w:rPr>
            </w:pPr>
            <w:r>
              <w:rPr>
                <w:rFonts w:ascii="Arial" w:cs="Arial" w:eastAsia="Arial" w:hAnsi="Arial"/>
                <w:sz w:val="18"/>
                <w:szCs w:val="18"/>
                <w:color w:val="auto"/>
                <w:w w:val="97"/>
              </w:rPr>
              <w:t xml:space="preserve">Item 1A. </w:t>
            </w:r>
            <w:hyperlink w:anchor="page31">
              <w:r>
                <w:rPr>
                  <w:rFonts w:ascii="Arial" w:cs="Arial" w:eastAsia="Arial" w:hAnsi="Arial"/>
                  <w:sz w:val="18"/>
                  <w:szCs w:val="18"/>
                  <w:color w:val="0000EE"/>
                  <w:w w:val="97"/>
                </w:rPr>
                <w:t>Risk Factors</w:t>
              </w:r>
            </w:hyperlink>
          </w:p>
        </w:tc>
        <w:tc>
          <w:tcPr>
            <w:tcW w:w="3300" w:type="dxa"/>
            <w:vAlign w:val="bottom"/>
            <w:gridSpan w:val="2"/>
          </w:tcPr>
          <w:p>
            <w:pPr>
              <w:spacing w:after="0"/>
              <w:rPr>
                <w:sz w:val="24"/>
                <w:szCs w:val="24"/>
                <w:color w:val="auto"/>
              </w:rPr>
            </w:pPr>
          </w:p>
        </w:tc>
        <w:tc>
          <w:tcPr>
            <w:tcW w:w="5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304"/>
        </w:trPr>
        <w:tc>
          <w:tcPr>
            <w:tcW w:w="980" w:type="dxa"/>
            <w:vAlign w:val="bottom"/>
            <w:gridSpan w:val="2"/>
          </w:tcPr>
          <w:p>
            <w:pPr>
              <w:ind w:left="440"/>
              <w:spacing w:after="0"/>
              <w:rPr>
                <w:sz w:val="20"/>
                <w:szCs w:val="20"/>
                <w:color w:val="auto"/>
              </w:rPr>
            </w:pPr>
            <w:r>
              <w:rPr>
                <w:rFonts w:ascii="Arial" w:cs="Arial" w:eastAsia="Arial" w:hAnsi="Arial"/>
                <w:sz w:val="18"/>
                <w:szCs w:val="18"/>
                <w:color w:val="auto"/>
                <w:w w:val="94"/>
              </w:rPr>
              <w:t>Item 2.</w:t>
            </w:r>
          </w:p>
        </w:tc>
        <w:tc>
          <w:tcPr>
            <w:tcW w:w="4460" w:type="dxa"/>
            <w:vAlign w:val="bottom"/>
            <w:gridSpan w:val="6"/>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Unregistered Sales of Equity Securities and Use of Proceeds</w:t>
              </w:r>
            </w:hyperlink>
          </w:p>
        </w:tc>
        <w:tc>
          <w:tcPr>
            <w:tcW w:w="5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980" w:type="dxa"/>
            <w:vAlign w:val="bottom"/>
            <w:gridSpan w:val="2"/>
          </w:tcPr>
          <w:p>
            <w:pPr>
              <w:ind w:left="440"/>
              <w:spacing w:after="0"/>
              <w:rPr>
                <w:sz w:val="20"/>
                <w:szCs w:val="20"/>
                <w:color w:val="auto"/>
              </w:rPr>
            </w:pPr>
            <w:r>
              <w:rPr>
                <w:rFonts w:ascii="Arial" w:cs="Arial" w:eastAsia="Arial" w:hAnsi="Arial"/>
                <w:sz w:val="18"/>
                <w:szCs w:val="18"/>
                <w:color w:val="auto"/>
                <w:w w:val="94"/>
              </w:rPr>
              <w:t>Item 6.</w:t>
            </w: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220" w:type="dxa"/>
            <w:vAlign w:val="bottom"/>
          </w:tcPr>
          <w:p>
            <w:pPr>
              <w:spacing w:after="0"/>
              <w:rPr>
                <w:sz w:val="24"/>
                <w:szCs w:val="24"/>
                <w:color w:val="auto"/>
              </w:rPr>
            </w:pPr>
          </w:p>
        </w:tc>
        <w:tc>
          <w:tcPr>
            <w:tcW w:w="5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304"/>
        </w:trPr>
        <w:tc>
          <w:tcPr>
            <w:tcW w:w="5440" w:type="dxa"/>
            <w:vAlign w:val="bottom"/>
            <w:gridSpan w:val="8"/>
          </w:tcPr>
          <w:p>
            <w:pPr>
              <w:ind w:left="440"/>
              <w:spacing w:after="0"/>
              <w:rPr>
                <w:rFonts w:ascii="Arial" w:cs="Arial" w:eastAsia="Arial" w:hAnsi="Arial"/>
                <w:sz w:val="18"/>
                <w:szCs w:val="18"/>
                <w:color w:val="0000EE"/>
              </w:rPr>
            </w:pPr>
            <w:hyperlink w:anchor="page33">
              <w:r>
                <w:rPr>
                  <w:rFonts w:ascii="Arial" w:cs="Arial" w:eastAsia="Arial" w:hAnsi="Arial"/>
                  <w:sz w:val="18"/>
                  <w:szCs w:val="18"/>
                  <w:color w:val="0000EE"/>
                </w:rPr>
                <w:t>Signature</w:t>
              </w:r>
            </w:hyperlink>
          </w:p>
        </w:tc>
        <w:tc>
          <w:tcPr>
            <w:tcW w:w="5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3"/>
        </w:trPr>
        <w:tc>
          <w:tcPr>
            <w:tcW w:w="4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tcPr>
          <w:p>
            <w:pPr>
              <w:jc w:val="right"/>
              <w:ind w:right="54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tcPr>
          <w:p>
            <w:pPr>
              <w:ind w:left="34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700" w:type="dxa"/>
            <w:vAlign w:val="bottom"/>
          </w:tcPr>
          <w:p>
            <w:pPr>
              <w:spacing w:after="0"/>
              <w:rPr>
                <w:sz w:val="24"/>
                <w:szCs w:val="24"/>
                <w:color w:val="auto"/>
              </w:rPr>
            </w:pPr>
          </w:p>
        </w:tc>
        <w:tc>
          <w:tcPr>
            <w:tcW w:w="8340" w:type="dxa"/>
            <w:vAlign w:val="bottom"/>
          </w:tcPr>
          <w:p>
            <w:pPr>
              <w:jc w:val="center"/>
              <w:ind w:left="1592"/>
              <w:spacing w:after="0"/>
              <w:rPr>
                <w:sz w:val="20"/>
                <w:szCs w:val="20"/>
                <w:color w:val="auto"/>
              </w:rPr>
            </w:pPr>
            <w:r>
              <w:rPr>
                <w:rFonts w:ascii="Arial" w:cs="Arial" w:eastAsia="Arial" w:hAnsi="Arial"/>
                <w:sz w:val="18"/>
                <w:szCs w:val="18"/>
                <w:b w:val="1"/>
                <w:bCs w:val="1"/>
                <w:color w:val="auto"/>
                <w:w w:val="96"/>
              </w:rPr>
              <w:t>WYNN LAS VEGAS, LLC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8340" w:type="dxa"/>
            <w:vAlign w:val="bottom"/>
          </w:tcPr>
          <w:p>
            <w:pPr>
              <w:jc w:val="center"/>
              <w:ind w:left="1592"/>
              <w:spacing w:after="0"/>
              <w:rPr>
                <w:sz w:val="20"/>
                <w:szCs w:val="20"/>
                <w:color w:val="auto"/>
              </w:rPr>
            </w:pPr>
            <w:r>
              <w:rPr>
                <w:rFonts w:ascii="Arial" w:cs="Arial" w:eastAsia="Arial" w:hAnsi="Arial"/>
                <w:sz w:val="18"/>
                <w:szCs w:val="18"/>
                <w:b w:val="1"/>
                <w:bCs w:val="1"/>
                <w:color w:val="auto"/>
                <w:w w:val="99"/>
              </w:rPr>
              <w:t>(A WHOLLY OWNED INDIRECT SUBSIDIARY OF WYNN RESORTS, LIMITED)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700" w:type="dxa"/>
            <w:vAlign w:val="bottom"/>
          </w:tcPr>
          <w:p>
            <w:pPr>
              <w:spacing w:after="0"/>
              <w:rPr>
                <w:sz w:val="24"/>
                <w:szCs w:val="24"/>
                <w:color w:val="auto"/>
              </w:rPr>
            </w:pPr>
          </w:p>
        </w:tc>
        <w:tc>
          <w:tcPr>
            <w:tcW w:w="8340" w:type="dxa"/>
            <w:vAlign w:val="bottom"/>
          </w:tcPr>
          <w:p>
            <w:pPr>
              <w:jc w:val="center"/>
              <w:ind w:left="15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40" w:type="dxa"/>
            <w:vAlign w:val="bottom"/>
          </w:tcPr>
          <w:p>
            <w:pPr>
              <w:jc w:val="center"/>
              <w:ind w:left="1612"/>
              <w:spacing w:after="0"/>
              <w:rPr>
                <w:sz w:val="20"/>
                <w:szCs w:val="20"/>
                <w:color w:val="auto"/>
              </w:rPr>
            </w:pPr>
            <w:r>
              <w:rPr>
                <w:rFonts w:ascii="Arial" w:cs="Arial" w:eastAsia="Arial" w:hAnsi="Arial"/>
                <w:sz w:val="18"/>
                <w:szCs w:val="18"/>
                <w:b w:val="1"/>
                <w:bCs w:val="1"/>
                <w:color w:val="auto"/>
                <w:w w:val="86"/>
              </w:rPr>
              <w:t>(amounts 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8340" w:type="dxa"/>
            <w:vAlign w:val="bottom"/>
          </w:tcPr>
          <w:p>
            <w:pPr>
              <w:jc w:val="center"/>
              <w:ind w:left="1612"/>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70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700" w:type="dxa"/>
            <w:vAlign w:val="bottom"/>
            <w:tcBorders>
              <w:bottom w:val="single" w:sz="8" w:color="CCEEFF"/>
            </w:tcBorders>
          </w:tcPr>
          <w:p>
            <w:pPr>
              <w:spacing w:after="0"/>
              <w:rPr>
                <w:sz w:val="14"/>
                <w:szCs w:val="14"/>
                <w:color w:val="auto"/>
              </w:rPr>
            </w:pPr>
          </w:p>
        </w:tc>
        <w:tc>
          <w:tcPr>
            <w:tcW w:w="8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CCEEFF"/>
          </w:tcPr>
          <w:p>
            <w:pPr>
              <w:spacing w:after="0"/>
              <w:rPr>
                <w:sz w:val="17"/>
                <w:szCs w:val="17"/>
                <w:color w:val="auto"/>
              </w:rPr>
            </w:pPr>
          </w:p>
        </w:tc>
        <w:tc>
          <w:tcPr>
            <w:tcW w:w="8340" w:type="dxa"/>
            <w:vAlign w:val="bottom"/>
            <w:shd w:val="clear" w:color="auto" w:fill="CCEEFF"/>
          </w:tcPr>
          <w:p>
            <w:pPr>
              <w:ind w:left="332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156,955</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120,401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124,814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19,011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349,811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3,569,815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3,731,211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42,802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4,020,168</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4,108,516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340" w:type="dxa"/>
            <w:vAlign w:val="bottom"/>
            <w:vMerge w:val="restart"/>
          </w:tcPr>
          <w:p>
            <w:pPr>
              <w:ind w:left="2020"/>
              <w:spacing w:after="0"/>
              <w:rPr>
                <w:sz w:val="20"/>
                <w:szCs w:val="20"/>
                <w:color w:val="auto"/>
              </w:rPr>
            </w:pPr>
            <w:r>
              <w:rPr>
                <w:rFonts w:ascii="Arial" w:cs="Arial" w:eastAsia="Arial" w:hAnsi="Arial"/>
                <w:sz w:val="18"/>
                <w:szCs w:val="18"/>
                <w:b w:val="1"/>
                <w:bCs w:val="1"/>
                <w:color w:val="auto"/>
              </w:rPr>
              <w:t>LIABILITIES AND MEMBER’S EQUITY</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0" w:type="dxa"/>
            <w:vAlign w:val="bottom"/>
          </w:tcPr>
          <w:p>
            <w:pPr>
              <w:spacing w:after="0"/>
              <w:rPr>
                <w:sz w:val="18"/>
                <w:szCs w:val="18"/>
                <w:color w:val="auto"/>
              </w:rPr>
            </w:pPr>
          </w:p>
        </w:tc>
        <w:tc>
          <w:tcPr>
            <w:tcW w:w="8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32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42,029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Gaming taxes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12,142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89,719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93,355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834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245,052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2,596,315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2,620,484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118,802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Other</w:t>
            </w:r>
          </w:p>
        </w:tc>
        <w:tc>
          <w:tcPr>
            <w:tcW w:w="8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2,966,217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3,010,014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Contributed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1,979,465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1,973,424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(925,514)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(874,922)</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340" w:type="dxa"/>
            <w:vAlign w:val="bottom"/>
          </w:tcPr>
          <w:p>
            <w:pPr>
              <w:ind w:left="180"/>
              <w:spacing w:after="0"/>
              <w:rPr>
                <w:sz w:val="20"/>
                <w:szCs w:val="20"/>
                <w:color w:val="auto"/>
              </w:rPr>
            </w:pPr>
            <w:r>
              <w:rPr>
                <w:rFonts w:ascii="Arial" w:cs="Arial" w:eastAsia="Arial" w:hAnsi="Arial"/>
                <w:sz w:val="18"/>
                <w:szCs w:val="18"/>
                <w:color w:val="auto"/>
              </w:rPr>
              <w:t>Total member’s equity</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1,053,951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1,098,502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member’s equity</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4,020,168</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4,108,516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$126,915</w:t>
            </w:r>
          </w:p>
        </w:tc>
        <w:tc>
          <w:tcPr>
            <w:tcW w:w="5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$ 138,381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479,430</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89,710</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75,594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119,342</w:t>
            </w:r>
          </w:p>
        </w:tc>
        <w:tc>
          <w:tcPr>
            <w:tcW w:w="5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111,809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351,476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57,199</w:t>
            </w:r>
          </w:p>
        </w:tc>
        <w:tc>
          <w:tcPr>
            <w:tcW w:w="5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171,285</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680" w:type="dxa"/>
            <w:vAlign w:val="bottom"/>
          </w:tcPr>
          <w:p>
            <w:pPr>
              <w:jc w:val="right"/>
              <w:spacing w:after="0"/>
              <w:rPr>
                <w:sz w:val="20"/>
                <w:szCs w:val="20"/>
                <w:color w:val="auto"/>
              </w:rPr>
            </w:pPr>
            <w:r>
              <w:rPr>
                <w:rFonts w:ascii="Arial" w:cs="Arial" w:eastAsia="Arial" w:hAnsi="Arial"/>
                <w:sz w:val="18"/>
                <w:szCs w:val="18"/>
                <w:color w:val="auto"/>
              </w:rPr>
              <w:t>393,166</w:t>
            </w:r>
          </w:p>
        </w:tc>
        <w:tc>
          <w:tcPr>
            <w:tcW w:w="5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377,779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1,270,912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1,103,863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(45,912)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(43,276)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(137,607)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(132,432)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347,254</w:t>
            </w:r>
          </w:p>
        </w:tc>
        <w:tc>
          <w:tcPr>
            <w:tcW w:w="5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334,503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1,133,305</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rPr>
              <w:t>70,960</w:t>
            </w:r>
          </w:p>
        </w:tc>
        <w:tc>
          <w:tcPr>
            <w:tcW w:w="5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70,748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225,144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30,386</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68,455</w:t>
            </w:r>
          </w:p>
        </w:tc>
        <w:tc>
          <w:tcPr>
            <w:tcW w:w="5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67,577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199,962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36,481</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111,069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57,625</w:t>
            </w:r>
          </w:p>
        </w:tc>
        <w:tc>
          <w:tcPr>
            <w:tcW w:w="5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59,071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167,633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680" w:type="dxa"/>
            <w:vAlign w:val="bottom"/>
          </w:tcPr>
          <w:p>
            <w:pPr>
              <w:jc w:val="right"/>
              <w:spacing w:after="0"/>
              <w:rPr>
                <w:sz w:val="20"/>
                <w:szCs w:val="20"/>
                <w:color w:val="auto"/>
              </w:rPr>
            </w:pPr>
            <w:r>
              <w:rPr>
                <w:rFonts w:ascii="Arial" w:cs="Arial" w:eastAsia="Arial" w:hAnsi="Arial"/>
                <w:sz w:val="18"/>
                <w:szCs w:val="18"/>
                <w:color w:val="auto"/>
              </w:rPr>
              <w:t>5,209</w:t>
            </w:r>
          </w:p>
        </w:tc>
        <w:tc>
          <w:tcPr>
            <w:tcW w:w="5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5,020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17,004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66,545</w:t>
            </w:r>
          </w:p>
        </w:tc>
        <w:tc>
          <w:tcPr>
            <w:tcW w:w="5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63,330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198,594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209,839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5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11,236</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347,669</w:t>
            </w:r>
          </w:p>
        </w:tc>
        <w:tc>
          <w:tcPr>
            <w:tcW w:w="5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350,698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1,035,937</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1,039,333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(16,195)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(67,902)</w:t>
            </w:r>
          </w:p>
        </w:tc>
        <w:tc>
          <w:tcPr>
            <w:tcW w:w="0" w:type="dxa"/>
            <w:vAlign w:val="bottom"/>
          </w:tcPr>
          <w:p>
            <w:pPr>
              <w:spacing w:after="0"/>
              <w:rPr>
                <w:sz w:val="1"/>
                <w:szCs w:val="1"/>
                <w:color w:val="auto"/>
              </w:rPr>
            </w:pPr>
          </w:p>
        </w:tc>
      </w:tr>
      <w:tr>
        <w:trPr>
          <w:trHeight w:val="222"/>
        </w:trPr>
        <w:tc>
          <w:tcPr>
            <w:tcW w:w="6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(50,343)</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(51,442)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(150,970)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(66,281)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(49,094)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(118,786)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(147,960)</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(217,518)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 (49,509)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(134,981)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(50,592)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(285,420)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34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Net loss</w:t>
            </w:r>
          </w:p>
        </w:tc>
        <w:tc>
          <w:tcPr>
            <w:tcW w:w="3100" w:type="dxa"/>
            <w:vAlign w:val="bottom"/>
            <w:gridSpan w:val="3"/>
          </w:tcPr>
          <w:p>
            <w:pPr>
              <w:jc w:val="right"/>
              <w:ind w:right="480"/>
              <w:spacing w:after="0"/>
              <w:rPr>
                <w:sz w:val="20"/>
                <w:szCs w:val="20"/>
                <w:color w:val="auto"/>
              </w:rPr>
            </w:pPr>
            <w:r>
              <w:rPr>
                <w:rFonts w:ascii="Arial" w:cs="Arial" w:eastAsia="Arial" w:hAnsi="Arial"/>
                <w:sz w:val="18"/>
                <w:szCs w:val="18"/>
                <w:color w:val="auto"/>
              </w:rPr>
              <w:t>$ (50,592)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(285,420)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198,594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209,839</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8,800</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Loss on extinguishment of debt/exchange offer</w:t>
            </w:r>
          </w:p>
        </w:tc>
        <w:tc>
          <w:tcPr>
            <w:tcW w:w="188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64,673</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 of deferred financing costs, and other</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12,102</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11,823</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9,305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3,339</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swap fair value</w:t>
            </w:r>
          </w:p>
        </w:tc>
        <w:tc>
          <w:tcPr>
            <w:tcW w:w="3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5,869</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3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(9,473)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6,367</w:t>
            </w:r>
          </w:p>
        </w:tc>
      </w:tr>
      <w:tr>
        <w:trPr>
          <w:trHeight w:val="216"/>
        </w:trPr>
        <w:tc>
          <w:tcPr>
            <w:tcW w:w="734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12,741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14,067</w:t>
            </w:r>
          </w:p>
        </w:tc>
      </w:tr>
      <w:tr>
        <w:trPr>
          <w:trHeight w:val="216"/>
        </w:trPr>
        <w:tc>
          <w:tcPr>
            <w:tcW w:w="7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3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13,013</w:t>
            </w:r>
          </w:p>
        </w:tc>
      </w:tr>
      <w:tr>
        <w:trPr>
          <w:trHeight w:val="223"/>
        </w:trPr>
        <w:tc>
          <w:tcPr>
            <w:tcW w:w="734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188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(9,158)</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15,003</w:t>
            </w:r>
          </w:p>
        </w:tc>
      </w:tr>
      <w:tr>
        <w:trPr>
          <w:trHeight w:val="216"/>
        </w:trPr>
        <w:tc>
          <w:tcPr>
            <w:tcW w:w="73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8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170,632</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79,263</w:t>
            </w:r>
          </w:p>
        </w:tc>
        <w:tc>
          <w:tcPr>
            <w:tcW w:w="100" w:type="dxa"/>
            <w:vAlign w:val="bottom"/>
            <w:shd w:val="clear" w:color="auto" w:fill="CCEEFF"/>
          </w:tcPr>
          <w:p>
            <w:pPr>
              <w:spacing w:after="0"/>
              <w:rPr>
                <w:sz w:val="18"/>
                <w:szCs w:val="18"/>
                <w:color w:val="auto"/>
              </w:rPr>
            </w:pP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 and retention</w:t>
            </w:r>
          </w:p>
        </w:tc>
        <w:tc>
          <w:tcPr>
            <w:tcW w:w="3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(44,829)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(108,700)</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Deposits and other assets</w:t>
            </w:r>
          </w:p>
        </w:tc>
        <w:tc>
          <w:tcPr>
            <w:tcW w:w="3100" w:type="dxa"/>
            <w:vAlign w:val="bottom"/>
            <w:gridSpan w:val="3"/>
          </w:tcPr>
          <w:p>
            <w:pPr>
              <w:jc w:val="right"/>
              <w:ind w:right="480"/>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(5,371)</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assets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23"/>
        </w:trPr>
        <w:tc>
          <w:tcPr>
            <w:tcW w:w="734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18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19"/>
                <w:szCs w:val="19"/>
                <w:color w:val="auto"/>
              </w:rPr>
            </w:pPr>
          </w:p>
        </w:tc>
      </w:tr>
      <w:tr>
        <w:trPr>
          <w:trHeight w:val="216"/>
        </w:trPr>
        <w:tc>
          <w:tcPr>
            <w:tcW w:w="73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3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(41,036)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(110,077)</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3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(25,123)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(1,603,730)</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88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1,676,528</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contribution from Parent</w:t>
            </w:r>
          </w:p>
        </w:tc>
        <w:tc>
          <w:tcPr>
            <w:tcW w:w="1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Payments of financing costs</w:t>
            </w:r>
          </w:p>
        </w:tc>
        <w:tc>
          <w:tcPr>
            <w:tcW w:w="18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(72,101)</w:t>
            </w:r>
          </w:p>
        </w:tc>
      </w:tr>
      <w:tr>
        <w:trPr>
          <w:trHeight w:val="27"/>
        </w:trPr>
        <w:tc>
          <w:tcPr>
            <w:tcW w:w="7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provided by financing activities</w:t>
            </w:r>
          </w:p>
        </w:tc>
        <w:tc>
          <w:tcPr>
            <w:tcW w:w="1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(25,181)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50,697</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cash and cash equivalents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19,883</w:t>
            </w:r>
          </w:p>
        </w:tc>
      </w:tr>
      <w:tr>
        <w:trPr>
          <w:trHeight w:val="223"/>
        </w:trPr>
        <w:tc>
          <w:tcPr>
            <w:tcW w:w="734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18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66,354</w:t>
            </w:r>
          </w:p>
        </w:tc>
        <w:tc>
          <w:tcPr>
            <w:tcW w:w="100" w:type="dxa"/>
            <w:vAlign w:val="bottom"/>
          </w:tcPr>
          <w:p>
            <w:pPr>
              <w:spacing w:after="0"/>
              <w:rPr>
                <w:sz w:val="19"/>
                <w:szCs w:val="19"/>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156,955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86,237</w:t>
            </w:r>
          </w:p>
        </w:tc>
      </w:tr>
      <w:tr>
        <w:trPr>
          <w:trHeight w:val="20"/>
        </w:trPr>
        <w:tc>
          <w:tcPr>
            <w:tcW w:w="7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240" w:right="8040" w:hanging="232"/>
        <w:spacing w:after="0" w:line="347" w:lineRule="auto"/>
        <w:tabs>
          <w:tab w:leader="none" w:pos="45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September 30, 2011,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2011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2010.</w:t>
      </w:r>
    </w:p>
    <w:p>
      <w:pPr>
        <w:spacing w:after="0" w:line="234" w:lineRule="exact"/>
        <w:rPr>
          <w:sz w:val="20"/>
          <w:szCs w:val="20"/>
          <w:color w:val="auto"/>
        </w:rPr>
      </w:pPr>
    </w:p>
    <w:p>
      <w:pPr>
        <w:ind w:left="240" w:right="7660" w:hanging="232"/>
        <w:spacing w:after="0" w:line="391" w:lineRule="auto"/>
        <w:tabs>
          <w:tab w:leader="none" w:pos="45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Accounts Receivable and Credit Risk</w:t>
      </w:r>
    </w:p>
    <w:p>
      <w:pPr>
        <w:spacing w:after="0" w:line="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2011 and December 31, 2010, approximately 70% and 75%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deferred revenues until services are provided to the customer.</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the players club loyalty program.</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2011</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10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9,465</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$27,570</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$30,396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14,505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14,640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43,584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44,150</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11,227</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14,947</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27,237</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29,181</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82,381</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89,493</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For the three months ended September 30, 2011 and 2010, gaming taxes totaled approximately $8.9 million and $10 million, respectively. For the nine months ended September 30, 2011 and 2010, gaming taxes totaled approximately $34.1 million and $27.9 million,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September 30, 2011 and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costs totaled approximately $4.6 million and $4 million, respectively. For the nine months ended September 30, 2011 and 2010, advertising costs totaled approximately $10.8 million and $10.4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nine months ended September 30, 2011 and 2010, the Company recorded $6 million and $8.8 million, respectively, in share based compensation with a corresponding credit to contributed capital.</w:t>
      </w:r>
    </w:p>
    <w:p>
      <w:pPr>
        <w:spacing w:after="0" w:line="25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 of Cash Flow Information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Interest paid for the nine months ended September 30, 2011 and 2010 totaled approximately $157.5 million and $107 million, respectively. Interest capitalized for the nine months ended September 30, 2010 totaled approximately $0.6 million. There was no interest capitalized during the nine months ended September 30, 2011.</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nine months ended September 30, 2011 and 2010, capital expenditures include a decrease of approximately $7.5 million and $7.6 million respectively, in construction payables and retention recorded through amounts due to affiliates.</w:t>
      </w:r>
    </w:p>
    <w:p>
      <w:pPr>
        <w:spacing w:after="0" w:line="24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net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7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165,028</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167,844</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14,927</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16,512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13,496</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100" w:type="dxa"/>
            <w:vAlign w:val="bottom"/>
            <w:shd w:val="clear" w:color="auto" w:fill="CCEEFF"/>
          </w:tcPr>
          <w:p>
            <w:pPr>
              <w:spacing w:after="0"/>
              <w:rPr>
                <w:sz w:val="18"/>
                <w:szCs w:val="18"/>
                <w:color w:val="auto"/>
              </w:rPr>
            </w:pPr>
          </w:p>
        </w:tc>
      </w:tr>
      <w:tr>
        <w:trPr>
          <w:trHeight w:val="222"/>
        </w:trPr>
        <w:tc>
          <w:tcPr>
            <w:tcW w:w="7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193,451</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195,890</w:t>
            </w:r>
          </w:p>
        </w:tc>
      </w:tr>
      <w:tr>
        <w:trPr>
          <w:trHeight w:val="21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(73,050)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(71,076)</w:t>
            </w:r>
          </w:p>
        </w:tc>
      </w:tr>
      <w:tr>
        <w:trPr>
          <w:trHeight w:val="222"/>
        </w:trPr>
        <w:tc>
          <w:tcPr>
            <w:tcW w:w="70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120,401</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124,814</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56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719,842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2,607,436</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2,591,246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1,342,685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1,347,601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4,720,727</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4,722,230</w:t>
            </w:r>
          </w:p>
        </w:tc>
        <w:tc>
          <w:tcPr>
            <w:tcW w:w="0" w:type="dxa"/>
            <w:vAlign w:val="bottom"/>
          </w:tcPr>
          <w:p>
            <w:pPr>
              <w:spacing w:after="0"/>
              <w:rPr>
                <w:sz w:val="1"/>
                <w:szCs w:val="1"/>
                <w:color w:val="auto"/>
              </w:rPr>
            </w:pPr>
          </w:p>
        </w:tc>
      </w:tr>
      <w:tr>
        <w:trPr>
          <w:trHeight w:val="21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(1,150,912)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(991,019)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tcPr>
          <w:p>
            <w:pPr>
              <w:spacing w:after="0"/>
              <w:rPr>
                <w:sz w:val="19"/>
                <w:szCs w:val="19"/>
                <w:color w:val="auto"/>
              </w:rPr>
            </w:pPr>
          </w:p>
        </w:tc>
        <w:tc>
          <w:tcPr>
            <w:tcW w:w="3680" w:type="dxa"/>
            <w:vAlign w:val="bottom"/>
            <w:gridSpan w:val="2"/>
          </w:tcPr>
          <w:p>
            <w:pPr>
              <w:ind w:left="35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3,569,815</w:t>
            </w:r>
          </w:p>
        </w:tc>
        <w:tc>
          <w:tcPr>
            <w:tcW w:w="6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3,731,211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580" w:type="dxa"/>
            <w:vAlign w:val="bottom"/>
            <w:vMerge w:val="restart"/>
          </w:tcPr>
          <w:p>
            <w:pPr>
              <w:jc w:val="right"/>
              <w:ind w:right="2212"/>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6.</w:t>
            </w:r>
          </w:p>
        </w:tc>
        <w:tc>
          <w:tcPr>
            <w:tcW w:w="8220" w:type="dxa"/>
            <w:vAlign w:val="bottom"/>
            <w:gridSpan w:val="2"/>
          </w:tcPr>
          <w:p>
            <w:pPr>
              <w:ind w:left="160"/>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97"/>
        </w:trPr>
        <w:tc>
          <w:tcPr>
            <w:tcW w:w="300" w:type="dxa"/>
            <w:vAlign w:val="bottom"/>
          </w:tcPr>
          <w:p>
            <w:pPr>
              <w:spacing w:after="0"/>
              <w:rPr>
                <w:sz w:val="24"/>
                <w:szCs w:val="24"/>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Long-term debt consisted of the following (amounts in thousands):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188"/>
        </w:trPr>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6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November 1, 2017, net of original issue discount of $8,862 at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2011 and $9,678 at December 31, 2010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491,138</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490,322</w:t>
            </w:r>
          </w:p>
        </w:tc>
        <w:tc>
          <w:tcPr>
            <w:tcW w:w="120" w:type="dxa"/>
            <w:vAlign w:val="bottom"/>
            <w:shd w:val="clear" w:color="auto" w:fill="CCEEFF"/>
          </w:tcPr>
          <w:p>
            <w:pPr>
              <w:spacing w:after="0"/>
              <w:rPr>
                <w:sz w:val="19"/>
                <w:szCs w:val="19"/>
                <w:color w:val="auto"/>
              </w:rPr>
            </w:pPr>
          </w:p>
        </w:tc>
      </w:tr>
      <w:tr>
        <w:trPr>
          <w:trHeight w:val="20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w w:val="97"/>
              </w:rPr>
              <w:t xml:space="preserve">7 </w:t>
            </w:r>
            <w:r>
              <w:rPr>
                <w:rFonts w:ascii="Arial" w:cs="Arial" w:eastAsia="Arial" w:hAnsi="Arial"/>
                <w:sz w:val="11"/>
                <w:szCs w:val="11"/>
                <w:color w:val="auto"/>
                <w:w w:val="97"/>
              </w:rPr>
              <w:t>7</w:t>
            </w:r>
            <w:r>
              <w:rPr>
                <w:rFonts w:ascii="Arial" w:cs="Arial" w:eastAsia="Arial" w:hAnsi="Arial"/>
                <w:sz w:val="18"/>
                <w:szCs w:val="18"/>
                <w:color w:val="auto"/>
                <w:w w:val="97"/>
              </w:rPr>
              <w:t>/</w:t>
            </w:r>
            <w:r>
              <w:rPr>
                <w:rFonts w:ascii="Arial" w:cs="Arial" w:eastAsia="Arial" w:hAnsi="Arial"/>
                <w:sz w:val="13"/>
                <w:szCs w:val="13"/>
                <w:color w:val="auto"/>
                <w:w w:val="97"/>
              </w:rPr>
              <w:t>8</w:t>
            </w:r>
            <w:r>
              <w:rPr>
                <w:rFonts w:ascii="Arial" w:cs="Arial" w:eastAsia="Arial" w:hAnsi="Arial"/>
                <w:sz w:val="18"/>
                <w:szCs w:val="18"/>
                <w:color w:val="auto"/>
                <w:w w:val="97"/>
              </w:rPr>
              <w:t>% First Mortgage Notes, due May 1, 2020, net of original issue discount of $2,351 at September 30,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2011 and $2,489 at December 31, 2010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349,659</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349,521</w:t>
            </w:r>
          </w:p>
        </w:tc>
        <w:tc>
          <w:tcPr>
            <w:tcW w:w="120" w:type="dxa"/>
            <w:vAlign w:val="bottom"/>
          </w:tcPr>
          <w:p>
            <w:pPr>
              <w:spacing w:after="0"/>
              <w:rPr>
                <w:sz w:val="19"/>
                <w:szCs w:val="19"/>
                <w:color w:val="auto"/>
              </w:rPr>
            </w:pPr>
          </w:p>
        </w:tc>
      </w:tr>
      <w:tr>
        <w:trPr>
          <w:trHeight w:val="21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August 15, 2020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1,320,000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2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40,263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44,281</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35,700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36,750</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r>
      <w:tr>
        <w:trPr>
          <w:trHeight w:val="221"/>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2,597,365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2,621,534</w:t>
            </w:r>
          </w:p>
        </w:tc>
        <w:tc>
          <w:tcPr>
            <w:tcW w:w="120" w:type="dxa"/>
            <w:vAlign w:val="bottom"/>
          </w:tcPr>
          <w:p>
            <w:pPr>
              <w:spacing w:after="0"/>
              <w:rPr>
                <w:sz w:val="19"/>
                <w:szCs w:val="19"/>
                <w:color w:val="auto"/>
              </w:rPr>
            </w:pPr>
          </w:p>
        </w:tc>
      </w:tr>
      <w:tr>
        <w:trPr>
          <w:trHeight w:val="21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2,596,315</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2,620,484</w:t>
            </w:r>
          </w:p>
        </w:tc>
        <w:tc>
          <w:tcPr>
            <w:tcW w:w="12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Revolving Credit Facilities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September 30, 2011, no amounts were outstanding under the Wynn Las Vegas Revolving Credit Facilities. The Company had $19.5 million of outstanding letters of credit that reduce its availability under the Wynn Las Vegas Revolving Credit Facilities. Accordingly, the Company has availability of $347.5 million under the Wynn Las Vegas Revolving Credit Facilities as of September 30,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2011,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net book value of the Company’s outstanding first mortgage notes was approximately $2.2 billion at both September 30, 2011 and December 31, 2010. The estimated fair value of the Company’s outstanding first mortgage notes, based on quoted market prices, was approximately $2.3 billion at both September 30, 2011 and December 31, 2010. The net book value of the Company’s other debt instruments was approximately $406.6 million and $432 million at September 30, 2011 and December 31, 2010, respectively. The estimated fair value of the Company’s other debt instruments was approximately $397.7 million and $426.5 million at September 30, 2011 and December 31, 2010, respectively.</w:t>
      </w:r>
    </w:p>
    <w:p>
      <w:pPr>
        <w:spacing w:after="0" w:line="23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September 30, 2011 and December 31, 2010, the fair value of this interest rate swap was a liability of $6 million and $8.5 million, respectively.</w:t>
      </w:r>
    </w:p>
    <w:p>
      <w:pPr>
        <w:spacing w:after="0" w:line="231" w:lineRule="exact"/>
        <w:rPr>
          <w:sz w:val="20"/>
          <w:szCs w:val="20"/>
          <w:color w:val="auto"/>
        </w:rPr>
      </w:pPr>
    </w:p>
    <w:p>
      <w:pPr>
        <w:ind w:left="240" w:right="8600" w:hanging="232"/>
        <w:spacing w:after="0" w:line="391" w:lineRule="auto"/>
        <w:tabs>
          <w:tab w:leader="none" w:pos="458"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net </w:t>
      </w:r>
      <w:r>
        <w:rPr>
          <w:rFonts w:ascii="Arial" w:cs="Arial" w:eastAsia="Arial" w:hAnsi="Arial"/>
          <w:sz w:val="16"/>
          <w:szCs w:val="16"/>
          <w:i w:val="1"/>
          <w:iCs w:val="1"/>
          <w:color w:val="auto"/>
        </w:rPr>
        <w:t>Amounts Due to Affiliates, net</w:t>
      </w:r>
    </w:p>
    <w:p>
      <w:pPr>
        <w:spacing w:after="0" w:line="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September 30, 2011, the Company’s current Due to affiliates was primarily comprised of construction payables of approximately $4.8 million, construction retention of approximately $1.3 million and other net amounts due from affiliates totaling $5.4 million (including corporate allocations discussed below). The long-term Due to affiliates is management fees of approximately $118.8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December 31, 2010, the Company’s current Due to affiliates was primarily comprised of construction payables of approximately $10.3 million, construction retention of approximately $3.3 million and other net amounts due to affiliates totaling $14.7 million (including corporate allocations discussed below). The long-term Due to affiliates is management fees of $101.8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Due to Affiliates, net” above. For the three months ended September 30, 2011 and 2010, approximately $5.8 million and $5.2 million, respectively, were charged to the Company for such corporate allocations. For the nine months ended September 30, 2011 and 2010, approximately $20.2 million and $17 million, respectively, were charged to the Company for such corporate allocations.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is included in the rental.</w:t>
      </w:r>
    </w:p>
    <w:p>
      <w:pPr>
        <w:spacing w:after="0" w:line="1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 March 17, 2010, Elaine P. Wynn and Wynn Las Vegas entered into an Agreement of Lease (the “EW Lease”) for the lease of a villa suite as Elaine P. Wynn’s personal residence. The EW Lease was approved by the Audit Committee of the Board of Directors of the Company. Pursuant to the terms of the EW Lease, Elaine P. Wynn paid annual rent equal to $350,000, which amount was determined by the Audit Committee with the assistance of a third-party appraisal. Certain services for, and maintenance of, the villa suite were included in the rental. The EW Lease superseded the terms of a prior agreement. The term of the EW lease commenced as of March 1, 2010 and was scheduled to terminate on December 31, 2010. The lease was extended on a month-to-month basis after December 31, 2010 and was terminated on March 31,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6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Charges and Other</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Property charges generally include costs related to the retirement of assets for remodels and asset abandonments. Property charges and other for the three and nine months ended September 30, 2011 were $6.6 million and $11.2 million, respectively and $16.6 million and $18.3 million for the three and nine months ended September 30, 2010,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Property charges and other for the three months ended September 30, 2011, include miscellaneous renovations and abandonments at our resort, including modifications of the Encore retail esplanade and the closure of the Blush nightclub. Property charges and other for the nine months ended September 30, 2011 also includes the write off of certain costs related to the Sinatra “Dance with Me” show that ended its run earlier in the year.</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Property charges and other for the three months ended September 30, 2010 include a contract termination payment of $14.9 million related to a management contract for certain of the nightclubs at Wynn Las Vegas. The remaining charges were for miscellaneous renovations and abandonments at our resort.</w:t>
      </w:r>
    </w:p>
    <w:p>
      <w:pPr>
        <w:spacing w:after="0" w:line="256" w:lineRule="exact"/>
        <w:rPr>
          <w:sz w:val="20"/>
          <w:szCs w:val="20"/>
          <w:color w:val="auto"/>
        </w:rPr>
      </w:pPr>
    </w:p>
    <w:p>
      <w:pPr>
        <w:ind w:right="8480" w:firstLine="8"/>
        <w:spacing w:after="0" w:line="347" w:lineRule="auto"/>
        <w:tabs>
          <w:tab w:leader="none" w:pos="44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September 30, 2011.</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Consolidating Financial Information of Guarantors and Issuers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September 30, 2011 and December 31, 2010, and for the three and nine months ended September 30, 2011 and 2010.</w:t>
      </w:r>
    </w:p>
    <w:p>
      <w:pPr>
        <w:spacing w:after="0" w:line="10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following consolidating information is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Subsidiary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ind w:left="222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156,949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120,401</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53,444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18,938</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349,732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349,811</w:t>
            </w:r>
          </w:p>
        </w:tc>
        <w:tc>
          <w:tcPr>
            <w:tcW w:w="0" w:type="dxa"/>
            <w:vAlign w:val="bottom"/>
          </w:tcPr>
          <w:p>
            <w:pPr>
              <w:spacing w:after="0"/>
              <w:rPr>
                <w:sz w:val="1"/>
                <w:szCs w:val="1"/>
                <w:color w:val="auto"/>
              </w:rPr>
            </w:pPr>
          </w:p>
        </w:tc>
      </w:tr>
      <w:tr>
        <w:trPr>
          <w:trHeight w:val="322"/>
        </w:trPr>
        <w:tc>
          <w:tcPr>
            <w:tcW w:w="55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3,378,651</w:t>
            </w:r>
          </w:p>
        </w:tc>
        <w:tc>
          <w:tcPr>
            <w:tcW w:w="12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191,164</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3,569,815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5,107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42,802</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41,604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895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(21,990)</w:t>
            </w: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21,990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3,795,906</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201,372</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4,020,168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LIABILITIES AND MEMBER'S EQUITY</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27,219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42,029</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50,576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12,142</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20,091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89,719</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(186,336)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194,022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895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55,440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196,598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895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245,052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2,561,665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34,650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2,596,315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118,802</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5,962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2,741,955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231,248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895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2,966,217</w:t>
            </w:r>
          </w:p>
        </w:tc>
        <w:tc>
          <w:tcPr>
            <w:tcW w:w="0" w:type="dxa"/>
            <w:vAlign w:val="bottom"/>
          </w:tcPr>
          <w:p>
            <w:pPr>
              <w:spacing w:after="0"/>
              <w:rPr>
                <w:sz w:val="1"/>
                <w:szCs w:val="1"/>
                <w:color w:val="auto"/>
              </w:rPr>
            </w:pPr>
          </w:p>
        </w:tc>
      </w:tr>
      <w:tr>
        <w:trPr>
          <w:trHeight w:val="221"/>
        </w:trPr>
        <w:tc>
          <w:tcPr>
            <w:tcW w:w="55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1,979,465</w:t>
            </w: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12,530</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(12,530)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1,979,465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Reatined earnings (deficit)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(925,514)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(42,406)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(925,514)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1,053,951</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(29,876)</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21,990</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1,053,951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3,795,906</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201,372</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4,020,168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433"/>
              <w:spacing w:after="0"/>
              <w:rPr>
                <w:sz w:val="20"/>
                <w:szCs w:val="20"/>
                <w:color w:val="auto"/>
              </w:rPr>
            </w:pPr>
            <w:r>
              <w:rPr>
                <w:rFonts w:ascii="Arial" w:cs="Arial" w:eastAsia="Arial" w:hAnsi="Arial"/>
                <w:sz w:val="18"/>
                <w:szCs w:val="18"/>
                <w:color w:val="auto"/>
                <w:w w:val="89"/>
              </w:rPr>
              <w:t>13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ind w:left="19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52,535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124,814</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64,520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20,778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3,537,264</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193,947</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3,731,211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6,660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47,300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47,437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(19,685)</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19,685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3,881,623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204,573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4,108,516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35,837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54,083</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38,219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17,361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93,355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(160,735)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194,277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88,083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196,444</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279,276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2,584,784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35,700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2,620,484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101,797</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2,783,121</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232,144</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3,010,014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1,973,424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1,973,424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(874,922)</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(40,101)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32,215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1,098,502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(27,571)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1,098,502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3,881,623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204,573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22,315</w:t>
            </w:r>
          </w:p>
        </w:tc>
        <w:tc>
          <w:tcPr>
            <w:tcW w:w="6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4,108,516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3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$126,915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$126,915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89,710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119,342</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119,342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393,223</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393,166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(45,912)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347,311</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347,254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70,960</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30,386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68,455</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68,455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36,481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57,963</w:t>
            </w:r>
          </w:p>
        </w:tc>
        <w:tc>
          <w:tcPr>
            <w:tcW w:w="2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57,625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5,362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5,209</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65,618</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66,545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347,080</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646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347,669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(50,197)</w:t>
            </w:r>
          </w:p>
        </w:tc>
        <w:tc>
          <w:tcPr>
            <w:tcW w:w="2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1,127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735</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(49,740)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735</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(49,094)</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 (49,509)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735</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 (49,509)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gridSpan w:val="2"/>
          </w:tcPr>
          <w:p>
            <w:pPr>
              <w:jc w:val="right"/>
              <w:ind w:right="14"/>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5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Issuers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Casino</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$ 138,381</w:t>
            </w:r>
          </w:p>
        </w:tc>
        <w:tc>
          <w:tcPr>
            <w:tcW w:w="5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$ 138,381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20" w:type="dxa"/>
            <w:vAlign w:val="bottom"/>
          </w:tcPr>
          <w:p>
            <w:pPr>
              <w:jc w:val="right"/>
              <w:spacing w:after="0"/>
              <w:rPr>
                <w:sz w:val="20"/>
                <w:szCs w:val="20"/>
                <w:color w:val="auto"/>
              </w:rPr>
            </w:pPr>
            <w:r>
              <w:rPr>
                <w:rFonts w:ascii="Arial" w:cs="Arial" w:eastAsia="Arial" w:hAnsi="Arial"/>
                <w:sz w:val="18"/>
                <w:szCs w:val="18"/>
                <w:color w:val="auto"/>
              </w:rPr>
              <w:t>111,809</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52,128</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377,912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(133)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377,779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(43,276)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334,636</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(133)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334,503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Casino</w:t>
            </w:r>
          </w:p>
        </w:tc>
        <w:tc>
          <w:tcPr>
            <w:tcW w:w="720" w:type="dxa"/>
            <w:vAlign w:val="bottom"/>
          </w:tcPr>
          <w:p>
            <w:pPr>
              <w:jc w:val="right"/>
              <w:spacing w:after="0"/>
              <w:rPr>
                <w:sz w:val="20"/>
                <w:szCs w:val="20"/>
                <w:color w:val="auto"/>
              </w:rPr>
            </w:pPr>
            <w:r>
              <w:rPr>
                <w:rFonts w:ascii="Arial" w:cs="Arial" w:eastAsia="Arial" w:hAnsi="Arial"/>
                <w:sz w:val="18"/>
                <w:szCs w:val="18"/>
                <w:color w:val="auto"/>
              </w:rPr>
              <w:t>70,748</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29,855</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20" w:type="dxa"/>
            <w:vAlign w:val="bottom"/>
          </w:tcPr>
          <w:p>
            <w:pPr>
              <w:jc w:val="right"/>
              <w:spacing w:after="0"/>
              <w:rPr>
                <w:sz w:val="20"/>
                <w:szCs w:val="20"/>
                <w:color w:val="auto"/>
              </w:rPr>
            </w:pPr>
            <w:r>
              <w:rPr>
                <w:rFonts w:ascii="Arial" w:cs="Arial" w:eastAsia="Arial" w:hAnsi="Arial"/>
                <w:sz w:val="18"/>
                <w:szCs w:val="18"/>
                <w:color w:val="auto"/>
              </w:rPr>
              <w:t>67,577</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jc w:val="right"/>
              <w:spacing w:after="0"/>
              <w:rPr>
                <w:sz w:val="20"/>
                <w:szCs w:val="20"/>
                <w:color w:val="auto"/>
              </w:rPr>
            </w:pPr>
            <w:r>
              <w:rPr>
                <w:rFonts w:ascii="Arial" w:cs="Arial" w:eastAsia="Arial" w:hAnsi="Arial"/>
                <w:sz w:val="18"/>
                <w:szCs w:val="18"/>
                <w:color w:val="auto"/>
              </w:rPr>
              <w:t>59,361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(133)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59,071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720" w:type="dxa"/>
            <w:vAlign w:val="bottom"/>
          </w:tcPr>
          <w:p>
            <w:pPr>
              <w:jc w:val="right"/>
              <w:spacing w:after="0"/>
              <w:rPr>
                <w:sz w:val="20"/>
                <w:szCs w:val="20"/>
                <w:color w:val="auto"/>
              </w:rPr>
            </w:pPr>
            <w:r>
              <w:rPr>
                <w:rFonts w:ascii="Arial" w:cs="Arial" w:eastAsia="Arial" w:hAnsi="Arial"/>
                <w:sz w:val="18"/>
                <w:szCs w:val="18"/>
                <w:color w:val="auto"/>
              </w:rPr>
              <w:t>5,020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62,402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928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16,552</w:t>
            </w:r>
          </w:p>
        </w:tc>
        <w:tc>
          <w:tcPr>
            <w:tcW w:w="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720" w:type="dxa"/>
            <w:vAlign w:val="bottom"/>
          </w:tcPr>
          <w:p>
            <w:pPr>
              <w:jc w:val="right"/>
              <w:spacing w:after="0"/>
              <w:rPr>
                <w:sz w:val="20"/>
                <w:szCs w:val="20"/>
                <w:color w:val="auto"/>
              </w:rPr>
            </w:pPr>
            <w:r>
              <w:rPr>
                <w:rFonts w:ascii="Arial" w:cs="Arial" w:eastAsia="Arial" w:hAnsi="Arial"/>
                <w:sz w:val="18"/>
                <w:szCs w:val="18"/>
                <w:color w:val="auto"/>
              </w:rPr>
              <w:t>350,060</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771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(133)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350,698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(15,424)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(16,195)</w:t>
            </w:r>
          </w:p>
        </w:tc>
        <w:tc>
          <w:tcPr>
            <w:tcW w:w="0" w:type="dxa"/>
            <w:vAlign w:val="bottom"/>
          </w:tcPr>
          <w:p>
            <w:pPr>
              <w:spacing w:after="0"/>
              <w:rPr>
                <w:sz w:val="1"/>
                <w:szCs w:val="1"/>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(51,265)</w:t>
            </w:r>
          </w:p>
        </w:tc>
        <w:tc>
          <w:tcPr>
            <w:tcW w:w="2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(1,314)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(66,281)</w:t>
            </w:r>
          </w:p>
        </w:tc>
        <w:tc>
          <w:tcPr>
            <w:tcW w:w="2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815</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(119,557)</w:t>
            </w:r>
          </w:p>
        </w:tc>
        <w:tc>
          <w:tcPr>
            <w:tcW w:w="24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815</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(118,786)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(134,981)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815</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720" w:type="dxa"/>
            <w:vAlign w:val="bottom"/>
          </w:tcPr>
          <w:p>
            <w:pPr>
              <w:jc w:val="right"/>
              <w:ind w:right="253"/>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Issuers</w:t>
            </w:r>
          </w:p>
        </w:tc>
        <w:tc>
          <w:tcPr>
            <w:tcW w:w="2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Casino</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479,430</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479,430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268,721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351,476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171,596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1,271,223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1,270,912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(137,607)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(137,607)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1,133,616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1,133,305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Casino</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225,144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199,962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111,069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168,557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17,004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195,811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198,594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1,034,078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1,035,937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97,368</w:t>
            </w: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(150,524)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Equity in income (loss) from unconsolidated affiliates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2,305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(150,130)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2,305</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(147,960)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(50,592)</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560" w:type="dxa"/>
            <w:vAlign w:val="bottom"/>
          </w:tcPr>
          <w:p>
            <w:pPr>
              <w:spacing w:after="0"/>
              <w:rPr>
                <w:sz w:val="14"/>
                <w:szCs w:val="14"/>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Issuers</w:t>
            </w:r>
          </w:p>
        </w:tc>
        <w:tc>
          <w:tcPr>
            <w:tcW w:w="2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395,081</w:t>
            </w:r>
          </w:p>
        </w:tc>
        <w:tc>
          <w:tcPr>
            <w:tcW w:w="32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231,988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319,229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157,735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1,104,033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1,103,863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(132,432)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(132,432)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971,601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216,160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193,947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177,105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14,581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206,742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209,839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1,037,333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2,212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1,039,333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(65,732)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(67,902)</w:t>
            </w: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(142,234)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(69,433)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212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(219,688)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2,441</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(217,518)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(285,420)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(285,420)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Issuers</w:t>
            </w:r>
          </w:p>
        </w:tc>
        <w:tc>
          <w:tcPr>
            <w:tcW w:w="2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 (50,592)</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(2,305)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2,305</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 (50,592)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195,811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2,783</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198,594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10,301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10,301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2,305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(2,305)</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13,886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9,305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(2,495)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(9,473)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12,401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340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(9,006)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409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(1,825)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1280"/>
              <w:spacing w:after="0"/>
              <w:rPr>
                <w:sz w:val="20"/>
                <w:szCs w:val="20"/>
                <w:color w:val="auto"/>
              </w:rPr>
            </w:pPr>
            <w:r>
              <w:rPr>
                <w:rFonts w:ascii="Arial" w:cs="Arial" w:eastAsia="Arial" w:hAnsi="Arial"/>
                <w:sz w:val="18"/>
                <w:szCs w:val="18"/>
                <w:color w:val="auto"/>
                <w:w w:val="98"/>
              </w:rPr>
              <w:t>Net cash provided by (used in) operating activities</w:t>
            </w: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171,151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20"/>
                <w:szCs w:val="20"/>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170,632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2"/>
              </w:rPr>
              <w:t>Capital expenditures, net of construction payables and retentions</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(44,829)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4,019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1280"/>
              <w:spacing w:after="0"/>
              <w:rPr>
                <w:sz w:val="20"/>
                <w:szCs w:val="20"/>
                <w:color w:val="auto"/>
              </w:rPr>
            </w:pPr>
            <w:r>
              <w:rPr>
                <w:rFonts w:ascii="Arial" w:cs="Arial" w:eastAsia="Arial" w:hAnsi="Arial"/>
                <w:sz w:val="18"/>
                <w:szCs w:val="18"/>
                <w:color w:val="auto"/>
                <w:w w:val="99"/>
              </w:rPr>
              <w:t>Net cash provided by (used in) investing activities</w:t>
            </w: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(42,606)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1,570</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(24,073)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2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(25,181)</w:t>
            </w: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104,414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52,535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52,540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156,949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940" w:type="dxa"/>
            <w:vAlign w:val="bottom"/>
            <w:gridSpan w:val="2"/>
          </w:tcPr>
          <w:p>
            <w:pPr>
              <w:jc w:val="right"/>
              <w:ind w:right="314"/>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(285,420)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(2,441)</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2,441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(285,420)</w:t>
            </w:r>
          </w:p>
        </w:tc>
      </w:tr>
      <w:tr>
        <w:trPr>
          <w:trHeight w:val="20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(used in) operating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206,742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209,839</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8,800</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Loss from extinguishment of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64,673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64,673</w:t>
            </w:r>
          </w:p>
        </w:tc>
      </w:tr>
      <w:tr>
        <w:trPr>
          <w:trHeight w:val="208"/>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 of deferred financing costs and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12,102</w:t>
            </w:r>
          </w:p>
        </w:tc>
      </w:tr>
      <w:tr>
        <w:trPr>
          <w:trHeight w:val="208"/>
        </w:trPr>
        <w:tc>
          <w:tcPr>
            <w:tcW w:w="4980" w:type="dxa"/>
            <w:vAlign w:val="bottom"/>
          </w:tcPr>
          <w:p>
            <w:pPr>
              <w:ind w:left="440"/>
              <w:spacing w:after="0"/>
              <w:rPr>
                <w:sz w:val="20"/>
                <w:szCs w:val="20"/>
                <w:color w:val="auto"/>
              </w:rPr>
            </w:pPr>
            <w:r>
              <w:rPr>
                <w:rFonts w:ascii="Arial" w:cs="Arial" w:eastAsia="Arial" w:hAnsi="Arial"/>
                <w:sz w:val="18"/>
                <w:szCs w:val="18"/>
                <w:color w:val="auto"/>
                <w:w w:val="95"/>
              </w:rPr>
              <w:t>Equity in income (loss) from unconsolidated affiliates, net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980" w:type="dxa"/>
            <w:vAlign w:val="bottom"/>
          </w:tcPr>
          <w:p>
            <w:pPr>
              <w:ind w:left="660"/>
              <w:spacing w:after="0"/>
              <w:rPr>
                <w:sz w:val="20"/>
                <w:szCs w:val="20"/>
                <w:color w:val="auto"/>
              </w:rPr>
            </w:pPr>
            <w:r>
              <w:rPr>
                <w:rFonts w:ascii="Arial" w:cs="Arial" w:eastAsia="Arial" w:hAnsi="Arial"/>
                <w:sz w:val="18"/>
                <w:szCs w:val="18"/>
                <w:color w:val="auto"/>
              </w:rPr>
              <w:t>distributions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11,823</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3,339</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swap fair value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5,869</w:t>
            </w:r>
          </w:p>
        </w:tc>
      </w:tr>
      <w:tr>
        <w:trPr>
          <w:trHeight w:val="208"/>
        </w:trPr>
        <w:tc>
          <w:tcPr>
            <w:tcW w:w="4980" w:type="dxa"/>
            <w:vAlign w:val="bottom"/>
          </w:tcPr>
          <w:p>
            <w:pPr>
              <w:ind w:left="440"/>
              <w:spacing w:after="0"/>
              <w:rPr>
                <w:sz w:val="20"/>
                <w:szCs w:val="20"/>
                <w:color w:val="auto"/>
              </w:rPr>
            </w:pPr>
            <w:r>
              <w:rPr>
                <w:rFonts w:ascii="Arial" w:cs="Arial" w:eastAsia="Arial" w:hAnsi="Arial"/>
                <w:sz w:val="18"/>
                <w:szCs w:val="18"/>
                <w:color w:val="auto"/>
              </w:rPr>
              <w:t>Increase (decrease) in cash from</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980" w:type="dxa"/>
            <w:vAlign w:val="bottom"/>
          </w:tcPr>
          <w:p>
            <w:pPr>
              <w:ind w:left="660"/>
              <w:spacing w:after="0"/>
              <w:rPr>
                <w:sz w:val="20"/>
                <w:szCs w:val="20"/>
                <w:color w:val="auto"/>
              </w:rPr>
            </w:pPr>
            <w:r>
              <w:rPr>
                <w:rFonts w:ascii="Arial" w:cs="Arial" w:eastAsia="Arial" w:hAnsi="Arial"/>
                <w:sz w:val="18"/>
                <w:szCs w:val="18"/>
                <w:color w:val="auto"/>
              </w:rPr>
              <w:t>changes in: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6,367</w:t>
            </w:r>
          </w:p>
        </w:tc>
      </w:tr>
      <w:tr>
        <w:trPr>
          <w:trHeight w:val="216"/>
        </w:trPr>
        <w:tc>
          <w:tcPr>
            <w:tcW w:w="498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13,966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101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14,067</w:t>
            </w:r>
          </w:p>
        </w:tc>
      </w:tr>
      <w:tr>
        <w:trPr>
          <w:trHeight w:val="216"/>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accrued expenses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13,013</w:t>
            </w:r>
          </w:p>
        </w:tc>
      </w:tr>
      <w:tr>
        <w:trPr>
          <w:trHeight w:val="223"/>
        </w:trPr>
        <w:tc>
          <w:tcPr>
            <w:tcW w:w="498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19,856</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(4,853)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15,003</w:t>
            </w:r>
          </w:p>
        </w:tc>
      </w:tr>
      <w:tr>
        <w:trPr>
          <w:trHeight w:val="208"/>
        </w:trPr>
        <w:tc>
          <w:tcPr>
            <w:tcW w:w="49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9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83,478</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79,263</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 and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retentions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(108,626)</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(108,700)</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Deposits and other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(5,371)</w:t>
            </w:r>
          </w:p>
        </w:tc>
        <w:tc>
          <w:tcPr>
            <w:tcW w:w="18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(5,371)</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affiliates,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w:t>
            </w:r>
          </w:p>
        </w:tc>
      </w:tr>
      <w:tr>
        <w:trPr>
          <w:trHeight w:val="223"/>
        </w:trPr>
        <w:tc>
          <w:tcPr>
            <w:tcW w:w="4980" w:type="dxa"/>
            <w:vAlign w:val="bottom"/>
          </w:tcPr>
          <w:p>
            <w:pPr>
              <w:ind w:left="440"/>
              <w:spacing w:after="0"/>
              <w:rPr>
                <w:sz w:val="20"/>
                <w:szCs w:val="20"/>
                <w:color w:val="auto"/>
              </w:rPr>
            </w:pPr>
            <w:r>
              <w:rPr>
                <w:rFonts w:ascii="Arial" w:cs="Arial" w:eastAsia="Arial" w:hAnsi="Arial"/>
                <w:sz w:val="18"/>
                <w:szCs w:val="18"/>
                <w:color w:val="auto"/>
              </w:rPr>
              <w:t>Proceeds from sale of assets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08"/>
        </w:trPr>
        <w:tc>
          <w:tcPr>
            <w:tcW w:w="49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investing</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9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(114,991)</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(110,077)</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(1,602,680)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(1,603,730)</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1,676,528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1,676,528</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contribution from the Parent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23"/>
        </w:trPr>
        <w:tc>
          <w:tcPr>
            <w:tcW w:w="4980" w:type="dxa"/>
            <w:vAlign w:val="bottom"/>
          </w:tcPr>
          <w:p>
            <w:pPr>
              <w:ind w:left="440"/>
              <w:spacing w:after="0"/>
              <w:rPr>
                <w:sz w:val="20"/>
                <w:szCs w:val="20"/>
                <w:color w:val="auto"/>
              </w:rPr>
            </w:pPr>
            <w:r>
              <w:rPr>
                <w:rFonts w:ascii="Arial" w:cs="Arial" w:eastAsia="Arial" w:hAnsi="Arial"/>
                <w:sz w:val="18"/>
                <w:szCs w:val="18"/>
                <w:color w:val="auto"/>
              </w:rPr>
              <w:t>Payments of financing costs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(72,101)</w:t>
            </w:r>
          </w:p>
        </w:tc>
        <w:tc>
          <w:tcPr>
            <w:tcW w:w="180" w:type="dxa"/>
            <w:vAlign w:val="bottom"/>
          </w:tcPr>
          <w:p>
            <w:pPr>
              <w:spacing w:after="0"/>
              <w:rPr>
                <w:sz w:val="19"/>
                <w:szCs w:val="19"/>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(72,101)</w:t>
            </w:r>
          </w:p>
        </w:tc>
      </w:tr>
      <w:tr>
        <w:trPr>
          <w:trHeight w:val="208"/>
        </w:trPr>
        <w:tc>
          <w:tcPr>
            <w:tcW w:w="49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financing</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9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50,697</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19,883</w:t>
            </w:r>
          </w:p>
        </w:tc>
      </w:tr>
      <w:tr>
        <w:trPr>
          <w:trHeight w:val="223"/>
        </w:trPr>
        <w:tc>
          <w:tcPr>
            <w:tcW w:w="498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65,998</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351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79"/>
              </w:rPr>
              <w:t>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66,354</w:t>
            </w:r>
          </w:p>
        </w:tc>
        <w:tc>
          <w:tcPr>
            <w:tcW w:w="100" w:type="dxa"/>
            <w:vAlign w:val="bottom"/>
          </w:tcPr>
          <w:p>
            <w:pPr>
              <w:spacing w:after="0"/>
              <w:rPr>
                <w:sz w:val="19"/>
                <w:szCs w:val="19"/>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86,237</w:t>
            </w:r>
          </w:p>
        </w:tc>
      </w:tr>
      <w:tr>
        <w:trPr>
          <w:trHeight w:val="20"/>
        </w:trPr>
        <w:tc>
          <w:tcPr>
            <w:tcW w:w="4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33"/>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Wynn Las Vegas and Encore for all of our cash flow;</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consequences of military conflicts in the Middle East and any future security alerts and/or terrorist attacks;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On December 22, 2008, we expanded Wynn Las Vegas with the opening of Encore at Wynn Las Vegas (“Encore”). We believe Wynn Las Vegas is the preeminent destination casino resort on the Strip in Las Vegas.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900" w:right="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97,000 square feet of high-end, brand-name retail shopping, including stores and boutiques by Alexander McQueen, Brioni, Cartier, Chanel, Dior, Graff, Hermes, Louis Vuitton, Manolo Blahnik, Oscar de la Renta, Vertu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response to our evaluation of our property and the reactions of our guests, we have and expect to continue to remodel and make enhancements and refinements to our resort complex. In January 2011, we completed a refurbishment and upgrade to the resort rooms at Wynn Las Vegas. A remodel of the suites was completed in early May 2011. These remodels were completed at a cost of $61 million, substantially less than the project budget of $83 million.</w:t>
      </w:r>
    </w:p>
    <w:p>
      <w:pPr>
        <w:spacing w:after="0" w:line="10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Approximately 142 acres of land immediately adjacent to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I Encore. We currently rely solely upon the operations of this resort complex for our operating cash flow. Concentration of our cash flow in one resort complex exposes us to certain risks that competitors, whose operations are more diversified, may be better able to control. In addition to the concentration of operations in a single resort complex, many of our customers are premium gaming customers who wager on credit, thus exposing us to credit risk. High-end gaming also increases the potential for variability in our results.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For the nine months ended September 30, 2011, we benefited from a higher than normal table games win percentage, improved ADR, and an overall increase in all other revenue streams including entertainment, food and beverage. While we experienced a decrease in occupancy rate over the prior year, we were able to achieve an increase in average daily rate as we adjusted rates in an effort to attract a higher quality customer who would take advantage of all aspects of our resort. While we benefited from higher win percentages on our table games and higher non-casino revenues during the nine months ended September 30, 2011, the economic environment in the Las Vegas market remains uncertain.</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recorded a net loss for the three months ended September 30, 2011 of $49.5 million compared to a net loss of $135 million recorded for the three months ended September 30, 2010. For the nine months ended September 30, 2011, we recorded a net loss of $50.6 million compared to a net loss of $285.4 million for the nine months ended September 30, 2010. This improvement was primarily a result of increased departmental profits, especially in the casino department and the hotel department. See below for a more detailed discussion regarding our results.</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2011 compared to the three months ended September 30,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Net revenues for the three months ended September 30, 2011 are comprised of $126.9 million in casino revenues (36.5% of total net revenues) and $220.3 million of net non-casino revenues (63.5% of total net revenues). Net revenues for the three months ended September 30, 2010 were comprised of $138.4 million in casino revenues (41.4% of total net revenues) and $196.1 million of net non-casino revenues (58.6% of total net revenues).</w:t>
      </w:r>
    </w:p>
    <w:p>
      <w:pPr>
        <w:spacing w:after="0" w:line="10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 decrease in casino revenues of approximately $11.5 million (8.3%) to $126.9 million for the three months ended September 30, 2011, compared to $138.4 million for the three months ended September 30, 2010. During the three months ended September 30, 2011, we experienced a 10.7% increase in drop that was offset by a decrease in the average table games win percentage compared to the prior year quarter. Our average table games win percentage (before discounts) of 18.3% was below the expected range of 21% to 24% for the three months ended September 30, 2011. For the three months ended September 30, 2010, our average table games win percentage (before discounts) was 22.8%. Slot machine handle decreased 2.4% during the three months ended September 30, 2011 as compared to 2010, however slot machine win increased 11.2% compared to the prior year quarter as our hold percentage increased.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For the three months ended September 30, 2011, room revenues were approximately $89.7 million, which represents a $14.1 million (18.7%) increase over the $75.6 million generated in the three months ended September 30, 2010. Room rates increased during the three months ended September 30, 2011, compared to the three months ended September 30, 2010, as we adjusted rates to attract a higher quality customer who would take advantage of all aspects of our resort. Also contributing to this increase was a slight increase in our occupancy. See the table below for key operating measures related to our room revenue.</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2011</w:t>
            </w:r>
          </w:p>
        </w:tc>
        <w:tc>
          <w:tcPr>
            <w:tcW w:w="9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88.3%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212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Other non-casino revenues for the three months ended September 30, 2011, which included food and beverage revenues of approximately $119.3 million, retail revenues of approximately $21.8 million, entertainment revenues of approximately $21.9 million, and other revenues from outlets, including the spa and salon, of approximately $13.5 million improved over the prior year quarter. Other non-casino revenues for the three months ended September 30, 2010 included: food and beverage revenues of approximately $111.8 million, retail revenues of approximately $20.7 million, entertainment revenues of approximately $18.1 million, and other revenues from outlets such as the spa and salon, of approximately $13.2 million. Food and beverage revenues increased primarily due to business in our nightclubs, catering business and restaurants. Entertainment revenues increased over the prior year quarter primarily due to increased revenue from Garth Brooks performances and the LeReve production show.</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For the three months ended September 30, 2011, departmental expenses included casino expenses of $71 million, room expense of $30.4 million, food and beverage expenses of $68.5 million, and entertainment, retail and other expenses of $36.5 million. Also included are general and administrative expenses of $57.6 million and $5.4 million charged as a provision for doubtful accounts receivable. For the three months ended September 30, 2010, departmental expenses included casino expense of $70.7 million, room expense of $29.9 million, food and beverage expense of $67.6 million, and entertainment, retail and other expense of $35.9 million. Also included are general and administrative expenses $59.1 million and $2.5 million charged as a provision for doubtful accounts receivable.</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Room expenses were essentially flat as the increase in revenue was due to increased average daily rates. Food and beverage expenses increased commensurate with the increase in revenues. Entertainment, retail and other expense increased primarily due to additional Garth Brooks performances compared to the three months ended September 30, 2010. General and administrative expenses decreased primarily as a result of lower property tax expense and reduced utility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$5.2 million for the three months ended September 30, 2011, compared to $5 million for the three months ended September 30,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Depreciation and amortization for the three months ended September 30, 2011 was $66.5 million compared to $63.3 million for the three months ended September 30,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Property charges and other for the three months ended September 30, 2011, were $6.6 million compared to $16.6 million for the three months ended September 30, 2010. Property charges and other for the three months ended September 30, 2011, include miscellaneous renovations and abandonments at our resort, including modifications to the Encore retail esplanade and the closure of the Blush nightclub. Property charges and other for the three months ended September 30, 2010 include a contract termination payment of $14.9 million related to a management contract for certain of the nightclubs at Wynn Las Vegas. The remaining charges were for miscellaneous renovations and abandonments.</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Interest expense was $50.3 million for the three months ended September 30, 2011, compared to $51.4 million for the three months ended September 30, 2010. There was no capitalized interest during the three months ended September 30, 2011 or 2010. Interest expense decreased approximately $1.1 million primarily due to decreased outstanding balances on the Wynn Las Vegas Revolver.</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 gain of $1.1 for the three months ended September 30, 2011, resulting from the increase in the fair value of our interest rate swap from June 30, 2011 to September 30, 2011. We recorded an expense of $1.3 million for the three months ended September 30, 2010, resulting from the decrease in the fair value of our interest rate swap from June 30, 2010 to September 30, 2010.</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described in our 2010 Annual Report on Form 10-K, we completed a tender offer for our then outstanding 6 5/8% First Mortgage Notes due 2014 (the “2014 Notes”) and subsequent call of all the remaining amounts once the tender was completed. In connection with this transaction, we recorded a loss on extinguishment of debt of $65.1 million. This included the tender offer consideration, the call premium and the related write off of the unamortized debt issue costs and original issue discount. Also, in April 2010 we completed an exchange offer for a portion of the 2014 Notes. In connection with that exchange offer, the direct costs incurred with third parties of $1.2 million were expensed.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2011 compared to the nine months ended September 30,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Net revenues for the nine months ended September 30, 2011 are comprised of $479.4 million in casino revenues (42.3% of total net revenues) and $653.9 million of net non-casino revenues (57.7% of total net revenues). Net revenues for the nine months ended September 30, 2010 were comprised of $395.1 million in casino revenues (40.7% of total net revenues) and $576.3 million of net non-casino revenues (59.3% of total net revenues).</w:t>
      </w:r>
    </w:p>
    <w:p>
      <w:pPr>
        <w:spacing w:after="0" w:line="107"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Casino revenues are comprised of the net win from our table games and slot machine operations. We experienced an increase in casino revenues of $84.3 million (or 21.3%) to $479.4 million for the nine months ended September 30, 2011, compared to $395.1 million for the nine months ended September 30, 2010. For the nine months ended September 30, 2011, we experienced an 11.6% increase in drop and an increase in the average table games win percentage compared to the prior year. Our average table games win percentage (before discounts) of 25.4% was above the expected range of 21% to 24% for the nine months ended September 30, 2011. For the nine months ended September 30, 2010, our average table games win percentage (before discounts) was 22.1%. Slot machine handle increased 2% during the nine months ended September 30, 2011 as compared to 2010 and slot machine win increased 9.2% compared to the prior year.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nine months ended September 30, 2011, room revenues were $268.7 million, which represents a $36.7 million (or 15.8%) increase over the $232 million generated in the nine months ended September 30, 2010. While we experienced a slight decrease in occupancy over the prior year, we were able to achieve an increase in Average Daily Rate (“ADR”) as we adjusted rates to attract a high quality customer who would take advantage of all aspects of our resort. See the table below for key operating measures related to our room revenue.</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2011</w:t>
            </w:r>
          </w:p>
        </w:tc>
        <w:tc>
          <w:tcPr>
            <w:tcW w:w="9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88.4%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212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Other non-casino revenues for the nine months ended September 30, 2011 include: food and beverage revenues of $351.5 million, retail revenues of $64.8 million, entertainment revenues of $61.5 million, and other revenues from outlets such as the spa and salon, of $45 million. Other non-gaming revenues for the nine months ended September 30, 2010 included food and beverage revenues of $319.2 million, retail revenues of $61 million, entertainment revenues of $51.9 million, and other revenues from outlets, including the spa and salon, of $44.6 million. The increase in food and beverage revenue is due primarily to business in our nightclubs including the opening of the Encore Beach Club and Surrender nightclub in May 2010. Entertainment revenues increased over the prior year primarily due to performances by Garth Brooks in the Encore Theater and the Sinatra “Dance with Me” show which ended its run on April 23,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For the nine months ended September 30, 2011, departmental expenses included casino expenses of $225.1 million, room expenses of $91.4 million, food and beverage expenses of $200 million, and entertainment, retail and other expenses of $111.1 million. Also included are general and administrative expenses of approximately $167.6 million and approximately $13.9 million charged as a provision for doubtful accounts receivable. For the nine months ended September 30, 2010, departmental expenses included casino expenses of $216.2 million, room expenses of $91.3 million, food and beverage expenses of $193.9 million, and entertainment, retail and other expenses of $105.4 million. Also included are general and administrative expenses of approximately $176 million and approximately $11.8 million charged as a provision for doubtful accounts receivable.</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Room expenses were flat as the increase in revenue was due to increased average daily rates. Food and beverage expenses increased commensurate with the increase in revenues. Entertainment, retail, and other expense increased primarily as a result of the Sinatra “Dance with Me” show that began in December 2010 and ended its run in April 2011, as well as additional performances by Garth Brooks compared to the nine months ended September 30, 2010. General and administrative expenses decreased primarily as a result of lower property tax expense and reduced utility costs.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$17 million for the nine months ended September 30, 2011, compared to $14.6 million for the nine months ended September 30,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nine months ended September 30, 2011, we incurred no pre-opening costs. Pre-opening costs incurred during the nine months ended September 30, 2010 of $2.1 million were related the Encore Beach Club which opened in May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Depreciation and amortization for the nine months ended September 30, 2011 was $198.6 million compared to $209.8 million for the nine months ended September 30, 2010. This decrease is primarily due to assets with a 5-year life being fully depreciated as of April 2010 at Wynn Las Vegas, off set by depreciation of the assets of the Encore Beach Club which were placed into service in May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Property charges and other for the nine months ended September 30, 2011, were $11.2 million compared to $18.3 million for the nine months ended September 30, 2010. Property charges and other for the nine months ended September 30, 2011, include miscellaneous renovations and abandonments at our resort, including modifications of the Encore retail esplanade and the closure of the Blush nightclub. Property charges and other for the nine months ended September 30, 2011 also includes the write off of certain costs related to the Sinatra “Dance with Me” show that ended its run earlier in the year.</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Property charges and other for the nine months ended September 30, 2010, include a contract termination payment of $14.9 million related to a management contract for certain of the nightclubs at Wynn Las Vegas and miscellaneous renovations and abandonments.</w:t>
      </w:r>
    </w:p>
    <w:p>
      <w:pPr>
        <w:spacing w:after="0" w:line="1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Interest expense was $151 million, net of capitalized interest of $0, for the nine months ended September 30, 2011, compared to $142.7 million, net of capitalized interest of $0.6 million for the nine months ended September 30, 2010. Our interest expense increased compared to the prior year period primarily due to higher interest rates on the First Mortgage Notes and the Wynn Las Vegas Term Loan Facilities. This increase was partially offset by reduced outstanding balances on the Wynn Las Vegas Revolver.</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 gain of $2.5 million for the nine months ended September 30, 2011, resulting from the increase in the fair value of our interest rate swap from December 31, 2010 to September 30, 2011. We recorded an expense of $5.9 million for the nine months ended September 30, 2010, resulting from the decrease in the fair value of our interest rate swap from December 31, 2009 to September 30, 2010.</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described in our 2010 Annual Report on Form 10-K, in April 2010 we completed an exchange offer for a portion of our outstanding 6 5/8% First Mortgage Notes, due 2014 (the “2014 Notes”). In connection with that exchange offer, the direct costs incurred with third parties of $4.4 million were expensed. Then in the third quarter of 2010, we completed a tender offer for the then outstanding 2014 Notes and subsequent call of all the remaining amounts once the tender was completed. In connection with this transaction, we recorded a loss on extinguishment of debt of $65.1 million. This included the tender offer consideration, the call premium and the related write off of the unamortized debt issue costs and original issue discount.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operating cash flows primarily consist of our operating income generated by our resort complex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Net cash provided by operations for the nine months ended September 30, 2011 was $170.6 million compared to $79.3 million provided by operations for the nine months ended September 30, 2010. This increase is primarily due to the increase in operating income as a result of increased casino and rooms department profitability. Cash flow from operations were negatively impacted by a $50 million increase in cash paid for interest as our interest payment dates changed with the refinancing we completed last year and ordinary changes in working capital.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At September 30, 2011, we had approximately $157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We believe that our existing cash balances, cash flows from operations and availability under our credit facility will be adequate to satisfy our anticipated uses of capital during 2011. As of September 30, 2011, we had approximately $347.5 million available to draw under our Wynn Las Vegas credit facilities. Except for scheduled quarterly payments on one note payable, we have no debt maturities until July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Capital expenditures were approximately $44.8 million for the nine months ended September 30, 2011 and related primarily to the room and suite remodel that began last year. Capital expenditures were approximately $108.7 million for the nine months ended September 30, 2010, and related primarily to the Encore Beach Club and Surrender Nightclub and a room remodel project.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September 30, 2011, our Wynn Las Vegas credit facilities, as amended, (collectively the “Wynn Las Vegas Credit Facilities”) consisted of a $108.5 million revolving credit facility, due July 2013 and a $258.4 million revolving credit facility due July 2015 (together the “Wynn Las Vegas Revolver”), and a fully drawn $40.3 million term loan facility due August 2013 and a fully drawn $330.6 million term loan facility due August 2015 (together the “Wynn Las Vegas Term Loan”). During the nine months ended September 30, 2011, we repaid approximately $20.1 million of borrowings under the Wynn Las Vegas Revolver and repurchased $4 million of Wynn Las Vegas Term Loan. As of September 30, 2011, the Wynn Las Vegas Term Loan was fully drawn and we had no borrowings outstanding under the Wynn Las Vegas Revolver. We had $19.5 million of outstanding letters of credit that reduce our availability under the Wynn Las Vegas Revolver. Accordingly, we have availability of approximately $347.5 million under the Wynn Las Vegas Revolver as of September 30, 2011.</w:t>
      </w:r>
    </w:p>
    <w:p>
      <w:pPr>
        <w:spacing w:after="0" w:line="1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At Wynn Las Vegas, we currently have three first mortgage note issues outstanding;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$500 million First Mortgage Notes due 2017,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$352 million First Mortgage Notes due 2020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$1.3 billion First Mortgage notes due 2020 (collectively, the “Notes”). The Notes rank pari passu in right of payment with borrowings under the Wynn Las Vegas Credit Facilities noted above. The Notes are senior secured obligations of Wynn Las Vegas guaranteed by certain of Wynn Las Vegas, LLC.’s subsidiaries and are secured on an equal and ratable basis (with certain exceptions) by a first priority lien on substantially all of the existing and future assets of Wynn Las Vegas, and subject to prior approval from the Nevada gaming authorities, a first priority lien on the equity interests of Wynn Las Vegas, LLC.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There have been no material changes during the quarter to our contractual obligations or off-balance sheet arrangements as disclosed in our Annual Report on Form 10-K for the year ended December 31,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 In addition, the credit facilities contain similar restrictions.</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Wynn Las Vegas, LLC will fund its operations and capital requirements from operating cash flow and availability under our credit facilities. We cannot be sure that Wynn Las Vegas, LLC will generate sufficient cash flow from operations or that future borrowings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On a continuing basis, we, our subsidiaries, and/or Wynn Resorts will evaluate, depending on market conditions, purchasing, refinancing, exchanging, tendering for or retiring certain of our outstanding debt in privately negotiated transactions, open market transactions or by other direct or indirect means.</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2010. There have been no material changes to these policies for the nine months ended September 30,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September 30, 2011,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Condensed Consolidated Statements of Operations as the swap does not qualify for hedge accounting.</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September 30, 2011, our interest rate swap had an approximate liability fair value of $6 million and is included in long-term liabilities in the accompanying Condensed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As of September 30, 2011, approximately 94% of our long-term debt was based on fixed rates including the notional amount of our swap. Based on our borrowings as of September 30, 2011, an assumed 1% change in variable rates would cause our annual interest cost to change by $1.6 million.</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jc w:val="both"/>
        <w:ind w:firstLine="464"/>
        <w:spacing w:after="0" w:line="286" w:lineRule="auto"/>
        <w:tabs>
          <w:tab w:leader="none" w:pos="709"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27" w:lineRule="exact"/>
        <w:rPr>
          <w:rFonts w:ascii="Arial" w:cs="Arial" w:eastAsia="Arial" w:hAnsi="Arial"/>
          <w:sz w:val="16"/>
          <w:szCs w:val="16"/>
          <w:color w:val="auto"/>
        </w:rPr>
      </w:pPr>
    </w:p>
    <w:p>
      <w:pPr>
        <w:jc w:val="both"/>
        <w:ind w:firstLine="464"/>
        <w:spacing w:after="0" w:line="259"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2010. There were no material changes to those risk factors during the nine months ended September 30,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3"/>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780" w:type="dxa"/>
            <w:vAlign w:val="bottom"/>
            <w:gridSpan w:val="2"/>
          </w:tcPr>
          <w:p>
            <w:pPr>
              <w:ind w:left="460"/>
              <w:spacing w:after="0"/>
              <w:rPr>
                <w:sz w:val="20"/>
                <w:szCs w:val="20"/>
                <w:color w:val="auto"/>
              </w:rPr>
            </w:pPr>
            <w:r>
              <w:rPr>
                <w:rFonts w:ascii="Arial" w:cs="Arial" w:eastAsia="Arial" w:hAnsi="Arial"/>
                <w:sz w:val="18"/>
                <w:szCs w:val="18"/>
                <w:color w:val="auto"/>
              </w:rPr>
              <w:t>(a)</w:t>
            </w:r>
          </w:p>
        </w:tc>
        <w:tc>
          <w:tcPr>
            <w:tcW w:w="10640" w:type="dxa"/>
            <w:vAlign w:val="bottom"/>
            <w:gridSpan w:val="3"/>
          </w:tcPr>
          <w:p>
            <w:pPr>
              <w:ind w:left="120"/>
              <w:spacing w:after="0"/>
              <w:rPr>
                <w:sz w:val="20"/>
                <w:szCs w:val="20"/>
                <w:color w:val="auto"/>
              </w:rPr>
            </w:pPr>
            <w:r>
              <w:rPr>
                <w:rFonts w:ascii="Arial" w:cs="Arial" w:eastAsia="Arial" w:hAnsi="Arial"/>
                <w:sz w:val="18"/>
                <w:szCs w:val="18"/>
                <w:color w:val="auto"/>
              </w:rPr>
              <w:t>Exhibits</w:t>
            </w:r>
          </w:p>
        </w:tc>
      </w:tr>
      <w:tr>
        <w:trPr>
          <w:trHeight w:val="540"/>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40" w:type="dxa"/>
            <w:vAlign w:val="bottom"/>
            <w:gridSpan w:val="3"/>
          </w:tcPr>
          <w:p>
            <w:pPr>
              <w:ind w:left="426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16"/>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1"/>
              </w:rPr>
              <w:t>The following financial information from the Company’s Quarterly Report on Form 10-Q for the quarter ended September 30, 2011, filed with</w:t>
            </w:r>
          </w:p>
        </w:tc>
      </w:tr>
      <w:tr>
        <w:trPr>
          <w:trHeight w:val="216"/>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90"/>
              </w:rPr>
              <w:t>the SEC on November 9, 2011 formatted in Extensible Business Reporting Language (XBRL): (i) the Condensed Consolidated Statements of</w:t>
            </w:r>
          </w:p>
        </w:tc>
      </w:tr>
      <w:tr>
        <w:trPr>
          <w:trHeight w:val="222"/>
        </w:trPr>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440"/>
              <w:spacing w:after="0"/>
              <w:rPr>
                <w:sz w:val="20"/>
                <w:szCs w:val="20"/>
                <w:color w:val="auto"/>
              </w:rPr>
            </w:pPr>
            <w:r>
              <w:rPr>
                <w:rFonts w:ascii="Arial" w:cs="Arial" w:eastAsia="Arial" w:hAnsi="Arial"/>
                <w:sz w:val="18"/>
                <w:szCs w:val="18"/>
                <w:color w:val="auto"/>
                <w:w w:val="86"/>
              </w:rPr>
              <w:t>Operations for the three and nine months ended September 30, 2011 and 2010, (ii) the Condensed Consolidated Balance Sheets at September 30,</w:t>
            </w:r>
          </w:p>
        </w:tc>
      </w:tr>
    </w:tbl>
    <w:p>
      <w:pPr>
        <w:ind w:left="1220"/>
        <w:spacing w:after="0"/>
        <w:rPr>
          <w:sz w:val="20"/>
          <w:szCs w:val="20"/>
          <w:color w:val="auto"/>
        </w:rPr>
      </w:pPr>
      <w:r>
        <w:rPr>
          <w:rFonts w:ascii="Arial" w:cs="Arial" w:eastAsia="Arial" w:hAnsi="Arial"/>
          <w:sz w:val="16"/>
          <w:szCs w:val="16"/>
          <w:color w:val="auto"/>
        </w:rPr>
        <w:t>2011 and December 31 2010, (iii) the Condensed Consolidated Statements of Cash Flows for the nine months ended September 30, 2011 and</w:t>
      </w:r>
    </w:p>
    <w:p>
      <w:pPr>
        <w:spacing w:after="0" w:line="3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2010,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jc w:val="both"/>
        <w:ind w:left="46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be deemed to be not filed for purposes of Section 18 of the Exchange Act, or otherwise subject to the liability of that section, and shall not be deemed part of a registration</w:t>
      </w:r>
    </w:p>
    <w:p>
      <w:pPr>
        <w:spacing w:after="0" w:line="1" w:lineRule="exact"/>
        <w:rPr>
          <w:sz w:val="20"/>
          <w:szCs w:val="20"/>
          <w:color w:val="auto"/>
        </w:rPr>
      </w:pPr>
    </w:p>
    <w:p>
      <w:pPr>
        <w:ind w:left="460"/>
        <w:spacing w:after="0" w:line="250" w:lineRule="auto"/>
        <w:rPr>
          <w:sz w:val="20"/>
          <w:szCs w:val="20"/>
          <w:color w:val="auto"/>
        </w:rPr>
      </w:pPr>
      <w:r>
        <w:rPr>
          <w:rFonts w:ascii="Arial" w:cs="Arial" w:eastAsia="Arial" w:hAnsi="Arial"/>
          <w:sz w:val="18"/>
          <w:szCs w:val="18"/>
          <w:color w:val="auto"/>
        </w:rPr>
        <w:t>statement, prospectus or other document filed under the Securities Act or the Exchange Act, except as shall be expressly set forth by specific reference in such filings.</w:t>
      </w:r>
    </w:p>
    <w:p>
      <w:pPr>
        <w:spacing w:after="0" w:line="1" w:lineRule="exact"/>
        <w:rPr>
          <w:sz w:val="20"/>
          <w:szCs w:val="20"/>
          <w:color w:val="auto"/>
        </w:rPr>
      </w:pPr>
    </w:p>
    <w:p>
      <w:pPr>
        <w:ind w:left="46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80" w:type="dxa"/>
            <w:vAlign w:val="bottom"/>
          </w:tcPr>
          <w:p>
            <w:pPr>
              <w:ind w:left="100"/>
              <w:spacing w:after="0"/>
              <w:rPr>
                <w:sz w:val="20"/>
                <w:szCs w:val="20"/>
                <w:color w:val="auto"/>
              </w:rPr>
            </w:pPr>
            <w:r>
              <w:rPr>
                <w:rFonts w:ascii="Arial" w:cs="Arial" w:eastAsia="Arial" w:hAnsi="Arial"/>
                <w:sz w:val="18"/>
                <w:szCs w:val="18"/>
                <w:b w:val="1"/>
                <w:bCs w:val="1"/>
                <w:color w:val="auto"/>
                <w:w w:val="95"/>
              </w:rPr>
              <w:t>WYNN LAS VEGAS</w:t>
            </w: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Dated: November 9, 2011</w:t>
            </w:r>
          </w:p>
        </w:tc>
        <w:tc>
          <w:tcPr>
            <w:tcW w:w="2040" w:type="dxa"/>
            <w:vAlign w:val="bottom"/>
          </w:tcPr>
          <w:p>
            <w:pPr>
              <w:ind w:left="1680"/>
              <w:spacing w:after="0"/>
              <w:rPr>
                <w:sz w:val="20"/>
                <w:szCs w:val="20"/>
                <w:color w:val="auto"/>
              </w:rPr>
            </w:pPr>
            <w:r>
              <w:rPr>
                <w:rFonts w:ascii="Arial" w:cs="Arial" w:eastAsia="Arial" w:hAnsi="Arial"/>
                <w:sz w:val="18"/>
                <w:szCs w:val="18"/>
                <w:color w:val="auto"/>
              </w:rPr>
              <w:t>By:</w:t>
            </w:r>
          </w:p>
        </w:tc>
        <w:tc>
          <w:tcPr>
            <w:tcW w:w="1680" w:type="dxa"/>
            <w:vAlign w:val="bottom"/>
            <w:vMerge w:val="restart"/>
          </w:tcPr>
          <w:p>
            <w:pPr>
              <w:ind w:left="180"/>
              <w:spacing w:after="0"/>
              <w:rPr>
                <w:sz w:val="20"/>
                <w:szCs w:val="20"/>
                <w:color w:val="auto"/>
              </w:rPr>
            </w:pPr>
            <w:r>
              <w:rPr>
                <w:rFonts w:ascii="Arial" w:cs="Arial" w:eastAsia="Arial" w:hAnsi="Arial"/>
                <w:sz w:val="18"/>
                <w:szCs w:val="18"/>
                <w:color w:val="auto"/>
              </w:rPr>
              <w:t>/s/ Scott Peterson</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1270</wp:posOffset>
            </wp:positionV>
            <wp:extent cx="36874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Marilyn Spiegel,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pacing w:after="0" w:line="21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Marilyn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Marilyn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Scott Peterson,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pacing w:after="0" w:line="21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September 30, 2011 as filed with the Securities and Exchange Commission on the date hereof (the “Report”), Marilyn Spiegel, as President of the Company and Scott Peterson, as Chief Financial Officer of the Company, each hereby certifies, pursuant to 18 U.S.C. Section 1350, as adopted pursuant to Section 906 of the Sarbanes-Oxley Act of 2002, that, to the best of his/her knowledge:</w:t>
      </w:r>
    </w:p>
    <w:p>
      <w:pPr>
        <w:spacing w:after="0" w:line="6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Marilyn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Marilyn Spiegel</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tab/>
        <w:t>President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9, 2011</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Scott Peterson</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9, 2011</w:t>
      </w:r>
    </w:p>
    <w:p>
      <w:pPr>
        <w:spacing w:after="0" w:line="16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2019-12-10T22:43:23Z</dcterms:created>
  <dcterms:modified xsi:type="dcterms:W3CDTF">2019-12-10T22:43:23Z</dcterms:modified>
</cp:coreProperties>
</file>