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370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Nevada</w:t>
            </w:r>
          </w:p>
        </w:tc>
        <w:tc>
          <w:tcPr>
            <w:tcW w:w="4260" w:type="dxa"/>
            <w:vAlign w:val="bottom"/>
          </w:tcPr>
          <w:p>
            <w:pPr>
              <w:ind w:left="1500"/>
              <w:spacing w:after="0"/>
              <w:rPr>
                <w:sz w:val="20"/>
                <w:szCs w:val="20"/>
                <w:color w:val="auto"/>
              </w:rPr>
            </w:pPr>
            <w:r>
              <w:rPr>
                <w:rFonts w:ascii="Arial" w:cs="Arial" w:eastAsia="Arial" w:hAnsi="Arial"/>
                <w:sz w:val="18"/>
                <w:szCs w:val="18"/>
                <w:b w:val="1"/>
                <w:bCs w:val="1"/>
                <w:color w:val="auto"/>
              </w:rPr>
              <w:t>000-50028</w:t>
            </w:r>
          </w:p>
        </w:tc>
        <w:tc>
          <w:tcPr>
            <w:tcW w:w="194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370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(State or other jurisdiction</w:t>
            </w:r>
          </w:p>
        </w:tc>
        <w:tc>
          <w:tcPr>
            <w:tcW w:w="4260" w:type="dxa"/>
            <w:vAlign w:val="bottom"/>
          </w:tcPr>
          <w:p>
            <w:pPr>
              <w:ind w:left="1480"/>
              <w:spacing w:after="0"/>
              <w:rPr>
                <w:sz w:val="20"/>
                <w:szCs w:val="20"/>
                <w:color w:val="auto"/>
              </w:rPr>
            </w:pPr>
            <w:r>
              <w:rPr>
                <w:rFonts w:ascii="Arial" w:cs="Arial" w:eastAsia="Arial" w:hAnsi="Arial"/>
                <w:sz w:val="14"/>
                <w:szCs w:val="14"/>
                <w:b w:val="1"/>
                <w:bCs w:val="1"/>
                <w:color w:val="auto"/>
              </w:rPr>
              <w:t>(Commission</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7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of incorporation)</w:t>
            </w:r>
          </w:p>
        </w:tc>
        <w:tc>
          <w:tcPr>
            <w:tcW w:w="4260" w:type="dxa"/>
            <w:vAlign w:val="bottom"/>
          </w:tcPr>
          <w:p>
            <w:pPr>
              <w:ind w:left="1460"/>
              <w:spacing w:after="0"/>
              <w:rPr>
                <w:sz w:val="20"/>
                <w:szCs w:val="20"/>
                <w:color w:val="auto"/>
              </w:rPr>
            </w:pPr>
            <w:r>
              <w:rPr>
                <w:rFonts w:ascii="Arial" w:cs="Arial" w:eastAsia="Arial" w:hAnsi="Arial"/>
                <w:sz w:val="14"/>
                <w:szCs w:val="14"/>
                <w:b w:val="1"/>
                <w:bCs w:val="1"/>
                <w:color w:val="auto"/>
              </w:rPr>
              <w:t>File Number)</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3700" w:type="dxa"/>
            <w:vAlign w:val="bottom"/>
          </w:tcPr>
          <w:p>
            <w:pPr>
              <w:jc w:val="center"/>
              <w:ind w:right="119"/>
              <w:spacing w:after="0"/>
              <w:rPr>
                <w:sz w:val="20"/>
                <w:szCs w:val="20"/>
                <w:color w:val="auto"/>
              </w:rPr>
            </w:pPr>
            <w:r>
              <w:rPr>
                <w:rFonts w:ascii="Arial" w:cs="Arial" w:eastAsia="Arial" w:hAnsi="Arial"/>
                <w:sz w:val="18"/>
                <w:szCs w:val="18"/>
                <w:b w:val="1"/>
                <w:bCs w:val="1"/>
                <w:color w:val="auto"/>
                <w:w w:val="88"/>
              </w:rPr>
              <w:t>3131 Las Vegas Boulevard South</w:t>
            </w:r>
          </w:p>
        </w:tc>
        <w:tc>
          <w:tcPr>
            <w:tcW w:w="42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4"/>
        </w:trPr>
        <w:tc>
          <w:tcPr>
            <w:tcW w:w="3700" w:type="dxa"/>
            <w:vAlign w:val="bottom"/>
          </w:tcPr>
          <w:p>
            <w:pPr>
              <w:jc w:val="center"/>
              <w:ind w:right="99"/>
              <w:spacing w:after="0"/>
              <w:rPr>
                <w:sz w:val="20"/>
                <w:szCs w:val="20"/>
                <w:color w:val="auto"/>
              </w:rPr>
            </w:pPr>
            <w:r>
              <w:rPr>
                <w:rFonts w:ascii="Arial" w:cs="Arial" w:eastAsia="Arial" w:hAnsi="Arial"/>
                <w:sz w:val="18"/>
                <w:szCs w:val="18"/>
                <w:b w:val="1"/>
                <w:bCs w:val="1"/>
                <w:color w:val="auto"/>
                <w:w w:val="88"/>
              </w:rPr>
              <w:t>Las Vegas, Nevada</w:t>
            </w:r>
          </w:p>
        </w:tc>
        <w:tc>
          <w:tcPr>
            <w:tcW w:w="4260" w:type="dxa"/>
            <w:vAlign w:val="bottom"/>
          </w:tcPr>
          <w:p>
            <w:pPr>
              <w:spacing w:after="0"/>
              <w:rPr>
                <w:sz w:val="20"/>
                <w:szCs w:val="20"/>
                <w:color w:val="auto"/>
              </w:rPr>
            </w:pPr>
          </w:p>
        </w:tc>
        <w:tc>
          <w:tcPr>
            <w:tcW w:w="194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70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260" w:type="dxa"/>
            <w:vAlign w:val="bottom"/>
          </w:tcPr>
          <w:p>
            <w:pPr>
              <w:spacing w:after="0"/>
              <w:rPr>
                <w:sz w:val="18"/>
                <w:szCs w:val="18"/>
                <w:color w:val="auto"/>
              </w:rPr>
            </w:pP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3700" w:type="dxa"/>
            <w:vAlign w:val="bottom"/>
          </w:tcPr>
          <w:p>
            <w:pPr>
              <w:spacing w:after="0"/>
              <w:rPr>
                <w:sz w:val="24"/>
                <w:szCs w:val="24"/>
                <w:color w:val="auto"/>
              </w:rPr>
            </w:pPr>
          </w:p>
        </w:tc>
        <w:tc>
          <w:tcPr>
            <w:tcW w:w="4260" w:type="dxa"/>
            <w:vAlign w:val="bottom"/>
          </w:tcPr>
          <w:p>
            <w:pPr>
              <w:jc w:val="right"/>
              <w:ind w:right="1801"/>
              <w:spacing w:after="0"/>
              <w:rPr>
                <w:sz w:val="20"/>
                <w:szCs w:val="20"/>
                <w:color w:val="auto"/>
              </w:rPr>
            </w:pPr>
            <w:r>
              <w:rPr>
                <w:rFonts w:ascii="Arial" w:cs="Arial" w:eastAsia="Arial" w:hAnsi="Arial"/>
                <w:sz w:val="18"/>
                <w:szCs w:val="18"/>
                <w:b w:val="1"/>
                <w:bCs w:val="1"/>
                <w:color w:val="auto"/>
              </w:rPr>
              <w:t>(702) 770-7555</w:t>
            </w:r>
          </w:p>
        </w:tc>
        <w:tc>
          <w:tcPr>
            <w:tcW w:w="1940" w:type="dxa"/>
            <w:vAlign w:val="bottom"/>
          </w:tcPr>
          <w:p>
            <w:pPr>
              <w:spacing w:after="0"/>
              <w:rPr>
                <w:sz w:val="24"/>
                <w:szCs w:val="24"/>
                <w:color w:val="auto"/>
              </w:rPr>
            </w:pPr>
          </w:p>
        </w:tc>
      </w:tr>
      <w:tr>
        <w:trPr>
          <w:trHeight w:val="186"/>
        </w:trPr>
        <w:tc>
          <w:tcPr>
            <w:tcW w:w="3700" w:type="dxa"/>
            <w:vAlign w:val="bottom"/>
          </w:tcPr>
          <w:p>
            <w:pPr>
              <w:spacing w:after="0"/>
              <w:rPr>
                <w:sz w:val="16"/>
                <w:szCs w:val="16"/>
                <w:color w:val="auto"/>
              </w:rPr>
            </w:pPr>
          </w:p>
        </w:tc>
        <w:tc>
          <w:tcPr>
            <w:tcW w:w="4260" w:type="dxa"/>
            <w:vAlign w:val="bottom"/>
          </w:tcPr>
          <w:p>
            <w:pPr>
              <w:jc w:val="center"/>
              <w:ind w:right="56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40" w:type="dxa"/>
            <w:vAlign w:val="bottom"/>
          </w:tcPr>
          <w:p>
            <w:pPr>
              <w:spacing w:after="0"/>
              <w:rPr>
                <w:sz w:val="16"/>
                <w:szCs w:val="16"/>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5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July 25, 2017, Wynn Resorts, Limited issued a press release announcing its results of operations for the second quarter ended June 30, 2017.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25, 2017, the Company announced a cash dividend of $0.50 per share, payable on August 22, 2017 to stockholders of record as of August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89"/>
              </w:rPr>
              <w:t>Press release, dated July 25, 2017, of Wynn Resorts, Limited.</w:t>
            </w:r>
          </w:p>
        </w:tc>
      </w:tr>
    </w:tbl>
    <w:p>
      <w:pPr>
        <w:sectPr>
          <w:pgSz w:w="11900" w:h="16838" w:orient="portrait"/>
          <w:cols w:equalWidth="0" w:num="1">
            <w:col w:w="11320"/>
          </w:cols>
          <w:pgMar w:left="240" w:top="742"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July 25,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July 25, 2017, of Wynn Resorts, Limited.</w:t>
            </w:r>
          </w:p>
        </w:tc>
      </w:tr>
    </w:tbl>
    <w:p>
      <w:pPr>
        <w:sectPr>
          <w:pgSz w:w="11900" w:h="16838" w:orient="portrait"/>
          <w:cols w:equalWidth="0" w:num="1">
            <w:col w:w="10179"/>
          </w:cols>
          <w:pgMar w:left="280" w:top="79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2017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July 25, 2017 — Wynn Resorts, Limited (Nasdaq: WYNN) today reported financial results for the second quarter ended June 30, 2017.</w:t>
      </w:r>
    </w:p>
    <w:p>
      <w:pPr>
        <w:spacing w:after="0" w:line="23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revenues were $1.53 billion for the second quarter of 2017, an increase of 44.5%, or $470.9 million, from $1.06 billion for the same period of 2016. The increase was the result of $414.7 million from Wynn Palace, which opened in the third quarter of 2016, and increases of $43.4 million and $12.9 million from Wynn Macau and our Las Vegas Operations, respectively.</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 U.S. generally accepted accounting principles ("GAAP") basis, net income attributable to Wynn Resorts, Limited was $74.9 million, or $0.73 per diluted share, for the second quarter of 2017, an increase of 6.4%, or $4.5 million, from $70.4 million, or $0.69 per diluted share, for the same period of 2016. The increase in net income attributable to Wynn Resorts, Limited was primarily the result of income from Wynn Palace, partially offset by an increase in interest expense as the Company is no longer capitalizing interest on Wynn Palace, losses on extinguishment of debt and an increase in the Redemption Note fair value. Adjusted net income attributable to Wynn Resorts, Limited (1) was $120.9 million, or $1.18 per diluted share, for the second quarter of 2017, compared to $108.7 million, or $1.07 per diluted share, for the same period of 2016.</w:t>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Adjusted Property EBITDA (2) was $430.0 million for the second quarter of 2017, an increase of 37.5%, or $117.3 million, from $312.7 million for the same period of 2016, primarily as a result of $87.4 million from Wynn Palace and increases of $20.0 million and $9.9 million from Wynn Macau and our Las Vegas Operations, respectively.</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August 22, 2017 to stockholders of record as of August 10,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revenues from Wynn Macau were $682.7 million for the second quarter of 2017, a 6.8% increase from $639.3 million for the same period of 2016. Adjusted Property EBITDA from Wynn Macau was $210.4 million for the second quarter of 2017, a 10.5% increase from $190.4 million for the same period of 2016.</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Casino revenues from Wynn Macau were $654.7 million for the second quarter of 2017, a 7.4% increase from $609.8 million for the same period of 2016. Table games turnover in VIP operations was $16.02 billion, a 35.3% increase from $11.84 billion for the second quarter of 2016. VIP table games win as a percentage of turnover (calculated before commissions) was 3.53%, above the expected range of 2.7% to 3.0% and below the 3.98% experienced in the second quarter of 2016. Table drop in mass market operations was $1.07 billion, a 9.0% decrease from $1.17 billion for the second quarter of 2016. Table games win in mass market operations was $221.6 million, a 5.8% decrease from $235.2 million for the second quarter of 2016. Table games win percentage in mass market operations was 20.8%, above the 20.0% experienced in the second quarter of 2016. Slot machine handle was $867.9 million, a 7.6% increase from $806.5 million for the second quarter of 2016, while slot machine win increased 18.6% to $39.5 million.</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Non-casino revenues before promotional allowances from Wynn Macau were $60.8 million for the second quarter of 2017, a 10.8% decrease from $68.1 million for the same period of 2016. Room revenues decreased 12.4%, to $25.7 million for the second quarter of 2017, from $29.3 million for the same period of 2016. Average daily rate ("ADR") was $258, a 19.6% decrease from $321 for the second quarter of 2016. Occupancy increased to 97.5% for the second quarter of 2017, from 91.5% for the same period of 2016. Revenue per available room ("REVPAR") was $252, a 14.3% decrease from $294 for the second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opened Wynn Palace on August 22, 2016, with the second quarter of 2017 representing the third full quarter of operations for the resort.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Net revenues and Adjusted Property EBITDA from Wynn Palace were $414.7 million and $87.4 million, respectively, for the second quarter of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ind w:right="100"/>
        <w:spacing w:after="0" w:line="279" w:lineRule="auto"/>
        <w:rPr>
          <w:sz w:val="20"/>
          <w:szCs w:val="20"/>
          <w:color w:val="auto"/>
        </w:rPr>
      </w:pPr>
      <w:r>
        <w:rPr>
          <w:rFonts w:ascii="Arial" w:cs="Arial" w:eastAsia="Arial" w:hAnsi="Arial"/>
          <w:sz w:val="17"/>
          <w:szCs w:val="17"/>
          <w:color w:val="auto"/>
        </w:rPr>
        <w:t>Casino revenues from Wynn Palace were $372.2 million for the second quarter of 2017. Table games turnover in VIP operations was $11.60 billion and table games win as a percentage of turnover (calculated before commissions) was 2.18%, below the expected range of 2.7% to 3.0%. Table drop in mass market operations was $729.0 million, table games win in mass market operations was $168.7 million and table games win percentage was 23.1%. Slot machine handle was $657.9 million and slot machine win was $34.8 million for the second quarter of 2017.</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Non-casino revenues before promotional allowances from Wynn Palace were $79.5 million for the second quarter of 2017. Room revenues were $35.4 million with an ADR of $232, occupancy of 96.2% and REVPAR of $224.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Net revenues from our Las Vegas Operations were $431.9 million for the second quarter of 2017, a 3.1% increase from $419.1 million for the same period of 2016. Adjusted Property EBITDA from our Las Vegas Operations was $132.2 million, an 8.1% increase from $122.3 million for the second quarter of 2016.</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Casino revenues from our Las Vegas Operations were $139.3 million for the second quarter of 2017, a 4.8% increase from $132.9 million for the same period of 2016. Table games drop was $419.3 million, a 1.9% decrease from $427.4 million for the second quarter of 2016. Table games win was $101.3 million, a 5.4% increase from $96.1 million for the second quarter of 2016. Table games win percentage was 24.2%, within the property’s expected range of 21% to 25% and above the 22.5% experienced in the second quarter of 2016. Slot machine handle was $764.8 million, a 1.9% increase from $750.4 million for the second quarter of 2016, while slot machine win increased 8.8% to $53.0 million.</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Non-casino revenues before promotional allowances from our Las Vegas Operations were $332.2 million for the second quarter of 2017, a 1.5% increase from $327.4 million for the same period of 2016. Room revenues increased 1.4%, to $115.1 million for the second quarter of 2017, from $113.6 million for the same period of 2016. ADR was $302, a 1.9% decrease from $308 for the second quarter of 2016. Occupancy increased to 88.7% for the second quarter of 2017, from the 85.3% experienced in the same period of 2016. REVPAR was $268, a 1.9% increase from $263 for the second quarter of 2016. Food and beverage revenues increased 4.0%, to $160.1 million for the second quarter of 2017, compared to the same period of 2016. Entertainment, retail and other revenues decreased 4.9%, to $57.0 million for the second quarter of 2017, compared to the same period of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June 30, 2017, we have incurred $771.8 million in total project costs. We expect to open Wynn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at June 30, 2017 were $2.80 billion.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debt outstanding at the end of the quarter was $9.81 billion, including $3.82 billion of Macau related debt, $3.16 billion of Wynn Las Vegas debt and $2.83 billion at the parent company and other.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quarter, Wynn Las Vegas, LLC completed a cash tender offer and subsequent redemption of the $900 million 5 3/8% First Mortgage Notes due 2022 (the "2022 Notes"). In connection with this transaction, Wynn Las Vegas, LLC issued $900 million 5 1/4% Senior Notes due 2027 and used the net proceeds to cover the cost of extinguishing the 2022 Notes. As a result of these transactions, the Company recorded a $20.8 million loss on extinguishment of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July 25, 2017 at 1:30 p.m. PT (4:30 p.m. 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Interested parties are invited to join the call by accessing a live audio webcast at http://www.wynnresorts.com.</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ind w:right="460"/>
        <w:spacing w:after="0" w:line="264" w:lineRule="auto"/>
        <w:rPr>
          <w:sz w:val="20"/>
          <w:szCs w:val="20"/>
          <w:color w:val="auto"/>
        </w:rPr>
      </w:pPr>
      <w:r>
        <w:rPr>
          <w:rFonts w:ascii="Arial" w:cs="Arial" w:eastAsia="Arial" w:hAnsi="Arial"/>
          <w:sz w:val="18"/>
          <w:szCs w:val="18"/>
          <w:color w:val="auto"/>
        </w:rPr>
        <w:t>On August 14, 2017, the Company will make Wynn Las Vegas, LLC financial information for the quarter ended June 30, 2017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Stephen A. Wynn, general global political and economic conditions, adverse tourism trends, dependence on a limited number of resorts, competition in the casino/hotel and resort industries, uncertainties over the development and success of new gaming and resort properties, construction risks, extensive regulation of our business, pending or future legal proceedings, cybersecurity risk and our leverage and debt service. Additional information concerning potential factors that could affect the Company’s financial results is included in the Company’s Annual Report on Form 10-K for the year ended December 31, 2016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9"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attributable to Wynn Resorts, Limited before pre-opening expenses, property charges and other, change in interest rate swap fair value, change in Redemption Note fair value, loss on extinguishment of debt, net of noncontrolling interests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12" w:lineRule="exact"/>
        <w:rPr>
          <w:rFonts w:ascii="Arial" w:cs="Arial" w:eastAsia="Arial" w:hAnsi="Arial"/>
          <w:sz w:val="16"/>
          <w:szCs w:val="16"/>
          <w:color w:val="auto"/>
        </w:rPr>
      </w:pPr>
    </w:p>
    <w:p>
      <w:pPr>
        <w:ind w:right="20"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(loss) to Adjusted Property EBITDA, and (iii) net income attributable to Wynn Resorts, Limited to Adjusted Property EBITDA.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1,166,233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742,659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2,317,457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1,475,389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142,847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278,439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170,631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346,953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301,075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164,026</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1,638,760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1,138,168</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3,225,996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2,218,929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(162,887)</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1,529,261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1,058,364</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3,004,941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2,056,042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763,241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470,372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1,503,457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922,912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38,040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117,010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105,727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210,388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185,147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75,973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119,505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324,131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236,950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79,718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157,720</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11,331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12,852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1,282,372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910,825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2,508,122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1,750,205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246,889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147,539</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305,837</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6,262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(109,578)</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109,403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86,549</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244,817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196,259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106,796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89,442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239,320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195,234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70,391</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145,612</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101,438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101,415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101,881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70,391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145,612</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45,949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79,718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(19,778)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108,671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218,203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Adjusted net income attributable to Wynn Resorts, Limited per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101,881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101,792</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 and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153,711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24,600</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26,818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210,398</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87,403</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153,855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297,801</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132,210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(55,161)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246,889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137,686</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20,933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10,580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430,011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 and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133,845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25,069</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24,373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190,389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84,964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39,339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31,112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190,389</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46,361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45,752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13,197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122,290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147,539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45,949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79,749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10,297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312,679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 and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281,852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49,309</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49,628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3,977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391,504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199,259</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180,257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590,763</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92,012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266,787</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64,586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(109,112)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496,819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277,506</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18,787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857,550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 and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270,027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49,843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47,136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6,447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5,733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381,634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(9,133)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185,516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47,136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381,634</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90,946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10,241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25,522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9,690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231,314</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14,384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305,837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79,718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157,720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12,868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20,808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612,948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from unconsolidated affiliates have been combined with property charges and other to be consistent with current year presentation.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70,391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145,612</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19,051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49,622</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137,686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79,749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277,506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157,720</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12,852</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20,933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17,814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41,700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35,997</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(6,262)</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2,861</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312,679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857,550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612,948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16,023,080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11,841,200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29,307,843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25,311,139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566,091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470,976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1,005,002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849,628</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63,735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28,239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60,129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25,052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1,067,718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1,173,234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2,204,614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2,383,334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221,567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235,197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434,471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482,697</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10,974</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867,889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806,453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1,724,572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1,902,790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83,771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591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(6)</w:t>
            </w: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11,604,672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22,646,354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252,641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587,383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729,006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1,499,024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168,746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336,373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657,850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1,315,430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419,338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877,935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902,580</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101,300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96,138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232,147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221,184</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5,121</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1,887</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764,786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750,380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1,530,700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1,467,840</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48,742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98,327</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286</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w:t>
            </w:r>
          </w:p>
        </w:tc>
      </w:tr>
    </w:tbl>
    <w:p>
      <w:pPr>
        <w:spacing w:after="0" w:line="265" w:lineRule="exact"/>
        <w:rPr>
          <w:sz w:val="20"/>
          <w:szCs w:val="20"/>
          <w:color w:val="auto"/>
        </w:rPr>
      </w:pP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machine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2019-12-06T17:49:47Z</dcterms:created>
  <dcterms:modified xsi:type="dcterms:W3CDTF">2019-12-06T17:49:47Z</dcterms:modified>
</cp:coreProperties>
</file>