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____________________</w:t>
      </w:r>
    </w:p>
    <w:p>
      <w:pPr>
        <w:spacing w:after="0" w:line="14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w:t>
      </w:r>
    </w:p>
    <w:p>
      <w:pPr>
        <w:spacing w:after="0" w:line="14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151" w:lineRule="exact"/>
        <w:rPr>
          <w:sz w:val="24"/>
          <w:szCs w:val="24"/>
          <w:color w:val="auto"/>
        </w:rPr>
      </w:pPr>
    </w:p>
    <w:p>
      <w:pPr>
        <w:ind w:left="1740"/>
        <w:spacing w:after="0"/>
        <w:rPr>
          <w:sz w:val="20"/>
          <w:szCs w:val="20"/>
          <w:color w:val="auto"/>
        </w:rPr>
      </w:pPr>
      <w:r>
        <w:rPr>
          <w:rFonts w:ascii="Arial" w:cs="Arial" w:eastAsia="Arial" w:hAnsi="Arial"/>
          <w:sz w:val="15"/>
          <w:szCs w:val="15"/>
          <w:color w:val="auto"/>
        </w:rPr>
        <w:t>Date of Report (Date of earliest event reported): February 3, 2006</w:t>
      </w:r>
    </w:p>
    <w:p>
      <w:pPr>
        <w:spacing w:after="0" w:line="186"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449" w:right="1440" w:bottom="0" w:gutter="0" w:footer="0" w:header="0"/>
        </w:sectPr>
      </w:pPr>
    </w:p>
    <w:p>
      <w:pPr>
        <w:spacing w:after="0" w:line="145"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225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225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2380" w:space="620"/>
            <w:col w:w="1940" w:space="460"/>
            <w:col w:w="4819"/>
          </w:cols>
          <w:pgMar w:left="240" w:top="449" w:right="1440" w:bottom="0" w:gutter="0" w:footer="0" w:header="0"/>
          <w:type w:val="continuous"/>
        </w:sectPr>
      </w:pPr>
    </w:p>
    <w:p>
      <w:pPr>
        <w:ind w:left="86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219"/>
          </w:cols>
          <w:pgMar w:left="240" w:top="449" w:right="1440" w:bottom="0" w:gutter="0" w:footer="0" w:header="0"/>
          <w:type w:val="continuous"/>
        </w:sectPr>
      </w:pPr>
    </w:p>
    <w:p>
      <w:pPr>
        <w:spacing w:after="0" w:line="168"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0219"/>
          </w:cols>
          <w:pgMar w:left="240" w:top="449" w:right="1440" w:bottom="0" w:gutter="0" w:footer="0" w:header="0"/>
          <w:type w:val="continuous"/>
        </w:sectPr>
      </w:pPr>
    </w:p>
    <w:p>
      <w:pPr>
        <w:spacing w:after="0" w:line="180"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333-98369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2259"/>
        <w:spacing w:after="0"/>
        <w:rPr>
          <w:sz w:val="20"/>
          <w:szCs w:val="20"/>
          <w:color w:val="auto"/>
        </w:rPr>
      </w:pPr>
      <w:r>
        <w:rPr>
          <w:rFonts w:ascii="Arial" w:cs="Arial" w:eastAsia="Arial" w:hAnsi="Arial"/>
          <w:sz w:val="18"/>
          <w:szCs w:val="18"/>
          <w:b w:val="1"/>
          <w:bCs w:val="1"/>
          <w:color w:val="auto"/>
        </w:rPr>
        <w:t>88-0494878</w:t>
      </w:r>
    </w:p>
    <w:p>
      <w:pPr>
        <w:spacing w:after="0" w:line="21" w:lineRule="exact"/>
        <w:rPr>
          <w:sz w:val="24"/>
          <w:szCs w:val="24"/>
          <w:color w:val="auto"/>
        </w:rPr>
      </w:pPr>
    </w:p>
    <w:p>
      <w:pPr>
        <w:jc w:val="center"/>
        <w:ind w:right="225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2380" w:space="620"/>
            <w:col w:w="1940" w:space="460"/>
            <w:col w:w="4819"/>
          </w:cols>
          <w:pgMar w:left="240" w:top="449" w:right="1440" w:bottom="0" w:gutter="0" w:footer="0" w:header="0"/>
          <w:type w:val="continuous"/>
        </w:sectPr>
      </w:pPr>
    </w:p>
    <w:p>
      <w:pPr>
        <w:ind w:left="86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219"/>
          </w:cols>
          <w:pgMar w:left="240" w:top="449" w:right="1440" w:bottom="0" w:gutter="0" w:footer="0" w:header="0"/>
          <w:type w:val="continuous"/>
        </w:sectPr>
      </w:pPr>
    </w:p>
    <w:p>
      <w:pPr>
        <w:spacing w:after="0" w:line="168"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Las Vegas, Nevada</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jc w:val="center"/>
        <w:ind w:right="3159"/>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jc w:val="center"/>
        <w:ind w:right="3159"/>
        <w:spacing w:after="0"/>
        <w:rPr>
          <w:sz w:val="20"/>
          <w:szCs w:val="20"/>
          <w:color w:val="auto"/>
        </w:rPr>
      </w:pPr>
      <w:r>
        <w:rPr>
          <w:rFonts w:ascii="Arial" w:cs="Arial" w:eastAsia="Arial" w:hAnsi="Arial"/>
          <w:sz w:val="16"/>
          <w:szCs w:val="16"/>
          <w:color w:val="auto"/>
        </w:rPr>
        <w:t>(Zip Code)</w:t>
      </w:r>
    </w:p>
    <w:p>
      <w:pPr>
        <w:spacing w:after="0" w:line="168" w:lineRule="exact"/>
        <w:rPr>
          <w:sz w:val="24"/>
          <w:szCs w:val="24"/>
          <w:color w:val="auto"/>
        </w:rPr>
      </w:pPr>
    </w:p>
    <w:p>
      <w:pPr>
        <w:sectPr>
          <w:pgSz w:w="11900" w:h="16838" w:orient="portrait"/>
          <w:cols w:equalWidth="0" w:num="2">
            <w:col w:w="5580" w:space="720"/>
            <w:col w:w="3919"/>
          </w:cols>
          <w:pgMar w:left="240" w:top="449" w:right="1440" w:bottom="0" w:gutter="0" w:footer="0" w:header="0"/>
          <w:type w:val="continuous"/>
        </w:sect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14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099"/>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88" w:lineRule="exact"/>
        <w:rPr>
          <w:sz w:val="24"/>
          <w:szCs w:val="24"/>
          <w:color w:val="auto"/>
        </w:rPr>
      </w:pPr>
    </w:p>
    <w:p>
      <w:pPr>
        <w:ind w:left="540" w:hanging="316"/>
        <w:spacing w:after="0"/>
        <w:tabs>
          <w:tab w:leader="none" w:pos="5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 pursuant to Rule 425 under the Securities Act (17 CFR 230.425)</w:t>
      </w:r>
    </w:p>
    <w:p>
      <w:pPr>
        <w:spacing w:after="0" w:line="138" w:lineRule="exact"/>
        <w:rPr>
          <w:rFonts w:ascii="Arial" w:cs="Arial" w:eastAsia="Arial" w:hAnsi="Arial"/>
          <w:sz w:val="22"/>
          <w:szCs w:val="22"/>
          <w:color w:val="auto"/>
        </w:rPr>
      </w:pPr>
    </w:p>
    <w:p>
      <w:pPr>
        <w:ind w:left="540" w:hanging="316"/>
        <w:spacing w:after="0"/>
        <w:tabs>
          <w:tab w:leader="none" w:pos="5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69" w:lineRule="exact"/>
        <w:rPr>
          <w:rFonts w:ascii="Arial" w:cs="Arial" w:eastAsia="Arial" w:hAnsi="Arial"/>
          <w:sz w:val="22"/>
          <w:szCs w:val="22"/>
          <w:color w:val="auto"/>
        </w:rPr>
      </w:pPr>
    </w:p>
    <w:p>
      <w:pPr>
        <w:ind w:left="540" w:right="2119" w:hanging="316"/>
        <w:spacing w:after="0" w:line="228" w:lineRule="auto"/>
        <w:tabs>
          <w:tab w:leader="none" w:pos="5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43" w:lineRule="exact"/>
        <w:rPr>
          <w:rFonts w:ascii="Arial" w:cs="Arial" w:eastAsia="Arial" w:hAnsi="Arial"/>
          <w:sz w:val="22"/>
          <w:szCs w:val="22"/>
          <w:color w:val="auto"/>
        </w:rPr>
      </w:pPr>
    </w:p>
    <w:p>
      <w:pPr>
        <w:ind w:left="540" w:right="2759" w:hanging="316"/>
        <w:spacing w:after="0" w:line="228" w:lineRule="auto"/>
        <w:tabs>
          <w:tab w:leader="none" w:pos="5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31" w:lineRule="exact"/>
        <w:rPr>
          <w:sz w:val="24"/>
          <w:szCs w:val="24"/>
          <w:color w:val="auto"/>
        </w:rPr>
      </w:pPr>
    </w:p>
    <w:p>
      <w:pPr>
        <w:jc w:val="both"/>
        <w:ind w:right="2099"/>
        <w:spacing w:after="0" w:line="294" w:lineRule="auto"/>
        <w:rPr>
          <w:sz w:val="20"/>
          <w:szCs w:val="20"/>
          <w:color w:val="auto"/>
        </w:rPr>
      </w:pPr>
      <w:r>
        <w:rPr>
          <w:rFonts w:ascii="Arial" w:cs="Arial" w:eastAsia="Arial" w:hAnsi="Arial"/>
          <w:sz w:val="16"/>
          <w:szCs w:val="16"/>
          <w:color w:val="auto"/>
        </w:rPr>
        <w:t>On February 3, 2006, Wynn Las Vegas, LLC (“WLV”), a wholly owned subsidiary of Wynn Resorts, Limited, entered into an amendment to its employment agreement with Andrew Pascal, the President and Chief Operating Officer of WLV. The amendment extends the term of Mr. Pascal's employment agreement from July 21, 2008 to November 7, 2009 and provides for an increase in base salary from $400,000 per year to $750,000 per year. All other terms of Mr. Pascal's employment agreement remain unchanged.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 copy of the amendment is attached hereto as Exhibit 10.1, and is incorporated herein by reference.</w:t>
      </w:r>
    </w:p>
    <w:p>
      <w:pPr>
        <w:spacing w:after="0" w:line="200" w:lineRule="exact"/>
        <w:rPr>
          <w:sz w:val="24"/>
          <w:szCs w:val="24"/>
          <w:color w:val="auto"/>
        </w:rPr>
      </w:pPr>
    </w:p>
    <w:p>
      <w:pPr>
        <w:spacing w:after="0" w:line="241"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80" w:lineRule="exact"/>
        <w:rPr>
          <w:sz w:val="24"/>
          <w:szCs w:val="24"/>
          <w:color w:val="auto"/>
        </w:rPr>
      </w:pPr>
    </w:p>
    <w:p>
      <w:pPr>
        <w:ind w:left="1600" w:hanging="647"/>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0219"/>
          </w:cols>
          <w:pgMar w:left="240" w:top="449" w:right="1440" w:bottom="0" w:gutter="0" w:footer="0" w:header="0"/>
          <w:type w:val="continuous"/>
        </w:sectPr>
      </w:pPr>
    </w:p>
    <w:bookmarkStart w:id="1" w:name="page2"/>
    <w:bookmarkEnd w:id="1"/>
    <w:tbl>
      <w:tblPr>
        <w:tblLayout w:type="fixed"/>
        <w:tblInd w:w="160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184"/>
        </w:trPr>
        <w:tc>
          <w:tcPr>
            <w:tcW w:w="1040" w:type="dxa"/>
            <w:vAlign w:val="bottom"/>
            <w:gridSpan w:val="2"/>
          </w:tcPr>
          <w:p>
            <w:pPr>
              <w:spacing w:after="0" w:line="184" w:lineRule="exact"/>
              <w:rPr>
                <w:sz w:val="20"/>
                <w:szCs w:val="20"/>
                <w:color w:val="auto"/>
              </w:rPr>
            </w:pPr>
            <w:r>
              <w:rPr>
                <w:rFonts w:ascii="Arial" w:cs="Arial" w:eastAsia="Arial" w:hAnsi="Arial"/>
                <w:sz w:val="18"/>
                <w:szCs w:val="18"/>
                <w:color w:val="auto"/>
              </w:rPr>
              <w:t>Number</w:t>
            </w:r>
          </w:p>
        </w:tc>
        <w:tc>
          <w:tcPr>
            <w:tcW w:w="4500" w:type="dxa"/>
            <w:vAlign w:val="bottom"/>
            <w:gridSpan w:val="3"/>
          </w:tcPr>
          <w:p>
            <w:pPr>
              <w:ind w:left="460"/>
              <w:spacing w:after="0" w:line="184" w:lineRule="exact"/>
              <w:rPr>
                <w:sz w:val="20"/>
                <w:szCs w:val="20"/>
                <w:color w:val="auto"/>
              </w:rPr>
            </w:pPr>
            <w:r>
              <w:rPr>
                <w:rFonts w:ascii="Arial" w:cs="Arial" w:eastAsia="Arial" w:hAnsi="Arial"/>
                <w:sz w:val="18"/>
                <w:szCs w:val="18"/>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377"/>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88"/>
              </w:rPr>
              <w:t>First Amendment to Employment Agreement, dated as of</w:t>
            </w:r>
          </w:p>
        </w:tc>
      </w:tr>
      <w:tr>
        <w:trPr>
          <w:trHeight w:val="216"/>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w w:val="92"/>
              </w:rPr>
              <w:t>February 3, 2006, between Wynn Las Vegas, LLC and</w:t>
            </w:r>
          </w:p>
        </w:tc>
      </w:tr>
      <w:tr>
        <w:trPr>
          <w:trHeight w:val="222"/>
        </w:trPr>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Andrew Pascal.</w:t>
            </w:r>
          </w:p>
        </w:tc>
      </w:tr>
      <w:tr>
        <w:trPr>
          <w:trHeight w:val="648"/>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00" w:type="dxa"/>
            <w:vAlign w:val="bottom"/>
            <w:gridSpan w:val="3"/>
          </w:tcPr>
          <w:p>
            <w:pPr>
              <w:ind w:left="138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359410</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9, 2006</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/s/ Marc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-13970</wp:posOffset>
            </wp:positionV>
            <wp:extent cx="1938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38655"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8"/>
          <w:szCs w:val="18"/>
          <w:color w:val="auto"/>
        </w:rPr>
        <w:t>Marc Rubinstein</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Senior Vice President and General</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9, 2006</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Wynn Resorts Holdings, LLC, its sole member</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/s/ Marc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-13970</wp:posOffset>
            </wp:positionV>
            <wp:extent cx="1938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8655"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8"/>
          <w:szCs w:val="18"/>
          <w:color w:val="auto"/>
        </w:rPr>
        <w:t>Marc Rubinstein</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Senior Vice President and General</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131" w:right="1440" w:bottom="1440" w:gutter="0" w:footer="0" w:header="0"/>
        </w:sectPr>
      </w:pPr>
    </w:p>
    <w:bookmarkStart w:id="2" w:name="page3"/>
    <w:bookmarkEnd w:id="2"/>
    <w:p>
      <w:pPr>
        <w:jc w:val="right"/>
        <w:ind w:right="2099"/>
        <w:spacing w:after="0"/>
        <w:rPr>
          <w:sz w:val="20"/>
          <w:szCs w:val="20"/>
          <w:color w:val="auto"/>
        </w:rPr>
      </w:pPr>
      <w:r>
        <w:rPr>
          <w:rFonts w:ascii="Arial" w:cs="Arial" w:eastAsia="Arial" w:hAnsi="Arial"/>
          <w:sz w:val="18"/>
          <w:szCs w:val="18"/>
          <w:color w:val="auto"/>
        </w:rPr>
        <w:t>Exhibit 10.1</w:t>
      </w:r>
    </w:p>
    <w:p>
      <w:pPr>
        <w:spacing w:after="0" w:line="24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FIRST AMENDMENT TO</w:t>
      </w:r>
    </w:p>
    <w:p>
      <w:pPr>
        <w:spacing w:after="0" w:line="18"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EMPLOYMENT AGREEMENT</w:t>
      </w:r>
    </w:p>
    <w:p>
      <w:pPr>
        <w:spacing w:after="0" w:line="200" w:lineRule="exact"/>
        <w:rPr>
          <w:sz w:val="20"/>
          <w:szCs w:val="20"/>
          <w:color w:val="auto"/>
        </w:rPr>
      </w:pPr>
    </w:p>
    <w:p>
      <w:pPr>
        <w:spacing w:after="0" w:line="206" w:lineRule="exact"/>
        <w:rPr>
          <w:sz w:val="20"/>
          <w:szCs w:val="20"/>
          <w:color w:val="auto"/>
        </w:rPr>
      </w:pPr>
    </w:p>
    <w:p>
      <w:pPr>
        <w:jc w:val="both"/>
        <w:ind w:right="2119" w:firstLine="648"/>
        <w:spacing w:after="0" w:line="244"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February 3, 2006, by and between Wynn Las Vegas, LLC (“</w:t>
      </w:r>
      <w:r>
        <w:rPr>
          <w:rFonts w:ascii="Arial" w:cs="Arial" w:eastAsia="Arial" w:hAnsi="Arial"/>
          <w:sz w:val="18"/>
          <w:szCs w:val="18"/>
          <w:b w:val="1"/>
          <w:bCs w:val="1"/>
          <w:color w:val="auto"/>
        </w:rPr>
        <w:t>Employer</w:t>
      </w:r>
      <w:r>
        <w:rPr>
          <w:rFonts w:ascii="Arial" w:cs="Arial" w:eastAsia="Arial" w:hAnsi="Arial"/>
          <w:sz w:val="18"/>
          <w:szCs w:val="18"/>
          <w:color w:val="auto"/>
        </w:rPr>
        <w:t>”) and Andrew Pascal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8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RECITALS</w:t>
      </w:r>
    </w:p>
    <w:p>
      <w:pPr>
        <w:spacing w:after="0" w:line="234" w:lineRule="exact"/>
        <w:rPr>
          <w:sz w:val="20"/>
          <w:szCs w:val="20"/>
          <w:color w:val="auto"/>
        </w:rPr>
      </w:pPr>
    </w:p>
    <w:p>
      <w:pPr>
        <w:jc w:val="both"/>
        <w:ind w:right="2119" w:firstLine="648"/>
        <w:spacing w:after="0" w:line="239" w:lineRule="auto"/>
        <w:rPr>
          <w:sz w:val="20"/>
          <w:szCs w:val="20"/>
          <w:color w:val="auto"/>
        </w:rPr>
      </w:pPr>
      <w:r>
        <w:rPr>
          <w:rFonts w:ascii="Arial" w:cs="Arial" w:eastAsia="Arial" w:hAnsi="Arial"/>
          <w:sz w:val="18"/>
          <w:szCs w:val="18"/>
          <w:color w:val="auto"/>
        </w:rPr>
        <w:t>WHEREAS, Employer and Employee have entered into that certain Employment Agreement, dated as of August 31, 2005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209" w:lineRule="exact"/>
        <w:rPr>
          <w:sz w:val="20"/>
          <w:szCs w:val="20"/>
          <w:color w:val="auto"/>
        </w:rPr>
      </w:pPr>
    </w:p>
    <w:p>
      <w:pPr>
        <w:jc w:val="both"/>
        <w:ind w:right="2119" w:firstLine="648"/>
        <w:spacing w:after="0" w:line="239" w:lineRule="auto"/>
        <w:rPr>
          <w:sz w:val="20"/>
          <w:szCs w:val="20"/>
          <w:color w:val="auto"/>
        </w:rPr>
      </w:pPr>
      <w:r>
        <w:rPr>
          <w:rFonts w:ascii="Arial" w:cs="Arial" w:eastAsia="Arial" w:hAnsi="Arial"/>
          <w:sz w:val="18"/>
          <w:szCs w:val="18"/>
          <w:color w:val="auto"/>
        </w:rPr>
        <w:t>WHEREAS, Employer is willing and Employee desires to modify certain terms and conditions to the Agreement;</w:t>
      </w:r>
    </w:p>
    <w:p>
      <w:pPr>
        <w:spacing w:after="0" w:line="209" w:lineRule="exact"/>
        <w:rPr>
          <w:sz w:val="20"/>
          <w:szCs w:val="20"/>
          <w:color w:val="auto"/>
        </w:rPr>
      </w:pPr>
    </w:p>
    <w:p>
      <w:pPr>
        <w:jc w:val="both"/>
        <w:ind w:right="2119" w:firstLine="648"/>
        <w:spacing w:after="0" w:line="299" w:lineRule="auto"/>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 Amendment, the parties hereto agree as follows:</w:t>
      </w:r>
    </w:p>
    <w:p>
      <w:pPr>
        <w:spacing w:after="0" w:line="163" w:lineRule="exact"/>
        <w:rPr>
          <w:sz w:val="20"/>
          <w:szCs w:val="20"/>
          <w:color w:val="auto"/>
        </w:rPr>
      </w:pPr>
    </w:p>
    <w:p>
      <w:pPr>
        <w:ind w:left="1360" w:hanging="704"/>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Amendments.</w:t>
      </w:r>
    </w:p>
    <w:p>
      <w:pPr>
        <w:spacing w:after="0" w:line="211" w:lineRule="exact"/>
        <w:rPr>
          <w:rFonts w:ascii="Arial" w:cs="Arial" w:eastAsia="Arial" w:hAnsi="Arial"/>
          <w:sz w:val="18"/>
          <w:szCs w:val="18"/>
          <w:color w:val="auto"/>
        </w:rPr>
      </w:pPr>
    </w:p>
    <w:p>
      <w:pPr>
        <w:ind w:right="2119" w:firstLine="1297"/>
        <w:spacing w:after="0" w:line="239" w:lineRule="auto"/>
        <w:rPr>
          <w:rFonts w:ascii="Arial" w:cs="Arial" w:eastAsia="Arial" w:hAnsi="Arial"/>
          <w:sz w:val="18"/>
          <w:szCs w:val="18"/>
          <w:color w:val="auto"/>
        </w:rPr>
      </w:pPr>
      <w:r>
        <w:rPr>
          <w:rFonts w:ascii="Arial" w:cs="Arial" w:eastAsia="Arial" w:hAnsi="Arial"/>
          <w:sz w:val="18"/>
          <w:szCs w:val="18"/>
          <w:color w:val="auto"/>
        </w:rPr>
        <w:t>a. The Employer and Employee hereby agree to amend Section 3 in its entirety to read as follows:</w:t>
      </w:r>
    </w:p>
    <w:p>
      <w:pPr>
        <w:spacing w:after="0" w:line="187" w:lineRule="exact"/>
        <w:rPr>
          <w:sz w:val="20"/>
          <w:szCs w:val="20"/>
          <w:color w:val="auto"/>
        </w:rPr>
      </w:pPr>
    </w:p>
    <w:p>
      <w:pPr>
        <w:jc w:val="both"/>
        <w:ind w:left="660" w:right="2099" w:hanging="4"/>
        <w:spacing w:after="0" w:line="236" w:lineRule="auto"/>
        <w:tabs>
          <w:tab w:leader="none" w:pos="16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DUTIES OF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perform the duties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President and Chief Operating Officer </w:t>
      </w:r>
      <w:r>
        <w:rPr>
          <w:rFonts w:ascii="Arial" w:cs="Arial" w:eastAsia="Arial" w:hAnsi="Arial"/>
          <w:sz w:val="18"/>
          <w:szCs w:val="18"/>
          <w:color w:val="auto"/>
        </w:rPr>
        <w:t>commencing on the Effective Date and ending 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close of business on October 4, 2005. Commencing on October 5, 2005, Employee shall perform the duties of </w:t>
      </w:r>
      <w:r>
        <w:rPr>
          <w:rFonts w:ascii="Arial" w:cs="Arial" w:eastAsia="Arial" w:hAnsi="Arial"/>
          <w:sz w:val="18"/>
          <w:szCs w:val="18"/>
          <w:b w:val="1"/>
          <w:bCs w:val="1"/>
          <w:color w:val="auto"/>
        </w:rPr>
        <w:t>President and Chief Operating Officer</w:t>
      </w:r>
      <w:r>
        <w:rPr>
          <w:rFonts w:ascii="Arial" w:cs="Arial" w:eastAsia="Arial" w:hAnsi="Arial"/>
          <w:sz w:val="18"/>
          <w:szCs w:val="18"/>
          <w:color w:val="auto"/>
        </w:rPr>
        <w:t xml:space="preserve"> reporting directly to the Chief Operating Officer of Wynn Resorts, Limited, and shall hold such offices with Employer and perform such other similar duties as may be assigned to Employee by Employer or by the Chief Operating Officer of Wynn Resorts, Limited,, including, but not limited to (a) the efficient and continuous operation of Employer and Employer’s Affiliates, (b) the preparation of relevant budgets and allocation or relevant funds, (c) the selection and delegation of duties and responsibilities of subordinates, (d) the direction, review and oversight of all programs and projects under Employee’s supervision, and (e) such other and further related duties as specifically assigned by Employer to Employee. The foregoing notwithstanding, Employee shall devote such time to Employer’s other Affiliates as may be required by Employer or the Chief Operating Officer of Wynn Resorts, Limited, provided such duties are not inconsistent with Employee’s primary duties to Employer hereunder. Notwithstanding the foregoing, Employer and Employee agree that in the event Employer materially increases the responsibilities and duties of Employee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right="2119"/>
        <w:spacing w:after="0" w:line="238" w:lineRule="auto"/>
        <w:rPr>
          <w:sz w:val="20"/>
          <w:szCs w:val="20"/>
          <w:color w:val="auto"/>
        </w:rPr>
      </w:pPr>
      <w:r>
        <w:rPr>
          <w:rFonts w:ascii="Arial" w:cs="Arial" w:eastAsia="Arial" w:hAnsi="Arial"/>
          <w:sz w:val="18"/>
          <w:szCs w:val="18"/>
          <w:color w:val="auto"/>
        </w:rPr>
        <w:t>changes Employee’s title, Employer and Employee will enter into good faith negotiations to amend Employee’s compensation in order to make it commensurate with any such additional responsibilities and duties.”</w:t>
      </w:r>
    </w:p>
    <w:p>
      <w:pPr>
        <w:spacing w:after="0" w:line="195" w:lineRule="exact"/>
        <w:rPr>
          <w:sz w:val="20"/>
          <w:szCs w:val="20"/>
          <w:color w:val="auto"/>
        </w:rPr>
      </w:pPr>
    </w:p>
    <w:p>
      <w:pPr>
        <w:ind w:left="1960" w:hanging="655"/>
        <w:spacing w:after="0"/>
        <w:tabs>
          <w:tab w:leader="none" w:pos="1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Employer and Employee hereby agree to amend Section 5 in its entirety to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read as follows:</w:t>
      </w:r>
    </w:p>
    <w:p>
      <w:pPr>
        <w:spacing w:after="0" w:line="178" w:lineRule="exact"/>
        <w:rPr>
          <w:sz w:val="20"/>
          <w:szCs w:val="20"/>
          <w:color w:val="auto"/>
        </w:rPr>
      </w:pPr>
    </w:p>
    <w:p>
      <w:pPr>
        <w:jc w:val="both"/>
        <w:ind w:left="660" w:right="2119"/>
        <w:spacing w:after="0" w:line="272" w:lineRule="auto"/>
        <w:rPr>
          <w:sz w:val="20"/>
          <w:szCs w:val="20"/>
          <w:color w:val="auto"/>
        </w:rPr>
      </w:pPr>
      <w:r>
        <w:rPr>
          <w:rFonts w:ascii="Arial" w:cs="Arial" w:eastAsia="Arial" w:hAnsi="Arial"/>
          <w:sz w:val="16"/>
          <w:szCs w:val="16"/>
          <w:b w:val="1"/>
          <w:bCs w:val="1"/>
          <w:i w:val="1"/>
          <w:iCs w:val="1"/>
          <w:color w:val="auto"/>
        </w:rPr>
        <w:t xml:space="preserve">“5. </w:t>
      </w:r>
      <w:r>
        <w:rPr>
          <w:rFonts w:ascii="Arial" w:cs="Arial" w:eastAsia="Arial" w:hAnsi="Arial"/>
          <w:sz w:val="16"/>
          <w:szCs w:val="16"/>
          <w:b w:val="1"/>
          <w:bCs w:val="1"/>
          <w:i w:val="1"/>
          <w:iCs w:val="1"/>
          <w:u w:val="single" w:color="auto"/>
          <w:color w:val="auto"/>
        </w:rPr>
        <w:t>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sooner terminated as provided in this Agreement, the term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(the “</w:t>
      </w:r>
      <w:r>
        <w:rPr>
          <w:rFonts w:ascii="Arial" w:cs="Arial" w:eastAsia="Arial" w:hAnsi="Arial"/>
          <w:sz w:val="16"/>
          <w:szCs w:val="16"/>
          <w:b w:val="1"/>
          <w:bCs w:val="1"/>
          <w:color w:val="auto"/>
        </w:rPr>
        <w:t>Term”</w:t>
      </w:r>
      <w:r>
        <w:rPr>
          <w:rFonts w:ascii="Arial" w:cs="Arial" w:eastAsia="Arial" w:hAnsi="Arial"/>
          <w:sz w:val="16"/>
          <w:szCs w:val="16"/>
          <w:color w:val="auto"/>
        </w:rPr>
        <w:t>) shall commence as of the Effective Date and terminate on November 7, 2009. Following the Term, unless the parties enter into a new written contract of employment,</w:t>
      </w:r>
    </w:p>
    <w:p>
      <w:pPr>
        <w:spacing w:after="0" w:line="2" w:lineRule="exact"/>
        <w:rPr>
          <w:sz w:val="20"/>
          <w:szCs w:val="20"/>
          <w:color w:val="auto"/>
        </w:rPr>
      </w:pPr>
    </w:p>
    <w:p>
      <w:pPr>
        <w:jc w:val="both"/>
        <w:ind w:left="660" w:right="2119" w:hanging="4"/>
        <w:spacing w:after="0" w:line="237" w:lineRule="auto"/>
        <w:tabs>
          <w:tab w:leader="none" w:pos="927"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90" w:lineRule="exact"/>
        <w:rPr>
          <w:rFonts w:ascii="Arial" w:cs="Arial" w:eastAsia="Arial" w:hAnsi="Arial"/>
          <w:sz w:val="18"/>
          <w:szCs w:val="18"/>
          <w:color w:val="auto"/>
        </w:rPr>
      </w:pPr>
    </w:p>
    <w:p>
      <w:pPr>
        <w:ind w:left="2280" w:hanging="975"/>
        <w:spacing w:after="0"/>
        <w:tabs>
          <w:tab w:leader="none" w:pos="2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Employer and Employee hereby agree to amend Section 7(a) in its</w:t>
      </w:r>
    </w:p>
    <w:p>
      <w:pPr>
        <w:spacing w:after="0"/>
        <w:rPr>
          <w:rFonts w:ascii="Arial" w:cs="Arial" w:eastAsia="Arial" w:hAnsi="Arial"/>
          <w:sz w:val="18"/>
          <w:szCs w:val="18"/>
          <w:color w:val="auto"/>
        </w:rPr>
      </w:pPr>
      <w:r>
        <w:rPr>
          <w:rFonts w:ascii="Arial" w:cs="Arial" w:eastAsia="Arial" w:hAnsi="Arial"/>
          <w:sz w:val="18"/>
          <w:szCs w:val="18"/>
          <w:color w:val="auto"/>
        </w:rPr>
        <w:t>entirety to read as follows:</w:t>
      </w:r>
    </w:p>
    <w:p>
      <w:pPr>
        <w:spacing w:after="0" w:line="176" w:lineRule="exact"/>
        <w:rPr>
          <w:sz w:val="20"/>
          <w:szCs w:val="20"/>
          <w:color w:val="auto"/>
        </w:rPr>
      </w:pPr>
    </w:p>
    <w:p>
      <w:pPr>
        <w:jc w:val="both"/>
        <w:ind w:left="660" w:right="2099"/>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7(a)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w:t>
      </w:r>
      <w:r>
        <w:rPr>
          <w:rFonts w:ascii="Arial" w:cs="Arial" w:eastAsia="Arial" w:hAnsi="Arial"/>
          <w:sz w:val="16"/>
          <w:szCs w:val="16"/>
          <w:color w:val="auto"/>
        </w:rPr>
        <w:t xml:space="preserve"> Employer hereby covenants and agrees to pay to Employee, and Employee hereby covenants and agrees to accept from Employer, a base salary at the rate of Four Hundred Thousand Dollars ($400,000) per annum from the Effective Date through October 4, 2005 and thereafter at a base salary of Seven Hundred fifty Thousand Dollars ($750,000) per annum payable in such weekly, bi-weekly or semi-monthly installments as shall be convenient to Employer (the “</w:t>
      </w:r>
      <w:r>
        <w:rPr>
          <w:rFonts w:ascii="Arial" w:cs="Arial" w:eastAsia="Arial" w:hAnsi="Arial"/>
          <w:sz w:val="16"/>
          <w:szCs w:val="16"/>
          <w:b w:val="1"/>
          <w:bCs w:val="1"/>
          <w:color w:val="auto"/>
        </w:rPr>
        <w:t>Base Salary</w:t>
      </w:r>
      <w:r>
        <w:rPr>
          <w:rFonts w:ascii="Arial" w:cs="Arial" w:eastAsia="Arial" w:hAnsi="Arial"/>
          <w:sz w:val="16"/>
          <w:szCs w:val="16"/>
          <w:color w:val="auto"/>
        </w:rPr>
        <w:t>”). Employee’s Base Salary shall be exclusive of and in addition to any other benefits which Employer, in its sole discretion, may make available to Employee, including, but not limited to, those benefits described in Subparagraphs 7(b) through (f) of this Agreement. Employee’s Base Salary shall be subject to merit review periodically, and may be increased but not decreased as a result of any such review.</w:t>
      </w:r>
    </w:p>
    <w:p>
      <w:pPr>
        <w:spacing w:after="0" w:line="381" w:lineRule="exact"/>
        <w:rPr>
          <w:sz w:val="20"/>
          <w:szCs w:val="20"/>
          <w:color w:val="auto"/>
        </w:rPr>
      </w:pPr>
    </w:p>
    <w:p>
      <w:pPr>
        <w:jc w:val="both"/>
        <w:ind w:right="2119" w:firstLine="656"/>
        <w:spacing w:after="0" w:line="238" w:lineRule="auto"/>
        <w:tabs>
          <w:tab w:leader="none" w:pos="136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ectPr>
          <w:pgSz w:w="11900" w:h="16838" w:orient="portrait"/>
          <w:cols w:equalWidth="0" w:num="1">
            <w:col w:w="10219"/>
          </w:cols>
          <w:pgMar w:left="240" w:top="131" w:right="1440" w:bottom="0" w:gutter="0" w:footer="0" w:header="0"/>
        </w:sectPr>
      </w:pPr>
    </w:p>
    <w:bookmarkStart w:id="3" w:name="page4"/>
    <w:bookmarkEnd w:id="3"/>
    <w:p>
      <w:pPr>
        <w:ind w:right="2119" w:firstLine="648"/>
        <w:spacing w:after="0" w:line="239" w:lineRule="auto"/>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187"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WYNN LAS VEGAS, LLC</w:t>
            </w:r>
          </w:p>
        </w:tc>
        <w:tc>
          <w:tcPr>
            <w:tcW w:w="2820" w:type="dxa"/>
            <w:vAlign w:val="bottom"/>
            <w:gridSpan w:val="2"/>
          </w:tcPr>
          <w:p>
            <w:pPr>
              <w:ind w:left="1400"/>
              <w:spacing w:after="0"/>
              <w:rPr>
                <w:sz w:val="20"/>
                <w:szCs w:val="20"/>
                <w:color w:val="auto"/>
              </w:rPr>
            </w:pPr>
            <w:r>
              <w:rPr>
                <w:rFonts w:ascii="Arial" w:cs="Arial" w:eastAsia="Arial" w:hAnsi="Arial"/>
                <w:sz w:val="18"/>
                <w:szCs w:val="18"/>
                <w:b w:val="1"/>
                <w:bCs w:val="1"/>
                <w:color w:val="auto"/>
              </w:rPr>
              <w:t>EMPLOYEE</w:t>
            </w:r>
          </w:p>
        </w:tc>
      </w:tr>
      <w:tr>
        <w:trPr>
          <w:trHeight w:val="313"/>
        </w:trPr>
        <w:tc>
          <w:tcPr>
            <w:tcW w:w="2960" w:type="dxa"/>
            <w:vAlign w:val="bottom"/>
            <w:gridSpan w:val="3"/>
          </w:tcPr>
          <w:p>
            <w:pPr>
              <w:spacing w:after="0"/>
              <w:rPr>
                <w:sz w:val="20"/>
                <w:szCs w:val="20"/>
                <w:color w:val="auto"/>
              </w:rPr>
            </w:pPr>
            <w:r>
              <w:rPr>
                <w:rFonts w:ascii="Arial" w:cs="Arial" w:eastAsia="Arial" w:hAnsi="Arial"/>
                <w:sz w:val="18"/>
                <w:szCs w:val="18"/>
                <w:color w:val="auto"/>
              </w:rPr>
              <w:t>By:    /s/ David Sisk</w:t>
            </w:r>
          </w:p>
        </w:tc>
        <w:tc>
          <w:tcPr>
            <w:tcW w:w="2820" w:type="dxa"/>
            <w:vAlign w:val="bottom"/>
            <w:gridSpan w:val="2"/>
          </w:tcPr>
          <w:p>
            <w:pPr>
              <w:ind w:left="1400"/>
              <w:spacing w:after="0"/>
              <w:rPr>
                <w:sz w:val="20"/>
                <w:szCs w:val="20"/>
                <w:color w:val="auto"/>
              </w:rPr>
            </w:pPr>
            <w:r>
              <w:rPr>
                <w:rFonts w:ascii="Arial" w:cs="Arial" w:eastAsia="Arial" w:hAnsi="Arial"/>
                <w:sz w:val="18"/>
                <w:szCs w:val="18"/>
                <w:color w:val="auto"/>
                <w:w w:val="97"/>
              </w:rPr>
              <w:t>/s/ Andrew Pascal</w:t>
            </w:r>
          </w:p>
        </w:tc>
      </w:tr>
      <w:tr>
        <w:trPr>
          <w:trHeight w:val="20"/>
        </w:trPr>
        <w:tc>
          <w:tcPr>
            <w:tcW w:w="5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13"/>
        </w:trPr>
        <w:tc>
          <w:tcPr>
            <w:tcW w:w="2960" w:type="dxa"/>
            <w:vAlign w:val="bottom"/>
            <w:gridSpan w:val="3"/>
          </w:tcPr>
          <w:p>
            <w:pPr>
              <w:spacing w:after="0"/>
              <w:rPr>
                <w:sz w:val="20"/>
                <w:szCs w:val="20"/>
                <w:color w:val="auto"/>
              </w:rPr>
            </w:pPr>
            <w:r>
              <w:rPr>
                <w:rFonts w:ascii="Arial" w:cs="Arial" w:eastAsia="Arial" w:hAnsi="Arial"/>
                <w:sz w:val="18"/>
                <w:szCs w:val="18"/>
                <w:color w:val="auto"/>
              </w:rPr>
              <w:t>David Sisk</w:t>
            </w:r>
          </w:p>
        </w:tc>
        <w:tc>
          <w:tcPr>
            <w:tcW w:w="2820" w:type="dxa"/>
            <w:vAlign w:val="bottom"/>
            <w:gridSpan w:val="2"/>
          </w:tcPr>
          <w:p>
            <w:pPr>
              <w:ind w:left="1400"/>
              <w:spacing w:after="0"/>
              <w:rPr>
                <w:sz w:val="20"/>
                <w:szCs w:val="20"/>
                <w:color w:val="auto"/>
              </w:rPr>
            </w:pPr>
            <w:r>
              <w:rPr>
                <w:rFonts w:ascii="Arial" w:cs="Arial" w:eastAsia="Arial" w:hAnsi="Arial"/>
                <w:sz w:val="18"/>
                <w:szCs w:val="18"/>
                <w:color w:val="auto"/>
              </w:rPr>
              <w:t>Andrew Pascal</w:t>
            </w:r>
          </w:p>
        </w:tc>
      </w:tr>
      <w:tr>
        <w:trPr>
          <w:trHeight w:val="211"/>
        </w:trPr>
        <w:tc>
          <w:tcPr>
            <w:tcW w:w="296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621"/>
        </w:trPr>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jc w:val="right"/>
              <w:ind w:right="212"/>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1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lowerLetter"/>
      <w:start w:val="3"/>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1"/>
    </w:lvl>
    <w:lvl w:ilvl="1">
      <w:lvlJc w:val="left"/>
      <w:lvlText w:val="%2."/>
      <w:numFmt w:val="lowerLetter"/>
      <w:start w:val="3"/>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2019-12-15T07:52:47Z</dcterms:created>
  <dcterms:modified xsi:type="dcterms:W3CDTF">2019-12-15T07:52:47Z</dcterms:modified>
</cp:coreProperties>
</file>