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2040" w:hanging="452"/>
        <w:spacing w:after="0" w:line="344"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2009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84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 at April 30, 2009</w:t>
            </w:r>
          </w:p>
        </w:tc>
        <w:tc>
          <w:tcPr>
            <w:tcW w:w="176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840" w:type="dxa"/>
            <w:vAlign w:val="bottom"/>
          </w:tcPr>
          <w:p>
            <w:pPr>
              <w:spacing w:after="0"/>
              <w:rPr>
                <w:sz w:val="20"/>
                <w:szCs w:val="20"/>
                <w:color w:val="auto"/>
              </w:rPr>
            </w:pPr>
            <w:r>
              <w:rPr>
                <w:rFonts w:ascii="Arial" w:cs="Arial" w:eastAsia="Arial" w:hAnsi="Arial"/>
                <w:sz w:val="18"/>
                <w:szCs w:val="18"/>
                <w:color w:val="auto"/>
              </w:rPr>
              <w:t>0.01 par value</w:t>
            </w:r>
          </w:p>
        </w:tc>
        <w:tc>
          <w:tcPr>
            <w:tcW w:w="1840" w:type="dxa"/>
            <w:vAlign w:val="bottom"/>
          </w:tcPr>
          <w:p>
            <w:pPr>
              <w:jc w:val="right"/>
              <w:ind w:right="402"/>
              <w:spacing w:after="0"/>
              <w:rPr>
                <w:sz w:val="20"/>
                <w:szCs w:val="20"/>
                <w:color w:val="auto"/>
              </w:rPr>
            </w:pPr>
            <w:r>
              <w:rPr>
                <w:rFonts w:ascii="Arial" w:cs="Arial" w:eastAsia="Arial" w:hAnsi="Arial"/>
                <w:sz w:val="18"/>
                <w:szCs w:val="18"/>
                <w:color w:val="auto"/>
              </w:rPr>
              <w:t>123,063,790</w:t>
            </w:r>
          </w:p>
        </w:tc>
        <w:tc>
          <w:tcPr>
            <w:tcW w:w="1760" w:type="dxa"/>
            <w:vAlign w:val="bottom"/>
          </w:tcPr>
          <w:p>
            <w:pPr>
              <w:spacing w:after="0"/>
              <w:rPr>
                <w:sz w:val="18"/>
                <w:szCs w:val="18"/>
                <w:color w:val="auto"/>
              </w:rPr>
            </w:pPr>
          </w:p>
        </w:tc>
      </w:tr>
      <w:tr>
        <w:trPr>
          <w:trHeight w:val="115"/>
        </w:trPr>
        <w:tc>
          <w:tcPr>
            <w:tcW w:w="2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9"/>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Sheets—March 31, 2009 (unaudited) and December 31, 2008</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(unaudited)—Three months ended March 31, 2009 and 2008</w:t>
              </w:r>
            </w:hyperlink>
          </w:p>
        </w:tc>
        <w:tc>
          <w:tcPr>
            <w:tcW w:w="980" w:type="dxa"/>
            <w:vAlign w:val="bottom"/>
            <w:gridSpan w:val="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(unaudited)—Three months ended March 31, 2009 and 2008</w:t>
              </w:r>
            </w:hyperlink>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000" w:type="dxa"/>
            <w:vAlign w:val="bottom"/>
            <w:gridSpan w:val="4"/>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5960" w:type="dxa"/>
            <w:vAlign w:val="bottom"/>
          </w:tcPr>
          <w:p>
            <w:pPr>
              <w:spacing w:after="0"/>
              <w:rPr>
                <w:sz w:val="19"/>
                <w:szCs w:val="19"/>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444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4"/>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r>
      <w:tr>
        <w:trPr>
          <w:trHeight w:val="210"/>
        </w:trPr>
        <w:tc>
          <w:tcPr>
            <w:tcW w:w="862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1,718,722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1,133,904</w:t>
            </w: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123,485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125,196</w:t>
            </w: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119,311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120,944</w:t>
            </w:r>
          </w:p>
        </w:tc>
      </w:tr>
      <w:tr>
        <w:trPr>
          <w:trHeight w:val="223"/>
        </w:trPr>
        <w:tc>
          <w:tcPr>
            <w:tcW w:w="862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w:t>
            </w:r>
          </w:p>
        </w:tc>
        <w:tc>
          <w:tcPr>
            <w:tcW w:w="80" w:type="dxa"/>
            <w:vAlign w:val="bottom"/>
          </w:tcPr>
          <w:p>
            <w:pPr>
              <w:spacing w:after="0"/>
              <w:rPr>
                <w:sz w:val="19"/>
                <w:szCs w:val="19"/>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1,992,922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1,411,091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5,103,984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5,118,646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49,049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61,630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65,877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106,429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80" w:type="dxa"/>
            <w:vAlign w:val="bottom"/>
            <w:shd w:val="clear" w:color="auto" w:fill="CCEEFF"/>
          </w:tcPr>
          <w:p>
            <w:pPr>
              <w:spacing w:after="0"/>
              <w:rPr>
                <w:sz w:val="18"/>
                <w:szCs w:val="18"/>
                <w:color w:val="auto"/>
              </w:rPr>
            </w:pPr>
          </w:p>
        </w:tc>
      </w:tr>
      <w:tr>
        <w:trPr>
          <w:trHeight w:val="222"/>
        </w:trPr>
        <w:tc>
          <w:tcPr>
            <w:tcW w:w="862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7,312,438</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6,755,788</w:t>
            </w:r>
          </w:p>
        </w:tc>
      </w:tr>
      <w:tr>
        <w:trPr>
          <w:trHeight w:val="20"/>
        </w:trPr>
        <w:tc>
          <w:tcPr>
            <w:tcW w:w="8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8620" w:type="dxa"/>
            <w:vAlign w:val="bottom"/>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and construction payable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232,136</w:t>
            </w: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2,685</w:t>
            </w: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land concession obligation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6,068</w:t>
            </w: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1,283</w:t>
            </w: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21,485</w:t>
            </w: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85,803</w:t>
            </w: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Gaming taxes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66,954</w:t>
            </w: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15,820</w:t>
            </w: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deposits and other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209,906</w:t>
            </w: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Construction retention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78,599</w:t>
            </w: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80" w:type="dxa"/>
            <w:vAlign w:val="bottom"/>
            <w:shd w:val="clear" w:color="auto" w:fill="CCEEFF"/>
          </w:tcPr>
          <w:p>
            <w:pPr>
              <w:spacing w:after="0"/>
              <w:rPr>
                <w:sz w:val="18"/>
                <w:szCs w:val="18"/>
                <w:color w:val="auto"/>
              </w:rPr>
            </w:pPr>
          </w:p>
        </w:tc>
      </w:tr>
      <w:tr>
        <w:trPr>
          <w:trHeight w:val="221"/>
        </w:trPr>
        <w:tc>
          <w:tcPr>
            <w:tcW w:w="862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604,994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723,757</w:t>
            </w: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4,753,835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4,290,424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123,414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124,511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8,551</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80" w:type="dxa"/>
            <w:vAlign w:val="bottom"/>
          </w:tcPr>
          <w:p>
            <w:pPr>
              <w:spacing w:after="0"/>
              <w:rPr>
                <w:sz w:val="19"/>
                <w:szCs w:val="19"/>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5,491,899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5,154,193</w:t>
            </w:r>
          </w:p>
        </w:tc>
      </w:tr>
      <w:tr>
        <w:trPr>
          <w:trHeight w:val="221"/>
        </w:trPr>
        <w:tc>
          <w:tcPr>
            <w:tcW w:w="862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Common stock, par value $0.01; 400,000,000 shares authorized; 135,859,244 and 124,817,994 shares issued;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123,054,290 and 112,013,040 shares outstanding</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w:t>
            </w: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Treasury stock, at cost; 12,804,954 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(1,119,407)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(1,119,407)</w:t>
            </w: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2,986,911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2,734,276</w:t>
            </w: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2,614</w:t>
            </w:r>
          </w:p>
        </w:tc>
      </w:tr>
      <w:tr>
        <w:trPr>
          <w:trHeight w:val="230"/>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(50,950)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(17,136)</w:t>
            </w:r>
          </w:p>
        </w:tc>
      </w:tr>
      <w:tr>
        <w:trPr>
          <w:trHeight w:val="230"/>
        </w:trPr>
        <w:tc>
          <w:tcPr>
            <w:tcW w:w="862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1,820,539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1,601,595</w:t>
            </w:r>
          </w:p>
        </w:tc>
        <w:tc>
          <w:tcPr>
            <w:tcW w:w="80" w:type="dxa"/>
            <w:vAlign w:val="bottom"/>
          </w:tcPr>
          <w:p>
            <w:pPr>
              <w:spacing w:after="0"/>
              <w:rPr>
                <w:sz w:val="20"/>
                <w:szCs w:val="20"/>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7,312,438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6,755,788</w:t>
            </w:r>
          </w:p>
        </w:tc>
      </w:tr>
      <w:tr>
        <w:trPr>
          <w:trHeight w:val="20"/>
        </w:trPr>
        <w:tc>
          <w:tcPr>
            <w:tcW w:w="8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541,654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591,771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109,591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812,783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836,252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(72,828)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(57,546)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739,955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778,706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376,505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388,378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712,806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688,103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27,144</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(57,032)</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(45,064)</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(49,406)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(17,920)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(15,894)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(33,814)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112,568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(33,814)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101,468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8,153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60,721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(183,715)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(283,390)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Purchase of other assets and intangibles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(4,227)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(187,764)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(293,881)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209,760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Principal payments on long term debt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(50,902)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Cash restricted for stock repurchases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711,716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117,899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584,818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1,133,904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1,275,120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1,718,722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1,239,269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ind w:left="240" w:right="826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In Macau, the Company owns Wynn Macau, which opened on September 6, 2006. In addition, the Company is constructing Encore at Wynn Macau, an expansion of Wynn Macau which is expected to open in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2009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2008.</w:t>
      </w:r>
    </w:p>
    <w:p>
      <w:pPr>
        <w:spacing w:after="0" w:line="193" w:lineRule="exact"/>
        <w:rPr>
          <w:sz w:val="20"/>
          <w:szCs w:val="20"/>
          <w:color w:val="auto"/>
        </w:rPr>
      </w:pPr>
    </w:p>
    <w:p>
      <w:pPr>
        <w:ind w:left="240" w:right="790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2009 and December 31, 2008, approximately 71% and 78%,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$ 14,378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Food and beverage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23,774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21,146</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0" w:type="dxa"/>
            <w:vAlign w:val="bottom"/>
          </w:tcPr>
          <w:p>
            <w:pPr>
              <w:spacing w:after="0"/>
              <w:rPr>
                <w:sz w:val="18"/>
                <w:szCs w:val="18"/>
                <w:color w:val="auto"/>
              </w:rPr>
            </w:pPr>
          </w:p>
        </w:tc>
      </w:tr>
      <w:tr>
        <w:trPr>
          <w:trHeight w:val="222"/>
        </w:trPr>
        <w:tc>
          <w:tcPr>
            <w:tcW w:w="882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$ 41,118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32,196</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March 31, 2009 and 2008, advertising costs totaled approximately $8.3 million and $7.4 million, respectively. During the three months ended March 31, 2008 there was approximately $0.5 million of advertising costs that were included in pre-opening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2008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income.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December 2007, the Financial Accounting Standards Board (“FASB”) issued Statement of Financial Accounting Standards (“SFAS”) No. 141 (revised 2007), “Business Combinations.” SFAS No. 141 (revised)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on January 1, 2009, did not impact the Company’s condensed consolidated financial statements.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on January 1, 2009, did not impact the Company’s condensed consolidated financial statements.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The adoption of SFAS No. 161 on January 1, 2009, did not have a material impact on the Company’s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jc w:val="both"/>
        <w:ind w:right="480" w:firstLine="456"/>
        <w:spacing w:after="0" w:line="335" w:lineRule="auto"/>
        <w:rPr>
          <w:sz w:val="20"/>
          <w:szCs w:val="20"/>
          <w:color w:val="auto"/>
        </w:rPr>
      </w:pPr>
      <w:r>
        <w:rPr>
          <w:rFonts w:ascii="Arial" w:cs="Arial" w:eastAsia="Arial" w:hAnsi="Arial"/>
          <w:sz w:val="15"/>
          <w:szCs w:val="15"/>
          <w:color w:val="auto"/>
        </w:rPr>
        <w:t>Earnings per share are calculated in accordance with SFAS No. 128, “Earnings Per Share,” which provides for the reporting of “basic,” or undiluted, earnings per share (“EPS”) and “diluted” EPS. Basic EPS is computed by dividing net income (loss) by the weighted average number of shares outstanding during the period. Diluted EPS reflects the addition of potentially dilutive securities, which for the Company include stock options and nonvested stock.</w:t>
      </w:r>
    </w:p>
    <w:p>
      <w:pPr>
        <w:spacing w:after="0" w:line="88"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112,568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12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common and common equivalent shares outstanding (used in calculation of diluted earnings per</w:t>
            </w: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112,568</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113,648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the three months ended March 31, 2009, the Company recorded a net loss. Accordingly, the potential dilution from the assumed exercise of stock options and nonvested stock is anti-dilutive. As a result, basic EPS is equal to diluted EPS for the current period. Securities that could potentially dilute basic EPS in the future that were not included in the computation of diluted EPS because to do so would have been anti-dilutive for the three months ended March 31, 2009, include 2,774,425 stock options and 918,500 nonvested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5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5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(33,814)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20" w:type="dxa"/>
            <w:vAlign w:val="bottom"/>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3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20" w:type="dxa"/>
            <w:vAlign w:val="bottom"/>
          </w:tcPr>
          <w:p>
            <w:pPr>
              <w:spacing w:after="0"/>
              <w:rPr>
                <w:sz w:val="19"/>
                <w:szCs w:val="19"/>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4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(33,802)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48,749</w:t>
            </w:r>
          </w:p>
        </w:tc>
        <w:tc>
          <w:tcPr>
            <w:tcW w:w="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2009 and December 31, 2008,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paid for the three months ended March 31, 2009 and 2008 totaled approximately $25.6 million and $29.6 million, respectively. Interest capitalized for the three months ended March 31, 2009 and 2008 totaled approximately $2.4 million and $16.9 million, respectively.</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During the three months ended March 31, 2009 and 2008, capital expenditures include a decrease of $101 million and $2.3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187,205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200,115</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Hotel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225,489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(102,004)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(102,819)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123,485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3"/>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jc w:val="right"/>
              <w:ind w:right="4872"/>
              <w:spacing w:after="0"/>
              <w:rPr>
                <w:sz w:val="20"/>
                <w:szCs w:val="20"/>
                <w:color w:val="auto"/>
              </w:rPr>
            </w:pPr>
            <w:r>
              <w:rPr>
                <w:rFonts w:ascii="Arial" w:cs="Arial" w:eastAsia="Arial" w:hAnsi="Arial"/>
                <w:sz w:val="18"/>
                <w:szCs w:val="18"/>
                <w:b w:val="1"/>
                <w:bCs w:val="1"/>
                <w:color w:val="auto"/>
                <w:w w:val="88"/>
              </w:rPr>
              <w:t>7. Property and Equipment, net</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6"/>
              </w:rPr>
              <w:t>March 31,</w:t>
            </w:r>
          </w:p>
        </w:tc>
        <w:tc>
          <w:tcPr>
            <w:tcW w:w="20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708,257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707,531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3,173,645</w:t>
            </w:r>
          </w:p>
        </w:tc>
        <w:tc>
          <w:tcPr>
            <w:tcW w:w="2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3,164,082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1,565,027</w:t>
            </w:r>
          </w:p>
        </w:tc>
        <w:tc>
          <w:tcPr>
            <w:tcW w:w="2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1,556,507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67,358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285,358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5,876,971</w:t>
            </w:r>
          </w:p>
        </w:tc>
        <w:tc>
          <w:tcPr>
            <w:tcW w:w="2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5,794,500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(772,987)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(675,854)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5,103,984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5,118,646</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jc w:val="right"/>
              <w:ind w:right="1492"/>
              <w:spacing w:after="0"/>
              <w:rPr>
                <w:sz w:val="20"/>
                <w:szCs w:val="20"/>
                <w:color w:val="auto"/>
              </w:rPr>
            </w:pPr>
            <w:r>
              <w:rPr>
                <w:rFonts w:ascii="Arial" w:cs="Arial" w:eastAsia="Arial" w:hAnsi="Arial"/>
                <w:sz w:val="18"/>
                <w:szCs w:val="18"/>
                <w:color w:val="auto"/>
              </w:rPr>
              <w:t>9</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3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March 31, 2009 and December 31, 2008, construction in progress primarily consisted of costs capitalized in conjunction with the development and construction of Encore at Wynn Macau.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24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0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r>
      <w:tr>
        <w:trPr>
          <w:trHeight w:val="201"/>
        </w:trPr>
        <w:tc>
          <w:tcPr>
            <w:tcW w:w="9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 xml:space="preserve">6 </w:t>
            </w:r>
            <w:r>
              <w:rPr>
                <w:rFonts w:ascii="Arial" w:cs="Arial" w:eastAsia="Arial" w:hAnsi="Arial"/>
                <w:sz w:val="22"/>
                <w:szCs w:val="22"/>
                <w:color w:val="auto"/>
                <w:w w:val="93"/>
                <w:vertAlign w:val="superscript"/>
              </w:rPr>
              <w:t>5</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Wynn Las Vegas First Mortgage Notes, due December 1, 2014, net of original issue discount of $8,316 at March 31,</w:t>
            </w: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 and $9,561 at December 31,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$ 1,652,414</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$ 1,690,439</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Wynn Resorts Term Loan Facility, due June 21, 2010; interest at LIBOR plus 2.25%</w:t>
            </w:r>
          </w:p>
        </w:tc>
        <w:tc>
          <w:tcPr>
            <w:tcW w:w="840" w:type="dxa"/>
            <w:vAlign w:val="bottom"/>
          </w:tcPr>
          <w:p>
            <w:pPr>
              <w:jc w:val="right"/>
              <w:spacing w:after="0"/>
              <w:rPr>
                <w:sz w:val="20"/>
                <w:szCs w:val="20"/>
                <w:color w:val="auto"/>
              </w:rPr>
            </w:pPr>
            <w:r>
              <w:rPr>
                <w:rFonts w:ascii="Arial" w:cs="Arial" w:eastAsia="Arial" w:hAnsi="Arial"/>
                <w:sz w:val="18"/>
                <w:szCs w:val="18"/>
                <w:color w:val="auto"/>
              </w:rPr>
              <w:t>375,000</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375,000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$900 million Wynn Las Vegas Revolving Credit Facility; due August 15, 2011; interest at LIBOR plus 1.625%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879,484</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4"/>
              </w:rPr>
              <w:t>Wynn Las Vegas Term Loan Facility; $112.5 million due September 30, 2012 with remaining $112.5 million due August 15,</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2013; interest at LIBOR plus 1.875%</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225,000</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Macau Senior Term Loan Facilities; due June 27, 2014; interest at LIBOR or HIBOR plus 1.75%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552,551</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552,561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$1 billion Wynn Macau Senior Revolving Credit Facility, due June 2012; interest at LIBOR or HIBOR plus 1.75%</w:t>
            </w:r>
          </w:p>
        </w:tc>
        <w:tc>
          <w:tcPr>
            <w:tcW w:w="840" w:type="dxa"/>
            <w:vAlign w:val="bottom"/>
          </w:tcPr>
          <w:p>
            <w:pPr>
              <w:jc w:val="right"/>
              <w:spacing w:after="0"/>
              <w:rPr>
                <w:sz w:val="20"/>
                <w:szCs w:val="20"/>
                <w:color w:val="auto"/>
              </w:rPr>
            </w:pPr>
            <w:r>
              <w:rPr>
                <w:rFonts w:ascii="Arial" w:cs="Arial" w:eastAsia="Arial" w:hAnsi="Arial"/>
                <w:sz w:val="18"/>
                <w:szCs w:val="18"/>
                <w:color w:val="auto"/>
              </w:rPr>
              <w:t>1,004,694</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502,356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39,550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840" w:type="dxa"/>
            <w:vAlign w:val="bottom"/>
          </w:tcPr>
          <w:p>
            <w:pPr>
              <w:jc w:val="right"/>
              <w:spacing w:after="0"/>
              <w:rPr>
                <w:sz w:val="20"/>
                <w:szCs w:val="20"/>
                <w:color w:val="auto"/>
              </w:rPr>
            </w:pPr>
            <w:r>
              <w:rPr>
                <w:rFonts w:ascii="Arial" w:cs="Arial" w:eastAsia="Arial" w:hAnsi="Arial"/>
                <w:sz w:val="18"/>
                <w:szCs w:val="18"/>
                <w:color w:val="auto"/>
              </w:rPr>
              <w:t>28,167</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28,709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4,756,510</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4,293,109</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r>
      <w:tr>
        <w:trPr>
          <w:trHeight w:val="222"/>
        </w:trPr>
        <w:tc>
          <w:tcPr>
            <w:tcW w:w="9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$ 4,753,835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$ 4,290,424</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6 5/8% First Mortgage Notes</w:t>
      </w:r>
    </w:p>
    <w:p>
      <w:pPr>
        <w:spacing w:after="0" w:line="90"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During the three months ended March 31, 2009, Wynn Resorts purchased $39.3 million face amount of the Wynn Las Vegas 6 5/8% First Mortgage Notes due 2014 (the “First Mortgage Notes”) through open market purchases at a discount. This transaction resulted in a gain on early extinguishment of debt of $10.6 million, net of the write-off of unamortized debt discount and debt issue costs. As of March 31, 2009, Wynn Resorts holds this debt and has not contributed such debt to its wholly-owned subsidiary Wynn Las Vegas. For accounting purposes this transaction has been treated as an extinguishment of debt by Wynn Resorts.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three months ended March 31, 2009, the Company borrowed approximately $500 million under the Wynn Macau Senior Revolving Credit Facility. As of March 31, 2009, the outstanding balance was approximately $1 billion and the Company has no remaining amounts available to borrow under the Wynn Macau Credit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2009,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Facility Amendment</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On April 17, 2009, the Company entered into a fourth amendment to the Wynn Las Vegas Amended and Restated Credit Agreement (the “Credit Agreement”). This amendment, among other things, (i) provides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waiver of the Consolidated Leverage Ratio, as defined in the Credit Agreement, until the quarter ending June 30, 2011, and increases such thresholds thereafter;</w:t>
      </w:r>
    </w:p>
    <w:p>
      <w:pPr>
        <w:spacing w:after="0" w:line="5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provides additional flexibility with the Consolidated Interest Coverage Ratio, as defined in the Credit Agreement, by reducing such ratio from 1.75 : 1 to 1.25</w:t>
      </w:r>
    </w:p>
    <w:p>
      <w:pPr>
        <w:spacing w:after="0" w:line="32"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 1 beginning June 30, 2009 through March 31, 2011; (iii) extends the maturity on approximately $610 million of Wynn Las Vegas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term of the loan. In exchange for the amendments, the Company (i) repaid 30% of the outstanding revolver loans of lenders consenting to the extension of their commitment (approximately $238 million) and permanently reduced such lender commitments by 25% to approximately $697 million; and (ii) agreed to an increase in the overall interest rate spread on the Wynn Las Vegas Credit Facilities from LIBOR plus 1.7% to LIBOR plus 2.6%.</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amended, the Wynn Las Vegas revolver commitments will reduce by $61 million on August 15, 2011, and an additional $55 million on August 15, 2012. The remaining commitments will mature on July 15, 2013. Lenders holding $87 million of the Wynn Las Vegas revolver commitments did not agree to the amendment. Those commitments mature on the original maturity date of August 15, 2011.</w:t>
      </w:r>
    </w:p>
    <w:p>
      <w:pPr>
        <w:spacing w:after="0" w:line="215" w:lineRule="exact"/>
        <w:rPr>
          <w:sz w:val="20"/>
          <w:szCs w:val="20"/>
          <w:color w:val="auto"/>
        </w:rPr>
      </w:pPr>
    </w:p>
    <w:p>
      <w:pPr>
        <w:ind w:left="240" w:right="9140" w:hanging="232"/>
        <w:spacing w:after="0" w:line="417" w:lineRule="auto"/>
        <w:tabs>
          <w:tab w:leader="none" w:pos="18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household employees, construction work and other personal services. Mr. Wynn and other officers have deposits with the Company to prepay any such items, which are replenished on an ongoing basis as needed. As of March 31, 2009 and December 31, 2008, Mr. Wynn and the other officers had a credit balance with the Company of approximately $535,606 and $434,003,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 In March 2009, this lease was amended to add an additional unit to the leased premises. Based upon a third-party appraisal, there was no change in the rent due to the significant deterioration in the Las Vegas rental market.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Property charges and other for the three months ended March 31, 2009 and 2008 were $16.5 million and $24.3 million, respectively. Property charges generally include costs related to the retirement of assets for remodels and asset abandonments. Property charges and other for the three months ended March 31, 2009 include the write-off of $14.9 million of aircraft purchase deposits. On February 19, 2009, the Company cancelled agreements to purchase two aircraft. The deposit on one of the aircraft is refundable to the extent another buyer is found. Due to the uncertainty as to the recoverability of this deposit and a $1.5 million nonrefundable deposit on a second aircraft, the Company wrote off these deposits in the first quarter of 2009. The remaining property charges were related to renovations, abandonments and loss on sale of equipment at Wynn Las Vegas and Wynn Macau.</w:t>
      </w:r>
    </w:p>
    <w:p>
      <w:pPr>
        <w:spacing w:after="0" w:line="120"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Property charges and other for the three months ended March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their contract. The remaining property charges were related to renovations and abandonments at both Wynn Las Vegas and Wynn Macau.</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Swaps</w:t>
      </w:r>
    </w:p>
    <w:p>
      <w:pPr>
        <w:spacing w:after="0" w:line="96"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The Company has entered into floating-for-fixed interest rate swap arrangements relating to certain of its debt facilities. These interest rate swap agreements modify the Company’s exposure to interest rate risk by converting a portion of the Company’s floating-rate debt to a fixed rate. The Company accounts for its interest rate swaps in accordance with SFAS No. 133, “Accounting for Derivative Instruments and Hedging Activities”, and its related interpretations. These interest rate swaps essentially fix the interest rate at the percentages noted below, however, changes in the fair value of the interest rate swaps for each reporting period have been recorded in the increase/decrease in swap fair value in the accompanying Condensed Consolidated Statements of Operations, as the interest rate swaps do not qualify for hedge accounting.</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SFAS No. 157, “Fair Value Measurements”.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 represents the historical fair values as of March 31, 2009 and December 31, 2008.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 fair value at:</w:t>
            </w:r>
          </w:p>
        </w:tc>
        <w:tc>
          <w:tcPr>
            <w:tcW w:w="7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Net Total</w:t>
            </w:r>
          </w:p>
        </w:tc>
        <w:tc>
          <w:tcPr>
            <w:tcW w:w="0" w:type="dxa"/>
            <w:vAlign w:val="bottom"/>
          </w:tcPr>
          <w:p>
            <w:pPr>
              <w:spacing w:after="0"/>
              <w:rPr>
                <w:sz w:val="1"/>
                <w:szCs w:val="1"/>
                <w:color w:val="auto"/>
              </w:rPr>
            </w:pPr>
          </w:p>
        </w:tc>
      </w:tr>
      <w:tr>
        <w:trPr>
          <w:trHeight w:val="135"/>
        </w:trPr>
        <w:tc>
          <w:tcPr>
            <w:tcW w:w="1420" w:type="dxa"/>
            <w:vAlign w:val="bottom"/>
            <w:gridSpan w:val="3"/>
            <w:vMerge w:val="continue"/>
          </w:tcPr>
          <w:p>
            <w:pPr>
              <w:spacing w:after="0"/>
              <w:rPr>
                <w:sz w:val="11"/>
                <w:szCs w:val="11"/>
                <w:color w:val="auto"/>
              </w:rPr>
            </w:pPr>
          </w:p>
        </w:tc>
        <w:tc>
          <w:tcPr>
            <w:tcW w:w="7160" w:type="dxa"/>
            <w:vAlign w:val="bottom"/>
          </w:tcPr>
          <w:p>
            <w:pPr>
              <w:spacing w:after="0"/>
              <w:rPr>
                <w:sz w:val="11"/>
                <w:szCs w:val="11"/>
                <w:color w:val="auto"/>
              </w:rPr>
            </w:pPr>
          </w:p>
        </w:tc>
        <w:tc>
          <w:tcPr>
            <w:tcW w:w="104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Wynn</w:t>
            </w:r>
          </w:p>
        </w:tc>
        <w:tc>
          <w:tcPr>
            <w:tcW w:w="106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Wynn</w:t>
            </w: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88"/>
              </w:rPr>
              <w:t>(amounts in thousands)</w:t>
            </w:r>
          </w:p>
        </w:tc>
        <w:tc>
          <w:tcPr>
            <w:tcW w:w="716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Resorts</w:t>
            </w: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Macau</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1"/>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March 31,</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w:t>
            </w:r>
          </w:p>
        </w:tc>
        <w:tc>
          <w:tcPr>
            <w:tcW w:w="8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(13,378)</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 (13,400)</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 (26,778)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December</w:t>
            </w:r>
          </w:p>
        </w:tc>
        <w:tc>
          <w:tcPr>
            <w:tcW w:w="660" w:type="dxa"/>
            <w:vAlign w:val="bottom"/>
          </w:tcPr>
          <w:p>
            <w:pPr>
              <w:ind w:left="20"/>
              <w:spacing w:after="0"/>
              <w:rPr>
                <w:sz w:val="20"/>
                <w:szCs w:val="20"/>
                <w:color w:val="auto"/>
              </w:rPr>
            </w:pPr>
            <w:r>
              <w:rPr>
                <w:rFonts w:ascii="Arial" w:cs="Arial" w:eastAsia="Arial" w:hAnsi="Arial"/>
                <w:sz w:val="18"/>
                <w:szCs w:val="18"/>
                <w:color w:val="auto"/>
                <w:w w:val="88"/>
              </w:rPr>
              <w:t>31, 2008</w:t>
            </w:r>
          </w:p>
        </w:tc>
        <w:tc>
          <w:tcPr>
            <w:tcW w:w="8200" w:type="dxa"/>
            <w:vAlign w:val="bottom"/>
            <w:gridSpan w:val="3"/>
          </w:tcPr>
          <w:p>
            <w:pPr>
              <w:jc w:val="right"/>
              <w:ind w:right="340"/>
              <w:spacing w:after="0"/>
              <w:rPr>
                <w:sz w:val="20"/>
                <w:szCs w:val="20"/>
                <w:color w:val="auto"/>
              </w:rPr>
            </w:pPr>
            <w:r>
              <w:rPr>
                <w:rFonts w:ascii="Arial" w:cs="Arial" w:eastAsia="Arial" w:hAnsi="Arial"/>
                <w:sz w:val="18"/>
                <w:szCs w:val="18"/>
                <w:color w:val="auto"/>
              </w:rPr>
              <w:t>$ (15,334)</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 (12,539)</w:t>
            </w:r>
          </w:p>
        </w:tc>
        <w:tc>
          <w:tcPr>
            <w:tcW w:w="740" w:type="dxa"/>
            <w:vAlign w:val="bottom"/>
            <w:gridSpan w:val="2"/>
          </w:tcPr>
          <w:p>
            <w:pPr>
              <w:spacing w:after="0"/>
              <w:rPr>
                <w:sz w:val="20"/>
                <w:szCs w:val="20"/>
                <w:color w:val="auto"/>
              </w:rPr>
            </w:pPr>
            <w:r>
              <w:rPr>
                <w:rFonts w:ascii="Arial" w:cs="Arial" w:eastAsia="Arial" w:hAnsi="Arial"/>
                <w:sz w:val="18"/>
                <w:szCs w:val="18"/>
                <w:color w:val="auto"/>
                <w:w w:val="87"/>
              </w:rPr>
              <w:t>$ (27,873)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February 1, 2008, the Company entered into an interest rate swap to hedge the underlying interest rate risk on all of the borrowings under the Wynn Resorts Term Loan Facility. Pursuant to the terms of this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rate swap, the Company paid a fixed rate of 2.836% on the $1 billion notional amount and received payments based on LIBOR. This swap fixed the interest rate at approximately 5.09%. On December 8, 2008, the Company modified the terms of this swap so that the current notional amount is $375 million to match the carrying value of the debt outstanding. Pursuant to the amendment, the Company now pays a fixed rate of 3.95% which fixes the interest rate at approximately 6.2% through June 2010. This interest rate swap agreement matures in June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two interest rate swap agreements to hedge a portion of the underlying interest rate risk on borrowings under the Wynn Macau Senior Term Loan Facilities (the “Wynn Macau Term Loan”). Under the first swap agreement, the Company pays a fixed interest rate of 3.632% on U.S. dollar borrowings of approximately $153.8 million incurred under the Wynn Macau Term Loan in exchange for receipts on the same amount at a variable interest rate based on the applicable LIBOR at the time of payment. Under the second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 These interest rate swap agreements mature in August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adopted SFAS No. 123R, “Share Based Payment” effective January 1, 2006. The total compensation cost relating both to stock options and nonvested stock is allocated as follows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8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1,194</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3,216</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1,765</w:t>
            </w:r>
          </w:p>
        </w:tc>
        <w:tc>
          <w:tcPr>
            <w:tcW w:w="20" w:type="dxa"/>
            <w:vAlign w:val="bottom"/>
          </w:tcPr>
          <w:p>
            <w:pPr>
              <w:spacing w:after="0"/>
              <w:rPr>
                <w:sz w:val="18"/>
                <w:szCs w:val="18"/>
                <w:color w:val="auto"/>
              </w:rPr>
            </w:pPr>
          </w:p>
        </w:tc>
      </w:tr>
      <w:tr>
        <w:trPr>
          <w:trHeight w:val="221"/>
        </w:trPr>
        <w:tc>
          <w:tcPr>
            <w:tcW w:w="88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5,429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3,418</w:t>
            </w:r>
          </w:p>
        </w:tc>
      </w:tr>
      <w:tr>
        <w:trPr>
          <w:trHeight w:val="218"/>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5,575</w:t>
            </w: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3,586</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20, 2009, the Company completed a secondary common stock offering of 11,040,000 shares with net proceeds of $202.3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Adoption of FSP APB 14-1</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May 2008, the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instruments in a manner that reflects the issuer’s nonconvertible debt borrowing rate. The FSP is effective for financial statements issued for fiscal years beginning after December 15, 2008 and interim periods within those fiscal years and does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 permit earlier application. However, the transition guidance requires retrospective application to all periods presented and does not grandfather existing instruments.</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July 2003, the Company issued $250 million aggregate principal amount of 6% Convertible Subordinated Debentures due July 15, 2015 (the “Debentures”). On June 15, 2007, the Company called for redemption on July 20, 2007, all of the outstanding principal amount of the Debentures. Prior to redemption, in July 2007, all of the holders converted their Debentures into shares of the Company’s common stock. Upon adoption of the FSP on January 1, 2009, the Company recorded an adjustment to retained earnings as of December 31, 2008 of $84.5 million which reflects the cumulative additional interest expense, net of capitalized interest of $13.2 million and loss on extinguishment of debt, net of taxes, that the Company would have recorded related to the Debentures if it had followed the FSP from the issuance date of such Debentures. The adoption of this FSP did not have an impact on our results of operations for the periods ended March 31, 2009 and 2008.</w:t>
      </w:r>
    </w:p>
    <w:p>
      <w:pPr>
        <w:spacing w:after="0" w:line="222" w:lineRule="exact"/>
        <w:rPr>
          <w:sz w:val="20"/>
          <w:szCs w:val="20"/>
          <w:color w:val="auto"/>
        </w:rPr>
      </w:pPr>
    </w:p>
    <w:p>
      <w:pPr>
        <w:ind w:right="8660" w:firstLine="8"/>
        <w:spacing w:after="0" w:line="347" w:lineRule="auto"/>
        <w:tabs>
          <w:tab w:leader="none" w:pos="26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u w:val="single" w:color="auto"/>
          <w:color w:val="auto"/>
        </w:rPr>
        <w:t>Encore at Wynn Macau Construction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continues on a further expansion of Wynn Macau. Encore at Wynn Macau is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open in 2010, adding a fully-integrated resort hotel to Wynn Macau with approximately 400 luxury suites and four villas, along with restaurants and retail and gaming space. On November 8, 2007, Wynn Macau, S.A.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Encore at Wynn Macau. The current project budget is approximately $700 million.</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Through March 31, 2009, the Company had incurred approximately $254.6 million of project costs related to the development and construction of Encore at Wynn Macau.</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u w:val="single" w:color="auto"/>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with government approval. Wynn Macau, S.A. has made payments to the Macau government under the land concession contract and is required to make one final semi-annual payment (including interest) for total payments of approximately $42.7 million. Wynn Macau, S.A. also paid approximately $18 million to an unrelated third party for its relinquishment of rights to a portion of the land. During the term of the land concession contract, Wynn Macau, S.A. is also required to make annual lease payments of up to $400,000.</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u w:val="single" w:color="auto"/>
          <w:color w:val="auto"/>
        </w:rPr>
        <w:t>Cotai Land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 2008, subsidiaries of Wynn Resorts, Limited entered into an agreement with an unrelated third party to make a one-time payment in the amount of $50 million in consideration of the unrelated third party’s relinquishment of certain rights with respect to a portion of approximately 52 acres of land in the Cotai area of Macau. The payment will be made within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March 31,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March 31, 2009,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three months ended March 31, 2009, the Company recorded a tax expense of $15.9 million. Our provision for income taxes relates primarily to an increase in our foreign and domestic valuation allowances totaling $23.8 million relating to tax loss carryforwards and foreign tax credits not considered more likely than not realizable in the future. None of the Company’s foreign earnings are considered permanently invested abroad. During the three months ended March 31, 2009, the Company recognized income tax benefits related to excess tax deductions associated with compensation costs under SFAS No. 123(R) of $45 million.</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$6.6 million in such taxes during the three months ended March 31, 2009. The Company’s non-gaming profits remain subject to the Macau Complementary Tax and casino winnings remain subject to the Macau Special Gaming tax (at a rate equal to 39%) and other levies in accordance with its concession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monitors its operations and evaluates earnings by reviewing the assets and operations of Wynn Las Vegas, including Encore at Wynn Las Vegas, and Wynn Macau, including Encore at Wynn Macau. The Company’s total assets by segment are as follows (amounts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w w:val="95"/>
              </w:rPr>
              <w:t>Wynn Las Vegas (including Encore at Wynn Las Vegas )</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4,463,110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4,584,271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at Wynn Macau)</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2,022,328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3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827,000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3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7,312,438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60" w:type="dxa"/>
            <w:vAlign w:val="bottom"/>
            <w:vMerge w:val="restart"/>
          </w:tcPr>
          <w:p>
            <w:pPr>
              <w:jc w:val="right"/>
              <w:ind w:right="2632"/>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Wynn Las Vegas, including Encore for 2009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291,276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287,160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448,679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491,546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739,955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778,706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spacing w:after="0" w:line="211" w:lineRule="exact"/>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22"/>
                <w:szCs w:val="22"/>
                <w:b w:val="1"/>
                <w:bCs w:val="1"/>
                <w:color w:val="auto"/>
                <w:vertAlign w:val="superscript"/>
              </w:rPr>
              <w:t>(1)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Wynn Las Vegas, including Encore for 2009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43,851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114,643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158,494</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197,833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101,468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16,485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131,350</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(57,032)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Gain on extinguishment of debt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10,635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(45,064)</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(49,406)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(17,920)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(15,894)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(33,814)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318" w:lineRule="auto"/>
        <w:rPr>
          <w:sz w:val="20"/>
          <w:szCs w:val="20"/>
          <w:color w:val="auto"/>
        </w:rPr>
      </w:pPr>
      <w:r>
        <w:rPr>
          <w:rFonts w:ascii="Arial" w:cs="Arial" w:eastAsia="Arial" w:hAnsi="Arial"/>
          <w:sz w:val="15"/>
          <w:szCs w:val="15"/>
          <w:color w:val="auto"/>
        </w:rPr>
        <w:t>cost of capital. The Company compensates for these limitations by using Adjusted Property EBITDA as only one of several comparative tools, together with GAAP measurements, to assist in the evaluation of operating performance. Such GAAP measurements include operating income,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Macau with anticipated cash flows generated at Wynn Macau;</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 and travel-related visa restrictions);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impact that an outbreak of an infectious disease, such as avian flu, or the impact of a natural disaster may have on the travel and leisure industry;</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developer, owner and operator of destination casino resorts. We currently own and operate two resort casinos.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as our Las Vegas Operations. In the Macau Special Administrative Region of the People’s Republic of China (“Macau”), we own and operate Wynn Macau, which opened on September 6, 2006. We are also constructing Encore at Wynn Macau, a further expansion of Wynn Macau, which is expected to open in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operations as of April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Approximate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8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r>
      <w:tr>
        <w:trPr>
          <w:trHeight w:val="161"/>
        </w:trPr>
        <w:tc>
          <w:tcPr>
            <w:tcW w:w="496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820" w:type="dxa"/>
            <w:vAlign w:val="bottom"/>
          </w:tcPr>
          <w:p>
            <w:pPr>
              <w:spacing w:after="0"/>
              <w:rPr>
                <w:sz w:val="14"/>
                <w:szCs w:val="14"/>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Operations consist of Wynn Las Vegas and the recently opened expansion, Encore at Wynn Las Vegas.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217 acres of land fronting the Las Vegas Strip. We also own approximately 18 additional acres across Sands Avenue, a portion of which is utilized for employee parking. Wynn Las Vegas currently features:</w:t>
      </w:r>
    </w:p>
    <w:p>
      <w:pPr>
        <w:spacing w:after="0" w:line="59" w:lineRule="exact"/>
        <w:rPr>
          <w:sz w:val="20"/>
          <w:szCs w:val="20"/>
          <w:color w:val="auto"/>
        </w:rPr>
      </w:pPr>
    </w:p>
    <w:p>
      <w:pPr>
        <w:ind w:left="900" w:right="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opened Encore at Wynn Las Vegas on December 22, 2008. This resort is an expansion of Wynn Las Vegas. Encore at Wynn Las Vegas currently features:</w:t>
      </w:r>
    </w:p>
    <w:p>
      <w:pPr>
        <w:spacing w:after="0" w:line="5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approximately 72,000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Rock &amp; Republic;</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this integrated resort.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Wynn Macau on September 6, 2006 and completed an expansion of this resort in December 2007. Wynn Macau currently features:</w:t>
      </w:r>
    </w:p>
    <w:p>
      <w:pPr>
        <w:spacing w:after="0" w:line="113"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approximately 205,000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46,000 square feet of high-end, brand-name retail shopping, including stores and boutiques by Bvlgari, Chanel, Dior, Dunhill, Fendi, Ferrari, Giorgio Armani, Gucci, Hermes, Hugo Boss, Louis Vuitton, Miu Miu, Piaget, Prada, Rolex, Tiffany, Van Cleef &amp; Arpels, Versace, Vertu and Zegna;</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commenced construction on a further expansion of Wynn Macau that will add a fully-integrated resort hotel named Encore at Wynn Macau, with approximately 400 luxury suites and four villas, as well as additional gaming areas, food and beverage and retail amenities. We expect Encore at Wynn Macau to open in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have and expect to continue to make enhancements and refinements to the property.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Approximately 142 acres of land comprising Wynn Las Vegas is currently improved with a golf course. While we may develop this property in the future; due to the current economic environment and certain restrictions in our Wynn Las Vegas credit facilities, we have no immediate plans to develop this property.</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applied to the government of Macau for a land concession for approximately 52 acres on Cotai and are awaiting final governmental approval of this concession. No construction timeline or budget have been prepared.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spending, and new U.S. political leadership, the outlook for the gaming, travel and entertainment industries both domestically and abroad continues to remain highly uncertain. Auto traffic into Las Vegas, airline capacity and air travel to McCarran International airport have continued to decline, resulting in lower casino volumes and a reduced demand for hotel rooms. This slow down was particularly significant in the fourth quarter of 2008 and continued throughout the first quarter of 2009. Based on our experience over the last several quarters and current market conditions, we believe that our Las Vegas Operations will continue to experience lower than historical hotel occupancy rates, room rates, casino volumes and accordingly lower departmental profitability. As a result of the current economic conditions, we have increasingly focused on efficiency initiatives that we began implementing at both of our properties and corporate offices in early 2009. These initiatives include reductions in pay for salaried employees, reduced work weeks for full-time hourly employees, a reduction of 2009 bonus accruals and a suspension of the employer match to the 401(k) plan. We are continually reviewing the cost and efficiencies at our operating properties and corporate offices to identify further opportunities to reduce costs during these uncertain economic times. Wynn Macau continues to be impacted by the slowing global economy and visa restrictions implemented in September 2008.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Our results of operations for the periods presented are not comparable as the three months ended March 31, 2009 includes the expansion of Wynn Las Vegas which opened on December 22, 2008, whereas the prior year quarter included only Wynn Las Vegas and Wynn Macau. We believe that our operating results at both properties for the three months ended March 31, 2009, were adversely impacted by the weakened global economy. Disruptions in the global financial and stock markets and reduced levels of consumer spending have and may continue to adversely impact our financial results. In addition, as noted above, visa restrictions have placed certain limitations on visitation to Macau. These restrictions have and will continue to adversely impact visitation to Macau by residents of mainland China.</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w w:val="96"/>
              </w:rPr>
              <w:t>2008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Wynn Las Vegas, including Encore for 2009</w:t>
            </w:r>
          </w:p>
        </w:tc>
        <w:tc>
          <w:tcPr>
            <w:tcW w:w="5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291,276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287,160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4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448,679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491,546</w:t>
            </w:r>
          </w:p>
        </w:tc>
        <w:tc>
          <w:tcPr>
            <w:tcW w:w="0" w:type="dxa"/>
            <w:vAlign w:val="bottom"/>
          </w:tcPr>
          <w:p>
            <w:pPr>
              <w:spacing w:after="0"/>
              <w:rPr>
                <w:sz w:val="1"/>
                <w:szCs w:val="1"/>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5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739,955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778,706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960" w:type="dxa"/>
            <w:vAlign w:val="bottom"/>
            <w:vMerge w:val="restart"/>
          </w:tcPr>
          <w:p>
            <w:pPr>
              <w:jc w:val="right"/>
              <w:ind w:right="3672"/>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Reliance on only two properties (in two geographic regions) for our operating cash flow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the Company’s operational performance for the periods in which a Condensed Consolidated Statement of Operations is presented. Casinos generally record win as a percentage of either drop or turnover. In our casino operations in Las Vegas, table games win is recorded as a percentage of drop. However, in our casino operations at Wynn Macau, we separate table play into two distinct classifications. Our Macau VIP casino segment records table games win as a percentage of turnover, whereas our general casino records win as a percentage of drop.</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2009 compared to the three months ended March 31, 2008.</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noted earlier, our financial results for the three months ended March 31, 2009 are not comparable to the three months ended March 31, 2008, as the three months ended March 31, 2009 include the expansion of Wynn Las Vegas which opened on December 22, 2008, whereas the prior year quarter includes only Wynn Las Vegas and Wynn Macau.</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Net revenues for the three months ended March 31, 2009 are comprised of $541.7 million in casino revenues (73.2% of total net revenues) and $198.3 million of net non-casino revenues (26.8% of total net revenues). Net revenues for the three months ended March 31, 2008 were comprised of $591.8 million in casino revenues (76% of total net revenues) and $186.9 million of net non-casino revenues (24% of total net revenues).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of approximately $541.7 million represents a $50.1 million (or 8.5%) decrease from casino revenues of $591.8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2008. We expanded Wynn Las Vegas with the opening of Encore in December 2008. Encore added approximately 95 table games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835 slot machines to our casino operations. Even with these additions, our Las Vegas Operations experienced a $7.7 million decrease in casino revenues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prior year due to a 2.5%</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decrease in drop and a decrease in our average table games win percentage. Our average table games win percentage (before discounts) for the three months ended March 31, 2009 was 17.7%, which was below the expected range of 21% to 24% and compares to 19.9% for the prior year’s quarter. Slot handle at our Las Vegas Operations increased 2.5% during the three months ended March 31, 2009 as compared to 2008, and the slot win percentage was within the expected range of 4.5% to 5.5%.</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at Wynn Macau decreased $42.4 million during the three months ended March 31, 2009, compared to the prior year quarter. At Wynn Macau, we experienced a 15.2% decrease in the VIP revenue segment due to a 27.9% decrease in turnover. Our win as a percent of turnover was 3.6%, which is above the expected range of 2.7% to 3.0%, and compares to 3.0% in the prior year quarter. Our VIP casino segment win as a percent of turnover includes a nominal beneficial effect attributable to non-rolling chip play. In our general casino at Wynn Macau, drop decreased 15.3% when compared to the prior year quarter and the average table games win percentage was 22.1%, which is above the expected range of 18% to 20%. The average table game win percentage at Wynn Macau for the three months ended March 31, 2008 was 19.7%. Slot handle at Wynn Macau increased 42.9% compared to the prior year quarter and the slot win percentage was within the expected range of 4.5% to 5.5%. The increase in slot handle was primarily due to the play of several high-end slot customers.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the three months ended March 31, 2009, room revenues were approximately $98.4 million, an increase of $13.1 million compared to prior year room revenue of $85.3 million. Room revenue at our Las Vegas Operations increased approximately $14.5 million compared to the prior year quarter due to the addition of 2,034 suites at Encore at Wynn Las Vegas, which opened December 22, 2008. In Las Vegas, we continued to experience a decrease in occupancy and room rates during the three months ended March 31, 2009, compared to the three months ended March 31, 2008. Room revenue at Wynn Macau decreased approximately $1.4 million due to a decrease in occupancy and room rates compared to the prior year.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2009</w:t>
            </w:r>
          </w:p>
        </w:tc>
        <w:tc>
          <w:tcPr>
            <w:tcW w:w="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72"/>
              <w:spacing w:after="0"/>
              <w:rPr>
                <w:sz w:val="20"/>
                <w:szCs w:val="20"/>
                <w:color w:val="auto"/>
              </w:rPr>
            </w:pPr>
            <w:r>
              <w:rPr>
                <w:rFonts w:ascii="Arial" w:cs="Arial" w:eastAsia="Arial" w:hAnsi="Arial"/>
                <w:sz w:val="18"/>
                <w:szCs w:val="18"/>
                <w:color w:val="auto"/>
              </w:rPr>
              <w:t>222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Occupancy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Macau</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2"/>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88.5%</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72"/>
              <w:spacing w:after="0"/>
              <w:rPr>
                <w:sz w:val="20"/>
                <w:szCs w:val="20"/>
                <w:color w:val="auto"/>
              </w:rPr>
            </w:pPr>
            <w:r>
              <w:rPr>
                <w:rFonts w:ascii="Arial" w:cs="Arial" w:eastAsia="Arial" w:hAnsi="Arial"/>
                <w:sz w:val="18"/>
                <w:szCs w:val="18"/>
                <w:color w:val="auto"/>
              </w:rPr>
              <w:t>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non-casino revenues for the three months ended March 31, 2009 included food and beverage revenues of approximately $109.6 million, retail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of approximately $35 million, entertainment revenues of approximately $12.8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$15.3 million. Other non-gaming revenues for the three months ended March 31, 2008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$91.1 million, retail revenues of approximately $35.3 million, entertainment revenues of approximately $19.2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$13.7 million. Food and beverage revenues at our Las Vegas Operations increased as a result of the additional 12 food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beverage outlets located in Encore at Wynn Las Vegas, which opened in December 2008, offset by a decrease of $1.2 million at Wynn Macau, as compared to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prior year’s quarter. Although we added new retail outlets at Encore, retail revenues in Las Vegas decreased, offset by an increase at Wynn Macau. Entertainment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over the prior year quarter primarily due to the closure of the Spamalot production show at Wynn Las Vegas in July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three months ended March 31, 2009, departmental expenses included casino expense of $376.5 million, rooms expense of $25 million, food and beverage expense of $60 million, and entertainment, retail and other expense of $36 million. Also included are general and administrative expenses of approximately $93.5 million and approximately $3.9 million charged as a provision for doubtful accounts receivable. During the three months ended March 31, 2008, departmental expenses included casino expenses of $388.4 million, room expenses of $20.3 million, food and beverage expenses of $51.7 million, and entertainment and retail and other expenses of $44.6 million. Also included are general and administrative expenses of approximately $79.3 million and approximately $11.5 million charged as a provision for doubtful accounts receivable. Casino expenses have decreased during the three months ended March 31, 2009 due to a decrease in casino revenues especially at Wynn Macau where we incur a gaming revenue tax of 39%. Room, food and beverage and general and administrative expenses increased as a result of the opening of Encore at Wynn Las Vegas in December 2008. Entertainment, retail and other expense declined primarily as a result of the closure of Spamalot at Wynn Las Vegas in July 2008. Our provision for doubtful accounts receivable declined during the three months ended March 31, 2009, compared to the prior year’s quarter due to recent strong collection trends on our casino accounts receivable. This strength has allowed us to reduce a portion of the additional reserves we recorded in the third quarter of 2008.</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During the three months ended March 31, 2009, we incurred no pre-opening costs compared to $5.3 million for the three months ended March 31, 2008. Pre-opening costs incurred during the three months ended March 31, 2008 were related to Encore at Wynn Las Vegas which opened in December 2008. We expect to incur pre-opening costs related to the expansion at Wynn Macau as we get closer to opening in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2009 of $101.5 million increased by $38.7 million when compared to the three months ended March 31, 2008, primarily due to depreciation of the assets of Encore at Wynn Las Vegas.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our Las Vegas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Property charges and other for the three months ended March 31, 2009 were $16.5 million compared to approximately $24.3 million for the three months ended March 31, 2008. Property charges and other for the three months ended March 31, 2009 include the write-off of $14.9 million of aircraft purchase deposits. On February 19, 2009, we cancelled the agreements to purchase two aircraft. The deposit on one of the aircraft is refundable to the extent another buyer is found. Due to the uncertainty as to the recoverability of this deposit and a $1.5 million nonrefundable deposit on a second aircraft, we wrote off these deposits in the first quarter of 2009. The remaining property charges were related to miscellaneous renovations, abandonments and loss on sale of equipment at Wynn Las Vegas and Wynn Macau.</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Property charges and other for the three months ended March 31, 2008 include $17.8 million of costs associated with Spamalot at Wynn Las Vegas which closed in July 2008. The charge included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the contract. The remaining property charges were related to renovations and abandonments at both Wynn Las Vegas and Wynn Macau.</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our properties.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Interest income was $0.3 million for the three months ended March 31, 2009 compared to $11.9 million for the three months ended March 31, 2008. Interest income decreased $11.6 million primarily due to a significant decrease in the average interest rates earned on invested cash balances compared to the prior year quarter.</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Interest expense was $57 million, net of capitalized interest of $2.4 million, for the three months ended March 31, 2009, compared to $45.3 million, net of capitalized interest of $16.9 million, for the three months ended March 31, 2008. Our interest expense increased due to $14.5 million less of capitalized interest related to our construction activities with the opening of Encore at Wynn Las Vegas in December 2008, approximately $5.7 million related to additional borrowings under our Wynn Macau credit facilities and $3.3 million associated with additional borrowings under the Wynn Las Vegas revolver. These increases were offset by approximately $9.4 million less interest due to the $625 million pay down of the Wynn Resorts term loan facility and approximately $2.4 million less interest due to lower average interest rates on the Wynn Las Vegas credit facilities.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 gain of approximately $1.1 million for the three months ended March 31, 2009 resulting from the increase in the fair value of our interest rate swaps from December 31, 2008 to March 31, 2009. During the three months ended March 31, 2008 we recorded a net expense of $15.2 million resulting from the net decrease in the fair value of interest rate swaps between December 31, 2007 and March 31, 2008. For further information on our interest rate swaps, see Item 3—“Quantitative and Qualitative Disclosures about Market Risk.”</w:t>
      </w:r>
    </w:p>
    <w:p>
      <w:pPr>
        <w:spacing w:after="0" w:line="147" w:lineRule="exact"/>
        <w:rPr>
          <w:sz w:val="20"/>
          <w:szCs w:val="20"/>
          <w:color w:val="auto"/>
        </w:rPr>
      </w:pPr>
    </w:p>
    <w:p>
      <w:pPr>
        <w:jc w:val="both"/>
        <w:ind w:right="120" w:firstLine="456"/>
        <w:spacing w:after="0" w:line="230" w:lineRule="auto"/>
        <w:rPr>
          <w:sz w:val="20"/>
          <w:szCs w:val="20"/>
          <w:color w:val="auto"/>
        </w:rPr>
      </w:pPr>
      <w:r>
        <w:rPr>
          <w:rFonts w:ascii="Arial" w:cs="Arial" w:eastAsia="Arial" w:hAnsi="Arial"/>
          <w:sz w:val="18"/>
          <w:szCs w:val="18"/>
          <w:color w:val="auto"/>
        </w:rPr>
        <w:t xml:space="preserve">During the three months ended March 31, 2009, Wynn Resorts purchased $39.3 million face amount of the Wynn Las Vegas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through open market purchases at a discount. This transaction resulted in a gain on early extinguishment of debt of $10.6 million net of the write off of unamortized debt discount and debt issue costs.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three months ended March 31, 2009, we recorded a tax expense of $15.9 million. Our provision for income taxes relates primarily to an increase in our foreign and domestic valuation allowances totaling $23.8 million relating to tax loss carryforwards and foreign tax credits not considered more likely than not realizable in the future. None of the Company’s foreign earnings are considered permanently invested abroad.</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$6.6 million in such taxes for the three months ended March 31, 2009. Our non-gaming profits remain subject to the Macau Complementary Tax and casino winnings remain subject to the Macau Special Gaming tax (at a rate equal to 39%) and other levies in accordance with its concession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cash provided from operations for the three months ended March 31, 2009 was $60.7 million compared to $138.3 million provided by operations for the three months ended March 31, 2008. This decrease is primarily due to the decrease in operating income and income tax benefits related to excess tax deductions associated with stock-based compensation costs that were not previously recognized.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require a certain amount of cash on hand for operations. At March 31, 2009, we had approximately $1.7 billion of cash and cash equivalents available for operations, debt service and retirement, development activities, general corporate purposes, enhancements to our properties, funding the remaining construction and retention payables related to Encore at Wynn Las Vegas (approximately $104.3 million) and to support the development and construction costs of Encore at Wynn Macau. Approximately $729.2 million of our cash balance is held by Wynn Resorts, Limited, which is not a guarantor of the debt of its subsidiaries, including Wynn Las Vegas, LLC and Wynn Macau, S.A. As of March 31, 2009, we had $0.4 million of availability under our Wynn Las Vegas credit facilities and no amounts available under our Wynn Macau credit facilities. Except for scheduled quarterly payments on two notes payable, we have no outstanding debt maturities until June 2010. We believe that cash flow from operations and our existing cash balances will be adequate to satisfy our anticipated uses of capital during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include investments in U.S. Treasury Bills and bank time deposits, all with maturities of less than 90 days.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Capital expenditures were approximately $183.7 million for the three months ended March 31, 2009, and related primarily to cash payments on construction and retention payables related to Encore at Wynn Las Vegas and the construction of Encore at Wynn Macau.</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June 2007, we commenced construction on Encore at Wynn Macau, a further expansion of Wynn Macau. Encore at Wynn Macau is a second hotel tower for Wynn Macau situated on top of a new low-rise podium. We expect Encore at Wynn Macau to open in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of the project continues to progress and current construction activities as of April 2009, include the following:</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low-rise podium structure is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high-rise tower structure has reached the 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Exterior glass installation has reached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Interior fit-out is in progress in all areas;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basement structure has been completed;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central plant (located on the roof of Wynn Macau) is complete.</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July 2007, Wynn Macau S.A. issued a notice to proceed and on November 8, 2007,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Encore at Wynn Macau.</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expect total development and construction costs to be approximately $700 million. The project budget will be funded from our cash flow from operations at Wynn Macau and existing cash balances.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March 31, 2009, we had incurred approximately $254.6 million of project costs related to the development and construction of Encore at Wynn Macau.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20, 2009, we completed a secondary common stock offering of approximately 11 million shares resulting in net proceeds of $202.3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funds were included in our cash and cash equivalents as of March 31, 2009.</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Wynn Las Vegas 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Fixed Mortgage Notes</w:t>
      </w:r>
    </w:p>
    <w:p>
      <w:pPr>
        <w:spacing w:after="0" w:line="112" w:lineRule="exact"/>
        <w:rPr>
          <w:sz w:val="20"/>
          <w:szCs w:val="20"/>
          <w:color w:val="auto"/>
        </w:rPr>
      </w:pPr>
    </w:p>
    <w:p>
      <w:pPr>
        <w:ind w:right="20" w:firstLine="456"/>
        <w:spacing w:after="0" w:line="231" w:lineRule="auto"/>
        <w:rPr>
          <w:sz w:val="20"/>
          <w:szCs w:val="20"/>
          <w:color w:val="auto"/>
        </w:rPr>
      </w:pPr>
      <w:r>
        <w:rPr>
          <w:rFonts w:ascii="Arial" w:cs="Arial" w:eastAsia="Arial" w:hAnsi="Arial"/>
          <w:sz w:val="18"/>
          <w:szCs w:val="18"/>
          <w:color w:val="auto"/>
        </w:rPr>
        <w:t xml:space="preserve">During the three months ended March 31, 2009, Wynn Resorts purchased $39.3 million face amount of the Wynn Las Vegas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through open market purchases at a discount. This transaction resulted in a gain on early extinguishment of debt of $10.6 million net of the write off of unamortized debt discount and debt issue costs. As of March 31, 2009, Wynn Resorts holds this debt and has not contributed such debt to its wholly-owned subsidiary Wynn Las Vegas.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2009, our Wynn Las Vegas credit facilities consisted of a $900 million revolving credit facility (the “Revolver”) and a $225 million term loan facility (the “Term Loan”). During the three months ended March 31, 2009, we did not borrow any incremental amounts under the Revolver, and as of March 31, 2009 we had an outstanding balance of $879.5 million. We also had $20.1 million of outstanding letters of credit that reduce our availability under the Revolver. Consequently, $0.4 million remained available under the Revolver for future borrowings as of March 31, 2009.</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April 17, 2009, we entered into a fourth amendment to our Wynn Las Vegas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(iii) extends the maturity on approximately $610 million of Wynn Las Vegas revolver commitments from August 15, 2011 to July 15, 2013 (after giving effect to the permanent reduction described below); and</w:t>
      </w:r>
    </w:p>
    <w:p>
      <w:pPr>
        <w:spacing w:after="0" w:line="2" w:lineRule="exact"/>
        <w:rPr>
          <w:sz w:val="20"/>
          <w:szCs w:val="20"/>
          <w:color w:val="auto"/>
        </w:rPr>
      </w:pPr>
    </w:p>
    <w:p>
      <w:pPr>
        <w:ind w:firstLine="8"/>
        <w:spacing w:after="0" w:line="295" w:lineRule="auto"/>
        <w:tabs>
          <w:tab w:leader="none" w:pos="297"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overall interest rate spread on the Wynn Las Vegas Credit Facility from LIBOR plus 1.7% to LIBOR plus 2.6%.</w:t>
      </w:r>
    </w:p>
    <w:p>
      <w:pPr>
        <w:spacing w:after="0" w:line="11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amended, the Wynn Las Vegas revolver commitments will reduce by $61 million on August 15, 2011, and an additional $55 million on August 15, 2012. The remaining commitments will mature on July 15, 2013. Lenders holding $87 million of the Wynn Las Vegas commitments did not agree to the amendment. Those commitments will mature on the original maturity date of August 15, 2011. The Wynn Las Vegas Term Loan will mature in two installments: $112.5 million will be payable on September 30, 2012 and the remaining $112.5 million will be payable on August 15, 2013.</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Wynn Las Vegas credit facilities are obligations of Wynn Las Vegas, LLC and are guaranteed by and secured by substantially all of the assets (except the corporate aircraft) of each of its subsidiaries (other than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March 31, 2009, our Wynn Macau credit facilities consisted of a $550 million equivalent fully funded senior term loan facility (the “Wynn Macau Term Loan”), and a $1 billion senior revolving credit facility (the “Wynn Macau Revolver”) (together the “Wynn Macau Credit Facilities”), in a combination of Hong Kong and U.S. dollars. Wynn Macau has the ability to upsize the total facilities by an additional $50 million pursuant to the terms and provisions of the Amended Common Terms Agreement.</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During the three months ended March 31, 2009, we borrowed approximately $500 million under the Wynn Macau Revolver. As of March 31, 2009, our outstanding balance was approximately $1 billion and we have no remaining amounts available to borrow under the Wynn Macau Credit Facilities.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March 31, 2009, we had outstanding letters of credit totaling $20.1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Other than the $500 million draw under our Wynn Macau Revolver in February 2009, and the cancelation of two aircraft purchases in February 2009 that had future commitments of $85 million at December 31, 2008, there have been no material changes during the quarter to our contractual obligations or off balance sheet arrangements as disclosed in our Annual Report on Form 10-K for the year ended December 31,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certain conditions are met, earnings and the distribution of loan proceeds. Further, the Wynn Resorts term loan places various restrictions on our ability to pay dividends with the proceeds of certain dispositions and certain funds drawn from such term loan.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and to the extent additional funds are required, with additional contributions from Wynn Resorts. We cannot assure you, however, that our Las Vegas operations will generate sufficient cash flow from operations or that future contributions from Wynn Resorts or the availability of additional indebtedness will be sufficient to enable us to service and repay Wynn Las Vegas, LLC’s indebtedness and to fund its other liquidity needs. Similarly, we expect that Wynn Macau will fund Wynn Macau, S.A.’s debt service obligations with existing cash and operating cash flow.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2008. There has been no material change to these policies for the three months ended March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on January 1, 2009, did not impact on our financial position, results of operations or cash flows.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on January 1, 2009, did not impact on our financial position, results of operations or cash flows.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SFAS No. 133”. SFAS No. 161 intended to improve financial reporting about derivative instruments and hedging activities by requiring enhanced disclosures to enable investors to better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understand their effects on an entity’s financial position, financial performance, and cash flows. This statement is effective for fiscal years beginning after November 15, 2008. The adoption of SFAS No. 161 on January 1, 2009, did not have a material impact on our financial position, results of operations or cash flows.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 2008, we entered into an interest rate swap to hedge the underlying interest rate risk on all of the borrowings under the Wynn Resorts Term Loan, which bears interest at LIBOR plus 2.25%. Pursuant to the terms of this interest rate swap, we paid a fixed rate of 2.836% on the $1 billion notional amount and received payments based on LIBOR. This swap fixed the interest rate at approximately 5.09%. On December 8, 2008, we modified the terms of this swap so that the current notional amount is $375 million, which matches the current debt outstanding. Pursuant to the amendment, we now pay a fixed rate of 3.95% which fixes the interest rate at approximately 6.2%. Changes in the fair value of this interest rate swap have and will continue to be recorded as an increase/decrease in swap fair value in our Condensed Consolidated Statements of Operations as the swap does not qualify for hedge accounting. This interest rate swap agreement matures in June 2010.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2009, we had two interest rate swaps intended to hedge a portion of the underlying interest rate risk on borrowings under the Wynn Macau Term Loan. Under the first swap agreement, we pay a fixed interest rate of 3.632% on U.S. dollar borrowings of $153.8 million incurred under the Wynn Macau Term Loan in exchange for receipts on the same amounts at a variable interest rate based on the applicable LIBOR at the time of payment. Under the second swap agreement, we pay a fixed interest rate of 3.39% on Hong Kong dollar borrowings of approximately HK $991.6 million (approximately U.S. $127.9 million) incurred under the Wynn Macau Term Loan in exchange for receipts on the same amounts at a variable interest rate based on the applicable HIBOR at the time of payment. These interest rate swap agreements mature in August 2011.</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These interest rate swaps fix the interest rates on the current U.S. dollar and Hong Kong dollar borrowings under the Wynn Macau Term Loan at approximately 5.382% and 5.14%, respectively. However, changes in the fair values of these interest rate swaps for each reporting period recorded are, and will continue to be, recognized as an increase/decrease in swap fair value in our Condensed Consolidated Statements of Operations, as the swaps do not qualify for hedge accounting.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March 31, 2009 and December 31, 2008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Net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Wynn</w:t>
            </w:r>
          </w:p>
        </w:tc>
        <w:tc>
          <w:tcPr>
            <w:tcW w:w="24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Wynn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61"/>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Liability fair value at:</w:t>
            </w:r>
          </w:p>
        </w:tc>
        <w:tc>
          <w:tcPr>
            <w:tcW w:w="34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Resorts</w:t>
            </w:r>
          </w:p>
        </w:tc>
        <w:tc>
          <w:tcPr>
            <w:tcW w:w="2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Macau</w:t>
            </w: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Swaps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March 31,</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w:t>
            </w:r>
          </w:p>
        </w:tc>
        <w:tc>
          <w:tcPr>
            <w:tcW w:w="348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(13,378)</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(13,400)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(26,778)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December</w:t>
            </w: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31, 2008</w:t>
            </w:r>
          </w:p>
        </w:tc>
        <w:tc>
          <w:tcPr>
            <w:tcW w:w="4360" w:type="dxa"/>
            <w:vAlign w:val="bottom"/>
            <w:gridSpan w:val="3"/>
          </w:tcPr>
          <w:p>
            <w:pPr>
              <w:jc w:val="right"/>
              <w:ind w:right="220"/>
              <w:spacing w:after="0"/>
              <w:rPr>
                <w:sz w:val="20"/>
                <w:szCs w:val="20"/>
                <w:color w:val="auto"/>
              </w:rPr>
            </w:pPr>
            <w:r>
              <w:rPr>
                <w:rFonts w:ascii="Arial" w:cs="Arial" w:eastAsia="Arial" w:hAnsi="Arial"/>
                <w:sz w:val="18"/>
                <w:szCs w:val="18"/>
                <w:color w:val="auto"/>
              </w:rPr>
              <w:t>$ (15,334)</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 (12,539)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86"/>
              </w:rPr>
              <w:t>(27,873)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2009, approximately 49%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2009, an assumed 1% change in variable rates would cause our annual interest cost to change by $24.5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60" w:firstLine="464"/>
        <w:spacing w:after="0" w:line="306"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During the review of its first quarter 2009 tax provision, the Company determined that its controls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relating to the determination and reporting of the Company’s income tax provision and related deferred tax accounts did not operate as intended. The Company identified deficiencies in the computation of its deferred tax accounts that constitute a material weakness.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light of these deficiencies, the Company developed processes and activities and performed additional analysis including detailed reviews and clerical tests of schedules and confirmed that the Company’s income tax accounts in its condensed consolidated financial statements included in the Quarterly Report on Form 10-Q are prepared in accordance with generally accepted accounting principles in the United States (“GAAP”). With respect to its procedures for future periods, the Company intends to hire additional tax staff and engage an external accounting firm to review the income tax provision calculations performed by its internal tax department prior to the submission of such work to its external auditors in order to prevent or detect similar future occurrences.</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and solely in light of the deficiencies noted above, the Company’s Chief Executive Officer and Chief Financial Officer have concluded that, as of the end of such period, the Company’s disclosure controls and procedures were not effective, at the reasonable assurance level, in recording, processing, summarizing and reporting, on a timely basis, information required to be disclosed by the Company in the reports that it files or submits under the Exchange Act and were not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sz w:val="20"/>
          <w:szCs w:val="20"/>
          <w:color w:val="auto"/>
        </w:rPr>
      </w:pPr>
    </w:p>
    <w:p>
      <w:pPr>
        <w:ind w:firstLine="464"/>
        <w:spacing w:after="0" w:line="255"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 although as described in Part I, Item 4(a) above, in connection with the Company’s preparation and review of its first quarter 2009 tax provision, the Company subsequently developed and performed additional processes and determined to initiate additional steps relating to the preparation and review of is income tax provisions.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IA.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2008. There were no material changes to those risk factors during the three months ended March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adopted a policy regarding the payment of dividends, however we plan to evaluate the payment of dividends from time to time.</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the distribution of loan proceeds. Further, the Wynn Resorts term loan places various restrictions on our ability to pay dividends with the proceeds of certain dispositions and certain funds drawn from such term loan.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(a)</w:t>
            </w:r>
          </w:p>
        </w:tc>
        <w:tc>
          <w:tcPr>
            <w:tcW w:w="970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r>
      <w:tr>
        <w:trPr>
          <w:trHeight w:val="5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84"/>
        </w:trPr>
        <w:tc>
          <w:tcPr>
            <w:tcW w:w="2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Second</w:t>
            </w:r>
          </w:p>
        </w:tc>
        <w:tc>
          <w:tcPr>
            <w:tcW w:w="9000" w:type="dxa"/>
            <w:vAlign w:val="bottom"/>
          </w:tcPr>
          <w:p>
            <w:pPr>
              <w:spacing w:after="0"/>
              <w:rPr>
                <w:sz w:val="20"/>
                <w:szCs w:val="20"/>
                <w:color w:val="auto"/>
              </w:rPr>
            </w:pPr>
            <w:r>
              <w:rPr>
                <w:rFonts w:ascii="Arial" w:cs="Arial" w:eastAsia="Arial" w:hAnsi="Arial"/>
                <w:sz w:val="18"/>
                <w:szCs w:val="18"/>
                <w:color w:val="auto"/>
              </w:rPr>
              <w:t>Amended and Restated Articles of Incorporation of the Registrant.</w:t>
            </w:r>
            <w:r>
              <w:rPr>
                <w:rFonts w:ascii="Arial" w:cs="Arial" w:eastAsia="Arial" w:hAnsi="Arial"/>
                <w:sz w:val="22"/>
                <w:szCs w:val="22"/>
                <w:color w:val="auto"/>
                <w:vertAlign w:val="superscript"/>
              </w:rPr>
              <w:t>(1)</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Fourth Amended and Restated Bylaws of the Registrant, as amended.</w:t>
            </w:r>
            <w:r>
              <w:rPr>
                <w:rFonts w:ascii="Arial" w:cs="Arial" w:eastAsia="Arial" w:hAnsi="Arial"/>
                <w:sz w:val="22"/>
                <w:szCs w:val="22"/>
                <w:color w:val="auto"/>
                <w:vertAlign w:val="superscript"/>
              </w:rPr>
              <w:t>(2)</w:t>
            </w:r>
          </w:p>
        </w:tc>
      </w:tr>
      <w:tr>
        <w:trPr>
          <w:trHeight w:val="24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0"/>
              </w:rPr>
              <w:t>Amendment to Employment Agreement, dated as of February 16, 2009, by and between Wynn Resorts, Limited and Stephen A. Wynn.</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1"/>
              </w:rPr>
              <w:t>Amendment to Employment Agreement, dated as of February 12, 2009, by and between Wynn Resorts, Limited and Marc D. Schorr.</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3"/>
              </w:rPr>
              <w:t>Amendment to Employment Agreement, dated as of February 13, 2009, by and between Wynn Resorts, Limited and Matt Maddox.</w:t>
            </w:r>
          </w:p>
        </w:tc>
      </w:tr>
      <w:tr>
        <w:trPr>
          <w:trHeight w:val="400"/>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89"/>
              </w:rPr>
              <w:t>Fourth Amendment to Employment Agreement, dated as of March 5, 2009, by and between Wynn Resorts, Limited and Matt Maddox.</w:t>
            </w:r>
            <w:r>
              <w:rPr>
                <w:rFonts w:ascii="Arial" w:cs="Arial" w:eastAsia="Arial" w:hAnsi="Arial"/>
                <w:sz w:val="22"/>
                <w:szCs w:val="22"/>
                <w:color w:val="auto"/>
                <w:w w:val="89"/>
                <w:vertAlign w:val="superscript"/>
              </w:rPr>
              <w:t>(3)</w:t>
            </w:r>
          </w:p>
        </w:tc>
      </w:tr>
      <w:tr>
        <w:trPr>
          <w:trHeight w:val="24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Amendment to Employment Agreement, dated as of February 12, 2009, by and between Wynn Resorts, Limited and John Strzemp.</w:t>
            </w:r>
          </w:p>
        </w:tc>
      </w:tr>
      <w:tr>
        <w:trPr>
          <w:trHeight w:val="400"/>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88"/>
              </w:rPr>
              <w:t>Fourth Amendment to Employment Agreement, dated as of March 23, 2009, by and between Wynn Resorts, Limited and John Strzemp.</w:t>
            </w:r>
            <w:r>
              <w:rPr>
                <w:rFonts w:ascii="Arial" w:cs="Arial" w:eastAsia="Arial" w:hAnsi="Arial"/>
                <w:sz w:val="22"/>
                <w:szCs w:val="22"/>
                <w:color w:val="auto"/>
                <w:w w:val="88"/>
                <w:vertAlign w:val="superscript"/>
              </w:rPr>
              <w:t>(4)</w:t>
            </w:r>
          </w:p>
        </w:tc>
      </w:tr>
      <w:tr>
        <w:trPr>
          <w:trHeight w:val="24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6"/>
              </w:rPr>
              <w:t>Amendment to Employment Agreement, dated as of February 16, 2009, by and between Worldwide Wynn and Linda E. Chen.</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1"/>
              </w:rPr>
              <w:t>Third Amendment to Agreement to Lease made as of March 18, 2009, by and between Wynn Las Vegas, LLC and Stephen A. Wynn.</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1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9, 2009,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23, 2009 and incorporated herein by reference.</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240" w:top="459" w:right="5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900" w:val="left"/>
          <w:tab w:leader="none" w:pos="7940" w:val="left"/>
          <w:tab w:leader="none" w:pos="8280" w:val="left"/>
        </w:tabs>
        <w:rPr>
          <w:sz w:val="20"/>
          <w:szCs w:val="20"/>
          <w:color w:val="auto"/>
        </w:rPr>
      </w:pPr>
      <w:r>
        <w:rPr>
          <w:rFonts w:ascii="Arial" w:cs="Arial" w:eastAsia="Arial" w:hAnsi="Arial"/>
          <w:sz w:val="18"/>
          <w:szCs w:val="18"/>
          <w:color w:val="auto"/>
        </w:rPr>
        <w:t>Dated: May 11,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Matt Maddox</w:t>
      </w:r>
    </w:p>
    <w:p>
      <w:pPr>
        <w:jc w:val="center"/>
        <w:ind w:left="628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28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40"/>
          </w:cols>
          <w:pgMar w:left="240" w:top="459" w:right="11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to Employment Agreement is by and between Stephen A. Wynn (“Employee”) and Wynn Resorts, Limited (“Employer”).</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WHEREAS, Employee and Employer have entered in to that certain Employment Agreement dated as of October 4, 2002, as amended (the “Employment Agreement”);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WHEREAS, due to the ongoing negative economic climate, Employee and Employer desire to amend the Employment Agreement in order to assist Employer to maintain business stability thereby preserving Employee’s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receipt of which is hereby acknowledged, the parties hereto agree as follows:</w:t>
      </w:r>
    </w:p>
    <w:p>
      <w:pPr>
        <w:spacing w:after="0" w:line="8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to Base Salary</w:t>
      </w:r>
      <w:r>
        <w:rPr>
          <w:rFonts w:ascii="Arial" w:cs="Arial" w:eastAsia="Arial" w:hAnsi="Arial"/>
          <w:sz w:val="18"/>
          <w:szCs w:val="18"/>
          <w:color w:val="auto"/>
        </w:rPr>
        <w:t>. Effective February 16, 2009, the term “</w:t>
      </w:r>
      <w:r>
        <w:rPr>
          <w:rFonts w:ascii="Arial" w:cs="Arial" w:eastAsia="Arial" w:hAnsi="Arial"/>
          <w:sz w:val="18"/>
          <w:szCs w:val="18"/>
          <w:b w:val="1"/>
          <w:bCs w:val="1"/>
          <w:color w:val="auto"/>
        </w:rPr>
        <w:t>Base Salary</w:t>
      </w:r>
      <w:r>
        <w:rPr>
          <w:rFonts w:ascii="Arial" w:cs="Arial" w:eastAsia="Arial" w:hAnsi="Arial"/>
          <w:sz w:val="18"/>
          <w:szCs w:val="18"/>
          <w:color w:val="auto"/>
        </w:rPr>
        <w:t>” shall be mean $2,762,500 per annum.</w:t>
      </w:r>
    </w:p>
    <w:p>
      <w:pPr>
        <w:spacing w:after="0" w:line="96"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Employment Agreement is being modified only as stated herein, and agree that nothing else in the Employment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Marc Schorr</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Wynn</w:t>
            </w:r>
          </w:p>
        </w:tc>
      </w:tr>
      <w:tr>
        <w:trPr>
          <w:trHeight w:val="217"/>
        </w:trPr>
        <w:tc>
          <w:tcPr>
            <w:tcW w:w="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3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Schorr</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February 16, 2009</w:t>
            </w:r>
          </w:p>
        </w:tc>
      </w:tr>
      <w:tr>
        <w:trPr>
          <w:trHeight w:val="331"/>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to Employment Agreement is by and between Marc D. Schorr (“Employee”) and Wynn Resorts, Limited (“Employer”).</w:t>
      </w:r>
    </w:p>
    <w:p>
      <w:pPr>
        <w:spacing w:after="0" w:line="17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WHEREAS, Employee and Employer have entered in to that certain Employment Agreement dated as of March 4, 2008, as amended (the “Employment Agreement”);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WHEREAS, due to the ongoing negative economic climate, Employee and Employer desire to amend the Employment Agreement in order to assist Employer to maintain business stability thereby preserving Employee’s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receipt of which is hereby acknowledged, the parties hereto agree as follows:</w:t>
      </w:r>
    </w:p>
    <w:p>
      <w:pPr>
        <w:spacing w:after="0" w:line="8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 to Base Salary</w:t>
      </w:r>
      <w:r>
        <w:rPr>
          <w:rFonts w:ascii="Arial" w:cs="Arial" w:eastAsia="Arial" w:hAnsi="Arial"/>
          <w:sz w:val="18"/>
          <w:szCs w:val="18"/>
          <w:color w:val="auto"/>
        </w:rPr>
        <w:t>. Effective February 16, 2009, the term “</w:t>
      </w:r>
      <w:r>
        <w:rPr>
          <w:rFonts w:ascii="Arial" w:cs="Arial" w:eastAsia="Arial" w:hAnsi="Arial"/>
          <w:sz w:val="18"/>
          <w:szCs w:val="18"/>
          <w:b w:val="1"/>
          <w:bCs w:val="1"/>
          <w:color w:val="auto"/>
        </w:rPr>
        <w:t>Base Salary</w:t>
      </w:r>
      <w:r>
        <w:rPr>
          <w:rFonts w:ascii="Arial" w:cs="Arial" w:eastAsia="Arial" w:hAnsi="Arial"/>
          <w:sz w:val="18"/>
          <w:szCs w:val="18"/>
          <w:color w:val="auto"/>
        </w:rPr>
        <w:t>” shall be mean $1,700,000 per annum.</w:t>
      </w:r>
    </w:p>
    <w:p>
      <w:pPr>
        <w:spacing w:after="0" w:line="96"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Employment Agreement is being modified only as stated herein, and agree that nothing else in the Employment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 Schorr</w:t>
            </w:r>
          </w:p>
        </w:tc>
      </w:tr>
      <w:tr>
        <w:trPr>
          <w:trHeight w:val="217"/>
        </w:trPr>
        <w:tc>
          <w:tcPr>
            <w:tcW w:w="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Marc D. Schorr</w:t>
            </w:r>
          </w:p>
        </w:tc>
      </w:tr>
      <w:tr>
        <w:trPr>
          <w:trHeight w:val="3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 Maddox</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February 12, 2009</w:t>
            </w:r>
          </w:p>
        </w:tc>
      </w:tr>
      <w:tr>
        <w:trPr>
          <w:trHeight w:val="331"/>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 &amp; Treasurer</w:t>
            </w: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to Employment Agreement is by and between Matt Maddox (“Employee”) and Wynn Resorts, Limited (“Employer”).</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WHEREAS, Employee and Employer have entered in to that certain Employment Agreement dated as of October 1, 2005, as amended (the “Employment Agreement”);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WHEREAS, due to the ongoing negative economic climate, Employee and Employer desire to amend the Employment Agreement in order to assist Employer to maintain business stability thereby preserving Employee’s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receipt of which is hereby acknowledged, the parties hereto agree as follows:</w:t>
      </w:r>
    </w:p>
    <w:p>
      <w:pPr>
        <w:spacing w:after="0" w:line="8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Amendment to Base Salary</w:t>
      </w:r>
      <w:r>
        <w:rPr>
          <w:rFonts w:ascii="Arial" w:cs="Arial" w:eastAsia="Arial" w:hAnsi="Arial"/>
          <w:sz w:val="18"/>
          <w:szCs w:val="18"/>
          <w:color w:val="auto"/>
        </w:rPr>
        <w:t>. Effective February 16, 2009, the term “</w:t>
      </w:r>
      <w:r>
        <w:rPr>
          <w:rFonts w:ascii="Arial" w:cs="Arial" w:eastAsia="Arial" w:hAnsi="Arial"/>
          <w:sz w:val="18"/>
          <w:szCs w:val="18"/>
          <w:b w:val="1"/>
          <w:bCs w:val="1"/>
          <w:color w:val="auto"/>
        </w:rPr>
        <w:t>Base Salary</w:t>
      </w:r>
      <w:r>
        <w:rPr>
          <w:rFonts w:ascii="Arial" w:cs="Arial" w:eastAsia="Arial" w:hAnsi="Arial"/>
          <w:sz w:val="18"/>
          <w:szCs w:val="18"/>
          <w:color w:val="auto"/>
        </w:rPr>
        <w:t>” shall be mean $552,500 per annum.</w:t>
      </w:r>
    </w:p>
    <w:p>
      <w:pPr>
        <w:spacing w:after="0" w:line="96"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Employment Agreement is being modified only as stated herein, and agree that nothing else in the Employment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Marc Schorr</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7"/>
        </w:trPr>
        <w:tc>
          <w:tcPr>
            <w:tcW w:w="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Matt Maddox</w:t>
            </w:r>
          </w:p>
        </w:tc>
      </w:tr>
      <w:tr>
        <w:trPr>
          <w:trHeight w:val="3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Schorr</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February 13, 2009</w:t>
            </w:r>
          </w:p>
        </w:tc>
      </w:tr>
      <w:tr>
        <w:trPr>
          <w:trHeight w:val="331"/>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w:t>
            </w: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to Employment Agreement is by and between John Strzemp (“Employee”) and Wynn Resorts, Limited (“Employer”).</w:t>
      </w:r>
    </w:p>
    <w:p>
      <w:pPr>
        <w:spacing w:after="0" w:line="1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WHEREAS, Employee and Employer have entered in to that certain Employment Agreement dated as of August 31, 2005, as amended (the “Employment Agreement”);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WHEREAS, due to the ongoing negative economic climate, Employee and Employer desire to amend the Employment Agreement in order to assist Employer to maintain business stability thereby preserving Employee’s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receipt of which is hereby acknowledged, the parties hereto agree as follows:</w:t>
      </w:r>
    </w:p>
    <w:p>
      <w:pPr>
        <w:spacing w:after="0" w:line="8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 to Base Salary</w:t>
      </w:r>
      <w:r>
        <w:rPr>
          <w:rFonts w:ascii="Arial" w:cs="Arial" w:eastAsia="Arial" w:hAnsi="Arial"/>
          <w:sz w:val="18"/>
          <w:szCs w:val="18"/>
          <w:color w:val="auto"/>
        </w:rPr>
        <w:t>. Effective February 16, 2009, the term “</w:t>
      </w:r>
      <w:r>
        <w:rPr>
          <w:rFonts w:ascii="Arial" w:cs="Arial" w:eastAsia="Arial" w:hAnsi="Arial"/>
          <w:sz w:val="18"/>
          <w:szCs w:val="18"/>
          <w:b w:val="1"/>
          <w:bCs w:val="1"/>
          <w:color w:val="auto"/>
        </w:rPr>
        <w:t>Base Salary</w:t>
      </w:r>
      <w:r>
        <w:rPr>
          <w:rFonts w:ascii="Arial" w:cs="Arial" w:eastAsia="Arial" w:hAnsi="Arial"/>
          <w:sz w:val="18"/>
          <w:szCs w:val="18"/>
          <w:color w:val="auto"/>
        </w:rPr>
        <w:t>” shall be mean $510,000 per annum.</w:t>
      </w:r>
    </w:p>
    <w:p>
      <w:pPr>
        <w:spacing w:after="0" w:line="96"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Employment Agreement is being modified only as stated herein, and agree that nothing else in the Employment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Strzemp</w:t>
            </w:r>
          </w:p>
        </w:tc>
      </w:tr>
      <w:tr>
        <w:trPr>
          <w:trHeight w:val="217"/>
        </w:trPr>
        <w:tc>
          <w:tcPr>
            <w:tcW w:w="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John Strzemp</w:t>
            </w:r>
          </w:p>
        </w:tc>
      </w:tr>
      <w:tr>
        <w:trPr>
          <w:trHeight w:val="3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 Maddox</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February 12, 2009</w:t>
            </w:r>
          </w:p>
        </w:tc>
      </w:tr>
      <w:tr>
        <w:trPr>
          <w:trHeight w:val="331"/>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 &amp; Treasurer</w:t>
            </w: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to Employment Agreement is by and between Linda C. Chen (“Employee”) and Worldwide Wynn, LLC (“Employer”).</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WHEREAS, Employee and Employer have entered in to that certain Employment Agreement dated as of October 27, 2006, as amended (the “Employment Agreement”);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WHEREAS, due to the ongoing negative economic climate, Employee and Employer desire to amend the Employment Agreement in order to assist Employer to maintain business stability thereby preserving Employee’s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receipt of which is hereby acknowledged, the parties hereto agree as follows:</w:t>
      </w:r>
    </w:p>
    <w:p>
      <w:pPr>
        <w:spacing w:after="0" w:line="8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Amendment to Base Salary</w:t>
      </w:r>
      <w:r>
        <w:rPr>
          <w:rFonts w:ascii="Arial" w:cs="Arial" w:eastAsia="Arial" w:hAnsi="Arial"/>
          <w:sz w:val="18"/>
          <w:szCs w:val="18"/>
          <w:color w:val="auto"/>
        </w:rPr>
        <w:t>. Effective February 16, 2009, the term “</w:t>
      </w:r>
      <w:r>
        <w:rPr>
          <w:rFonts w:ascii="Arial" w:cs="Arial" w:eastAsia="Arial" w:hAnsi="Arial"/>
          <w:sz w:val="18"/>
          <w:szCs w:val="18"/>
          <w:b w:val="1"/>
          <w:bCs w:val="1"/>
          <w:color w:val="auto"/>
        </w:rPr>
        <w:t>Base Salary</w:t>
      </w:r>
      <w:r>
        <w:rPr>
          <w:rFonts w:ascii="Arial" w:cs="Arial" w:eastAsia="Arial" w:hAnsi="Arial"/>
          <w:sz w:val="18"/>
          <w:szCs w:val="18"/>
          <w:color w:val="auto"/>
        </w:rPr>
        <w:t>” shall be mean $850,000 per annum.</w:t>
      </w:r>
    </w:p>
    <w:p>
      <w:pPr>
        <w:spacing w:after="0" w:line="96"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Employment Agreement is being modified only as stated herein, and agree that nothing else in the Employment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WORLDWIDE WYNN, LLC</w:t>
            </w:r>
          </w:p>
        </w:tc>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C. Chen</w:t>
            </w:r>
          </w:p>
        </w:tc>
      </w:tr>
      <w:tr>
        <w:trPr>
          <w:trHeight w:val="217"/>
        </w:trPr>
        <w:tc>
          <w:tcPr>
            <w:tcW w:w="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Linda C. Chen</w:t>
            </w:r>
          </w:p>
        </w:tc>
      </w:tr>
      <w:tr>
        <w:trPr>
          <w:trHeight w:val="3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 Maddox</w:t>
            </w:r>
          </w:p>
        </w:tc>
        <w:tc>
          <w:tcPr>
            <w:tcW w:w="11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February 16, 2009</w:t>
            </w:r>
          </w:p>
        </w:tc>
      </w:tr>
      <w:tr>
        <w:trPr>
          <w:trHeight w:val="331"/>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CFO</w:t>
            </w: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ind w:left="10320"/>
        <w:spacing w:after="0"/>
        <w:rPr>
          <w:sz w:val="20"/>
          <w:szCs w:val="20"/>
          <w:color w:val="auto"/>
        </w:rPr>
      </w:pPr>
      <w:r>
        <w:rPr>
          <w:rFonts w:ascii="Arial" w:cs="Arial" w:eastAsia="Arial" w:hAnsi="Arial"/>
          <w:sz w:val="16"/>
          <w:szCs w:val="16"/>
          <w:b w:val="1"/>
          <w:bCs w:val="1"/>
          <w:color w:val="auto"/>
        </w:rPr>
        <w:t>EXHIBIT 10.7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AMENDMENT TO AGREEMENT OF LEASE</w:t>
      </w:r>
    </w:p>
    <w:p>
      <w:pPr>
        <w:spacing w:after="0" w:line="198" w:lineRule="exact"/>
        <w:rPr>
          <w:sz w:val="20"/>
          <w:szCs w:val="20"/>
          <w:color w:val="auto"/>
        </w:rPr>
      </w:pPr>
    </w:p>
    <w:p>
      <w:pPr>
        <w:ind w:right="20" w:firstLine="456"/>
        <w:spacing w:after="0" w:line="221" w:lineRule="auto"/>
        <w:rPr>
          <w:sz w:val="20"/>
          <w:szCs w:val="20"/>
          <w:color w:val="auto"/>
        </w:rPr>
      </w:pPr>
      <w:r>
        <w:rPr>
          <w:rFonts w:ascii="Arial" w:cs="Arial" w:eastAsia="Arial" w:hAnsi="Arial"/>
          <w:sz w:val="18"/>
          <w:szCs w:val="18"/>
          <w:color w:val="auto"/>
        </w:rPr>
        <w:t>THIS THIRD AMENDMENT TO AGREEMENT OF LEASE (this “</w:t>
      </w:r>
      <w:r>
        <w:rPr>
          <w:rFonts w:ascii="Arial" w:cs="Arial" w:eastAsia="Arial" w:hAnsi="Arial"/>
          <w:sz w:val="18"/>
          <w:szCs w:val="18"/>
          <w:u w:val="single" w:color="auto"/>
          <w:color w:val="auto"/>
        </w:rPr>
        <w:t>Third Amendment</w:t>
      </w:r>
      <w:r>
        <w:rPr>
          <w:rFonts w:ascii="Arial" w:cs="Arial" w:eastAsia="Arial" w:hAnsi="Arial"/>
          <w:sz w:val="18"/>
          <w:szCs w:val="18"/>
          <w:color w:val="auto"/>
        </w:rPr>
        <w:t>”) is made as of the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2009, by and between Wynn Las Vegas, LLC (“</w:t>
      </w:r>
      <w:r>
        <w:rPr>
          <w:rFonts w:ascii="Arial" w:cs="Arial" w:eastAsia="Arial" w:hAnsi="Arial"/>
          <w:sz w:val="18"/>
          <w:szCs w:val="18"/>
          <w:u w:val="single" w:color="auto"/>
          <w:color w:val="auto"/>
        </w:rPr>
        <w:t>Lessor</w:t>
      </w:r>
      <w:r>
        <w:rPr>
          <w:rFonts w:ascii="Arial" w:cs="Arial" w:eastAsia="Arial" w:hAnsi="Arial"/>
          <w:sz w:val="18"/>
          <w:szCs w:val="18"/>
          <w:color w:val="auto"/>
        </w:rPr>
        <w:t>”) and Stephen A. Wynn (“</w:t>
      </w:r>
      <w:r>
        <w:rPr>
          <w:rFonts w:ascii="Arial" w:cs="Arial" w:eastAsia="Arial" w:hAnsi="Arial"/>
          <w:sz w:val="18"/>
          <w:szCs w:val="18"/>
          <w:u w:val="single" w:color="auto"/>
          <w:color w:val="auto"/>
        </w:rPr>
        <w:t>Lessee</w:t>
      </w:r>
      <w:r>
        <w:rPr>
          <w:rFonts w:ascii="Arial" w:cs="Arial" w:eastAsia="Arial" w:hAnsi="Arial"/>
          <w:sz w:val="18"/>
          <w:szCs w:val="18"/>
          <w:color w:val="auto"/>
        </w:rPr>
        <w:t>” and, together with Lessor,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The Parties have entered into an Agreement of Lease, dated as of January 10, 2005, as amended by that certain First Amendment to Agreement to Lease, dated April 21, 2005, and as further amended by that certain Second Amendment to Agreement of Lease, dated June 10, 2008 (collectively referred to herein as the “</w:t>
      </w:r>
      <w:r>
        <w:rPr>
          <w:rFonts w:ascii="Arial" w:cs="Arial" w:eastAsia="Arial" w:hAnsi="Arial"/>
          <w:sz w:val="16"/>
          <w:szCs w:val="16"/>
          <w:u w:val="single" w:color="auto"/>
          <w:color w:val="auto"/>
        </w:rPr>
        <w:t>Lease</w:t>
      </w:r>
      <w:r>
        <w:rPr>
          <w:rFonts w:ascii="Arial" w:cs="Arial" w:eastAsia="Arial" w:hAnsi="Arial"/>
          <w:sz w:val="16"/>
          <w:szCs w:val="16"/>
          <w:color w:val="auto"/>
        </w:rPr>
        <w:t>”), under which Lessee leases a luxury suite in Lessor’s Wynn Las Vegas casino and resort hotel (the “</w:t>
      </w:r>
      <w:r>
        <w:rPr>
          <w:rFonts w:ascii="Arial" w:cs="Arial" w:eastAsia="Arial" w:hAnsi="Arial"/>
          <w:sz w:val="16"/>
          <w:szCs w:val="16"/>
          <w:u w:val="single" w:color="auto"/>
          <w:color w:val="auto"/>
        </w:rPr>
        <w:t>Resort</w:t>
      </w:r>
      <w:r>
        <w:rPr>
          <w:rFonts w:ascii="Arial" w:cs="Arial" w:eastAsia="Arial" w:hAnsi="Arial"/>
          <w:sz w:val="16"/>
          <w:szCs w:val="16"/>
          <w:color w:val="auto"/>
        </w:rPr>
        <w:t>”).</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 The initial 12 month term of the Lease commenced on July 1, 2005. The Parties have renewed the Lease for consecutive 12 month periods thereafter from year to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as follows:</w:t>
      </w:r>
    </w:p>
    <w:p>
      <w:pPr>
        <w:spacing w:after="0" w:line="90"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1 of the Lease is hereby amended and restated to read in its entirety as follows:</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Demise.</w:t>
      </w:r>
      <w:r>
        <w:rPr>
          <w:rFonts w:ascii="Arial" w:cs="Arial" w:eastAsia="Arial" w:hAnsi="Arial"/>
          <w:sz w:val="18"/>
          <w:szCs w:val="18"/>
          <w:color w:val="auto"/>
        </w:rPr>
        <w:t xml:space="preserve"> Subject to the terms and conditions that follow, Lessor leases to Lessee, and Lessee leases from Lessor:</w:t>
      </w:r>
    </w:p>
    <w:p>
      <w:pPr>
        <w:spacing w:after="0" w:line="90" w:lineRule="exact"/>
        <w:rPr>
          <w:rFonts w:ascii="Arial" w:cs="Arial" w:eastAsia="Arial" w:hAnsi="Arial"/>
          <w:sz w:val="18"/>
          <w:szCs w:val="18"/>
          <w:color w:val="auto"/>
        </w:rPr>
      </w:pPr>
    </w:p>
    <w:p>
      <w:pPr>
        <w:ind w:left="920" w:right="260" w:firstLine="1"/>
        <w:spacing w:after="0" w:line="268" w:lineRule="auto"/>
        <w:tabs>
          <w:tab w:leader="none" w:pos="1159"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luxury suite located in the Resort known as Villa Suite No. 3, as depicted on Exhibit A attached hereto and, at Lessee’s option, all furniture and furnishing contained herein (the “</w:t>
      </w:r>
      <w:r>
        <w:rPr>
          <w:rFonts w:ascii="Arial" w:cs="Arial" w:eastAsia="Arial" w:hAnsi="Arial"/>
          <w:sz w:val="18"/>
          <w:szCs w:val="18"/>
          <w:u w:val="single" w:color="auto"/>
          <w:color w:val="auto"/>
        </w:rPr>
        <w:t>Villa Suite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20" w:right="520" w:firstLine="1"/>
        <w:spacing w:after="0" w:line="268" w:lineRule="auto"/>
        <w:tabs>
          <w:tab w:leader="none" w:pos="1169"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luxury villa located in the Resort known as Fairway Villa No. 107, as depicted on Exhibit A attached hereto and, at Lessee’s option, all furniture and furnishings contained therein (the “</w:t>
      </w:r>
      <w:r>
        <w:rPr>
          <w:rFonts w:ascii="Arial" w:cs="Arial" w:eastAsia="Arial" w:hAnsi="Arial"/>
          <w:sz w:val="18"/>
          <w:szCs w:val="18"/>
          <w:u w:val="single" w:color="auto"/>
          <w:color w:val="auto"/>
        </w:rPr>
        <w:t>Fairway Villa</w:t>
      </w:r>
      <w:r>
        <w:rPr>
          <w:rFonts w:ascii="Arial" w:cs="Arial" w:eastAsia="Arial" w:hAnsi="Arial"/>
          <w:sz w:val="18"/>
          <w:szCs w:val="18"/>
          <w:color w:val="auto"/>
        </w:rPr>
        <w:t>”).</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Villa Suite and the Fairway Villa shall collectively be referred to herein as the “</w:t>
      </w:r>
      <w:r>
        <w:rPr>
          <w:rFonts w:ascii="Arial" w:cs="Arial" w:eastAsia="Arial" w:hAnsi="Arial"/>
          <w:sz w:val="18"/>
          <w:szCs w:val="18"/>
          <w:u w:val="single" w:color="auto"/>
          <w:color w:val="auto"/>
        </w:rPr>
        <w:t>Suite</w:t>
      </w:r>
      <w:r>
        <w:rPr>
          <w:rFonts w:ascii="Arial" w:cs="Arial" w:eastAsia="Arial" w:hAnsi="Arial"/>
          <w:sz w:val="18"/>
          <w:szCs w:val="18"/>
          <w:color w:val="auto"/>
        </w:rPr>
        <w:t>”.</w:t>
      </w:r>
    </w:p>
    <w:p>
      <w:pPr>
        <w:spacing w:after="0" w:line="171"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2 of the Lease is hereby amended and restated to read in its entirety as follows:</w:t>
      </w:r>
    </w:p>
    <w:p>
      <w:pPr>
        <w:spacing w:after="0" w:line="90" w:lineRule="exact"/>
        <w:rPr>
          <w:rFonts w:ascii="Arial" w:cs="Arial" w:eastAsia="Arial" w:hAnsi="Arial"/>
          <w:sz w:val="18"/>
          <w:szCs w:val="18"/>
          <w:color w:val="auto"/>
        </w:rPr>
      </w:pPr>
    </w:p>
    <w:p>
      <w:pPr>
        <w:ind w:left="460" w:firstLine="443"/>
        <w:spacing w:after="0" w:line="284" w:lineRule="auto"/>
        <w:tabs>
          <w:tab w:leader="none" w:pos="1074"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initial term of this Lease shall be for the twelve month period commencing on the earlier of the date Lessee occupies the Premises or July 1, 2005, and continuing for consecutive twelve month periods thereafter from year to year unless terminated by (a) Lessee giving notice of his intent to terminate, in a signed writing to Lessor at the address set forth after its name in the preamble to this Lease, at least 30 days prior to termination; or</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 Lessee’s death.</w:t>
      </w:r>
    </w:p>
    <w:p>
      <w:pPr>
        <w:spacing w:after="0" w:line="164" w:lineRule="exact"/>
        <w:rPr>
          <w:rFonts w:ascii="Arial" w:cs="Arial" w:eastAsia="Arial" w:hAnsi="Arial"/>
          <w:sz w:val="16"/>
          <w:szCs w:val="16"/>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shall have the meanings ascribed to them in the Lease.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modified by this Third Amendment, all of the terms and conditions of the Lease shall remain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Second Amendment as of the day and year first written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1040" w:type="dxa"/>
            <w:vAlign w:val="bottom"/>
          </w:tcPr>
          <w:p>
            <w:pPr>
              <w:spacing w:after="0"/>
              <w:rPr>
                <w:sz w:val="19"/>
                <w:szCs w:val="19"/>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Andrew Pascal</w:t>
            </w:r>
          </w:p>
        </w:tc>
        <w:tc>
          <w:tcPr>
            <w:tcW w:w="104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STEPHEN A. WYNN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President</w:t>
            </w:r>
          </w:p>
        </w:tc>
        <w:tc>
          <w:tcPr>
            <w:tcW w:w="104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00" w:val="left"/>
          <w:tab w:leader="none" w:pos="8040" w:val="left"/>
        </w:tabs>
        <w:rPr>
          <w:sz w:val="20"/>
          <w:szCs w:val="20"/>
          <w:color w:val="auto"/>
        </w:rPr>
      </w:pPr>
      <w:r>
        <w:rPr>
          <w:rFonts w:ascii="Arial" w:cs="Arial" w:eastAsia="Arial" w:hAnsi="Arial"/>
          <w:sz w:val="18"/>
          <w:szCs w:val="18"/>
          <w:color w:val="auto"/>
        </w:rPr>
        <w:t>Date: May 11,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Stephen A. Wynn</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Date: May 11, 2009</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2009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r>
      <w:tr>
        <w:trPr>
          <w:trHeight w:val="144"/>
        </w:trPr>
        <w:tc>
          <w:tcPr>
            <w:tcW w:w="14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2"/>
                <w:szCs w:val="12"/>
                <w:color w:val="auto"/>
              </w:rPr>
            </w:pPr>
          </w:p>
        </w:tc>
        <w:tc>
          <w:tcPr>
            <w:tcW w:w="2720" w:type="dxa"/>
            <w:vAlign w:val="bottom"/>
          </w:tcPr>
          <w:p>
            <w:pPr>
              <w:jc w:val="center"/>
              <w:ind w:right="1222"/>
              <w:spacing w:after="0" w:line="144" w:lineRule="exact"/>
              <w:rPr>
                <w:sz w:val="20"/>
                <w:szCs w:val="20"/>
                <w:color w:val="auto"/>
              </w:rPr>
            </w:pPr>
            <w:r>
              <w:rPr>
                <w:rFonts w:ascii="Arial" w:cs="Arial" w:eastAsia="Arial" w:hAnsi="Arial"/>
                <w:sz w:val="14"/>
                <w:szCs w:val="14"/>
                <w:b w:val="1"/>
                <w:bCs w:val="1"/>
                <w:color w:val="auto"/>
                <w:w w:val="88"/>
              </w:rPr>
              <w:t>Stephen A. Wynn</w:t>
            </w:r>
          </w:p>
        </w:tc>
      </w:tr>
      <w:tr>
        <w:trPr>
          <w:trHeight w:val="149"/>
        </w:trPr>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Title:</w:t>
            </w:r>
          </w:p>
        </w:tc>
        <w:tc>
          <w:tcPr>
            <w:tcW w:w="3160" w:type="dxa"/>
            <w:vAlign w:val="bottom"/>
            <w:gridSpan w:val="2"/>
          </w:tcPr>
          <w:p>
            <w:pPr>
              <w:jc w:val="center"/>
              <w:ind w:right="802"/>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160" w:type="dxa"/>
            <w:vAlign w:val="bottom"/>
            <w:gridSpan w:val="2"/>
          </w:tcPr>
          <w:p>
            <w:pPr>
              <w:jc w:val="center"/>
              <w:ind w:right="782"/>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63"/>
        </w:trPr>
        <w:tc>
          <w:tcPr>
            <w:tcW w:w="1420" w:type="dxa"/>
            <w:vAlign w:val="bottom"/>
            <w:gridSpan w:val="2"/>
          </w:tcPr>
          <w:p>
            <w:pPr>
              <w:spacing w:after="0"/>
              <w:rPr>
                <w:sz w:val="20"/>
                <w:szCs w:val="20"/>
                <w:color w:val="auto"/>
              </w:rPr>
            </w:pPr>
            <w:r>
              <w:rPr>
                <w:rFonts w:ascii="Arial" w:cs="Arial" w:eastAsia="Arial" w:hAnsi="Arial"/>
                <w:sz w:val="18"/>
                <w:szCs w:val="18"/>
                <w:color w:val="auto"/>
                <w:w w:val="89"/>
              </w:rPr>
              <w:t>Date: May 11, 2009</w:t>
            </w:r>
          </w:p>
        </w:tc>
        <w:tc>
          <w:tcPr>
            <w:tcW w:w="4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20"/>
        </w:trPr>
        <w:tc>
          <w:tcPr>
            <w:tcW w:w="5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4"/>
        </w:trPr>
        <w:tc>
          <w:tcPr>
            <w:tcW w:w="14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2"/>
                <w:szCs w:val="12"/>
                <w:color w:val="auto"/>
              </w:rPr>
            </w:pPr>
          </w:p>
        </w:tc>
        <w:tc>
          <w:tcPr>
            <w:tcW w:w="2720" w:type="dxa"/>
            <w:vAlign w:val="bottom"/>
          </w:tcPr>
          <w:p>
            <w:pPr>
              <w:jc w:val="center"/>
              <w:ind w:right="1242"/>
              <w:spacing w:after="0" w:line="144" w:lineRule="exact"/>
              <w:rPr>
                <w:sz w:val="20"/>
                <w:szCs w:val="20"/>
                <w:color w:val="auto"/>
              </w:rPr>
            </w:pPr>
            <w:r>
              <w:rPr>
                <w:rFonts w:ascii="Arial" w:cs="Arial" w:eastAsia="Arial" w:hAnsi="Arial"/>
                <w:sz w:val="14"/>
                <w:szCs w:val="14"/>
                <w:b w:val="1"/>
                <w:bCs w:val="1"/>
                <w:color w:val="auto"/>
                <w:w w:val="93"/>
              </w:rPr>
              <w:t>Matt Maddox</w:t>
            </w:r>
          </w:p>
        </w:tc>
      </w:tr>
      <w:tr>
        <w:trPr>
          <w:trHeight w:val="149"/>
        </w:trPr>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Title:</w:t>
            </w:r>
          </w:p>
        </w:tc>
        <w:tc>
          <w:tcPr>
            <w:tcW w:w="3160" w:type="dxa"/>
            <w:vAlign w:val="bottom"/>
            <w:gridSpan w:val="2"/>
          </w:tcPr>
          <w:p>
            <w:pPr>
              <w:jc w:val="center"/>
              <w:ind w:right="782"/>
              <w:spacing w:after="0" w:line="149" w:lineRule="exact"/>
              <w:rPr>
                <w:sz w:val="20"/>
                <w:szCs w:val="20"/>
                <w:color w:val="auto"/>
              </w:rPr>
            </w:pPr>
            <w:r>
              <w:rPr>
                <w:rFonts w:ascii="Arial" w:cs="Arial" w:eastAsia="Arial" w:hAnsi="Arial"/>
                <w:sz w:val="14"/>
                <w:szCs w:val="14"/>
                <w:b w:val="1"/>
                <w:bCs w:val="1"/>
                <w:color w:val="auto"/>
                <w:w w:val="88"/>
              </w:rPr>
              <w:t>Chief Financial Officer and Treasurer</w:t>
            </w:r>
          </w:p>
        </w:tc>
      </w:tr>
      <w:tr>
        <w:trPr>
          <w:trHeight w:val="174"/>
        </w:trPr>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160" w:type="dxa"/>
            <w:vAlign w:val="bottom"/>
            <w:gridSpan w:val="2"/>
          </w:tcPr>
          <w:p>
            <w:pPr>
              <w:jc w:val="center"/>
              <w:ind w:right="802"/>
              <w:spacing w:after="0"/>
              <w:rPr>
                <w:sz w:val="20"/>
                <w:szCs w:val="20"/>
                <w:color w:val="auto"/>
              </w:rPr>
            </w:pPr>
            <w:r>
              <w:rPr>
                <w:rFonts w:ascii="Arial" w:cs="Arial" w:eastAsia="Arial" w:hAnsi="Arial"/>
                <w:sz w:val="14"/>
                <w:szCs w:val="14"/>
                <w:b w:val="1"/>
                <w:bCs w:val="1"/>
                <w:color w:val="auto"/>
                <w:w w:val="90"/>
              </w:rPr>
              <w:t>(Principal Financial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lowerRoman"/>
      <w:start w:val="2"/>
    </w:lvl>
  </w:abstractNum>
  <w:abstractNum w:abstractNumId="5">
    <w:nsid w:val="3F2DBA31"/>
    <w:multiLevelType w:val="hybridMultilevel"/>
    <w:lvl w:ilvl="0">
      <w:lvlJc w:val="left"/>
      <w:lvlText w:val="%1."/>
      <w:numFmt w:val="decimal"/>
      <w:start w:val="9"/>
    </w:lvl>
  </w:abstractNum>
  <w:abstractNum w:abstractNumId="6">
    <w:nsid w:val="7C83E458"/>
    <w:multiLevelType w:val="hybridMultilevel"/>
    <w:lvl w:ilvl="0">
      <w:lvlJc w:val="left"/>
      <w:lvlText w:val="%1."/>
      <w:numFmt w:val="decimal"/>
      <w:start w:val="15"/>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Roman"/>
      <w:start w:val="4"/>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2"/>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3A95F874"/>
    <w:multiLevelType w:val="hybridMultilevel"/>
    <w:lvl w:ilvl="0">
      <w:lvlJc w:val="left"/>
      <w:lvlText w:val="%1."/>
      <w:numFmt w:val="decimal"/>
      <w:start w:val="2"/>
    </w:lvl>
    <w:lvl w:ilvl="1">
      <w:lvlJc w:val="left"/>
      <w:lvlText w:val="%2."/>
      <w:numFmt w:val="decimal"/>
      <w:start w:val="2"/>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2019-12-10T21:58:56Z</dcterms:created>
  <dcterms:modified xsi:type="dcterms:W3CDTF">2019-12-10T21:58:56Z</dcterms:modified>
</cp:coreProperties>
</file>