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9,642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446,624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vesting of restricted stock previously granted on August 18,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2021-08-20T18:17:46Z</dcterms:created>
  <dcterms:modified xsi:type="dcterms:W3CDTF">2021-08-20T18:17:46Z</dcterms:modified>
</cp:coreProperties>
</file>